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1784E" w14:textId="77777777" w:rsidR="00B60939" w:rsidRPr="00BE6650" w:rsidRDefault="00234902" w:rsidP="004A6040">
      <w:pPr>
        <w:pStyle w:val="1-MainHeading"/>
      </w:pPr>
      <w:bookmarkStart w:id="0" w:name="_Toc72323727"/>
      <w:r w:rsidRPr="00BE6650">
        <w:t>5.08</w:t>
      </w:r>
      <w:r w:rsidR="00163F66" w:rsidRPr="00BE6650">
        <w:tab/>
      </w:r>
      <w:r w:rsidR="0008078B" w:rsidRPr="00BE6650">
        <w:t>SELINEXOR</w:t>
      </w:r>
      <w:r w:rsidR="00163F66" w:rsidRPr="00BE6650">
        <w:t>,</w:t>
      </w:r>
      <w:r w:rsidR="00163F66" w:rsidRPr="00BE6650">
        <w:br/>
      </w:r>
      <w:r w:rsidR="0008078B" w:rsidRPr="00BE6650">
        <w:t>Tablet 20 mg,</w:t>
      </w:r>
      <w:r w:rsidRPr="00BE6650" w:rsidDel="00234902">
        <w:t xml:space="preserve"> </w:t>
      </w:r>
      <w:r w:rsidR="00163F66" w:rsidRPr="00BE6650">
        <w:br/>
      </w:r>
      <w:r w:rsidR="0008078B" w:rsidRPr="00BE6650">
        <w:t>X</w:t>
      </w:r>
      <w:r w:rsidR="001E2085" w:rsidRPr="00BE6650">
        <w:t>povio</w:t>
      </w:r>
      <w:r w:rsidR="00B60939" w:rsidRPr="00BE6650">
        <w:t>®</w:t>
      </w:r>
      <w:r w:rsidR="004A6040" w:rsidRPr="00BE6650">
        <w:t>,</w:t>
      </w:r>
      <w:r w:rsidR="004A6040" w:rsidRPr="00BE6650">
        <w:br/>
      </w:r>
      <w:r w:rsidR="006478CB" w:rsidRPr="00457EF6">
        <w:t>Antengene (Aus) Pty. Ltd</w:t>
      </w:r>
      <w:r w:rsidR="00587278" w:rsidRPr="00BE6650">
        <w:t>.</w:t>
      </w:r>
      <w:bookmarkEnd w:id="0"/>
    </w:p>
    <w:p w14:paraId="478132A9" w14:textId="77777777" w:rsidR="00B50DB8" w:rsidRPr="00BE6650" w:rsidRDefault="00B50DB8" w:rsidP="004A6040">
      <w:pPr>
        <w:pStyle w:val="2-SectionHeading"/>
      </w:pPr>
      <w:bookmarkStart w:id="1" w:name="_Toc72323729"/>
      <w:r w:rsidRPr="00BE6650">
        <w:t xml:space="preserve">Purpose of </w:t>
      </w:r>
      <w:r w:rsidR="00CD7193" w:rsidRPr="00BE6650">
        <w:t>s</w:t>
      </w:r>
      <w:r w:rsidR="00BB3A45" w:rsidRPr="00BE6650">
        <w:t>ubmission</w:t>
      </w:r>
      <w:bookmarkEnd w:id="1"/>
    </w:p>
    <w:p w14:paraId="42814D91" w14:textId="77777777" w:rsidR="00A25B32" w:rsidRPr="00BE6650" w:rsidRDefault="00A25B32" w:rsidP="00055E4C">
      <w:pPr>
        <w:pStyle w:val="3-BodyText"/>
      </w:pPr>
      <w:r w:rsidRPr="00BE6650">
        <w:t xml:space="preserve">The </w:t>
      </w:r>
      <w:r w:rsidR="00435BC5" w:rsidRPr="00BE6650">
        <w:t xml:space="preserve">Category 1 </w:t>
      </w:r>
      <w:r w:rsidRPr="00BE6650">
        <w:t>submission requested</w:t>
      </w:r>
      <w:r w:rsidR="00F76A86" w:rsidRPr="00BE6650">
        <w:t xml:space="preserve"> a Section 100 (Highly Specialised Drug)</w:t>
      </w:r>
      <w:r w:rsidR="00C527FE" w:rsidRPr="00BE6650">
        <w:t>,</w:t>
      </w:r>
      <w:r w:rsidRPr="00BE6650">
        <w:t xml:space="preserve"> Authority Required </w:t>
      </w:r>
      <w:r w:rsidR="000F0691" w:rsidRPr="00BE6650">
        <w:t>(S</w:t>
      </w:r>
      <w:r w:rsidR="00C527FE" w:rsidRPr="00BE6650">
        <w:t xml:space="preserve">treamlined) </w:t>
      </w:r>
      <w:r w:rsidRPr="00BE6650">
        <w:t>listing for selinexor in combination with dexamethasone (</w:t>
      </w:r>
      <w:r w:rsidR="005A1059" w:rsidRPr="00BE6650">
        <w:t>Sd</w:t>
      </w:r>
      <w:r w:rsidRPr="00BE6650">
        <w:t>) for the treatment of adult patients with relapsed and/or refractory multiple myeloma (RRMM), who have received at least four prior therapies and whose disease is refractory to at least two proteasome inhibitors (PI</w:t>
      </w:r>
      <w:r w:rsidR="004C1C93" w:rsidRPr="00BE6650">
        <w:t>s</w:t>
      </w:r>
      <w:r w:rsidRPr="00BE6650">
        <w:t>), at least two immunomodulatory agents (IMiD</w:t>
      </w:r>
      <w:r w:rsidR="004C1C93" w:rsidRPr="00BE6650">
        <w:t>s</w:t>
      </w:r>
      <w:r w:rsidRPr="00BE6650">
        <w:t xml:space="preserve">), and an anti-CD38 monoclonal antibody (mAb). </w:t>
      </w:r>
      <w:r w:rsidR="00055E4C" w:rsidRPr="00BE6650">
        <w:t>This has been described in the submission as triple class refractory and penta-refractory multiple myeloma (TCR/PR MM).</w:t>
      </w:r>
    </w:p>
    <w:p w14:paraId="75899B26" w14:textId="77777777" w:rsidR="00A25B32" w:rsidRPr="00BE6650" w:rsidRDefault="00A25B32" w:rsidP="00A25B32">
      <w:pPr>
        <w:pStyle w:val="3-BodyText"/>
      </w:pPr>
      <w:r w:rsidRPr="00BE6650">
        <w:t>Listing was requested on the basis of a cost-</w:t>
      </w:r>
      <w:r w:rsidR="009B1EEB" w:rsidRPr="00BE6650">
        <w:t xml:space="preserve">utility (CUA) </w:t>
      </w:r>
      <w:r w:rsidRPr="00BE6650">
        <w:t>analysis versus salvage chemotherapy</w:t>
      </w:r>
      <w:r w:rsidR="00562B42" w:rsidRPr="00BE6650">
        <w:t>, represented by</w:t>
      </w:r>
      <w:r w:rsidRPr="00BE6650">
        <w:t xml:space="preserve"> dexamethasone, cyclophosphamide, etoposide, and cisplatin (DCEP)</w:t>
      </w:r>
      <w:r w:rsidR="00E835D9" w:rsidRPr="00BE6650">
        <w:t>,</w:t>
      </w:r>
      <w:r w:rsidR="004D3EC8" w:rsidRPr="00BE6650">
        <w:t xml:space="preserve"> as the main comparator</w:t>
      </w:r>
      <w:r w:rsidRPr="00BE6650">
        <w:t xml:space="preserve">. The components of the overall clinical issue addressed by the submission are summarised in Table </w:t>
      </w:r>
      <w:r w:rsidR="003E1106" w:rsidRPr="00BE6650">
        <w:t>1</w:t>
      </w:r>
      <w:r w:rsidRPr="00BE6650">
        <w:t xml:space="preserve">. </w:t>
      </w:r>
    </w:p>
    <w:p w14:paraId="3B11FB17" w14:textId="77777777" w:rsidR="00A25B32" w:rsidRPr="00BE6650" w:rsidRDefault="00A25B32" w:rsidP="00723330">
      <w:pPr>
        <w:pStyle w:val="TableFigureHeading"/>
        <w:keepNext w:val="0"/>
        <w:rPr>
          <w:rStyle w:val="CommentReference"/>
          <w:b/>
          <w:szCs w:val="24"/>
        </w:rPr>
      </w:pPr>
      <w:r w:rsidRPr="00BE6650">
        <w:rPr>
          <w:rStyle w:val="CommentReference"/>
          <w:b/>
          <w:szCs w:val="24"/>
        </w:rPr>
        <w:t xml:space="preserve">Table 1: Key components of the clinical issue addressed by the submission </w:t>
      </w:r>
    </w:p>
    <w:tbl>
      <w:tblPr>
        <w:tblStyle w:val="HTATableshaded"/>
        <w:tblW w:w="5000" w:type="pct"/>
        <w:tblLook w:val="04A0" w:firstRow="1" w:lastRow="0" w:firstColumn="1" w:lastColumn="0" w:noHBand="0" w:noVBand="1"/>
        <w:tblCaption w:val="Table 1: Key components of the clinical issue addressed by the submission "/>
      </w:tblPr>
      <w:tblGrid>
        <w:gridCol w:w="1567"/>
        <w:gridCol w:w="7449"/>
      </w:tblGrid>
      <w:tr w:rsidR="00A25B32" w:rsidRPr="00BE6650" w14:paraId="766A109E" w14:textId="77777777" w:rsidTr="00B137BE">
        <w:trPr>
          <w:cnfStyle w:val="100000000000" w:firstRow="1" w:lastRow="0" w:firstColumn="0" w:lastColumn="0" w:oddVBand="0" w:evenVBand="0" w:oddHBand="0" w:evenHBand="0" w:firstRowFirstColumn="0" w:firstRowLastColumn="0" w:lastRowFirstColumn="0" w:lastRowLastColumn="0"/>
          <w:tblHeader/>
        </w:trPr>
        <w:tc>
          <w:tcPr>
            <w:tcW w:w="1607" w:type="dxa"/>
          </w:tcPr>
          <w:p w14:paraId="3BDA659E" w14:textId="77777777" w:rsidR="00A25B32" w:rsidRPr="00BE6650" w:rsidRDefault="00A25B32" w:rsidP="00723330">
            <w:pPr>
              <w:pStyle w:val="TableH1"/>
              <w:keepNext w:val="0"/>
              <w:spacing w:before="0" w:after="0"/>
              <w:rPr>
                <w:rFonts w:ascii="Arial Narrow" w:hAnsi="Arial Narrow"/>
                <w:sz w:val="20"/>
                <w:szCs w:val="20"/>
                <w:lang w:val="en-AU"/>
              </w:rPr>
            </w:pPr>
            <w:r w:rsidRPr="00BE6650">
              <w:rPr>
                <w:rFonts w:ascii="Arial Narrow" w:hAnsi="Arial Narrow"/>
                <w:sz w:val="20"/>
                <w:szCs w:val="20"/>
                <w:lang w:val="en-AU"/>
              </w:rPr>
              <w:t>Component</w:t>
            </w:r>
          </w:p>
        </w:tc>
        <w:tc>
          <w:tcPr>
            <w:tcW w:w="8021" w:type="dxa"/>
          </w:tcPr>
          <w:p w14:paraId="44792415" w14:textId="77777777" w:rsidR="00A25B32" w:rsidRPr="00BE6650" w:rsidRDefault="00A25B32" w:rsidP="00723330">
            <w:pPr>
              <w:pStyle w:val="TableH1"/>
              <w:keepNext w:val="0"/>
              <w:spacing w:before="0" w:after="0"/>
              <w:rPr>
                <w:rFonts w:ascii="Arial Narrow" w:hAnsi="Arial Narrow"/>
                <w:sz w:val="20"/>
                <w:szCs w:val="20"/>
                <w:lang w:val="en-AU"/>
              </w:rPr>
            </w:pPr>
            <w:r w:rsidRPr="00BE6650">
              <w:rPr>
                <w:rFonts w:ascii="Arial Narrow" w:hAnsi="Arial Narrow"/>
                <w:sz w:val="20"/>
                <w:szCs w:val="20"/>
                <w:lang w:val="en-AU"/>
              </w:rPr>
              <w:t>Description</w:t>
            </w:r>
          </w:p>
        </w:tc>
      </w:tr>
      <w:tr w:rsidR="00A25B32" w:rsidRPr="00BE6650" w14:paraId="3409753D" w14:textId="77777777" w:rsidTr="00B137BE">
        <w:tc>
          <w:tcPr>
            <w:tcW w:w="1607" w:type="dxa"/>
          </w:tcPr>
          <w:p w14:paraId="5E0C792E" w14:textId="77777777" w:rsidR="00A25B32" w:rsidRPr="00BE6650" w:rsidRDefault="00A25B32" w:rsidP="00723330">
            <w:pPr>
              <w:pStyle w:val="TableHeadingleft"/>
              <w:spacing w:before="0" w:after="0"/>
              <w:rPr>
                <w:rFonts w:ascii="Arial Narrow" w:hAnsi="Arial Narrow"/>
                <w:sz w:val="20"/>
                <w:szCs w:val="20"/>
                <w:lang w:val="en-AU"/>
              </w:rPr>
            </w:pPr>
            <w:r w:rsidRPr="00BE6650">
              <w:rPr>
                <w:rFonts w:ascii="Arial Narrow" w:hAnsi="Arial Narrow"/>
                <w:sz w:val="20"/>
                <w:szCs w:val="20"/>
                <w:lang w:val="en-AU"/>
              </w:rPr>
              <w:t>Population</w:t>
            </w:r>
          </w:p>
        </w:tc>
        <w:tc>
          <w:tcPr>
            <w:tcW w:w="8021" w:type="dxa"/>
          </w:tcPr>
          <w:p w14:paraId="1F91B640" w14:textId="77777777" w:rsidR="00A25B32" w:rsidRPr="00BE6650" w:rsidRDefault="00A25B32" w:rsidP="00723330">
            <w:pPr>
              <w:spacing w:before="0" w:after="0"/>
              <w:rPr>
                <w:rFonts w:ascii="Arial Narrow" w:hAnsi="Arial Narrow"/>
                <w:iCs/>
                <w:sz w:val="20"/>
                <w:szCs w:val="20"/>
              </w:rPr>
            </w:pPr>
            <w:r w:rsidRPr="00BE6650">
              <w:rPr>
                <w:rStyle w:val="SmallItalics"/>
                <w:rFonts w:ascii="Arial Narrow" w:hAnsi="Arial Narrow"/>
                <w:i w:val="0"/>
              </w:rPr>
              <w:t>Adult</w:t>
            </w:r>
            <w:r w:rsidRPr="00BE6650">
              <w:rPr>
                <w:rStyle w:val="SmallItalics"/>
                <w:rFonts w:ascii="Arial Narrow" w:hAnsi="Arial Narrow"/>
                <w:iCs/>
              </w:rPr>
              <w:t xml:space="preserve"> </w:t>
            </w:r>
            <w:r w:rsidRPr="00BE6650">
              <w:rPr>
                <w:rStyle w:val="SmallItalics"/>
                <w:rFonts w:ascii="Arial Narrow" w:hAnsi="Arial Narrow"/>
                <w:i w:val="0"/>
              </w:rPr>
              <w:t>patients</w:t>
            </w:r>
            <w:r w:rsidRPr="00BE6650">
              <w:rPr>
                <w:rStyle w:val="SmallItalics"/>
                <w:rFonts w:ascii="Arial Narrow" w:hAnsi="Arial Narrow"/>
                <w:iCs/>
              </w:rPr>
              <w:t xml:space="preserve"> </w:t>
            </w:r>
            <w:r w:rsidRPr="00BE6650">
              <w:rPr>
                <w:rStyle w:val="SmallItalics"/>
                <w:rFonts w:ascii="Arial Narrow" w:hAnsi="Arial Narrow"/>
                <w:i w:val="0"/>
              </w:rPr>
              <w:t>with</w:t>
            </w:r>
            <w:r w:rsidRPr="00BE6650">
              <w:rPr>
                <w:rStyle w:val="SmallItalics"/>
                <w:rFonts w:ascii="Arial Narrow" w:hAnsi="Arial Narrow"/>
                <w:iCs/>
              </w:rPr>
              <w:t xml:space="preserve"> </w:t>
            </w:r>
            <w:r w:rsidRPr="00BE6650">
              <w:rPr>
                <w:rStyle w:val="SmallItalics"/>
                <w:rFonts w:ascii="Arial Narrow" w:hAnsi="Arial Narrow"/>
                <w:i w:val="0"/>
              </w:rPr>
              <w:t xml:space="preserve">relapsed and/or refractory multiple myeloma, </w:t>
            </w:r>
            <w:r w:rsidRPr="00BE6650">
              <w:rPr>
                <w:rFonts w:ascii="Arial Narrow" w:hAnsi="Arial Narrow"/>
                <w:iCs/>
                <w:sz w:val="20"/>
              </w:rPr>
              <w:t>who have received at least four prior therapies and whose disease is refractory to at least two proteasome inhibitors, at least two immunomodulatory agents, and an anti-CD38 monoclonal antibody</w:t>
            </w:r>
            <w:r w:rsidR="00055E4C" w:rsidRPr="00BE6650">
              <w:rPr>
                <w:rFonts w:ascii="Arial Narrow" w:hAnsi="Arial Narrow"/>
                <w:iCs/>
                <w:sz w:val="20"/>
              </w:rPr>
              <w:t xml:space="preserve"> (TCR/PR MM)</w:t>
            </w:r>
          </w:p>
        </w:tc>
      </w:tr>
      <w:tr w:rsidR="00A25B32" w:rsidRPr="00BE6650" w14:paraId="6443E918" w14:textId="77777777" w:rsidTr="00B137BE">
        <w:tc>
          <w:tcPr>
            <w:tcW w:w="1607" w:type="dxa"/>
          </w:tcPr>
          <w:p w14:paraId="69E383A4" w14:textId="77777777" w:rsidR="00A25B32" w:rsidRPr="00BE6650" w:rsidRDefault="00A25B32" w:rsidP="00723330">
            <w:pPr>
              <w:pStyle w:val="TableHeadingleft"/>
              <w:spacing w:before="0" w:after="0"/>
              <w:rPr>
                <w:rFonts w:ascii="Arial Narrow" w:hAnsi="Arial Narrow"/>
                <w:sz w:val="20"/>
                <w:szCs w:val="20"/>
                <w:lang w:val="en-AU"/>
              </w:rPr>
            </w:pPr>
            <w:r w:rsidRPr="00BE6650">
              <w:rPr>
                <w:rFonts w:ascii="Arial Narrow" w:hAnsi="Arial Narrow"/>
                <w:sz w:val="20"/>
                <w:szCs w:val="20"/>
                <w:lang w:val="en-AU"/>
              </w:rPr>
              <w:t>Intervention</w:t>
            </w:r>
          </w:p>
        </w:tc>
        <w:tc>
          <w:tcPr>
            <w:tcW w:w="8021" w:type="dxa"/>
          </w:tcPr>
          <w:p w14:paraId="583E2CA7" w14:textId="77777777" w:rsidR="00A25B32" w:rsidRPr="00BE6650" w:rsidRDefault="00A25B32" w:rsidP="00723330">
            <w:pPr>
              <w:spacing w:before="0" w:after="0"/>
              <w:rPr>
                <w:rFonts w:ascii="Arial Narrow" w:hAnsi="Arial Narrow"/>
                <w:iCs/>
                <w:sz w:val="20"/>
                <w:szCs w:val="20"/>
              </w:rPr>
            </w:pPr>
            <w:r w:rsidRPr="00BE6650">
              <w:rPr>
                <w:rFonts w:ascii="Arial Narrow" w:hAnsi="Arial Narrow"/>
                <w:iCs/>
                <w:sz w:val="20"/>
              </w:rPr>
              <w:t>Selinexor 80 mg twice weekly, oral tablet</w:t>
            </w:r>
            <w:r w:rsidRPr="00BE6650">
              <w:rPr>
                <w:rFonts w:ascii="Arial Narrow" w:hAnsi="Arial Narrow"/>
                <w:iCs/>
                <w:sz w:val="20"/>
                <w:vertAlign w:val="superscript"/>
              </w:rPr>
              <w:t>a</w:t>
            </w:r>
            <w:r w:rsidRPr="00BE6650">
              <w:rPr>
                <w:rFonts w:ascii="Arial Narrow" w:hAnsi="Arial Narrow"/>
                <w:iCs/>
                <w:sz w:val="20"/>
              </w:rPr>
              <w:t>, in combination with low dose dexamethasone (20 mg)</w:t>
            </w:r>
          </w:p>
        </w:tc>
      </w:tr>
      <w:tr w:rsidR="00A25B32" w:rsidRPr="00BE6650" w14:paraId="5100BC34" w14:textId="77777777" w:rsidTr="001412D6">
        <w:trPr>
          <w:trHeight w:val="77"/>
        </w:trPr>
        <w:tc>
          <w:tcPr>
            <w:tcW w:w="1607" w:type="dxa"/>
          </w:tcPr>
          <w:p w14:paraId="1C52232D" w14:textId="77777777" w:rsidR="00A25B32" w:rsidRPr="00BE6650" w:rsidRDefault="00A25B32" w:rsidP="00723330">
            <w:pPr>
              <w:pStyle w:val="TableHeadingleft"/>
              <w:spacing w:before="0" w:after="0"/>
              <w:rPr>
                <w:rFonts w:ascii="Arial Narrow" w:hAnsi="Arial Narrow"/>
                <w:sz w:val="20"/>
                <w:szCs w:val="20"/>
                <w:lang w:val="en-AU"/>
              </w:rPr>
            </w:pPr>
            <w:r w:rsidRPr="00BE6650">
              <w:rPr>
                <w:rFonts w:ascii="Arial Narrow" w:hAnsi="Arial Narrow"/>
                <w:sz w:val="20"/>
                <w:szCs w:val="20"/>
                <w:lang w:val="en-AU"/>
              </w:rPr>
              <w:t>Comparator</w:t>
            </w:r>
          </w:p>
        </w:tc>
        <w:tc>
          <w:tcPr>
            <w:tcW w:w="8021" w:type="dxa"/>
          </w:tcPr>
          <w:p w14:paraId="161C2694" w14:textId="77777777" w:rsidR="00A25B32" w:rsidRPr="00BE6650" w:rsidRDefault="00A25B32" w:rsidP="00723330">
            <w:pPr>
              <w:rPr>
                <w:szCs w:val="20"/>
              </w:rPr>
            </w:pPr>
            <w:r w:rsidRPr="00BE6650">
              <w:rPr>
                <w:rStyle w:val="SmallItalics"/>
                <w:rFonts w:ascii="Arial Narrow" w:hAnsi="Arial Narrow"/>
                <w:i w:val="0"/>
              </w:rPr>
              <w:t>Salvage</w:t>
            </w:r>
            <w:r w:rsidRPr="00BE6650">
              <w:rPr>
                <w:rStyle w:val="SmallItalics"/>
                <w:rFonts w:ascii="Arial Narrow" w:hAnsi="Arial Narrow"/>
                <w:iCs/>
              </w:rPr>
              <w:t xml:space="preserve"> </w:t>
            </w:r>
            <w:r w:rsidRPr="00BE6650">
              <w:rPr>
                <w:rStyle w:val="SmallItalics"/>
                <w:rFonts w:ascii="Arial Narrow" w:hAnsi="Arial Narrow"/>
                <w:i w:val="0"/>
              </w:rPr>
              <w:t>chemotherapy</w:t>
            </w:r>
          </w:p>
        </w:tc>
      </w:tr>
      <w:tr w:rsidR="00A25B32" w:rsidRPr="00BE6650" w14:paraId="06C54AE5" w14:textId="77777777" w:rsidTr="00B137BE">
        <w:tc>
          <w:tcPr>
            <w:tcW w:w="1607" w:type="dxa"/>
          </w:tcPr>
          <w:p w14:paraId="2440F8D3" w14:textId="77777777" w:rsidR="00A25B32" w:rsidRPr="00BE6650" w:rsidRDefault="00A25B32" w:rsidP="00723330">
            <w:pPr>
              <w:pStyle w:val="TableHeadingleft"/>
              <w:spacing w:before="0" w:after="0"/>
              <w:rPr>
                <w:rFonts w:ascii="Arial Narrow" w:hAnsi="Arial Narrow"/>
                <w:sz w:val="20"/>
                <w:szCs w:val="20"/>
                <w:lang w:val="en-AU"/>
              </w:rPr>
            </w:pPr>
            <w:r w:rsidRPr="00BE6650">
              <w:rPr>
                <w:rFonts w:ascii="Arial Narrow" w:hAnsi="Arial Narrow"/>
                <w:sz w:val="20"/>
                <w:szCs w:val="20"/>
                <w:lang w:val="en-AU"/>
              </w:rPr>
              <w:t>Outcomes</w:t>
            </w:r>
          </w:p>
        </w:tc>
        <w:tc>
          <w:tcPr>
            <w:tcW w:w="8021" w:type="dxa"/>
          </w:tcPr>
          <w:p w14:paraId="6B9679A3" w14:textId="77777777" w:rsidR="00A25B32" w:rsidRPr="00BE6650" w:rsidRDefault="00A25B32" w:rsidP="00723330">
            <w:pPr>
              <w:rPr>
                <w:i/>
              </w:rPr>
            </w:pPr>
            <w:r w:rsidRPr="00BE6650">
              <w:rPr>
                <w:rStyle w:val="SmallItalics"/>
                <w:rFonts w:ascii="Arial Narrow" w:hAnsi="Arial Narrow"/>
                <w:i w:val="0"/>
              </w:rPr>
              <w:t>Overall response rate, progression free survival, overall survival and safety</w:t>
            </w:r>
          </w:p>
        </w:tc>
      </w:tr>
      <w:tr w:rsidR="00A25B32" w:rsidRPr="00BE6650" w14:paraId="31C8C9EA" w14:textId="77777777" w:rsidTr="00B137BE">
        <w:tc>
          <w:tcPr>
            <w:tcW w:w="1607" w:type="dxa"/>
          </w:tcPr>
          <w:p w14:paraId="59D6DD3A" w14:textId="77777777" w:rsidR="00A25B32" w:rsidRPr="00BE6650" w:rsidRDefault="00A25B32" w:rsidP="00723330">
            <w:pPr>
              <w:pStyle w:val="TableHeadingleft"/>
              <w:spacing w:before="0" w:after="0"/>
              <w:rPr>
                <w:rFonts w:ascii="Arial Narrow" w:hAnsi="Arial Narrow"/>
                <w:sz w:val="20"/>
                <w:szCs w:val="20"/>
                <w:lang w:val="en-AU"/>
              </w:rPr>
            </w:pPr>
            <w:r w:rsidRPr="00BE6650">
              <w:rPr>
                <w:rFonts w:ascii="Arial Narrow" w:hAnsi="Arial Narrow"/>
                <w:sz w:val="20"/>
                <w:szCs w:val="20"/>
                <w:lang w:val="en-AU"/>
              </w:rPr>
              <w:t>Clinical claim</w:t>
            </w:r>
          </w:p>
        </w:tc>
        <w:tc>
          <w:tcPr>
            <w:tcW w:w="8021" w:type="dxa"/>
          </w:tcPr>
          <w:p w14:paraId="22F1D017" w14:textId="77777777" w:rsidR="00A25B32" w:rsidRPr="00BE6650" w:rsidRDefault="00A25B32" w:rsidP="00723330">
            <w:pPr>
              <w:spacing w:before="0" w:after="0"/>
              <w:rPr>
                <w:rFonts w:ascii="Arial Narrow" w:hAnsi="Arial Narrow"/>
                <w:iCs/>
                <w:sz w:val="20"/>
                <w:szCs w:val="20"/>
              </w:rPr>
            </w:pPr>
            <w:r w:rsidRPr="00BE6650">
              <w:rPr>
                <w:rFonts w:ascii="Arial Narrow" w:hAnsi="Arial Narrow"/>
                <w:iCs/>
                <w:sz w:val="20"/>
              </w:rPr>
              <w:t>Selinexor in combination with dexamethasone provides clinical benefit for patients with TCR/PR MM and has a manageable safety/tolerability profile</w:t>
            </w:r>
          </w:p>
        </w:tc>
      </w:tr>
    </w:tbl>
    <w:p w14:paraId="7EF6DB63" w14:textId="77777777" w:rsidR="00A25B32" w:rsidRPr="00BE6650" w:rsidRDefault="00A25B32" w:rsidP="00723330">
      <w:pPr>
        <w:pStyle w:val="CaptionFootnote"/>
        <w:rPr>
          <w:rFonts w:ascii="Arial Narrow" w:hAnsi="Arial Narrow"/>
          <w:sz w:val="18"/>
          <w:szCs w:val="28"/>
        </w:rPr>
      </w:pPr>
      <w:r w:rsidRPr="00BE6650">
        <w:rPr>
          <w:rFonts w:ascii="Arial Narrow" w:hAnsi="Arial Narrow"/>
          <w:sz w:val="18"/>
          <w:szCs w:val="28"/>
        </w:rPr>
        <w:t>Source: Table 1-1, p.18 of the submission.</w:t>
      </w:r>
    </w:p>
    <w:p w14:paraId="5F4B6CCF" w14:textId="77777777" w:rsidR="00A25B32" w:rsidRPr="00BE6650" w:rsidRDefault="00A25B32" w:rsidP="00723330">
      <w:pPr>
        <w:pStyle w:val="CaptionFootnote"/>
        <w:rPr>
          <w:rFonts w:ascii="Arial Narrow" w:hAnsi="Arial Narrow"/>
          <w:sz w:val="18"/>
          <w:szCs w:val="28"/>
        </w:rPr>
      </w:pPr>
      <w:r w:rsidRPr="00BE6650">
        <w:rPr>
          <w:rFonts w:ascii="Arial Narrow" w:hAnsi="Arial Narrow"/>
          <w:sz w:val="18"/>
          <w:szCs w:val="28"/>
        </w:rPr>
        <w:t>TCR/PR MM = triple class refractory and penta-refractory multiple myeloma</w:t>
      </w:r>
    </w:p>
    <w:p w14:paraId="6B9A272D" w14:textId="77777777" w:rsidR="00A25B32" w:rsidRPr="00BE6650" w:rsidRDefault="00A25B32" w:rsidP="00723330">
      <w:pPr>
        <w:pStyle w:val="CaptionFootnote"/>
        <w:rPr>
          <w:rFonts w:ascii="Arial Narrow" w:hAnsi="Arial Narrow"/>
          <w:sz w:val="18"/>
          <w:szCs w:val="28"/>
        </w:rPr>
      </w:pPr>
      <w:r w:rsidRPr="00BE6650">
        <w:rPr>
          <w:rFonts w:ascii="Arial Narrow" w:hAnsi="Arial Narrow"/>
          <w:sz w:val="18"/>
          <w:szCs w:val="28"/>
          <w:vertAlign w:val="superscript"/>
        </w:rPr>
        <w:t xml:space="preserve">a </w:t>
      </w:r>
      <w:r w:rsidRPr="00BE6650">
        <w:rPr>
          <w:rFonts w:ascii="Arial Narrow" w:hAnsi="Arial Narrow"/>
          <w:sz w:val="18"/>
          <w:szCs w:val="28"/>
        </w:rPr>
        <w:t xml:space="preserve">Median dose in the </w:t>
      </w:r>
      <w:r w:rsidR="008953C0" w:rsidRPr="00BE6650">
        <w:rPr>
          <w:rFonts w:ascii="Arial Narrow" w:hAnsi="Arial Narrow"/>
          <w:sz w:val="18"/>
          <w:szCs w:val="28"/>
        </w:rPr>
        <w:t>study</w:t>
      </w:r>
      <w:r w:rsidRPr="00BE6650">
        <w:rPr>
          <w:rFonts w:ascii="Arial Narrow" w:hAnsi="Arial Narrow"/>
          <w:sz w:val="18"/>
          <w:szCs w:val="28"/>
        </w:rPr>
        <w:t xml:space="preserve"> was 115</w:t>
      </w:r>
      <w:r w:rsidR="005A1059" w:rsidRPr="00BE6650">
        <w:rPr>
          <w:rFonts w:ascii="Arial Narrow" w:hAnsi="Arial Narrow"/>
          <w:sz w:val="18"/>
          <w:szCs w:val="28"/>
        </w:rPr>
        <w:t xml:space="preserve"> </w:t>
      </w:r>
      <w:r w:rsidRPr="00BE6650">
        <w:rPr>
          <w:rFonts w:ascii="Arial Narrow" w:hAnsi="Arial Narrow"/>
          <w:sz w:val="18"/>
          <w:szCs w:val="28"/>
        </w:rPr>
        <w:t xml:space="preserve">mg/week </w:t>
      </w:r>
      <w:r w:rsidR="00E835D9" w:rsidRPr="00BE6650">
        <w:rPr>
          <w:rFonts w:ascii="Arial Narrow" w:hAnsi="Arial Narrow"/>
          <w:sz w:val="18"/>
          <w:szCs w:val="28"/>
        </w:rPr>
        <w:t>(</w:t>
      </w:r>
      <w:r w:rsidRPr="00BE6650">
        <w:rPr>
          <w:rFonts w:ascii="Arial Narrow" w:hAnsi="Arial Narrow"/>
          <w:sz w:val="18"/>
          <w:szCs w:val="28"/>
        </w:rPr>
        <w:t>~60</w:t>
      </w:r>
      <w:r w:rsidR="005A1059" w:rsidRPr="00BE6650">
        <w:rPr>
          <w:rFonts w:ascii="Arial Narrow" w:hAnsi="Arial Narrow"/>
          <w:sz w:val="18"/>
          <w:szCs w:val="28"/>
        </w:rPr>
        <w:t xml:space="preserve"> </w:t>
      </w:r>
      <w:r w:rsidRPr="00BE6650">
        <w:rPr>
          <w:rFonts w:ascii="Arial Narrow" w:hAnsi="Arial Narrow"/>
          <w:sz w:val="18"/>
          <w:szCs w:val="28"/>
        </w:rPr>
        <w:t>mg twice weekly dose</w:t>
      </w:r>
      <w:r w:rsidR="00E835D9" w:rsidRPr="00BE6650">
        <w:rPr>
          <w:rFonts w:ascii="Arial Narrow" w:hAnsi="Arial Narrow"/>
          <w:sz w:val="18"/>
          <w:szCs w:val="28"/>
        </w:rPr>
        <w:t>)</w:t>
      </w:r>
    </w:p>
    <w:p w14:paraId="13DDCB5B" w14:textId="77777777" w:rsidR="00A25B32" w:rsidRPr="00BE6650" w:rsidRDefault="00A25B32" w:rsidP="00A25B32">
      <w:pPr>
        <w:pStyle w:val="2-SectionHeading"/>
        <w:numPr>
          <w:ilvl w:val="0"/>
          <w:numId w:val="1"/>
        </w:numPr>
      </w:pPr>
      <w:bookmarkStart w:id="2" w:name="_Toc72323730"/>
      <w:r w:rsidRPr="00BE6650">
        <w:t>Background</w:t>
      </w:r>
      <w:bookmarkEnd w:id="2"/>
    </w:p>
    <w:p w14:paraId="3ECF2C03" w14:textId="77777777" w:rsidR="00A25B32" w:rsidRPr="00BE6650" w:rsidRDefault="00A25B32" w:rsidP="00A25B32">
      <w:pPr>
        <w:pStyle w:val="4-SubsectionHeading"/>
      </w:pPr>
      <w:bookmarkStart w:id="3" w:name="_Toc22897638"/>
      <w:bookmarkStart w:id="4" w:name="_Toc72323731"/>
      <w:r w:rsidRPr="00BE6650">
        <w:t>Registration status</w:t>
      </w:r>
      <w:bookmarkEnd w:id="3"/>
      <w:bookmarkEnd w:id="4"/>
    </w:p>
    <w:p w14:paraId="2CD853A5" w14:textId="77777777" w:rsidR="00AC75AC" w:rsidRPr="00BE6650" w:rsidRDefault="00A25B32" w:rsidP="00A25B32">
      <w:pPr>
        <w:pStyle w:val="3-BodyText"/>
      </w:pPr>
      <w:r w:rsidRPr="00BE6650">
        <w:t xml:space="preserve">The submission was made under the TGA/PBAC Parallel Process. </w:t>
      </w:r>
      <w:r w:rsidR="00E50097" w:rsidRPr="00BE6650">
        <w:t xml:space="preserve">At the time of PBAC consideration, </w:t>
      </w:r>
      <w:r w:rsidR="00723330" w:rsidRPr="00BE6650">
        <w:t xml:space="preserve">only the Clinical Evaluation Report was available. </w:t>
      </w:r>
    </w:p>
    <w:p w14:paraId="020DB1A5" w14:textId="77777777" w:rsidR="00723330" w:rsidRPr="00BE6650" w:rsidRDefault="00723330" w:rsidP="00A25B32">
      <w:pPr>
        <w:pStyle w:val="3-BodyText"/>
      </w:pPr>
      <w:r w:rsidRPr="00BE6650">
        <w:t>The proposed TGA indication is for use:</w:t>
      </w:r>
    </w:p>
    <w:p w14:paraId="6264AC1B" w14:textId="77777777" w:rsidR="00AC75AC" w:rsidRPr="00BE6650" w:rsidRDefault="00203738" w:rsidP="00AC75AC">
      <w:pPr>
        <w:pStyle w:val="3-BodyText"/>
        <w:numPr>
          <w:ilvl w:val="0"/>
          <w:numId w:val="0"/>
        </w:numPr>
        <w:ind w:left="720"/>
      </w:pPr>
      <w:r w:rsidRPr="00BE6650">
        <w:t xml:space="preserve">“In combination with dexamethasone for the treatment of adult patients with relapsed and/or refractory multiple myeloma, who have received at least three prior </w:t>
      </w:r>
      <w:r w:rsidRPr="00BE6650">
        <w:lastRenderedPageBreak/>
        <w:t xml:space="preserve">therapies and whose disease is refractory to at least one proteasome inhibitor, at least one immunomodulatory agent, and an anti-CD38 monoclonal antibody”. </w:t>
      </w:r>
    </w:p>
    <w:p w14:paraId="4B2B653F" w14:textId="77777777" w:rsidR="001A547D" w:rsidRPr="00BE6650" w:rsidRDefault="00A25B32" w:rsidP="00773C6E">
      <w:pPr>
        <w:pStyle w:val="3-BodyText"/>
      </w:pPr>
      <w:r w:rsidRPr="00BE6650">
        <w:t xml:space="preserve">The FDA in July 2019 and EMA in January 2021 have approved the use of </w:t>
      </w:r>
      <w:r w:rsidR="00C07480" w:rsidRPr="00BE6650">
        <w:t>S</w:t>
      </w:r>
      <w:r w:rsidRPr="00BE6650">
        <w:t xml:space="preserve">d for the treatment of adult patients with </w:t>
      </w:r>
      <w:r w:rsidR="001C4B0E" w:rsidRPr="00BE6650">
        <w:t>RRMM</w:t>
      </w:r>
      <w:r w:rsidRPr="00BE6650">
        <w:t xml:space="preserve"> who have received at least four prior therapies and whose disease is refractory to at least two proteasome inhibitors, at least two immunomodulatory agents, and an anti-CD38 monoclonal antibody. </w:t>
      </w:r>
    </w:p>
    <w:p w14:paraId="5AD7FFC5" w14:textId="77777777" w:rsidR="00C04575" w:rsidRPr="00BE6650" w:rsidRDefault="00C04575" w:rsidP="00C04575">
      <w:pPr>
        <w:pStyle w:val="3-BodyText"/>
        <w:numPr>
          <w:ilvl w:val="0"/>
          <w:numId w:val="0"/>
        </w:numPr>
        <w:ind w:left="720"/>
        <w:rPr>
          <w:i/>
        </w:rPr>
      </w:pPr>
      <w:r w:rsidRPr="00BE6650">
        <w:rPr>
          <w:i/>
        </w:rPr>
        <w:t>For more detail on PBAC’s view, see section 7 PBAC outcome.</w:t>
      </w:r>
    </w:p>
    <w:p w14:paraId="2B7C1943" w14:textId="77777777" w:rsidR="00A25B32" w:rsidRPr="00BE6650" w:rsidRDefault="00A25B32" w:rsidP="00A25B32">
      <w:pPr>
        <w:pStyle w:val="2-SectionHeading"/>
        <w:numPr>
          <w:ilvl w:val="0"/>
          <w:numId w:val="1"/>
        </w:numPr>
      </w:pPr>
      <w:bookmarkStart w:id="5" w:name="_Toc72323732"/>
      <w:r w:rsidRPr="00BE6650">
        <w:t>Requested listing</w:t>
      </w:r>
      <w:bookmarkEnd w:id="5"/>
    </w:p>
    <w:tbl>
      <w:tblPr>
        <w:tblStyle w:val="HTATableshaded"/>
        <w:tblW w:w="9072" w:type="dxa"/>
        <w:tblLayout w:type="fixed"/>
        <w:tblCellMar>
          <w:left w:w="57" w:type="dxa"/>
          <w:right w:w="57" w:type="dxa"/>
        </w:tblCellMar>
        <w:tblLook w:val="04A0" w:firstRow="1" w:lastRow="0" w:firstColumn="1" w:lastColumn="0" w:noHBand="0" w:noVBand="1"/>
        <w:tblCaption w:val="Requested listing"/>
      </w:tblPr>
      <w:tblGrid>
        <w:gridCol w:w="1985"/>
        <w:gridCol w:w="709"/>
        <w:gridCol w:w="677"/>
        <w:gridCol w:w="735"/>
        <w:gridCol w:w="3407"/>
        <w:gridCol w:w="1559"/>
      </w:tblGrid>
      <w:tr w:rsidR="00A25B32" w:rsidRPr="00BE6650" w14:paraId="79877DA1" w14:textId="77777777" w:rsidTr="00E517B9">
        <w:trPr>
          <w:cnfStyle w:val="100000000000" w:firstRow="1" w:lastRow="0" w:firstColumn="0" w:lastColumn="0" w:oddVBand="0" w:evenVBand="0" w:oddHBand="0" w:evenHBand="0" w:firstRowFirstColumn="0" w:firstRowLastColumn="0" w:lastRowFirstColumn="0" w:lastRowLastColumn="0"/>
          <w:tblHeader/>
        </w:trPr>
        <w:tc>
          <w:tcPr>
            <w:tcW w:w="1985" w:type="dxa"/>
            <w:tcBorders>
              <w:left w:val="nil"/>
              <w:right w:val="nil"/>
            </w:tcBorders>
          </w:tcPr>
          <w:p w14:paraId="52E1DA02" w14:textId="77777777" w:rsidR="00A25B32" w:rsidRPr="00BE6650" w:rsidRDefault="00A25B32" w:rsidP="00D95C86">
            <w:pPr>
              <w:pStyle w:val="TableLeft"/>
              <w:rPr>
                <w:rFonts w:ascii="Arial Narrow" w:hAnsi="Arial Narrow"/>
                <w:b/>
                <w:szCs w:val="20"/>
              </w:rPr>
            </w:pPr>
            <w:r w:rsidRPr="00BE6650">
              <w:rPr>
                <w:rFonts w:ascii="Arial Narrow" w:hAnsi="Arial Narrow"/>
                <w:b/>
                <w:szCs w:val="20"/>
              </w:rPr>
              <w:t>Name, restriction, manner of administration, form</w:t>
            </w:r>
          </w:p>
        </w:tc>
        <w:tc>
          <w:tcPr>
            <w:tcW w:w="709" w:type="dxa"/>
            <w:tcBorders>
              <w:left w:val="nil"/>
              <w:right w:val="nil"/>
            </w:tcBorders>
          </w:tcPr>
          <w:p w14:paraId="3D75612F" w14:textId="77777777" w:rsidR="00A25B32" w:rsidRPr="00BE6650" w:rsidRDefault="00A25B32" w:rsidP="00D95C86">
            <w:pPr>
              <w:pStyle w:val="TableLeft"/>
              <w:jc w:val="center"/>
              <w:rPr>
                <w:rFonts w:ascii="Arial Narrow" w:hAnsi="Arial Narrow"/>
                <w:b/>
                <w:szCs w:val="20"/>
              </w:rPr>
            </w:pPr>
            <w:r w:rsidRPr="00BE6650">
              <w:rPr>
                <w:rFonts w:ascii="Arial Narrow" w:hAnsi="Arial Narrow"/>
                <w:b/>
                <w:szCs w:val="20"/>
              </w:rPr>
              <w:t>Max</w:t>
            </w:r>
            <w:r w:rsidR="00C4672D" w:rsidRPr="00BE6650">
              <w:rPr>
                <w:rFonts w:ascii="Arial Narrow" w:hAnsi="Arial Narrow"/>
                <w:b/>
                <w:szCs w:val="20"/>
              </w:rPr>
              <w:t xml:space="preserve"> Qty</w:t>
            </w:r>
            <w:r w:rsidRPr="00BE6650">
              <w:rPr>
                <w:rFonts w:ascii="Arial Narrow" w:hAnsi="Arial Narrow"/>
                <w:b/>
                <w:szCs w:val="20"/>
              </w:rPr>
              <w:t xml:space="preserve"> (packs)</w:t>
            </w:r>
          </w:p>
        </w:tc>
        <w:tc>
          <w:tcPr>
            <w:tcW w:w="677" w:type="dxa"/>
            <w:tcBorders>
              <w:left w:val="nil"/>
              <w:right w:val="nil"/>
            </w:tcBorders>
          </w:tcPr>
          <w:p w14:paraId="5B1E1579" w14:textId="77777777" w:rsidR="00A25B32" w:rsidRPr="00BE6650" w:rsidRDefault="00A25B32" w:rsidP="00D95C86">
            <w:pPr>
              <w:pStyle w:val="TableLeft"/>
              <w:jc w:val="center"/>
              <w:rPr>
                <w:rFonts w:ascii="Arial Narrow" w:hAnsi="Arial Narrow"/>
                <w:b/>
                <w:szCs w:val="20"/>
              </w:rPr>
            </w:pPr>
            <w:r w:rsidRPr="00BE6650">
              <w:rPr>
                <w:rFonts w:ascii="Arial Narrow" w:hAnsi="Arial Narrow"/>
                <w:b/>
                <w:szCs w:val="20"/>
              </w:rPr>
              <w:t>Max</w:t>
            </w:r>
            <w:r w:rsidR="00C4672D" w:rsidRPr="00BE6650">
              <w:rPr>
                <w:rFonts w:ascii="Arial Narrow" w:hAnsi="Arial Narrow"/>
                <w:b/>
                <w:szCs w:val="20"/>
              </w:rPr>
              <w:t xml:space="preserve"> Qty</w:t>
            </w:r>
            <w:r w:rsidRPr="00BE6650">
              <w:rPr>
                <w:rFonts w:ascii="Arial Narrow" w:hAnsi="Arial Narrow"/>
                <w:b/>
                <w:szCs w:val="20"/>
              </w:rPr>
              <w:t xml:space="preserve"> (units)</w:t>
            </w:r>
          </w:p>
        </w:tc>
        <w:tc>
          <w:tcPr>
            <w:tcW w:w="735" w:type="dxa"/>
            <w:tcBorders>
              <w:left w:val="nil"/>
              <w:right w:val="nil"/>
            </w:tcBorders>
          </w:tcPr>
          <w:p w14:paraId="2C2AB526" w14:textId="77777777" w:rsidR="00A25B32" w:rsidRPr="00BE6650" w:rsidRDefault="00A25B32" w:rsidP="00D95C86">
            <w:pPr>
              <w:pStyle w:val="TableLeft"/>
              <w:jc w:val="center"/>
              <w:rPr>
                <w:rFonts w:ascii="Arial Narrow" w:hAnsi="Arial Narrow"/>
                <w:b/>
                <w:szCs w:val="20"/>
              </w:rPr>
            </w:pPr>
            <w:r w:rsidRPr="00BE6650">
              <w:rPr>
                <w:rFonts w:ascii="Arial Narrow" w:hAnsi="Arial Narrow"/>
                <w:b/>
                <w:szCs w:val="20"/>
              </w:rPr>
              <w:t>No. of repeats</w:t>
            </w:r>
          </w:p>
        </w:tc>
        <w:tc>
          <w:tcPr>
            <w:tcW w:w="3407" w:type="dxa"/>
            <w:tcBorders>
              <w:left w:val="nil"/>
              <w:right w:val="nil"/>
            </w:tcBorders>
          </w:tcPr>
          <w:p w14:paraId="7D7445BF" w14:textId="77777777" w:rsidR="00A25B32" w:rsidRPr="00BE6650" w:rsidRDefault="00A25B32" w:rsidP="00D95C86">
            <w:pPr>
              <w:pStyle w:val="TableLeft"/>
              <w:jc w:val="center"/>
              <w:rPr>
                <w:rFonts w:ascii="Arial Narrow" w:hAnsi="Arial Narrow"/>
                <w:b/>
                <w:szCs w:val="20"/>
              </w:rPr>
            </w:pPr>
            <w:r w:rsidRPr="00BE6650">
              <w:rPr>
                <w:rFonts w:ascii="Arial Narrow" w:hAnsi="Arial Narrow"/>
                <w:b/>
                <w:szCs w:val="20"/>
              </w:rPr>
              <w:t>DPMQ</w:t>
            </w:r>
          </w:p>
        </w:tc>
        <w:tc>
          <w:tcPr>
            <w:tcW w:w="1559" w:type="dxa"/>
            <w:tcBorders>
              <w:left w:val="nil"/>
              <w:right w:val="nil"/>
            </w:tcBorders>
          </w:tcPr>
          <w:p w14:paraId="70A4B382" w14:textId="77777777" w:rsidR="00A25B32" w:rsidRPr="00BE6650" w:rsidRDefault="00A25B32" w:rsidP="00D95C86">
            <w:pPr>
              <w:pStyle w:val="TableLeft"/>
              <w:jc w:val="center"/>
              <w:rPr>
                <w:rFonts w:ascii="Arial Narrow" w:hAnsi="Arial Narrow"/>
                <w:b/>
                <w:szCs w:val="20"/>
              </w:rPr>
            </w:pPr>
            <w:r w:rsidRPr="00BE6650">
              <w:rPr>
                <w:rFonts w:ascii="Arial Narrow" w:hAnsi="Arial Narrow"/>
                <w:b/>
                <w:szCs w:val="20"/>
              </w:rPr>
              <w:t>Proprietary name and manufacturer</w:t>
            </w:r>
          </w:p>
        </w:tc>
      </w:tr>
      <w:tr w:rsidR="00A25B32" w:rsidRPr="00BE6650" w14:paraId="58BB85B4" w14:textId="77777777" w:rsidTr="00C4672D">
        <w:tc>
          <w:tcPr>
            <w:tcW w:w="1985" w:type="dxa"/>
            <w:vMerge w:val="restart"/>
            <w:tcBorders>
              <w:left w:val="nil"/>
              <w:right w:val="nil"/>
            </w:tcBorders>
            <w:vAlign w:val="center"/>
          </w:tcPr>
          <w:p w14:paraId="5DEB8FFC" w14:textId="77777777" w:rsidR="00A25B32" w:rsidRPr="00BE6650" w:rsidRDefault="00A25B32" w:rsidP="00D95C86">
            <w:pPr>
              <w:pStyle w:val="TableLeft"/>
              <w:rPr>
                <w:rFonts w:ascii="Arial Narrow" w:hAnsi="Arial Narrow"/>
                <w:szCs w:val="20"/>
              </w:rPr>
            </w:pPr>
            <w:r w:rsidRPr="00BE6650">
              <w:rPr>
                <w:rFonts w:ascii="Arial Narrow" w:hAnsi="Arial Narrow"/>
                <w:szCs w:val="20"/>
              </w:rPr>
              <w:t>Selinexor, 20 mg tablets</w:t>
            </w:r>
          </w:p>
        </w:tc>
        <w:tc>
          <w:tcPr>
            <w:tcW w:w="709" w:type="dxa"/>
            <w:tcBorders>
              <w:left w:val="nil"/>
              <w:right w:val="nil"/>
            </w:tcBorders>
          </w:tcPr>
          <w:p w14:paraId="30FF922F"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1</w:t>
            </w:r>
          </w:p>
        </w:tc>
        <w:tc>
          <w:tcPr>
            <w:tcW w:w="677" w:type="dxa"/>
            <w:tcBorders>
              <w:left w:val="nil"/>
              <w:right w:val="nil"/>
            </w:tcBorders>
          </w:tcPr>
          <w:p w14:paraId="5797F488"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32</w:t>
            </w:r>
          </w:p>
        </w:tc>
        <w:tc>
          <w:tcPr>
            <w:tcW w:w="735" w:type="dxa"/>
            <w:tcBorders>
              <w:left w:val="nil"/>
              <w:right w:val="nil"/>
            </w:tcBorders>
          </w:tcPr>
          <w:p w14:paraId="7B8CEEFA"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w:t>
            </w:r>
          </w:p>
        </w:tc>
        <w:tc>
          <w:tcPr>
            <w:tcW w:w="3407" w:type="dxa"/>
            <w:tcBorders>
              <w:left w:val="nil"/>
              <w:right w:val="nil"/>
            </w:tcBorders>
          </w:tcPr>
          <w:p w14:paraId="68B8EA66"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Published</w:t>
            </w:r>
            <w:r w:rsidR="00C4672D" w:rsidRPr="00BE6650">
              <w:rPr>
                <w:rFonts w:ascii="Arial Narrow" w:hAnsi="Arial Narrow"/>
                <w:sz w:val="20"/>
                <w:szCs w:val="20"/>
              </w:rPr>
              <w:t>:</w:t>
            </w: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19053561"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p w14:paraId="77DD9A69"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Effective</w:t>
            </w:r>
            <w:r w:rsidR="00C4672D" w:rsidRPr="00BE6650">
              <w:rPr>
                <w:rFonts w:ascii="Arial Narrow" w:hAnsi="Arial Narrow"/>
                <w:sz w:val="20"/>
                <w:szCs w:val="20"/>
              </w:rPr>
              <w:t>:</w:t>
            </w: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0B7995A0" w14:textId="77777777" w:rsidR="00A25B32" w:rsidRPr="00BE6650" w:rsidRDefault="00A25B32" w:rsidP="00D95C86">
            <w:pPr>
              <w:jc w:val="left"/>
              <w:rPr>
                <w:rStyle w:val="SmallHighlight"/>
                <w:rFonts w:ascii="Arial Narrow" w:hAnsi="Arial Narrow"/>
                <w:szCs w:val="20"/>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tc>
        <w:tc>
          <w:tcPr>
            <w:tcW w:w="1559" w:type="dxa"/>
            <w:vMerge w:val="restart"/>
            <w:tcBorders>
              <w:left w:val="nil"/>
              <w:right w:val="nil"/>
            </w:tcBorders>
            <w:vAlign w:val="center"/>
          </w:tcPr>
          <w:p w14:paraId="526DC8C1" w14:textId="77777777" w:rsidR="00A25B32" w:rsidRPr="00BE6650" w:rsidRDefault="00A25B32" w:rsidP="00D95C86">
            <w:pPr>
              <w:pStyle w:val="TableLeft"/>
              <w:rPr>
                <w:rFonts w:ascii="Arial Narrow" w:hAnsi="Arial Narrow"/>
                <w:szCs w:val="20"/>
              </w:rPr>
            </w:pPr>
            <w:r w:rsidRPr="00BE6650">
              <w:rPr>
                <w:rFonts w:ascii="Arial Narrow" w:hAnsi="Arial Narrow"/>
                <w:szCs w:val="20"/>
              </w:rPr>
              <w:t>XPOVIO, ANTENGENE Pty Ltd</w:t>
            </w:r>
          </w:p>
        </w:tc>
      </w:tr>
      <w:tr w:rsidR="00A25B32" w:rsidRPr="00BE6650" w14:paraId="70F59701" w14:textId="77777777" w:rsidTr="00C4672D">
        <w:tc>
          <w:tcPr>
            <w:tcW w:w="1985" w:type="dxa"/>
            <w:vMerge/>
            <w:tcBorders>
              <w:left w:val="nil"/>
              <w:right w:val="nil"/>
            </w:tcBorders>
          </w:tcPr>
          <w:p w14:paraId="2D053251" w14:textId="77777777" w:rsidR="00A25B32" w:rsidRPr="00BE6650" w:rsidRDefault="00A25B32" w:rsidP="00D95C86">
            <w:pPr>
              <w:pStyle w:val="TableLeft"/>
              <w:rPr>
                <w:rFonts w:ascii="Arial Narrow" w:hAnsi="Arial Narrow"/>
                <w:szCs w:val="20"/>
              </w:rPr>
            </w:pPr>
          </w:p>
        </w:tc>
        <w:tc>
          <w:tcPr>
            <w:tcW w:w="709" w:type="dxa"/>
            <w:tcBorders>
              <w:left w:val="nil"/>
              <w:right w:val="nil"/>
            </w:tcBorders>
          </w:tcPr>
          <w:p w14:paraId="3B6824CB"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1</w:t>
            </w:r>
          </w:p>
        </w:tc>
        <w:tc>
          <w:tcPr>
            <w:tcW w:w="677" w:type="dxa"/>
            <w:tcBorders>
              <w:left w:val="nil"/>
              <w:right w:val="nil"/>
            </w:tcBorders>
          </w:tcPr>
          <w:p w14:paraId="255851A5"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24</w:t>
            </w:r>
          </w:p>
        </w:tc>
        <w:tc>
          <w:tcPr>
            <w:tcW w:w="735" w:type="dxa"/>
            <w:tcBorders>
              <w:left w:val="nil"/>
              <w:right w:val="nil"/>
            </w:tcBorders>
          </w:tcPr>
          <w:p w14:paraId="4840EEDF"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w:t>
            </w:r>
          </w:p>
        </w:tc>
        <w:tc>
          <w:tcPr>
            <w:tcW w:w="3407" w:type="dxa"/>
            <w:tcBorders>
              <w:left w:val="nil"/>
              <w:right w:val="nil"/>
            </w:tcBorders>
          </w:tcPr>
          <w:p w14:paraId="7E18C93C"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Published</w:t>
            </w:r>
            <w:r w:rsidR="00C4672D" w:rsidRPr="00BE6650">
              <w:rPr>
                <w:rFonts w:ascii="Arial Narrow" w:hAnsi="Arial Narrow"/>
                <w:sz w:val="20"/>
                <w:szCs w:val="20"/>
              </w:rPr>
              <w:t xml:space="preserve">: </w:t>
            </w:r>
            <w:r w:rsidRPr="00BE6650">
              <w:rPr>
                <w:rFonts w:ascii="Arial Narrow" w:hAnsi="Arial Narrow"/>
                <w:sz w:val="20"/>
                <w:szCs w:val="20"/>
              </w:rPr>
              <w:t>$</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17ECF60A"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p w14:paraId="78A79F31"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Effective</w:t>
            </w:r>
            <w:r w:rsidR="00C4672D" w:rsidRPr="00BE6650">
              <w:rPr>
                <w:rFonts w:ascii="Arial Narrow" w:hAnsi="Arial Narrow"/>
                <w:sz w:val="20"/>
                <w:szCs w:val="20"/>
              </w:rPr>
              <w:t>:</w:t>
            </w:r>
            <w:r w:rsidRPr="00BE6650">
              <w:rPr>
                <w:rFonts w:ascii="Arial Narrow" w:hAnsi="Arial Narrow"/>
                <w:sz w:val="20"/>
                <w:szCs w:val="20"/>
              </w:rPr>
              <w:t xml:space="preserve"> $</w:t>
            </w:r>
            <w:r w:rsidR="00D66DBB">
              <w:rPr>
                <w:rFonts w:ascii="Arial Narrow" w:hAnsi="Arial Narrow"/>
                <w:noProof/>
                <w:color w:val="000000"/>
                <w:sz w:val="20"/>
                <w:szCs w:val="20"/>
                <w:highlight w:val="black"/>
              </w:rPr>
              <w:t xml:space="preserve">''''''''''''''''''' </w:t>
            </w:r>
            <w:r w:rsidRPr="00BE6650">
              <w:rPr>
                <w:rFonts w:ascii="Arial Narrow" w:hAnsi="Arial Narrow"/>
                <w:sz w:val="20"/>
                <w:szCs w:val="20"/>
              </w:rPr>
              <w:t>(HSD Public)</w:t>
            </w:r>
          </w:p>
          <w:p w14:paraId="51931888" w14:textId="77777777" w:rsidR="00A25B32" w:rsidRPr="00BE6650" w:rsidRDefault="00A25B32" w:rsidP="00D95C86">
            <w:pPr>
              <w:jc w:val="left"/>
              <w:rPr>
                <w:rFonts w:ascii="Arial Narrow" w:hAnsi="Arial Narrow"/>
                <w:sz w:val="20"/>
                <w:szCs w:val="20"/>
                <w:highlight w:val="yellow"/>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tc>
        <w:tc>
          <w:tcPr>
            <w:tcW w:w="1559" w:type="dxa"/>
            <w:vMerge/>
            <w:tcBorders>
              <w:left w:val="nil"/>
              <w:right w:val="nil"/>
            </w:tcBorders>
          </w:tcPr>
          <w:p w14:paraId="1320EB75" w14:textId="77777777" w:rsidR="00A25B32" w:rsidRPr="00BE6650" w:rsidRDefault="00A25B32" w:rsidP="00D95C86">
            <w:pPr>
              <w:pStyle w:val="TableLeft"/>
              <w:rPr>
                <w:rFonts w:ascii="Arial Narrow" w:hAnsi="Arial Narrow"/>
                <w:szCs w:val="20"/>
              </w:rPr>
            </w:pPr>
          </w:p>
        </w:tc>
      </w:tr>
      <w:tr w:rsidR="00A25B32" w:rsidRPr="00BE6650" w14:paraId="403F9542" w14:textId="77777777" w:rsidTr="00C4672D">
        <w:tc>
          <w:tcPr>
            <w:tcW w:w="1985" w:type="dxa"/>
            <w:vMerge/>
            <w:tcBorders>
              <w:left w:val="nil"/>
              <w:right w:val="nil"/>
            </w:tcBorders>
          </w:tcPr>
          <w:p w14:paraId="18AF07B6" w14:textId="77777777" w:rsidR="00A25B32" w:rsidRPr="00BE6650" w:rsidRDefault="00A25B32" w:rsidP="00D95C86">
            <w:pPr>
              <w:pStyle w:val="TableLeft"/>
              <w:rPr>
                <w:rFonts w:ascii="Arial Narrow" w:hAnsi="Arial Narrow"/>
                <w:szCs w:val="20"/>
              </w:rPr>
            </w:pPr>
          </w:p>
        </w:tc>
        <w:tc>
          <w:tcPr>
            <w:tcW w:w="709" w:type="dxa"/>
            <w:tcBorders>
              <w:left w:val="nil"/>
              <w:right w:val="nil"/>
            </w:tcBorders>
          </w:tcPr>
          <w:p w14:paraId="0DC79ED2"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1</w:t>
            </w:r>
          </w:p>
        </w:tc>
        <w:tc>
          <w:tcPr>
            <w:tcW w:w="677" w:type="dxa"/>
            <w:tcBorders>
              <w:left w:val="nil"/>
              <w:right w:val="nil"/>
            </w:tcBorders>
          </w:tcPr>
          <w:p w14:paraId="3E249FA1"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20</w:t>
            </w:r>
          </w:p>
        </w:tc>
        <w:tc>
          <w:tcPr>
            <w:tcW w:w="735" w:type="dxa"/>
            <w:tcBorders>
              <w:left w:val="nil"/>
              <w:right w:val="nil"/>
            </w:tcBorders>
          </w:tcPr>
          <w:p w14:paraId="1E0CA5F4"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w:t>
            </w:r>
          </w:p>
        </w:tc>
        <w:tc>
          <w:tcPr>
            <w:tcW w:w="3407" w:type="dxa"/>
            <w:tcBorders>
              <w:left w:val="nil"/>
              <w:right w:val="nil"/>
            </w:tcBorders>
          </w:tcPr>
          <w:p w14:paraId="66473989"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Published</w:t>
            </w:r>
            <w:r w:rsidR="00C4672D" w:rsidRPr="00BE6650">
              <w:rPr>
                <w:rFonts w:ascii="Arial Narrow" w:hAnsi="Arial Narrow"/>
                <w:sz w:val="20"/>
                <w:szCs w:val="20"/>
              </w:rPr>
              <w:t xml:space="preserve">: </w:t>
            </w:r>
            <w:r w:rsidRPr="00BE6650">
              <w:rPr>
                <w:rFonts w:ascii="Arial Narrow" w:hAnsi="Arial Narrow"/>
                <w:sz w:val="20"/>
                <w:szCs w:val="20"/>
              </w:rPr>
              <w:t>$</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557729F0"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p w14:paraId="5790CEFA"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Effective</w:t>
            </w:r>
            <w:r w:rsidR="00C4672D" w:rsidRPr="00BE6650">
              <w:rPr>
                <w:rFonts w:ascii="Arial Narrow" w:hAnsi="Arial Narrow"/>
                <w:sz w:val="20"/>
                <w:szCs w:val="20"/>
              </w:rPr>
              <w:t>:</w:t>
            </w: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69613126" w14:textId="77777777" w:rsidR="00A25B32" w:rsidRPr="00BE6650" w:rsidRDefault="00A25B32" w:rsidP="00D95C86">
            <w:pPr>
              <w:jc w:val="left"/>
              <w:rPr>
                <w:rFonts w:ascii="Arial Narrow" w:hAnsi="Arial Narrow"/>
                <w:sz w:val="20"/>
                <w:szCs w:val="20"/>
                <w:highlight w:val="yellow"/>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tc>
        <w:tc>
          <w:tcPr>
            <w:tcW w:w="1559" w:type="dxa"/>
            <w:vMerge/>
            <w:tcBorders>
              <w:left w:val="nil"/>
              <w:right w:val="nil"/>
            </w:tcBorders>
          </w:tcPr>
          <w:p w14:paraId="50A760F6" w14:textId="77777777" w:rsidR="00A25B32" w:rsidRPr="00BE6650" w:rsidRDefault="00A25B32" w:rsidP="00D95C86">
            <w:pPr>
              <w:pStyle w:val="TableLeft"/>
              <w:rPr>
                <w:rFonts w:ascii="Arial Narrow" w:hAnsi="Arial Narrow"/>
                <w:szCs w:val="20"/>
              </w:rPr>
            </w:pPr>
          </w:p>
        </w:tc>
      </w:tr>
      <w:tr w:rsidR="00A25B32" w:rsidRPr="00BE6650" w14:paraId="606B6D98" w14:textId="77777777" w:rsidTr="00C4672D">
        <w:tc>
          <w:tcPr>
            <w:tcW w:w="1985" w:type="dxa"/>
            <w:vMerge/>
            <w:tcBorders>
              <w:left w:val="nil"/>
              <w:right w:val="nil"/>
            </w:tcBorders>
          </w:tcPr>
          <w:p w14:paraId="624DE149" w14:textId="77777777" w:rsidR="00A25B32" w:rsidRPr="00BE6650" w:rsidRDefault="00A25B32" w:rsidP="00D95C86">
            <w:pPr>
              <w:pStyle w:val="TableLeft"/>
              <w:rPr>
                <w:rFonts w:ascii="Arial Narrow" w:hAnsi="Arial Narrow"/>
                <w:szCs w:val="20"/>
              </w:rPr>
            </w:pPr>
          </w:p>
        </w:tc>
        <w:tc>
          <w:tcPr>
            <w:tcW w:w="709" w:type="dxa"/>
            <w:tcBorders>
              <w:left w:val="nil"/>
              <w:right w:val="nil"/>
            </w:tcBorders>
          </w:tcPr>
          <w:p w14:paraId="60C8A554"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1</w:t>
            </w:r>
          </w:p>
        </w:tc>
        <w:tc>
          <w:tcPr>
            <w:tcW w:w="677" w:type="dxa"/>
            <w:tcBorders>
              <w:left w:val="nil"/>
              <w:right w:val="nil"/>
            </w:tcBorders>
          </w:tcPr>
          <w:p w14:paraId="0C7B725E"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16</w:t>
            </w:r>
          </w:p>
        </w:tc>
        <w:tc>
          <w:tcPr>
            <w:tcW w:w="735" w:type="dxa"/>
            <w:tcBorders>
              <w:left w:val="nil"/>
              <w:right w:val="nil"/>
            </w:tcBorders>
          </w:tcPr>
          <w:p w14:paraId="76DF345F" w14:textId="77777777" w:rsidR="00A25B32" w:rsidRPr="00BE6650" w:rsidRDefault="00A25B32" w:rsidP="00D95C86">
            <w:pPr>
              <w:pStyle w:val="TableLeft"/>
              <w:jc w:val="center"/>
              <w:rPr>
                <w:rFonts w:ascii="Arial Narrow" w:hAnsi="Arial Narrow"/>
                <w:szCs w:val="20"/>
              </w:rPr>
            </w:pPr>
            <w:r w:rsidRPr="00BE6650">
              <w:rPr>
                <w:rFonts w:ascii="Arial Narrow" w:hAnsi="Arial Narrow"/>
                <w:szCs w:val="20"/>
              </w:rPr>
              <w:t>2</w:t>
            </w:r>
          </w:p>
        </w:tc>
        <w:tc>
          <w:tcPr>
            <w:tcW w:w="3407" w:type="dxa"/>
            <w:tcBorders>
              <w:left w:val="nil"/>
              <w:right w:val="nil"/>
            </w:tcBorders>
          </w:tcPr>
          <w:p w14:paraId="6BE91180"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Published</w:t>
            </w:r>
            <w:r w:rsidR="00C4672D" w:rsidRPr="00BE6650">
              <w:rPr>
                <w:rFonts w:ascii="Arial Narrow" w:hAnsi="Arial Narrow"/>
                <w:sz w:val="20"/>
                <w:szCs w:val="20"/>
              </w:rPr>
              <w:t xml:space="preserve">: </w:t>
            </w:r>
            <w:r w:rsidRPr="00BE6650">
              <w:rPr>
                <w:rFonts w:ascii="Arial Narrow" w:hAnsi="Arial Narrow"/>
                <w:sz w:val="20"/>
                <w:szCs w:val="20"/>
              </w:rPr>
              <w:t>$</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67515867"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Private)</w:t>
            </w:r>
          </w:p>
          <w:p w14:paraId="36B95FD4" w14:textId="77777777" w:rsidR="00A25B32" w:rsidRPr="00BE6650" w:rsidRDefault="00A25B32" w:rsidP="00D95C86">
            <w:pPr>
              <w:jc w:val="left"/>
              <w:rPr>
                <w:rFonts w:ascii="Arial Narrow" w:hAnsi="Arial Narrow"/>
                <w:sz w:val="20"/>
                <w:szCs w:val="20"/>
              </w:rPr>
            </w:pPr>
            <w:r w:rsidRPr="00BE6650">
              <w:rPr>
                <w:rFonts w:ascii="Arial Narrow" w:hAnsi="Arial Narrow"/>
                <w:sz w:val="20"/>
                <w:szCs w:val="20"/>
              </w:rPr>
              <w:t>Effective</w:t>
            </w:r>
            <w:r w:rsidR="00C4672D" w:rsidRPr="00BE6650">
              <w:rPr>
                <w:rFonts w:ascii="Arial Narrow" w:hAnsi="Arial Narrow"/>
                <w:sz w:val="20"/>
                <w:szCs w:val="20"/>
              </w:rPr>
              <w:t>:</w:t>
            </w:r>
            <w:r w:rsidRPr="00BE6650">
              <w:rPr>
                <w:rFonts w:ascii="Arial Narrow" w:hAnsi="Arial Narrow"/>
                <w:sz w:val="20"/>
                <w:szCs w:val="20"/>
              </w:rPr>
              <w:t xml:space="preserve"> $</w:t>
            </w:r>
            <w:r w:rsidR="00D66DBB">
              <w:rPr>
                <w:rFonts w:ascii="Arial Narrow" w:hAnsi="Arial Narrow"/>
                <w:noProof/>
                <w:color w:val="000000"/>
                <w:sz w:val="20"/>
                <w:szCs w:val="20"/>
                <w:highlight w:val="black"/>
              </w:rPr>
              <w:t>''''''''''''''''''''''</w:t>
            </w:r>
            <w:r w:rsidRPr="00BE6650">
              <w:rPr>
                <w:rFonts w:ascii="Arial Narrow" w:hAnsi="Arial Narrow"/>
                <w:sz w:val="20"/>
                <w:szCs w:val="20"/>
              </w:rPr>
              <w:t xml:space="preserve"> (HSD Public)</w:t>
            </w:r>
          </w:p>
          <w:p w14:paraId="009E1DE3" w14:textId="77777777" w:rsidR="00A25B32" w:rsidRPr="00BE6650" w:rsidRDefault="00A25B32" w:rsidP="00D95C86">
            <w:pPr>
              <w:pStyle w:val="TableLeft"/>
              <w:rPr>
                <w:rFonts w:ascii="Arial Narrow" w:hAnsi="Arial Narrow"/>
                <w:szCs w:val="20"/>
              </w:rPr>
            </w:pPr>
            <w:r w:rsidRPr="00BE6650">
              <w:rPr>
                <w:rFonts w:ascii="Arial Narrow" w:hAnsi="Arial Narrow"/>
                <w:szCs w:val="20"/>
              </w:rPr>
              <w:t xml:space="preserve">                $</w:t>
            </w:r>
            <w:r w:rsidR="00D66DBB">
              <w:rPr>
                <w:rFonts w:ascii="Arial Narrow" w:hAnsi="Arial Narrow" w:cs="Arial"/>
                <w:noProof/>
                <w:color w:val="000000"/>
                <w:szCs w:val="20"/>
                <w:highlight w:val="black"/>
                <w:lang w:eastAsia="en-AU"/>
              </w:rPr>
              <w:t>'''''''''''''''''''''</w:t>
            </w:r>
            <w:r w:rsidRPr="00BE6650">
              <w:rPr>
                <w:rFonts w:ascii="Arial Narrow" w:hAnsi="Arial Narrow"/>
                <w:szCs w:val="20"/>
              </w:rPr>
              <w:t xml:space="preserve"> (HSD Private)</w:t>
            </w:r>
          </w:p>
          <w:p w14:paraId="4CED4716" w14:textId="77777777" w:rsidR="00D13D91" w:rsidRPr="00BE6650" w:rsidRDefault="00D13D91" w:rsidP="00D95C86">
            <w:pPr>
              <w:pStyle w:val="TableLeft"/>
              <w:rPr>
                <w:rFonts w:ascii="Arial Narrow" w:hAnsi="Arial Narrow"/>
                <w:szCs w:val="20"/>
                <w:highlight w:val="yellow"/>
              </w:rPr>
            </w:pPr>
          </w:p>
        </w:tc>
        <w:tc>
          <w:tcPr>
            <w:tcW w:w="1559" w:type="dxa"/>
            <w:vMerge/>
            <w:tcBorders>
              <w:left w:val="nil"/>
              <w:right w:val="nil"/>
            </w:tcBorders>
          </w:tcPr>
          <w:p w14:paraId="45CCE49E" w14:textId="77777777" w:rsidR="00A25B32" w:rsidRPr="00BE6650" w:rsidRDefault="00A25B32" w:rsidP="00D95C86">
            <w:pPr>
              <w:pStyle w:val="TableLeft"/>
              <w:rPr>
                <w:rFonts w:ascii="Arial Narrow" w:hAnsi="Arial Narrow"/>
                <w:szCs w:val="20"/>
              </w:rPr>
            </w:pPr>
          </w:p>
        </w:tc>
      </w:tr>
    </w:tbl>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229"/>
      </w:tblGrid>
      <w:tr w:rsidR="00A25B32" w:rsidRPr="00BE6650" w14:paraId="4EDD6D78" w14:textId="77777777" w:rsidTr="00C4672D">
        <w:trPr>
          <w:trHeight w:val="263"/>
        </w:trPr>
        <w:tc>
          <w:tcPr>
            <w:tcW w:w="1843" w:type="dxa"/>
            <w:tcBorders>
              <w:top w:val="single" w:sz="4" w:space="0" w:color="000000"/>
              <w:left w:val="single" w:sz="4" w:space="0" w:color="000000"/>
              <w:bottom w:val="single" w:sz="4" w:space="0" w:color="000000"/>
              <w:right w:val="single" w:sz="4" w:space="0" w:color="000000"/>
            </w:tcBorders>
            <w:hideMark/>
          </w:tcPr>
          <w:p w14:paraId="14584526" w14:textId="77777777" w:rsidR="00A25B32" w:rsidRPr="00BE6650" w:rsidRDefault="00A25B32" w:rsidP="00D95C86">
            <w:pPr>
              <w:pStyle w:val="TableParagraph"/>
              <w:keepNext/>
              <w:spacing w:line="242" w:lineRule="exact"/>
              <w:ind w:left="108"/>
              <w:rPr>
                <w:rFonts w:ascii="Arial Narrow" w:hAnsi="Arial Narrow"/>
                <w:b/>
                <w:sz w:val="20"/>
                <w:lang w:eastAsia="en-US"/>
              </w:rPr>
            </w:pPr>
            <w:r w:rsidRPr="00BE6650">
              <w:rPr>
                <w:rFonts w:ascii="Arial Narrow" w:hAnsi="Arial Narrow"/>
                <w:b/>
                <w:sz w:val="20"/>
                <w:lang w:eastAsia="en-US"/>
              </w:rPr>
              <w:t>Category/Program</w:t>
            </w:r>
          </w:p>
        </w:tc>
        <w:tc>
          <w:tcPr>
            <w:tcW w:w="7229" w:type="dxa"/>
            <w:tcBorders>
              <w:top w:val="single" w:sz="4" w:space="0" w:color="000000"/>
              <w:left w:val="single" w:sz="4" w:space="0" w:color="000000"/>
              <w:bottom w:val="single" w:sz="4" w:space="0" w:color="000000"/>
              <w:right w:val="single" w:sz="4" w:space="0" w:color="000000"/>
            </w:tcBorders>
            <w:hideMark/>
          </w:tcPr>
          <w:p w14:paraId="19618FFC" w14:textId="77777777" w:rsidR="00A25B32" w:rsidRPr="00BE6650" w:rsidRDefault="00A25B32" w:rsidP="00D95C86">
            <w:pPr>
              <w:pStyle w:val="TableParagraph"/>
              <w:keepNext/>
              <w:spacing w:line="242" w:lineRule="exact"/>
              <w:ind w:left="108"/>
              <w:rPr>
                <w:rFonts w:ascii="Arial Narrow" w:hAnsi="Arial Narrow"/>
                <w:b/>
                <w:sz w:val="20"/>
                <w:lang w:eastAsia="en-US"/>
              </w:rPr>
            </w:pPr>
            <w:r w:rsidRPr="00BE6650">
              <w:rPr>
                <w:rFonts w:ascii="Arial Narrow" w:hAnsi="Arial Narrow"/>
                <w:b/>
                <w:sz w:val="20"/>
                <w:lang w:eastAsia="en-US"/>
              </w:rPr>
              <w:t>Section 100 (Highly Specialised Drugs Program)</w:t>
            </w:r>
          </w:p>
        </w:tc>
      </w:tr>
      <w:tr w:rsidR="00A25B32" w:rsidRPr="00BE6650" w14:paraId="1DFD670C" w14:textId="77777777" w:rsidTr="00C4672D">
        <w:trPr>
          <w:trHeight w:val="263"/>
        </w:trPr>
        <w:tc>
          <w:tcPr>
            <w:tcW w:w="1843" w:type="dxa"/>
            <w:hideMark/>
          </w:tcPr>
          <w:p w14:paraId="1FBD73E8" w14:textId="77777777" w:rsidR="00A25B32" w:rsidRPr="00BE6650" w:rsidRDefault="00A25B32" w:rsidP="00D95C86">
            <w:pPr>
              <w:pStyle w:val="TableParagraph"/>
              <w:keepNext/>
              <w:spacing w:line="242" w:lineRule="exact"/>
              <w:ind w:left="108"/>
              <w:rPr>
                <w:rFonts w:ascii="Arial Narrow" w:hAnsi="Arial Narrow"/>
                <w:b/>
                <w:sz w:val="20"/>
                <w:szCs w:val="20"/>
                <w:lang w:eastAsia="en-US"/>
              </w:rPr>
            </w:pPr>
            <w:r w:rsidRPr="00BE6650">
              <w:rPr>
                <w:rFonts w:ascii="Arial Narrow" w:hAnsi="Arial Narrow" w:cstheme="minorHAnsi"/>
                <w:b/>
                <w:sz w:val="20"/>
                <w:szCs w:val="20"/>
              </w:rPr>
              <w:t>Condition:</w:t>
            </w:r>
          </w:p>
        </w:tc>
        <w:tc>
          <w:tcPr>
            <w:tcW w:w="7229" w:type="dxa"/>
            <w:hideMark/>
          </w:tcPr>
          <w:p w14:paraId="4214408E" w14:textId="77777777" w:rsidR="00A25B32" w:rsidRPr="00BE6650" w:rsidRDefault="00A25B32" w:rsidP="00D95C86">
            <w:pPr>
              <w:pStyle w:val="TableParagraph"/>
              <w:keepNext/>
              <w:spacing w:line="242" w:lineRule="exact"/>
              <w:ind w:left="108"/>
              <w:rPr>
                <w:rFonts w:ascii="Arial Narrow" w:hAnsi="Arial Narrow"/>
                <w:sz w:val="20"/>
                <w:szCs w:val="20"/>
                <w:lang w:eastAsia="en-US"/>
              </w:rPr>
            </w:pPr>
            <w:r w:rsidRPr="00BE6650">
              <w:rPr>
                <w:rFonts w:ascii="Arial Narrow" w:hAnsi="Arial Narrow" w:cstheme="minorHAnsi"/>
                <w:sz w:val="20"/>
                <w:szCs w:val="20"/>
              </w:rPr>
              <w:t>Multiple Myeloma</w:t>
            </w:r>
          </w:p>
        </w:tc>
      </w:tr>
      <w:tr w:rsidR="00A25B32" w:rsidRPr="00BE6650" w14:paraId="406FC9F0" w14:textId="77777777" w:rsidTr="00C4672D">
        <w:trPr>
          <w:trHeight w:val="263"/>
        </w:trPr>
        <w:tc>
          <w:tcPr>
            <w:tcW w:w="1843" w:type="dxa"/>
            <w:hideMark/>
          </w:tcPr>
          <w:p w14:paraId="1D66FA93" w14:textId="77777777" w:rsidR="00A25B32" w:rsidRPr="00BE6650" w:rsidRDefault="00A25B32" w:rsidP="00D95C86">
            <w:pPr>
              <w:pStyle w:val="TableParagraph"/>
              <w:keepNext/>
              <w:spacing w:line="242" w:lineRule="exact"/>
              <w:ind w:left="108"/>
              <w:rPr>
                <w:rFonts w:ascii="Arial Narrow" w:hAnsi="Arial Narrow"/>
                <w:b/>
                <w:sz w:val="20"/>
                <w:szCs w:val="20"/>
                <w:lang w:eastAsia="en-US"/>
              </w:rPr>
            </w:pPr>
            <w:r w:rsidRPr="00BE6650">
              <w:rPr>
                <w:rFonts w:ascii="Arial Narrow" w:hAnsi="Arial Narrow" w:cstheme="minorHAnsi"/>
                <w:b/>
                <w:sz w:val="20"/>
                <w:szCs w:val="20"/>
              </w:rPr>
              <w:t>PBS Indication:</w:t>
            </w:r>
          </w:p>
        </w:tc>
        <w:tc>
          <w:tcPr>
            <w:tcW w:w="7229" w:type="dxa"/>
            <w:hideMark/>
          </w:tcPr>
          <w:p w14:paraId="12A78A42" w14:textId="77777777" w:rsidR="00A25B32" w:rsidRPr="00BE6650" w:rsidRDefault="00A25B32" w:rsidP="00D95C86">
            <w:pPr>
              <w:pStyle w:val="TableParagraph"/>
              <w:keepNext/>
              <w:spacing w:line="242" w:lineRule="exact"/>
              <w:ind w:left="108"/>
              <w:rPr>
                <w:rFonts w:ascii="Arial Narrow" w:hAnsi="Arial Narrow"/>
                <w:sz w:val="20"/>
                <w:szCs w:val="20"/>
                <w:lang w:eastAsia="en-US"/>
              </w:rPr>
            </w:pPr>
            <w:r w:rsidRPr="00BE6650">
              <w:rPr>
                <w:rFonts w:ascii="Arial Narrow" w:hAnsi="Arial Narrow" w:cstheme="minorHAnsi"/>
                <w:sz w:val="20"/>
                <w:szCs w:val="20"/>
              </w:rPr>
              <w:t>Relapsed and/or refractory multiple myeloma</w:t>
            </w:r>
          </w:p>
        </w:tc>
      </w:tr>
      <w:tr w:rsidR="00A25B32" w:rsidRPr="00BE6650" w14:paraId="016F677B" w14:textId="77777777" w:rsidTr="00C4672D">
        <w:trPr>
          <w:trHeight w:val="264"/>
        </w:trPr>
        <w:tc>
          <w:tcPr>
            <w:tcW w:w="1843" w:type="dxa"/>
            <w:hideMark/>
          </w:tcPr>
          <w:p w14:paraId="1BA2CC5D" w14:textId="77777777" w:rsidR="00A25B32" w:rsidRPr="00BE6650" w:rsidRDefault="00A25B32" w:rsidP="00D95C86">
            <w:pPr>
              <w:pStyle w:val="TableParagraph"/>
              <w:keepNext/>
              <w:spacing w:line="243" w:lineRule="exact"/>
              <w:ind w:left="108"/>
              <w:rPr>
                <w:rFonts w:ascii="Arial Narrow" w:hAnsi="Arial Narrow"/>
                <w:b/>
                <w:sz w:val="20"/>
                <w:szCs w:val="20"/>
                <w:lang w:eastAsia="en-US"/>
              </w:rPr>
            </w:pPr>
            <w:r w:rsidRPr="00BE6650">
              <w:rPr>
                <w:rFonts w:ascii="Arial Narrow" w:hAnsi="Arial Narrow" w:cstheme="minorHAnsi"/>
                <w:b/>
                <w:sz w:val="20"/>
                <w:szCs w:val="20"/>
              </w:rPr>
              <w:t>Treatment phase:</w:t>
            </w:r>
          </w:p>
        </w:tc>
        <w:tc>
          <w:tcPr>
            <w:tcW w:w="7229" w:type="dxa"/>
            <w:hideMark/>
          </w:tcPr>
          <w:p w14:paraId="4F86CCE6" w14:textId="77777777" w:rsidR="00A25B32" w:rsidRPr="00BE6650" w:rsidRDefault="00A25B32" w:rsidP="00D95C86">
            <w:pPr>
              <w:pStyle w:val="TableParagraph"/>
              <w:keepNext/>
              <w:spacing w:line="243" w:lineRule="exact"/>
              <w:ind w:left="108"/>
              <w:rPr>
                <w:rFonts w:ascii="Arial Narrow" w:hAnsi="Arial Narrow"/>
                <w:sz w:val="20"/>
                <w:szCs w:val="20"/>
                <w:lang w:eastAsia="en-US"/>
              </w:rPr>
            </w:pPr>
            <w:r w:rsidRPr="00BE6650">
              <w:rPr>
                <w:rFonts w:ascii="Arial Narrow" w:hAnsi="Arial Narrow" w:cstheme="minorHAnsi"/>
                <w:sz w:val="20"/>
                <w:szCs w:val="20"/>
              </w:rPr>
              <w:t xml:space="preserve">Initial treatment </w:t>
            </w:r>
          </w:p>
        </w:tc>
      </w:tr>
      <w:tr w:rsidR="00A25B32" w:rsidRPr="00BE6650" w14:paraId="4C83920E" w14:textId="77777777" w:rsidTr="00C4672D">
        <w:trPr>
          <w:trHeight w:val="263"/>
        </w:trPr>
        <w:tc>
          <w:tcPr>
            <w:tcW w:w="1843" w:type="dxa"/>
            <w:hideMark/>
          </w:tcPr>
          <w:p w14:paraId="29E17795" w14:textId="77777777" w:rsidR="00A25B32" w:rsidRPr="00BE6650" w:rsidRDefault="00A25B32" w:rsidP="00B137BE">
            <w:pPr>
              <w:pStyle w:val="TableParagraph"/>
              <w:spacing w:line="242" w:lineRule="exact"/>
              <w:rPr>
                <w:rFonts w:ascii="Arial Narrow" w:hAnsi="Arial Narrow"/>
                <w:b/>
                <w:sz w:val="20"/>
                <w:szCs w:val="20"/>
                <w:lang w:eastAsia="en-US"/>
              </w:rPr>
            </w:pPr>
            <w:r w:rsidRPr="00BE6650">
              <w:rPr>
                <w:rFonts w:ascii="Arial Narrow" w:hAnsi="Arial Narrow" w:cstheme="minorHAnsi"/>
                <w:b/>
                <w:sz w:val="20"/>
                <w:szCs w:val="20"/>
              </w:rPr>
              <w:t>Restriction:</w:t>
            </w:r>
          </w:p>
        </w:tc>
        <w:tc>
          <w:tcPr>
            <w:tcW w:w="7229" w:type="dxa"/>
            <w:hideMark/>
          </w:tcPr>
          <w:p w14:paraId="49B554D0" w14:textId="77777777" w:rsidR="00A25B32" w:rsidRPr="00BE6650" w:rsidRDefault="00A25B32" w:rsidP="00B137BE">
            <w:pPr>
              <w:pStyle w:val="TableParagraph"/>
              <w:spacing w:line="242" w:lineRule="exact"/>
              <w:rPr>
                <w:rFonts w:ascii="Arial Narrow" w:hAnsi="Arial Narrow"/>
                <w:sz w:val="20"/>
                <w:szCs w:val="20"/>
                <w:lang w:eastAsia="en-US"/>
              </w:rPr>
            </w:pPr>
            <w:r w:rsidRPr="00BE6650">
              <w:rPr>
                <w:rFonts w:ascii="Arial Narrow" w:hAnsi="Arial Narrow" w:cstheme="minorHAnsi"/>
                <w:sz w:val="20"/>
                <w:szCs w:val="20"/>
              </w:rPr>
              <w:t>Authority Required – STREAMLINED</w:t>
            </w:r>
          </w:p>
        </w:tc>
      </w:tr>
      <w:tr w:rsidR="00A25B32" w:rsidRPr="00BE6650" w14:paraId="200DC70E" w14:textId="77777777" w:rsidTr="00C4672D">
        <w:trPr>
          <w:trHeight w:val="263"/>
        </w:trPr>
        <w:tc>
          <w:tcPr>
            <w:tcW w:w="1843" w:type="dxa"/>
            <w:hideMark/>
          </w:tcPr>
          <w:p w14:paraId="6E870730" w14:textId="77777777" w:rsidR="00A25B32" w:rsidRPr="00BE6650" w:rsidRDefault="00A25B32" w:rsidP="00B137BE">
            <w:pPr>
              <w:pStyle w:val="TableParagraph"/>
              <w:spacing w:line="242" w:lineRule="exact"/>
              <w:rPr>
                <w:rFonts w:ascii="Arial Narrow" w:hAnsi="Arial Narrow"/>
                <w:b/>
                <w:sz w:val="20"/>
                <w:szCs w:val="20"/>
                <w:lang w:eastAsia="en-US"/>
              </w:rPr>
            </w:pPr>
            <w:r w:rsidRPr="00BE6650">
              <w:rPr>
                <w:rFonts w:ascii="Arial Narrow" w:hAnsi="Arial Narrow" w:cstheme="minorHAnsi"/>
                <w:b/>
                <w:sz w:val="20"/>
                <w:szCs w:val="20"/>
              </w:rPr>
              <w:t>Treatment criteria:</w:t>
            </w:r>
          </w:p>
        </w:tc>
        <w:tc>
          <w:tcPr>
            <w:tcW w:w="7229" w:type="dxa"/>
            <w:hideMark/>
          </w:tcPr>
          <w:p w14:paraId="4D2BB00D" w14:textId="77777777" w:rsidR="00A25B32" w:rsidRPr="00BE6650" w:rsidRDefault="00A25B32" w:rsidP="00B137BE">
            <w:pPr>
              <w:pStyle w:val="TableParagraph"/>
              <w:spacing w:line="242" w:lineRule="exact"/>
              <w:rPr>
                <w:rFonts w:ascii="Arial Narrow" w:hAnsi="Arial Narrow"/>
                <w:b/>
                <w:sz w:val="20"/>
                <w:szCs w:val="20"/>
                <w:lang w:eastAsia="en-US"/>
              </w:rPr>
            </w:pPr>
            <w:r w:rsidRPr="00BE6650">
              <w:rPr>
                <w:rFonts w:ascii="Arial Narrow" w:hAnsi="Arial Narrow" w:cstheme="minorHAnsi"/>
                <w:sz w:val="20"/>
                <w:szCs w:val="20"/>
              </w:rPr>
              <w:t>Initial treatment</w:t>
            </w:r>
          </w:p>
        </w:tc>
      </w:tr>
      <w:tr w:rsidR="00A25B32" w:rsidRPr="00BE6650" w14:paraId="1CD3A688" w14:textId="77777777" w:rsidTr="00C4672D">
        <w:trPr>
          <w:trHeight w:val="1905"/>
        </w:trPr>
        <w:tc>
          <w:tcPr>
            <w:tcW w:w="1843" w:type="dxa"/>
            <w:tcBorders>
              <w:top w:val="single" w:sz="4" w:space="0" w:color="000000"/>
              <w:left w:val="single" w:sz="4" w:space="0" w:color="000000"/>
              <w:bottom w:val="single" w:sz="4" w:space="0" w:color="000000"/>
              <w:right w:val="single" w:sz="4" w:space="0" w:color="000000"/>
            </w:tcBorders>
            <w:hideMark/>
          </w:tcPr>
          <w:p w14:paraId="4B9A1FE1"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Clinical criteria</w:t>
            </w:r>
          </w:p>
        </w:tc>
        <w:tc>
          <w:tcPr>
            <w:tcW w:w="7229" w:type="dxa"/>
            <w:tcBorders>
              <w:top w:val="single" w:sz="4" w:space="0" w:color="000000"/>
              <w:left w:val="single" w:sz="4" w:space="0" w:color="000000"/>
              <w:bottom w:val="single" w:sz="4" w:space="0" w:color="000000"/>
              <w:right w:val="single" w:sz="4" w:space="0" w:color="000000"/>
            </w:tcBorders>
            <w:hideMark/>
          </w:tcPr>
          <w:p w14:paraId="72C5D2A0" w14:textId="77777777" w:rsidR="00A25B32" w:rsidRPr="00BE6650" w:rsidRDefault="00A25B32" w:rsidP="00B137BE">
            <w:pPr>
              <w:pStyle w:val="TableParagraph"/>
              <w:spacing w:line="256" w:lineRule="auto"/>
              <w:ind w:right="2274"/>
              <w:rPr>
                <w:rFonts w:ascii="Arial Narrow" w:hAnsi="Arial Narrow"/>
                <w:sz w:val="20"/>
                <w:lang w:eastAsia="en-US"/>
              </w:rPr>
            </w:pPr>
            <w:r w:rsidRPr="00BE6650">
              <w:rPr>
                <w:rFonts w:ascii="Arial Narrow" w:hAnsi="Arial Narrow"/>
                <w:sz w:val="20"/>
                <w:lang w:eastAsia="en-US"/>
              </w:rPr>
              <w:t>The treatment must be in combination with dexamethasone AND</w:t>
            </w:r>
          </w:p>
          <w:p w14:paraId="2A2E46CD" w14:textId="77777777" w:rsidR="00A25B32" w:rsidRPr="00BE6650" w:rsidRDefault="00A25B32" w:rsidP="00B137BE">
            <w:pPr>
              <w:pStyle w:val="TableParagraph"/>
              <w:spacing w:line="252" w:lineRule="auto"/>
              <w:ind w:right="1258"/>
              <w:rPr>
                <w:rFonts w:ascii="Arial Narrow" w:hAnsi="Arial Narrow"/>
                <w:sz w:val="20"/>
                <w:lang w:eastAsia="en-US"/>
              </w:rPr>
            </w:pPr>
            <w:r w:rsidRPr="00BE6650">
              <w:rPr>
                <w:rFonts w:ascii="Arial Narrow" w:hAnsi="Arial Narrow"/>
                <w:sz w:val="20"/>
                <w:lang w:eastAsia="en-US"/>
              </w:rPr>
              <w:t>Patient must have progressive disease after at least four prior therapies AND</w:t>
            </w:r>
          </w:p>
          <w:p w14:paraId="4C5EF7EB" w14:textId="77777777" w:rsidR="00A25B32" w:rsidRPr="00BE6650" w:rsidRDefault="00A25B32" w:rsidP="00B137BE">
            <w:pPr>
              <w:pStyle w:val="TableParagraph"/>
              <w:spacing w:line="252" w:lineRule="auto"/>
              <w:ind w:right="1258"/>
              <w:rPr>
                <w:rFonts w:ascii="Arial Narrow" w:hAnsi="Arial Narrow"/>
                <w:sz w:val="20"/>
                <w:lang w:eastAsia="en-US"/>
              </w:rPr>
            </w:pPr>
            <w:r w:rsidRPr="00BE6650">
              <w:rPr>
                <w:rFonts w:ascii="Arial Narrow" w:hAnsi="Arial Narrow"/>
                <w:sz w:val="20"/>
                <w:lang w:eastAsia="en-US"/>
              </w:rPr>
              <w:t>Patient is refractory to prior treatments which must include at least two proteasome inhibitors, at least two immunomodulatory agents, and an anti-CD38 monoclonal antibody</w:t>
            </w:r>
          </w:p>
          <w:p w14:paraId="7259DD37" w14:textId="77777777" w:rsidR="00A25B32" w:rsidRPr="00BE6650" w:rsidRDefault="00A25B32" w:rsidP="00B137BE">
            <w:pPr>
              <w:pStyle w:val="TableParagraph"/>
              <w:spacing w:line="252" w:lineRule="auto"/>
              <w:ind w:right="1258"/>
              <w:rPr>
                <w:rFonts w:ascii="Arial Narrow" w:hAnsi="Arial Narrow"/>
                <w:sz w:val="20"/>
                <w:lang w:eastAsia="en-US"/>
              </w:rPr>
            </w:pPr>
            <w:r w:rsidRPr="00BE6650">
              <w:rPr>
                <w:rFonts w:ascii="Arial Narrow" w:hAnsi="Arial Narrow"/>
                <w:sz w:val="20"/>
                <w:lang w:eastAsia="en-US"/>
              </w:rPr>
              <w:t>AND</w:t>
            </w:r>
          </w:p>
          <w:p w14:paraId="7C8887EE" w14:textId="77777777" w:rsidR="00A25B32" w:rsidRPr="00BE6650" w:rsidRDefault="00A25B32" w:rsidP="00B137BE">
            <w:pPr>
              <w:pStyle w:val="TableParagraph"/>
              <w:spacing w:before="5"/>
              <w:rPr>
                <w:rFonts w:ascii="Arial Narrow" w:hAnsi="Arial Narrow"/>
                <w:sz w:val="20"/>
                <w:lang w:eastAsia="en-US"/>
              </w:rPr>
            </w:pPr>
            <w:r w:rsidRPr="00BE6650">
              <w:rPr>
                <w:rFonts w:ascii="Arial Narrow" w:hAnsi="Arial Narrow"/>
                <w:sz w:val="20"/>
                <w:lang w:eastAsia="en-US"/>
              </w:rPr>
              <w:t>Patient must not be receiving concomitant PBS-subsidised daratumumab, bortezomib, carfilzomib, lenalidomide, thalidomide, pomalidomide or its analogues</w:t>
            </w:r>
          </w:p>
        </w:tc>
      </w:tr>
      <w:tr w:rsidR="00A25B32" w:rsidRPr="00BE6650" w14:paraId="5369B8DA" w14:textId="77777777" w:rsidTr="00C4672D">
        <w:trPr>
          <w:trHeight w:val="56"/>
        </w:trPr>
        <w:tc>
          <w:tcPr>
            <w:tcW w:w="1843" w:type="dxa"/>
            <w:tcBorders>
              <w:top w:val="single" w:sz="4" w:space="0" w:color="000000"/>
              <w:left w:val="single" w:sz="4" w:space="0" w:color="000000"/>
              <w:bottom w:val="single" w:sz="4" w:space="0" w:color="000000"/>
              <w:right w:val="single" w:sz="4" w:space="0" w:color="000000"/>
            </w:tcBorders>
            <w:hideMark/>
          </w:tcPr>
          <w:p w14:paraId="7EA866A0"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Treatment phase:</w:t>
            </w:r>
          </w:p>
        </w:tc>
        <w:tc>
          <w:tcPr>
            <w:tcW w:w="7229" w:type="dxa"/>
            <w:tcBorders>
              <w:top w:val="single" w:sz="4" w:space="0" w:color="000000"/>
              <w:left w:val="single" w:sz="4" w:space="0" w:color="000000"/>
              <w:bottom w:val="single" w:sz="4" w:space="0" w:color="000000"/>
              <w:right w:val="single" w:sz="4" w:space="0" w:color="000000"/>
            </w:tcBorders>
            <w:hideMark/>
          </w:tcPr>
          <w:p w14:paraId="1D76034F"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Continuing treatment</w:t>
            </w:r>
          </w:p>
        </w:tc>
      </w:tr>
      <w:tr w:rsidR="00A25B32" w:rsidRPr="00BE6650" w14:paraId="11C7D03A" w14:textId="77777777" w:rsidTr="00C4672D">
        <w:trPr>
          <w:trHeight w:val="487"/>
        </w:trPr>
        <w:tc>
          <w:tcPr>
            <w:tcW w:w="1843" w:type="dxa"/>
            <w:tcBorders>
              <w:top w:val="single" w:sz="4" w:space="0" w:color="000000"/>
              <w:left w:val="single" w:sz="4" w:space="0" w:color="000000"/>
              <w:bottom w:val="single" w:sz="4" w:space="0" w:color="000000"/>
              <w:right w:val="single" w:sz="4" w:space="0" w:color="000000"/>
            </w:tcBorders>
            <w:hideMark/>
          </w:tcPr>
          <w:p w14:paraId="19E56428"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lastRenderedPageBreak/>
              <w:t>Clinical criteria</w:t>
            </w:r>
          </w:p>
        </w:tc>
        <w:tc>
          <w:tcPr>
            <w:tcW w:w="7229" w:type="dxa"/>
            <w:tcBorders>
              <w:top w:val="single" w:sz="4" w:space="0" w:color="000000"/>
              <w:left w:val="single" w:sz="4" w:space="0" w:color="000000"/>
              <w:bottom w:val="single" w:sz="4" w:space="0" w:color="000000"/>
              <w:right w:val="single" w:sz="4" w:space="0" w:color="000000"/>
            </w:tcBorders>
            <w:hideMark/>
          </w:tcPr>
          <w:p w14:paraId="104007A9"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Patient must have previously been issued with an authority prescription for this drug,</w:t>
            </w:r>
          </w:p>
          <w:p w14:paraId="0372898F"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AND</w:t>
            </w:r>
          </w:p>
          <w:p w14:paraId="5C13D80A"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The treatment must be in combination with dexamethasone AND</w:t>
            </w:r>
          </w:p>
          <w:p w14:paraId="0053CE1B"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Patient must not have progressive disease</w:t>
            </w:r>
          </w:p>
          <w:p w14:paraId="2A168673"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AND</w:t>
            </w:r>
          </w:p>
          <w:p w14:paraId="3D30BCCD"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Patient must not be receiving concomitant PBS-subsidised daratumumab, bortezomib, carfilzomib, pomalidomide, lenalidomide, thalidomide or its analogues</w:t>
            </w:r>
          </w:p>
        </w:tc>
      </w:tr>
      <w:tr w:rsidR="00A25B32" w:rsidRPr="00BE6650" w14:paraId="22D4D4A4" w14:textId="77777777" w:rsidTr="00C4672D">
        <w:trPr>
          <w:trHeight w:val="487"/>
        </w:trPr>
        <w:tc>
          <w:tcPr>
            <w:tcW w:w="1843" w:type="dxa"/>
            <w:tcBorders>
              <w:top w:val="single" w:sz="4" w:space="0" w:color="000000"/>
              <w:left w:val="single" w:sz="4" w:space="0" w:color="000000"/>
              <w:bottom w:val="single" w:sz="4" w:space="0" w:color="000000"/>
              <w:right w:val="single" w:sz="4" w:space="0" w:color="000000"/>
            </w:tcBorders>
            <w:hideMark/>
          </w:tcPr>
          <w:p w14:paraId="398C0D0C"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Note</w:t>
            </w:r>
          </w:p>
          <w:p w14:paraId="4CDD663E" w14:textId="77777777" w:rsidR="00A25B32" w:rsidRPr="00BE6650" w:rsidRDefault="00A25B32" w:rsidP="00B137BE">
            <w:pPr>
              <w:pStyle w:val="TableParagraph"/>
              <w:rPr>
                <w:rFonts w:ascii="Arial Narrow" w:hAnsi="Arial Narrow"/>
                <w:b/>
                <w:sz w:val="20"/>
                <w:lang w:eastAsia="en-US"/>
              </w:rPr>
            </w:pPr>
          </w:p>
        </w:tc>
        <w:tc>
          <w:tcPr>
            <w:tcW w:w="7229" w:type="dxa"/>
            <w:tcBorders>
              <w:top w:val="single" w:sz="4" w:space="0" w:color="000000"/>
              <w:left w:val="single" w:sz="4" w:space="0" w:color="000000"/>
              <w:bottom w:val="single" w:sz="4" w:space="0" w:color="000000"/>
              <w:right w:val="single" w:sz="4" w:space="0" w:color="000000"/>
            </w:tcBorders>
            <w:hideMark/>
          </w:tcPr>
          <w:p w14:paraId="64A82D0A"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Authority applications for continuing treatment may be made by telephone to the Department of Human Services on 1800 700 270 (hours of operation 8 a.m. to 5 p.m. EST Monday to Friday).</w:t>
            </w:r>
          </w:p>
        </w:tc>
      </w:tr>
      <w:tr w:rsidR="00A25B32" w:rsidRPr="00BE6650" w14:paraId="556D1C6D" w14:textId="77777777" w:rsidTr="00C4672D">
        <w:trPr>
          <w:trHeight w:val="200"/>
        </w:trPr>
        <w:tc>
          <w:tcPr>
            <w:tcW w:w="1843" w:type="dxa"/>
            <w:tcBorders>
              <w:top w:val="single" w:sz="4" w:space="0" w:color="000000"/>
              <w:left w:val="single" w:sz="4" w:space="0" w:color="000000"/>
              <w:bottom w:val="single" w:sz="4" w:space="0" w:color="000000"/>
              <w:right w:val="single" w:sz="4" w:space="0" w:color="000000"/>
            </w:tcBorders>
            <w:hideMark/>
          </w:tcPr>
          <w:p w14:paraId="59EE62A8"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Treatment phase:</w:t>
            </w:r>
          </w:p>
        </w:tc>
        <w:tc>
          <w:tcPr>
            <w:tcW w:w="7229" w:type="dxa"/>
            <w:tcBorders>
              <w:top w:val="single" w:sz="4" w:space="0" w:color="000000"/>
              <w:left w:val="single" w:sz="4" w:space="0" w:color="000000"/>
              <w:bottom w:val="single" w:sz="4" w:space="0" w:color="000000"/>
              <w:right w:val="single" w:sz="4" w:space="0" w:color="000000"/>
            </w:tcBorders>
            <w:hideMark/>
          </w:tcPr>
          <w:p w14:paraId="294BA106"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Grandfather treatment - Transitioning from non-PBS to PBS-subsidised supply</w:t>
            </w:r>
          </w:p>
        </w:tc>
      </w:tr>
      <w:tr w:rsidR="00A25B32" w:rsidRPr="00BE6650" w14:paraId="456E0C7F" w14:textId="77777777" w:rsidTr="00C4672D">
        <w:trPr>
          <w:trHeight w:val="246"/>
        </w:trPr>
        <w:tc>
          <w:tcPr>
            <w:tcW w:w="1843" w:type="dxa"/>
            <w:tcBorders>
              <w:top w:val="single" w:sz="4" w:space="0" w:color="000000"/>
              <w:left w:val="single" w:sz="4" w:space="0" w:color="000000"/>
              <w:bottom w:val="single" w:sz="4" w:space="0" w:color="000000"/>
              <w:right w:val="single" w:sz="4" w:space="0" w:color="000000"/>
            </w:tcBorders>
            <w:hideMark/>
          </w:tcPr>
          <w:p w14:paraId="55E852BE"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Restriction:</w:t>
            </w:r>
          </w:p>
        </w:tc>
        <w:tc>
          <w:tcPr>
            <w:tcW w:w="7229" w:type="dxa"/>
            <w:tcBorders>
              <w:top w:val="single" w:sz="4" w:space="0" w:color="000000"/>
              <w:left w:val="single" w:sz="4" w:space="0" w:color="000000"/>
              <w:bottom w:val="single" w:sz="4" w:space="0" w:color="000000"/>
              <w:right w:val="single" w:sz="4" w:space="0" w:color="000000"/>
            </w:tcBorders>
            <w:hideMark/>
          </w:tcPr>
          <w:p w14:paraId="4CBB385C"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Authority Required – STREAMLINED</w:t>
            </w:r>
          </w:p>
        </w:tc>
      </w:tr>
      <w:tr w:rsidR="00A25B32" w:rsidRPr="00BE6650" w14:paraId="3EF7C710" w14:textId="77777777" w:rsidTr="00C4672D">
        <w:trPr>
          <w:trHeight w:val="487"/>
        </w:trPr>
        <w:tc>
          <w:tcPr>
            <w:tcW w:w="1843" w:type="dxa"/>
            <w:tcBorders>
              <w:top w:val="single" w:sz="4" w:space="0" w:color="000000"/>
              <w:left w:val="single" w:sz="4" w:space="0" w:color="000000"/>
              <w:bottom w:val="single" w:sz="4" w:space="0" w:color="000000"/>
              <w:right w:val="single" w:sz="4" w:space="0" w:color="000000"/>
            </w:tcBorders>
            <w:hideMark/>
          </w:tcPr>
          <w:p w14:paraId="29E22D45" w14:textId="77777777" w:rsidR="00A25B32" w:rsidRPr="00BE6650" w:rsidRDefault="00A25B32" w:rsidP="00B137BE">
            <w:pPr>
              <w:pStyle w:val="TableParagraph"/>
              <w:rPr>
                <w:rFonts w:ascii="Arial Narrow" w:hAnsi="Arial Narrow"/>
                <w:b/>
                <w:sz w:val="20"/>
                <w:lang w:eastAsia="en-US"/>
              </w:rPr>
            </w:pPr>
            <w:r w:rsidRPr="00BE6650">
              <w:rPr>
                <w:rFonts w:ascii="Arial Narrow" w:hAnsi="Arial Narrow"/>
                <w:b/>
                <w:sz w:val="20"/>
                <w:lang w:eastAsia="en-US"/>
              </w:rPr>
              <w:t>Clinical criteria:</w:t>
            </w:r>
          </w:p>
          <w:p w14:paraId="64EF6E54" w14:textId="77777777" w:rsidR="00A25B32" w:rsidRPr="00BE6650" w:rsidRDefault="00A25B32" w:rsidP="00B137BE">
            <w:pPr>
              <w:pStyle w:val="TableParagraph"/>
              <w:rPr>
                <w:rFonts w:ascii="Arial Narrow" w:hAnsi="Arial Narrow"/>
                <w:b/>
                <w:sz w:val="20"/>
                <w:lang w:eastAsia="en-US"/>
              </w:rPr>
            </w:pPr>
          </w:p>
        </w:tc>
        <w:tc>
          <w:tcPr>
            <w:tcW w:w="7229" w:type="dxa"/>
            <w:tcBorders>
              <w:top w:val="single" w:sz="4" w:space="0" w:color="000000"/>
              <w:left w:val="single" w:sz="4" w:space="0" w:color="000000"/>
              <w:bottom w:val="single" w:sz="4" w:space="0" w:color="000000"/>
              <w:right w:val="single" w:sz="4" w:space="0" w:color="000000"/>
            </w:tcBorders>
            <w:hideMark/>
          </w:tcPr>
          <w:p w14:paraId="50688A8B"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Patient must have received non-PBS-subsidised treatment with this drug for this condition prior to date of selinexor PBS listing,</w:t>
            </w:r>
          </w:p>
          <w:p w14:paraId="5597E444"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AND</w:t>
            </w:r>
          </w:p>
          <w:p w14:paraId="3F1CE284"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 xml:space="preserve">Patient must have met all initial treatment PBS-eligibility criteria applying to a non-grandfathered patient prior to having commenced treatment with this drug </w:t>
            </w:r>
          </w:p>
          <w:p w14:paraId="522AA550"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AND</w:t>
            </w:r>
          </w:p>
          <w:p w14:paraId="4914D337" w14:textId="77777777" w:rsidR="00A25B32" w:rsidRPr="00BE6650" w:rsidRDefault="00A25B32" w:rsidP="00B137BE">
            <w:pPr>
              <w:pStyle w:val="TableParagraph"/>
              <w:rPr>
                <w:rFonts w:ascii="Arial Narrow" w:hAnsi="Arial Narrow"/>
                <w:sz w:val="20"/>
                <w:lang w:eastAsia="en-US"/>
              </w:rPr>
            </w:pPr>
            <w:r w:rsidRPr="00BE6650">
              <w:rPr>
                <w:rFonts w:ascii="Arial Narrow" w:hAnsi="Arial Narrow"/>
                <w:sz w:val="20"/>
                <w:lang w:eastAsia="en-US"/>
              </w:rPr>
              <w:t>Patient must not have developed disease progression while receiving treatment with this drug for this condition.</w:t>
            </w:r>
          </w:p>
        </w:tc>
      </w:tr>
    </w:tbl>
    <w:p w14:paraId="429C81BC" w14:textId="77777777" w:rsidR="00A25B32" w:rsidRPr="00BE6650" w:rsidRDefault="00714F37" w:rsidP="00A25B32">
      <w:pPr>
        <w:rPr>
          <w:rFonts w:ascii="Arial Narrow" w:hAnsi="Arial Narrow"/>
          <w:sz w:val="18"/>
          <w:szCs w:val="18"/>
        </w:rPr>
      </w:pPr>
      <w:r w:rsidRPr="00BE6650">
        <w:rPr>
          <w:rFonts w:ascii="Arial Narrow" w:hAnsi="Arial Narrow"/>
          <w:sz w:val="18"/>
          <w:szCs w:val="18"/>
        </w:rPr>
        <w:t>Source: Table 1-11, p.39</w:t>
      </w:r>
      <w:r w:rsidR="003F4A15" w:rsidRPr="00BE6650">
        <w:rPr>
          <w:rFonts w:ascii="Arial Narrow" w:hAnsi="Arial Narrow"/>
          <w:sz w:val="18"/>
          <w:szCs w:val="18"/>
        </w:rPr>
        <w:t>; Table 1-12, p.40-41;</w:t>
      </w:r>
      <w:r w:rsidR="004C6B02" w:rsidRPr="00BE6650">
        <w:rPr>
          <w:rFonts w:ascii="Arial Narrow" w:hAnsi="Arial Narrow"/>
          <w:sz w:val="18"/>
          <w:szCs w:val="18"/>
        </w:rPr>
        <w:t xml:space="preserve"> Table 1-13, p.41-42; Table 1-14, p.43</w:t>
      </w:r>
      <w:r w:rsidRPr="00BE6650">
        <w:rPr>
          <w:rFonts w:ascii="Arial Narrow" w:hAnsi="Arial Narrow"/>
          <w:sz w:val="18"/>
          <w:szCs w:val="18"/>
        </w:rPr>
        <w:t xml:space="preserve"> of the submission</w:t>
      </w:r>
    </w:p>
    <w:p w14:paraId="0929E9BC" w14:textId="77777777" w:rsidR="00714F37" w:rsidRPr="00BE6650" w:rsidRDefault="00714F37" w:rsidP="00A25B32">
      <w:pPr>
        <w:rPr>
          <w:rFonts w:ascii="Arial Narrow" w:hAnsi="Arial Narrow" w:cs="Times New Roman"/>
          <w:kern w:val="28"/>
          <w:sz w:val="18"/>
          <w:szCs w:val="18"/>
        </w:rPr>
      </w:pPr>
      <w:r w:rsidRPr="00BE6650">
        <w:rPr>
          <w:rFonts w:ascii="Arial Narrow" w:hAnsi="Arial Narrow"/>
          <w:sz w:val="18"/>
          <w:szCs w:val="18"/>
        </w:rPr>
        <w:t xml:space="preserve">DPMQ = dispensed price for maximum quantity; HSD = highly specialised drugs; </w:t>
      </w:r>
      <w:r w:rsidR="00756C3A" w:rsidRPr="00BE6650">
        <w:rPr>
          <w:rFonts w:ascii="Arial Narrow" w:hAnsi="Arial Narrow" w:cs="Times New Roman"/>
          <w:kern w:val="28"/>
          <w:sz w:val="18"/>
          <w:szCs w:val="18"/>
        </w:rPr>
        <w:t>PBS = Pharmaceutical Benefits Scheme</w:t>
      </w:r>
    </w:p>
    <w:p w14:paraId="27F87C02" w14:textId="77777777" w:rsidR="00BB2CF2" w:rsidRPr="00BE6650" w:rsidRDefault="00BB2CF2" w:rsidP="00A25B32">
      <w:pPr>
        <w:rPr>
          <w:rFonts w:ascii="Arial Narrow" w:hAnsi="Arial Narrow"/>
          <w:sz w:val="18"/>
          <w:szCs w:val="18"/>
        </w:rPr>
      </w:pPr>
    </w:p>
    <w:p w14:paraId="02BA20BD" w14:textId="77777777" w:rsidR="00A25B32" w:rsidRPr="00BE6650" w:rsidRDefault="00A25B32" w:rsidP="007F70E7">
      <w:pPr>
        <w:pStyle w:val="3-BodyText"/>
      </w:pPr>
      <w:r w:rsidRPr="00BE6650">
        <w:t xml:space="preserve">The requested restriction (i.e. being refractory to at least 2 PIs, at least 2 </w:t>
      </w:r>
      <w:r w:rsidR="00BE6650">
        <w:t>I</w:t>
      </w:r>
      <w:r w:rsidRPr="00BE6650">
        <w:t xml:space="preserve">MiDs, and at least 1 mAb) </w:t>
      </w:r>
      <w:r w:rsidR="00590155" w:rsidRPr="00BE6650">
        <w:t>wa</w:t>
      </w:r>
      <w:r w:rsidRPr="00BE6650">
        <w:t>s narrower</w:t>
      </w:r>
      <w:r w:rsidR="00590155" w:rsidRPr="00BE6650">
        <w:t xml:space="preserve"> than</w:t>
      </w:r>
      <w:r w:rsidRPr="00BE6650">
        <w:t xml:space="preserve"> the proposed TGA indication (</w:t>
      </w:r>
      <w:r w:rsidR="00BE6650">
        <w:t>i.e. at least 1 PI, at least 1 I</w:t>
      </w:r>
      <w:r w:rsidRPr="00BE6650">
        <w:t xml:space="preserve">MiD, and 1 mAb). </w:t>
      </w:r>
    </w:p>
    <w:p w14:paraId="39869521" w14:textId="77777777" w:rsidR="00A25B32" w:rsidRPr="00BE6650" w:rsidRDefault="00200611" w:rsidP="00A25B32">
      <w:pPr>
        <w:pStyle w:val="3-BodyText"/>
        <w:rPr>
          <w:iCs/>
        </w:rPr>
      </w:pPr>
      <w:r w:rsidRPr="00BE6650">
        <w:rPr>
          <w:iCs/>
        </w:rPr>
        <w:t>G</w:t>
      </w:r>
      <w:r w:rsidR="00A25B32" w:rsidRPr="00BE6650">
        <w:rPr>
          <w:iCs/>
        </w:rPr>
        <w:t>iven that daratumumab</w:t>
      </w:r>
      <w:r w:rsidR="00766EED" w:rsidRPr="00BE6650">
        <w:rPr>
          <w:iCs/>
        </w:rPr>
        <w:t xml:space="preserve"> for use</w:t>
      </w:r>
      <w:r w:rsidR="00A25B32" w:rsidRPr="00BE6650">
        <w:rPr>
          <w:iCs/>
        </w:rPr>
        <w:t xml:space="preserve"> </w:t>
      </w:r>
      <w:r w:rsidR="00766EED" w:rsidRPr="00BE6650">
        <w:rPr>
          <w:iCs/>
        </w:rPr>
        <w:t>in combination with bortezomib and dexamethasone (DBd) i</w:t>
      </w:r>
      <w:r w:rsidR="00A25B32" w:rsidRPr="00BE6650">
        <w:rPr>
          <w:iCs/>
        </w:rPr>
        <w:t xml:space="preserve">s only available </w:t>
      </w:r>
      <w:r w:rsidRPr="00BE6650">
        <w:rPr>
          <w:iCs/>
        </w:rPr>
        <w:t xml:space="preserve">on the PBS </w:t>
      </w:r>
      <w:r w:rsidR="00A25B32" w:rsidRPr="00BE6650">
        <w:rPr>
          <w:iCs/>
        </w:rPr>
        <w:t xml:space="preserve">for use in the second-line </w:t>
      </w:r>
      <w:r w:rsidR="00766EED" w:rsidRPr="00BE6650">
        <w:rPr>
          <w:iCs/>
        </w:rPr>
        <w:t xml:space="preserve">MM </w:t>
      </w:r>
      <w:r w:rsidR="00A25B32" w:rsidRPr="00BE6650">
        <w:rPr>
          <w:iCs/>
        </w:rPr>
        <w:t xml:space="preserve">setting, a patient who is currently beyond that line of therapy for RRMM without previous experience of daratumumab would not qualify for </w:t>
      </w:r>
      <w:r w:rsidR="00A4655B" w:rsidRPr="00BE6650">
        <w:rPr>
          <w:iCs/>
        </w:rPr>
        <w:t xml:space="preserve">Sd </w:t>
      </w:r>
      <w:r w:rsidR="00A25B32" w:rsidRPr="00BE6650">
        <w:rPr>
          <w:iCs/>
        </w:rPr>
        <w:t xml:space="preserve">on the PBS unless: (1) they were to access daratumumab as combination therapy outside of the PBS; or (2) they were to access daratumumab as monotherapy via compassionate access. </w:t>
      </w:r>
      <w:r w:rsidR="00EF4184" w:rsidRPr="00BE6650">
        <w:rPr>
          <w:iCs/>
        </w:rPr>
        <w:t>Although t</w:t>
      </w:r>
      <w:r w:rsidR="00A25B32" w:rsidRPr="00BE6650">
        <w:rPr>
          <w:iCs/>
        </w:rPr>
        <w:t xml:space="preserve">his may represent an issue of equity of access for current and future patients with respect to access for </w:t>
      </w:r>
      <w:r w:rsidR="00CB7286" w:rsidRPr="00BE6650">
        <w:rPr>
          <w:iCs/>
        </w:rPr>
        <w:t xml:space="preserve">Sd </w:t>
      </w:r>
      <w:r w:rsidR="00A25B32" w:rsidRPr="00BE6650">
        <w:rPr>
          <w:iCs/>
        </w:rPr>
        <w:t>for the proposed setting</w:t>
      </w:r>
      <w:r w:rsidR="00EF4184" w:rsidRPr="00BE6650">
        <w:rPr>
          <w:iCs/>
        </w:rPr>
        <w:t>; the ESC noted that a number of RRMM patients have accessed daratumumab though clinical trials and compassionate access</w:t>
      </w:r>
      <w:r w:rsidR="00A25B32" w:rsidRPr="00BE6650">
        <w:rPr>
          <w:iCs/>
        </w:rPr>
        <w:t>.</w:t>
      </w:r>
    </w:p>
    <w:p w14:paraId="7B13DBBE" w14:textId="77777777" w:rsidR="00C04575" w:rsidRPr="00BE6650" w:rsidRDefault="00E50097" w:rsidP="00A25B32">
      <w:pPr>
        <w:pStyle w:val="3-BodyText"/>
        <w:rPr>
          <w:iCs/>
        </w:rPr>
      </w:pPr>
      <w:r w:rsidRPr="00BE6650">
        <w:rPr>
          <w:iCs/>
        </w:rPr>
        <w:t xml:space="preserve">The ESC </w:t>
      </w:r>
      <w:r w:rsidR="0052346D" w:rsidRPr="00BE6650">
        <w:rPr>
          <w:iCs/>
        </w:rPr>
        <w:t>advised</w:t>
      </w:r>
      <w:r w:rsidRPr="00BE6650">
        <w:rPr>
          <w:iCs/>
        </w:rPr>
        <w:t xml:space="preserve"> that</w:t>
      </w:r>
      <w:r w:rsidRPr="00BE6650">
        <w:rPr>
          <w:i/>
          <w:iCs/>
        </w:rPr>
        <w:t xml:space="preserve"> </w:t>
      </w:r>
      <w:r w:rsidR="00AE0063" w:rsidRPr="00BE6650">
        <w:rPr>
          <w:iCs/>
        </w:rPr>
        <w:t xml:space="preserve">a Streamlined listing </w:t>
      </w:r>
      <w:r w:rsidRPr="00BE6650">
        <w:rPr>
          <w:iCs/>
        </w:rPr>
        <w:t>would</w:t>
      </w:r>
      <w:r w:rsidRPr="00BE6650">
        <w:rPr>
          <w:i/>
          <w:iCs/>
        </w:rPr>
        <w:t xml:space="preserve"> </w:t>
      </w:r>
      <w:r w:rsidR="00AE0063" w:rsidRPr="00BE6650">
        <w:rPr>
          <w:iCs/>
        </w:rPr>
        <w:t>not be appropriate given the potential safety concerns and the novelty of the regimen.</w:t>
      </w:r>
      <w:r w:rsidR="00716A70" w:rsidRPr="00BE6650">
        <w:rPr>
          <w:iCs/>
        </w:rPr>
        <w:t xml:space="preserve"> The PBAC considered that an Authority Required (telephone/electronic) listing would be more appropriate, given selinexor is a new chemical entity and a first in class</w:t>
      </w:r>
      <w:r w:rsidR="00BA4865" w:rsidRPr="00BE6650">
        <w:rPr>
          <w:iCs/>
        </w:rPr>
        <w:t xml:space="preserve"> medicine</w:t>
      </w:r>
      <w:r w:rsidR="00716A70" w:rsidRPr="00BE6650">
        <w:rPr>
          <w:iCs/>
        </w:rPr>
        <w:t xml:space="preserve"> for which there is no prior experience on the PBS and given the potential safety concerns.</w:t>
      </w:r>
    </w:p>
    <w:p w14:paraId="43E2072D" w14:textId="77777777" w:rsidR="00A25B32" w:rsidRPr="00BE6650" w:rsidRDefault="00C04575" w:rsidP="00C04575">
      <w:pPr>
        <w:pStyle w:val="3-BodyText"/>
        <w:numPr>
          <w:ilvl w:val="0"/>
          <w:numId w:val="0"/>
        </w:numPr>
        <w:ind w:left="720"/>
        <w:rPr>
          <w:i/>
          <w:iCs/>
        </w:rPr>
      </w:pPr>
      <w:r w:rsidRPr="00BE6650">
        <w:rPr>
          <w:i/>
          <w:iCs/>
        </w:rPr>
        <w:t>For more detail on PBAC’s view, see section 7 PBAC outcome.</w:t>
      </w:r>
    </w:p>
    <w:p w14:paraId="513A2CA0" w14:textId="77777777" w:rsidR="00A25B32" w:rsidRPr="00BE6650" w:rsidRDefault="00A25B32" w:rsidP="00A25B32">
      <w:pPr>
        <w:pStyle w:val="2-SectionHeading"/>
        <w:numPr>
          <w:ilvl w:val="0"/>
          <w:numId w:val="1"/>
        </w:numPr>
      </w:pPr>
      <w:bookmarkStart w:id="6" w:name="_Toc72323733"/>
      <w:r w:rsidRPr="00BE6650">
        <w:t>Population and disease</w:t>
      </w:r>
      <w:bookmarkEnd w:id="6"/>
    </w:p>
    <w:p w14:paraId="3FCEE9D1" w14:textId="77777777" w:rsidR="00BE12B7" w:rsidRPr="00BE6650" w:rsidRDefault="00D574A8" w:rsidP="00531D58">
      <w:pPr>
        <w:pStyle w:val="3-BodyText"/>
      </w:pPr>
      <w:r w:rsidRPr="00BE6650">
        <w:t>Multiple myeloma (MM) is a progressive, incurable haematologic cancer that undergoes genomic evolution over the course of the disease. It is a relatively uncommon cancer of plasma cells, accounting for approximately 1-2% of all cancers, and approximately 17% of haematological malignancies.</w:t>
      </w:r>
      <w:r w:rsidR="001D601E" w:rsidRPr="00BE6650">
        <w:t xml:space="preserve"> </w:t>
      </w:r>
      <w:r w:rsidRPr="00BE6650">
        <w:t xml:space="preserve">MM patients diagnosed between </w:t>
      </w:r>
      <w:r w:rsidR="001D601E" w:rsidRPr="00BE6650">
        <w:t xml:space="preserve">2008 and 2012 </w:t>
      </w:r>
      <w:r w:rsidRPr="00BE6650">
        <w:t xml:space="preserve">showed a median overall survival (OS) of </w:t>
      </w:r>
      <w:r w:rsidR="001D601E" w:rsidRPr="00BE6650">
        <w:t>6</w:t>
      </w:r>
      <w:r w:rsidRPr="00BE6650">
        <w:t xml:space="preserve"> years. </w:t>
      </w:r>
      <w:r w:rsidR="00924052" w:rsidRPr="00BE6650">
        <w:t>Most MM</w:t>
      </w:r>
      <w:r w:rsidRPr="00BE6650">
        <w:t xml:space="preserve"> patients experience disease relapse and require further treatment options. </w:t>
      </w:r>
    </w:p>
    <w:p w14:paraId="7FECBBC8" w14:textId="77777777" w:rsidR="00A25B32" w:rsidRPr="00BE6650" w:rsidRDefault="00A25B32" w:rsidP="00A25B32">
      <w:pPr>
        <w:pStyle w:val="3-BodyText"/>
      </w:pPr>
      <w:r w:rsidRPr="00BE6650">
        <w:t xml:space="preserve">The clinical management algorithm </w:t>
      </w:r>
      <w:r w:rsidR="00CA5C5F" w:rsidRPr="00BE6650">
        <w:t xml:space="preserve">for Sd as a treatment for TCR/PR MM </w:t>
      </w:r>
      <w:r w:rsidRPr="00BE6650">
        <w:t>w</w:t>
      </w:r>
      <w:r w:rsidR="000727D5" w:rsidRPr="00BE6650">
        <w:t>as</w:t>
      </w:r>
      <w:r w:rsidRPr="00BE6650">
        <w:t xml:space="preserve"> based on treatment guidelines including the US National Comprehensive Cancer Network (NCCN) clinical practice guidelines in oncology: MM, Version 3.2021 (Kumar et al., 2020), the European Hematology Association - the European Society Medical Oncology (EHA-ESMO) clinical practice guidelines (Dimopoulos et al., 2021), and the treatment guidelines from the Australian Medical Scientific Advisory Group (MSAG) (H. Quach et al., 2019).</w:t>
      </w:r>
      <w:r w:rsidR="00DA71CA" w:rsidRPr="00BE6650">
        <w:t xml:space="preserve"> </w:t>
      </w:r>
    </w:p>
    <w:p w14:paraId="37ECE516" w14:textId="77777777" w:rsidR="00A25B32" w:rsidRPr="00BE6650" w:rsidRDefault="00A25B32" w:rsidP="00A25B32">
      <w:pPr>
        <w:pStyle w:val="TableFigureHeading"/>
        <w:rPr>
          <w:rStyle w:val="CommentReference"/>
          <w:b/>
          <w:szCs w:val="24"/>
        </w:rPr>
      </w:pPr>
      <w:r w:rsidRPr="00BE6650">
        <w:rPr>
          <w:rStyle w:val="CommentReference"/>
          <w:b/>
          <w:szCs w:val="24"/>
        </w:rPr>
        <w:t xml:space="preserve">Figure </w:t>
      </w:r>
      <w:r w:rsidR="00DA71CA" w:rsidRPr="00BE6650">
        <w:rPr>
          <w:rStyle w:val="CommentReference"/>
          <w:b/>
          <w:szCs w:val="24"/>
        </w:rPr>
        <w:t>1</w:t>
      </w:r>
      <w:r w:rsidRPr="00BE6650">
        <w:rPr>
          <w:rStyle w:val="CommentReference"/>
          <w:b/>
          <w:szCs w:val="24"/>
        </w:rPr>
        <w:t xml:space="preserve">: Proposed clinical management algorithm with introduction of </w:t>
      </w:r>
      <w:r w:rsidR="00CD68B0" w:rsidRPr="00BE6650">
        <w:rPr>
          <w:rStyle w:val="CommentReference"/>
          <w:b/>
          <w:szCs w:val="24"/>
        </w:rPr>
        <w:t>Sd</w:t>
      </w:r>
    </w:p>
    <w:p w14:paraId="161D5988" w14:textId="77777777" w:rsidR="00A25B32" w:rsidRPr="00BE6650" w:rsidRDefault="00A25B32" w:rsidP="00A25B32">
      <w:r w:rsidRPr="00BE6650">
        <w:rPr>
          <w:noProof/>
        </w:rPr>
        <w:drawing>
          <wp:inline distT="0" distB="0" distL="0" distR="0" wp14:anchorId="15289553" wp14:editId="50F55470">
            <wp:extent cx="5697894" cy="4044334"/>
            <wp:effectExtent l="0" t="0" r="0" b="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10785" cy="4053484"/>
                    </a:xfrm>
                    <a:prstGeom prst="rect">
                      <a:avLst/>
                    </a:prstGeom>
                  </pic:spPr>
                </pic:pic>
              </a:graphicData>
            </a:graphic>
          </wp:inline>
        </w:drawing>
      </w:r>
    </w:p>
    <w:p w14:paraId="7F007664" w14:textId="77777777" w:rsidR="00A25B32" w:rsidRPr="00BE6650" w:rsidRDefault="00A25B32" w:rsidP="00A25B32">
      <w:pPr>
        <w:pStyle w:val="TableFigureFooter"/>
        <w:spacing w:after="0"/>
        <w:rPr>
          <w:szCs w:val="18"/>
        </w:rPr>
      </w:pPr>
      <w:r w:rsidRPr="00BE6650">
        <w:rPr>
          <w:szCs w:val="18"/>
        </w:rPr>
        <w:t>Source: Figure 1-5, p.35 of the submission.</w:t>
      </w:r>
    </w:p>
    <w:p w14:paraId="4FCADF2D" w14:textId="77777777" w:rsidR="00A25B32" w:rsidRPr="00BE6650" w:rsidRDefault="00A25B32" w:rsidP="00A25B32">
      <w:pPr>
        <w:rPr>
          <w:rFonts w:ascii="Arial Narrow" w:hAnsi="Arial Narrow"/>
          <w:snapToGrid w:val="0"/>
          <w:sz w:val="18"/>
          <w:szCs w:val="18"/>
        </w:rPr>
      </w:pPr>
      <w:r w:rsidRPr="00BE6650">
        <w:rPr>
          <w:rFonts w:ascii="Arial Narrow" w:hAnsi="Arial Narrow"/>
          <w:sz w:val="18"/>
          <w:szCs w:val="18"/>
        </w:rPr>
        <w:t>ASCT = autologous stem cell transplant</w:t>
      </w:r>
      <w:r w:rsidR="00BE6650">
        <w:rPr>
          <w:rFonts w:ascii="Arial Narrow" w:hAnsi="Arial Narrow"/>
          <w:sz w:val="18"/>
          <w:szCs w:val="18"/>
        </w:rPr>
        <w:t>; I</w:t>
      </w:r>
      <w:r w:rsidRPr="00BE6650">
        <w:rPr>
          <w:rFonts w:ascii="Arial Narrow" w:hAnsi="Arial Narrow"/>
          <w:sz w:val="18"/>
          <w:szCs w:val="18"/>
        </w:rPr>
        <w:t xml:space="preserve">MiD = an immunomodulatory agent; </w:t>
      </w:r>
      <w:r w:rsidR="00D13D91" w:rsidRPr="00BE6650">
        <w:rPr>
          <w:rFonts w:ascii="Arial Narrow" w:hAnsi="Arial Narrow"/>
          <w:sz w:val="18"/>
          <w:szCs w:val="18"/>
        </w:rPr>
        <w:t xml:space="preserve">mAB = </w:t>
      </w:r>
      <w:r w:rsidR="00D13D91" w:rsidRPr="00BE6650">
        <w:rPr>
          <w:rFonts w:ascii="Arial Narrow" w:hAnsi="Arial Narrow"/>
          <w:sz w:val="18"/>
          <w:szCs w:val="28"/>
        </w:rPr>
        <w:t>anti-CD38 monoclonal antibody</w:t>
      </w:r>
      <w:r w:rsidR="00D13D91" w:rsidRPr="00BE6650">
        <w:rPr>
          <w:rFonts w:ascii="Arial Narrow" w:hAnsi="Arial Narrow"/>
          <w:sz w:val="18"/>
          <w:szCs w:val="18"/>
        </w:rPr>
        <w:t xml:space="preserve">; NDMM = newly diagnosed multiple myeloma; </w:t>
      </w:r>
      <w:r w:rsidRPr="00BE6650">
        <w:rPr>
          <w:rFonts w:ascii="Arial Narrow" w:hAnsi="Arial Narrow"/>
          <w:sz w:val="18"/>
          <w:szCs w:val="18"/>
        </w:rPr>
        <w:t xml:space="preserve">PI = proteasome inhibitors; PBS = Pharmaceutical Benefits Scheme; RRMM = </w:t>
      </w:r>
      <w:r w:rsidRPr="00BE6650">
        <w:rPr>
          <w:rFonts w:ascii="Arial Narrow" w:hAnsi="Arial Narrow" w:cs="Times New Roman"/>
          <w:kern w:val="28"/>
          <w:sz w:val="18"/>
          <w:lang w:eastAsia="en-GB"/>
        </w:rPr>
        <w:t xml:space="preserve">relapsed </w:t>
      </w:r>
      <w:r w:rsidR="00D13D91" w:rsidRPr="00BE6650">
        <w:rPr>
          <w:rFonts w:ascii="Arial Narrow" w:hAnsi="Arial Narrow" w:cs="Times New Roman"/>
          <w:kern w:val="28"/>
          <w:sz w:val="18"/>
          <w:lang w:eastAsia="en-GB"/>
        </w:rPr>
        <w:t>and/</w:t>
      </w:r>
      <w:r w:rsidRPr="00BE6650">
        <w:rPr>
          <w:rFonts w:ascii="Arial Narrow" w:hAnsi="Arial Narrow" w:cs="Times New Roman"/>
          <w:kern w:val="28"/>
          <w:sz w:val="18"/>
          <w:lang w:eastAsia="en-GB"/>
        </w:rPr>
        <w:t>or refractory multiple myeloma; TCR/PR MM =</w:t>
      </w:r>
      <w:r w:rsidRPr="00BE6650">
        <w:t xml:space="preserve"> </w:t>
      </w:r>
      <w:r w:rsidRPr="00BE6650">
        <w:rPr>
          <w:rFonts w:ascii="Arial Narrow" w:hAnsi="Arial Narrow" w:cs="Times New Roman"/>
          <w:kern w:val="28"/>
          <w:sz w:val="18"/>
          <w:lang w:eastAsia="en-GB"/>
        </w:rPr>
        <w:t xml:space="preserve">triple class refractory and penta-refractory multiple myeloma; </w:t>
      </w:r>
      <w:r w:rsidR="002C5E1D" w:rsidRPr="00BE6650">
        <w:rPr>
          <w:rFonts w:ascii="Arial Narrow" w:hAnsi="Arial Narrow" w:cs="Times New Roman"/>
          <w:kern w:val="28"/>
          <w:sz w:val="18"/>
          <w:lang w:eastAsia="en-GB"/>
        </w:rPr>
        <w:t xml:space="preserve">Sd </w:t>
      </w:r>
      <w:r w:rsidRPr="00BE6650">
        <w:rPr>
          <w:rFonts w:ascii="Arial Narrow" w:hAnsi="Arial Narrow" w:cs="Times New Roman"/>
          <w:kern w:val="28"/>
          <w:sz w:val="18"/>
          <w:lang w:eastAsia="en-GB"/>
        </w:rPr>
        <w:t xml:space="preserve">= selinexor </w:t>
      </w:r>
      <w:r w:rsidR="00D13D91" w:rsidRPr="00BE6650">
        <w:rPr>
          <w:rFonts w:ascii="Arial Narrow" w:hAnsi="Arial Narrow" w:cs="Times New Roman"/>
          <w:kern w:val="28"/>
          <w:sz w:val="18"/>
          <w:lang w:eastAsia="en-GB"/>
        </w:rPr>
        <w:t>plus</w:t>
      </w:r>
      <w:r w:rsidRPr="00BE6650">
        <w:rPr>
          <w:rFonts w:ascii="Arial Narrow" w:hAnsi="Arial Narrow" w:cs="Times New Roman"/>
          <w:kern w:val="28"/>
          <w:sz w:val="18"/>
          <w:lang w:eastAsia="en-GB"/>
        </w:rPr>
        <w:t xml:space="preserve"> dexamethasone</w:t>
      </w:r>
      <w:r w:rsidR="00502FDB" w:rsidRPr="00BE6650">
        <w:rPr>
          <w:rFonts w:ascii="Arial Narrow" w:hAnsi="Arial Narrow" w:cs="Times New Roman"/>
          <w:kern w:val="28"/>
          <w:sz w:val="18"/>
          <w:lang w:eastAsia="en-GB"/>
        </w:rPr>
        <w:t xml:space="preserve">; Xd = selinexor </w:t>
      </w:r>
      <w:r w:rsidR="00D13D91" w:rsidRPr="00BE6650">
        <w:rPr>
          <w:rFonts w:ascii="Arial Narrow" w:hAnsi="Arial Narrow" w:cs="Times New Roman"/>
          <w:kern w:val="28"/>
          <w:sz w:val="18"/>
          <w:lang w:eastAsia="en-GB"/>
        </w:rPr>
        <w:t>plus</w:t>
      </w:r>
      <w:r w:rsidR="00502FDB" w:rsidRPr="00BE6650">
        <w:rPr>
          <w:rFonts w:ascii="Arial Narrow" w:hAnsi="Arial Narrow" w:cs="Times New Roman"/>
          <w:kern w:val="28"/>
          <w:sz w:val="18"/>
          <w:lang w:eastAsia="en-GB"/>
        </w:rPr>
        <w:t xml:space="preserve"> dexamethasone</w:t>
      </w:r>
    </w:p>
    <w:p w14:paraId="34E09D23" w14:textId="77777777" w:rsidR="00A25B32" w:rsidRPr="00BE6650" w:rsidRDefault="00A25B32" w:rsidP="00B071ED">
      <w:pPr>
        <w:pStyle w:val="CaptionFootnote"/>
        <w:spacing w:after="240"/>
        <w:rPr>
          <w:rFonts w:ascii="Arial Narrow" w:hAnsi="Arial Narrow"/>
          <w:sz w:val="18"/>
          <w:szCs w:val="18"/>
        </w:rPr>
      </w:pPr>
      <w:r w:rsidRPr="00BE6650">
        <w:rPr>
          <w:rFonts w:ascii="Arial Narrow" w:hAnsi="Arial Narrow"/>
          <w:sz w:val="18"/>
          <w:szCs w:val="18"/>
        </w:rPr>
        <w:t>*</w:t>
      </w:r>
      <w:r w:rsidR="00D13D91" w:rsidRPr="00BE6650">
        <w:rPr>
          <w:rFonts w:ascii="Arial Narrow" w:hAnsi="Arial Narrow"/>
          <w:sz w:val="18"/>
          <w:szCs w:val="18"/>
        </w:rPr>
        <w:t>C</w:t>
      </w:r>
      <w:r w:rsidRPr="00BE6650">
        <w:rPr>
          <w:rFonts w:ascii="Arial Narrow" w:hAnsi="Arial Narrow"/>
          <w:sz w:val="18"/>
          <w:szCs w:val="18"/>
        </w:rPr>
        <w:t>arfilzomib and pomalidomide may not be available at first relapse</w:t>
      </w:r>
    </w:p>
    <w:p w14:paraId="27F90EC0" w14:textId="77777777" w:rsidR="00A25B32" w:rsidRPr="00BE6650" w:rsidRDefault="00A25B32" w:rsidP="00A25B32">
      <w:pPr>
        <w:pStyle w:val="3-BodyText"/>
        <w:rPr>
          <w:color w:val="0066FF"/>
        </w:rPr>
      </w:pPr>
      <w:r w:rsidRPr="00BE6650">
        <w:t xml:space="preserve">The proposed treatment algorithm </w:t>
      </w:r>
      <w:r w:rsidR="00A17B64" w:rsidRPr="00BE6650">
        <w:t>propose</w:t>
      </w:r>
      <w:r w:rsidR="00ED33EA" w:rsidRPr="00BE6650">
        <w:t>d</w:t>
      </w:r>
      <w:r w:rsidR="00A17B64" w:rsidRPr="00BE6650">
        <w:t xml:space="preserve"> </w:t>
      </w:r>
      <w:r w:rsidRPr="00BE6650">
        <w:t xml:space="preserve">that </w:t>
      </w:r>
      <w:r w:rsidR="00202081" w:rsidRPr="00BE6650">
        <w:t xml:space="preserve">Sd </w:t>
      </w:r>
      <w:r w:rsidRPr="00BE6650">
        <w:t xml:space="preserve">will be used in those </w:t>
      </w:r>
      <w:r w:rsidR="006E3C1B" w:rsidRPr="00BE6650">
        <w:t xml:space="preserve">with </w:t>
      </w:r>
      <w:r w:rsidRPr="00BE6650">
        <w:t xml:space="preserve">heavily pre-treated RRMM. The algorithm </w:t>
      </w:r>
      <w:r w:rsidR="00887637" w:rsidRPr="00BE6650">
        <w:t xml:space="preserve">did </w:t>
      </w:r>
      <w:r w:rsidRPr="00BE6650">
        <w:t xml:space="preserve">not suggest the use of specific drugs (where there is more than one available drug per line of treatment) for each line of treatment. </w:t>
      </w:r>
      <w:r w:rsidRPr="00BE6650">
        <w:rPr>
          <w:iCs/>
        </w:rPr>
        <w:t xml:space="preserve">Given that </w:t>
      </w:r>
      <w:r w:rsidR="00874692" w:rsidRPr="00BE6650">
        <w:rPr>
          <w:iCs/>
        </w:rPr>
        <w:t>DBd</w:t>
      </w:r>
      <w:r w:rsidRPr="00BE6650">
        <w:rPr>
          <w:iCs/>
        </w:rPr>
        <w:t xml:space="preserve"> is listed for use in second-line treatment only, this </w:t>
      </w:r>
      <w:r w:rsidR="004B5CDA" w:rsidRPr="00BE6650">
        <w:rPr>
          <w:iCs/>
        </w:rPr>
        <w:t xml:space="preserve">could </w:t>
      </w:r>
      <w:r w:rsidRPr="00BE6650">
        <w:rPr>
          <w:iCs/>
        </w:rPr>
        <w:t xml:space="preserve">be more clearly specified in the algorithm, followed by later lines of therapy/drugs that would be required to qualify for treatment with </w:t>
      </w:r>
      <w:r w:rsidR="00EB112D" w:rsidRPr="00BE6650">
        <w:rPr>
          <w:iCs/>
        </w:rPr>
        <w:t>Sd</w:t>
      </w:r>
      <w:r w:rsidRPr="00BE6650">
        <w:rPr>
          <w:iCs/>
        </w:rPr>
        <w:t>.</w:t>
      </w:r>
      <w:r w:rsidRPr="00BE6650">
        <w:t xml:space="preserve"> </w:t>
      </w:r>
    </w:p>
    <w:p w14:paraId="18B796B9" w14:textId="77777777" w:rsidR="00037670" w:rsidRPr="00BE6650" w:rsidRDefault="00037670" w:rsidP="00037670">
      <w:pPr>
        <w:pStyle w:val="3-BodyText"/>
        <w:rPr>
          <w:iCs/>
        </w:rPr>
      </w:pPr>
      <w:r w:rsidRPr="00BE6650">
        <w:rPr>
          <w:iCs/>
        </w:rPr>
        <w:t xml:space="preserve">Most patients experience serial relapses and will be treated with </w:t>
      </w:r>
      <w:r w:rsidR="00BA4865" w:rsidRPr="00BE6650">
        <w:rPr>
          <w:iCs/>
        </w:rPr>
        <w:t>a number of</w:t>
      </w:r>
      <w:r w:rsidRPr="00BE6650">
        <w:rPr>
          <w:iCs/>
        </w:rPr>
        <w:t xml:space="preserve"> the agents available for RRMM. The duration and quality of response usually becomes progressively shorter and of lesser quality with each successive regimen. A preferred order has not been established. In general, </w:t>
      </w:r>
      <w:r w:rsidR="00512BDA" w:rsidRPr="00BE6650">
        <w:rPr>
          <w:iCs/>
        </w:rPr>
        <w:t>patients are treated with</w:t>
      </w:r>
      <w:r w:rsidRPr="00BE6650">
        <w:rPr>
          <w:iCs/>
        </w:rPr>
        <w:t xml:space="preserve"> a three-drug combination that incorporates at least two new drugs to which the patient has not been exposed. Retreatment with a regimen that includes a particular drug (or another drug in that class) is reasonable if the most recent duration of response was at least one year. </w:t>
      </w:r>
      <w:r w:rsidR="0015630D" w:rsidRPr="00BE6650">
        <w:rPr>
          <w:iCs/>
        </w:rPr>
        <w:t>The ESC noted that</w:t>
      </w:r>
      <w:r w:rsidR="00EF4184" w:rsidRPr="00BE6650">
        <w:rPr>
          <w:iCs/>
        </w:rPr>
        <w:t>,</w:t>
      </w:r>
      <w:r w:rsidR="0015630D" w:rsidRPr="00BE6650">
        <w:rPr>
          <w:i/>
          <w:iCs/>
        </w:rPr>
        <w:t xml:space="preserve"> </w:t>
      </w:r>
      <w:r w:rsidRPr="00BE6650">
        <w:rPr>
          <w:iCs/>
        </w:rPr>
        <w:t>given the currently available data</w:t>
      </w:r>
      <w:r w:rsidR="00EF4184" w:rsidRPr="00BE6650">
        <w:rPr>
          <w:iCs/>
        </w:rPr>
        <w:t xml:space="preserve"> and safety concerns</w:t>
      </w:r>
      <w:r w:rsidRPr="00BE6650">
        <w:rPr>
          <w:iCs/>
        </w:rPr>
        <w:t xml:space="preserve">, selinexor </w:t>
      </w:r>
      <w:r w:rsidR="00E24A9F" w:rsidRPr="00BE6650">
        <w:rPr>
          <w:iCs/>
        </w:rPr>
        <w:t xml:space="preserve">may be best placed for use by </w:t>
      </w:r>
      <w:r w:rsidRPr="00BE6650">
        <w:rPr>
          <w:iCs/>
        </w:rPr>
        <w:t>patients with penta-refractory multiple myeloma, which includes disease refractory to daratumumab, both lenalidomide and pomalidomide, bortezomib, and carfilzomib.</w:t>
      </w:r>
    </w:p>
    <w:p w14:paraId="561DE8CF" w14:textId="77777777" w:rsidR="00A25B32" w:rsidRPr="00BE6650" w:rsidRDefault="00A25B32" w:rsidP="001C5009">
      <w:pPr>
        <w:pStyle w:val="3-BodyText"/>
      </w:pPr>
      <w:r w:rsidRPr="00BE6650">
        <w:t xml:space="preserve">Selinexor is an oral, first-in-class, selective inhibitor of nuclear export (SINE) compound that specifically blocks exportin 1 (XPO1). Inhibition of XPO1 leads, amongst other mechanisms, to the nuclear accumulation and activation of tumour suppressor proteins (TSP), which then initiate apoptosis in cancer cells. </w:t>
      </w:r>
      <w:r w:rsidR="001C5009" w:rsidRPr="00BE6650">
        <w:t xml:space="preserve">The </w:t>
      </w:r>
      <w:r w:rsidR="00BC5008" w:rsidRPr="00BE6650">
        <w:t>Pre-Sub-Committee Response (PSCR</w:t>
      </w:r>
      <w:r w:rsidR="001C5009" w:rsidRPr="00BE6650">
        <w:t xml:space="preserve">) claimed there </w:t>
      </w:r>
      <w:r w:rsidR="00B24522" w:rsidRPr="00BE6650">
        <w:t>wa</w:t>
      </w:r>
      <w:r w:rsidR="001C5009" w:rsidRPr="00BE6650">
        <w:t>s a high unmet need for novel therapies, such as selinexor, that can help delay progressive disease and improve the OS of patients with this advanced stage of refractory disease.</w:t>
      </w:r>
      <w:r w:rsidR="00B24522" w:rsidRPr="00BE6650">
        <w:t xml:space="preserve"> The PSCR also stated that selinexor would be a useful therapy in patients with advanced age, multiple comorbidities and concomitant medications. The ESC noted that </w:t>
      </w:r>
      <w:r w:rsidR="00B24522" w:rsidRPr="00BE6650">
        <w:rPr>
          <w:iCs/>
        </w:rPr>
        <w:t>there were various PBS listed treatment options available for patients with RRMM including thalidomide, bortezomib, lenalidomide, carfilzomib, daratumumab and pomalidomide. In addition, the ESC considered that the use of Sd in elderly patients with multiple comorbidities would be low considering the high incidence of adverse events, particularly haematological events.</w:t>
      </w:r>
    </w:p>
    <w:p w14:paraId="5479307A" w14:textId="77777777" w:rsidR="00C04575" w:rsidRPr="00BE6650" w:rsidRDefault="00C04575" w:rsidP="00C04575">
      <w:pPr>
        <w:pStyle w:val="3-BodyText"/>
        <w:numPr>
          <w:ilvl w:val="0"/>
          <w:numId w:val="0"/>
        </w:numPr>
        <w:ind w:left="720"/>
        <w:rPr>
          <w:i/>
        </w:rPr>
      </w:pPr>
      <w:r w:rsidRPr="00BE6650">
        <w:rPr>
          <w:i/>
        </w:rPr>
        <w:t>For more detail on PBAC’s view, see section 7 PBAC outcome.</w:t>
      </w:r>
    </w:p>
    <w:p w14:paraId="4845AC02" w14:textId="77777777" w:rsidR="00A25B32" w:rsidRPr="00BE6650" w:rsidRDefault="00A25B32" w:rsidP="00A25B32">
      <w:pPr>
        <w:pStyle w:val="2-SectionHeading"/>
        <w:numPr>
          <w:ilvl w:val="0"/>
          <w:numId w:val="1"/>
        </w:numPr>
      </w:pPr>
      <w:bookmarkStart w:id="7" w:name="_Toc72323734"/>
      <w:r w:rsidRPr="00BE6650">
        <w:t>Comparator</w:t>
      </w:r>
      <w:bookmarkEnd w:id="7"/>
    </w:p>
    <w:p w14:paraId="33E4B3F3" w14:textId="77777777" w:rsidR="00A25B32" w:rsidRPr="00BE6650" w:rsidRDefault="00A25B32" w:rsidP="00A25B32">
      <w:pPr>
        <w:pStyle w:val="3-BodyText"/>
        <w:rPr>
          <w:snapToGrid/>
        </w:rPr>
      </w:pPr>
      <w:r w:rsidRPr="00BE6650">
        <w:rPr>
          <w:snapToGrid/>
        </w:rPr>
        <w:t xml:space="preserve">The submission nominated </w:t>
      </w:r>
      <w:r w:rsidR="00CA5C5F" w:rsidRPr="00BE6650">
        <w:rPr>
          <w:snapToGrid/>
        </w:rPr>
        <w:t xml:space="preserve">salvage chemotherapy, consisting of </w:t>
      </w:r>
      <w:r w:rsidRPr="00BE6650">
        <w:rPr>
          <w:snapToGrid/>
        </w:rPr>
        <w:t>the combination of DCEP</w:t>
      </w:r>
      <w:r w:rsidR="005B4ED1" w:rsidRPr="00BE6650">
        <w:rPr>
          <w:snapToGrid/>
        </w:rPr>
        <w:t>,</w:t>
      </w:r>
      <w:r w:rsidRPr="00BE6650">
        <w:rPr>
          <w:snapToGrid/>
        </w:rPr>
        <w:t xml:space="preserve"> as the main comparator. </w:t>
      </w:r>
      <w:r w:rsidRPr="00BE6650">
        <w:rPr>
          <w:iCs/>
          <w:snapToGrid/>
        </w:rPr>
        <w:t xml:space="preserve">The clinical evidence relied upon for the clinical claim </w:t>
      </w:r>
      <w:r w:rsidR="00D36DA7" w:rsidRPr="00BE6650">
        <w:rPr>
          <w:iCs/>
          <w:snapToGrid/>
        </w:rPr>
        <w:t xml:space="preserve">was </w:t>
      </w:r>
      <w:r w:rsidRPr="00BE6650">
        <w:rPr>
          <w:iCs/>
          <w:snapToGrid/>
        </w:rPr>
        <w:t xml:space="preserve">based on a comparison of </w:t>
      </w:r>
      <w:r w:rsidR="00180E07" w:rsidRPr="00BE6650">
        <w:rPr>
          <w:iCs/>
          <w:snapToGrid/>
        </w:rPr>
        <w:t xml:space="preserve">Sd </w:t>
      </w:r>
      <w:r w:rsidRPr="00BE6650">
        <w:rPr>
          <w:iCs/>
          <w:snapToGrid/>
        </w:rPr>
        <w:t xml:space="preserve">with </w:t>
      </w:r>
      <w:r w:rsidR="00D01BFF" w:rsidRPr="00BE6650">
        <w:rPr>
          <w:iCs/>
          <w:snapToGrid/>
        </w:rPr>
        <w:t>conventional</w:t>
      </w:r>
      <w:r w:rsidRPr="00BE6650">
        <w:rPr>
          <w:iCs/>
          <w:snapToGrid/>
        </w:rPr>
        <w:t xml:space="preserve"> care, that included salvage chemotherapy amongst other treatments.</w:t>
      </w:r>
      <w:r w:rsidRPr="00BE6650">
        <w:rPr>
          <w:snapToGrid/>
        </w:rPr>
        <w:t xml:space="preserve"> </w:t>
      </w:r>
    </w:p>
    <w:p w14:paraId="67D84858" w14:textId="77777777" w:rsidR="00A25B32" w:rsidRPr="00BE6650" w:rsidRDefault="00A25B32" w:rsidP="005A08EA">
      <w:pPr>
        <w:pStyle w:val="3-BodyText"/>
        <w:rPr>
          <w:snapToGrid/>
        </w:rPr>
      </w:pPr>
      <w:r w:rsidRPr="00BE6650">
        <w:rPr>
          <w:snapToGrid/>
        </w:rPr>
        <w:t>The</w:t>
      </w:r>
      <w:r w:rsidR="0015630D" w:rsidRPr="00BE6650">
        <w:rPr>
          <w:snapToGrid/>
        </w:rPr>
        <w:t xml:space="preserve"> ESC</w:t>
      </w:r>
      <w:r w:rsidR="00590155" w:rsidRPr="00BE6650">
        <w:rPr>
          <w:snapToGrid/>
        </w:rPr>
        <w:t xml:space="preserve"> not</w:t>
      </w:r>
      <w:r w:rsidR="006A6DCF" w:rsidRPr="00BE6650">
        <w:rPr>
          <w:snapToGrid/>
        </w:rPr>
        <w:t>ed</w:t>
      </w:r>
      <w:r w:rsidR="00590155" w:rsidRPr="00BE6650">
        <w:rPr>
          <w:snapToGrid/>
        </w:rPr>
        <w:t xml:space="preserve"> that there was no standard of ca</w:t>
      </w:r>
      <w:r w:rsidR="006A6DCF" w:rsidRPr="00BE6650">
        <w:rPr>
          <w:snapToGrid/>
        </w:rPr>
        <w:t>re for fifth- and later-line MM and that</w:t>
      </w:r>
      <w:r w:rsidR="00590155" w:rsidRPr="00BE6650">
        <w:rPr>
          <w:snapToGrid/>
        </w:rPr>
        <w:t xml:space="preserve"> treatment can include single agent melphalan, cyclophosphamide or dexamethasone, radiotherapy,</w:t>
      </w:r>
      <w:r w:rsidR="0015630D" w:rsidRPr="00BE6650">
        <w:rPr>
          <w:snapToGrid/>
        </w:rPr>
        <w:t xml:space="preserve"> </w:t>
      </w:r>
      <w:r w:rsidR="00590155" w:rsidRPr="00BE6650">
        <w:rPr>
          <w:snapToGrid/>
        </w:rPr>
        <w:t>or an agent a patient has previously received</w:t>
      </w:r>
      <w:r w:rsidR="006A6DCF" w:rsidRPr="00BE6650">
        <w:rPr>
          <w:snapToGrid/>
        </w:rPr>
        <w:t xml:space="preserve"> and ha</w:t>
      </w:r>
      <w:r w:rsidR="00EF4184" w:rsidRPr="00BE6650">
        <w:rPr>
          <w:snapToGrid/>
        </w:rPr>
        <w:t>s</w:t>
      </w:r>
      <w:r w:rsidR="006A6DCF" w:rsidRPr="00BE6650">
        <w:rPr>
          <w:snapToGrid/>
        </w:rPr>
        <w:t xml:space="preserve"> </w:t>
      </w:r>
      <w:r w:rsidR="00EF4184" w:rsidRPr="00BE6650">
        <w:rPr>
          <w:snapToGrid/>
        </w:rPr>
        <w:t xml:space="preserve">had </w:t>
      </w:r>
      <w:r w:rsidR="006A6DCF" w:rsidRPr="00BE6650">
        <w:rPr>
          <w:snapToGrid/>
        </w:rPr>
        <w:t>a reasonable response to</w:t>
      </w:r>
      <w:r w:rsidR="00590155" w:rsidRPr="00BE6650">
        <w:rPr>
          <w:snapToGrid/>
        </w:rPr>
        <w:t>.</w:t>
      </w:r>
      <w:r w:rsidR="006A6DCF" w:rsidRPr="00BE6650">
        <w:rPr>
          <w:snapToGrid/>
        </w:rPr>
        <w:t xml:space="preserve"> Overall, the ESC </w:t>
      </w:r>
      <w:r w:rsidR="0015630D" w:rsidRPr="00BE6650">
        <w:rPr>
          <w:snapToGrid/>
        </w:rPr>
        <w:t>considered the</w:t>
      </w:r>
      <w:r w:rsidRPr="00BE6650">
        <w:rPr>
          <w:snapToGrid/>
        </w:rPr>
        <w:t xml:space="preserve"> proposed comparator </w:t>
      </w:r>
      <w:r w:rsidR="00AE54F7" w:rsidRPr="00BE6650">
        <w:rPr>
          <w:snapToGrid/>
        </w:rPr>
        <w:t>was</w:t>
      </w:r>
      <w:r w:rsidRPr="00BE6650">
        <w:rPr>
          <w:snapToGrid/>
        </w:rPr>
        <w:t xml:space="preserve"> </w:t>
      </w:r>
      <w:r w:rsidR="006A6DCF" w:rsidRPr="00BE6650">
        <w:rPr>
          <w:snapToGrid/>
        </w:rPr>
        <w:t>reasonable</w:t>
      </w:r>
      <w:r w:rsidR="00EF4184" w:rsidRPr="00BE6650">
        <w:rPr>
          <w:snapToGrid/>
        </w:rPr>
        <w:t xml:space="preserve"> and likely representative of last-line care</w:t>
      </w:r>
      <w:r w:rsidR="006A6DCF" w:rsidRPr="00BE6650">
        <w:rPr>
          <w:snapToGrid/>
        </w:rPr>
        <w:t xml:space="preserve">, but noted that </w:t>
      </w:r>
      <w:r w:rsidRPr="00BE6650">
        <w:rPr>
          <w:snapToGrid/>
        </w:rPr>
        <w:t>the PBAC previously considered that dexamethasone was an appropriate comparator for plitidepsin as a last line (fourth) treatment for RRMM in March 2020 (paragraph 7.4, plitidepsin</w:t>
      </w:r>
      <w:r w:rsidR="00C04575" w:rsidRPr="00BE6650">
        <w:rPr>
          <w:snapToGrid/>
        </w:rPr>
        <w:t xml:space="preserve"> </w:t>
      </w:r>
      <w:r w:rsidR="005A08EA" w:rsidRPr="005A08EA">
        <w:rPr>
          <w:iCs/>
          <w:snapToGrid/>
        </w:rPr>
        <w:t xml:space="preserve">Public Summary Document </w:t>
      </w:r>
      <w:r w:rsidR="005A08EA">
        <w:rPr>
          <w:iCs/>
          <w:snapToGrid/>
        </w:rPr>
        <w:t>(</w:t>
      </w:r>
      <w:r w:rsidR="00C04575" w:rsidRPr="00BE6650">
        <w:rPr>
          <w:snapToGrid/>
        </w:rPr>
        <w:t>PSD</w:t>
      </w:r>
      <w:r w:rsidR="005A08EA">
        <w:rPr>
          <w:snapToGrid/>
        </w:rPr>
        <w:t>)</w:t>
      </w:r>
      <w:r w:rsidR="00C04575" w:rsidRPr="00BE6650">
        <w:rPr>
          <w:snapToGrid/>
        </w:rPr>
        <w:t>, March 2020).</w:t>
      </w:r>
    </w:p>
    <w:p w14:paraId="6F5C345A" w14:textId="77777777" w:rsidR="00C04575" w:rsidRPr="00BE6650" w:rsidRDefault="00C04575" w:rsidP="00C04575">
      <w:pPr>
        <w:pStyle w:val="3-BodyText"/>
        <w:numPr>
          <w:ilvl w:val="0"/>
          <w:numId w:val="0"/>
        </w:numPr>
        <w:ind w:left="720"/>
        <w:rPr>
          <w:i/>
          <w:snapToGrid/>
        </w:rPr>
      </w:pPr>
      <w:r w:rsidRPr="00BE6650">
        <w:rPr>
          <w:i/>
          <w:snapToGrid/>
        </w:rPr>
        <w:t>For more detail on PBAC’s view, see section 7 PBAC outcome.</w:t>
      </w:r>
    </w:p>
    <w:p w14:paraId="3F515F79" w14:textId="77777777" w:rsidR="00A25B32" w:rsidRPr="00BE6650" w:rsidRDefault="00A25B32" w:rsidP="00A25B32">
      <w:pPr>
        <w:pStyle w:val="2-SectionHeading"/>
        <w:numPr>
          <w:ilvl w:val="0"/>
          <w:numId w:val="1"/>
        </w:numPr>
      </w:pPr>
      <w:bookmarkStart w:id="8" w:name="_Toc72323735"/>
      <w:bookmarkStart w:id="9" w:name="_Toc22897640"/>
      <w:r w:rsidRPr="00BE6650">
        <w:t>Consideration of the evidence</w:t>
      </w:r>
      <w:bookmarkEnd w:id="8"/>
    </w:p>
    <w:p w14:paraId="2FC88BAF" w14:textId="77777777" w:rsidR="002F5593" w:rsidRPr="00BE6650" w:rsidRDefault="002F5593" w:rsidP="002636FA">
      <w:pPr>
        <w:pStyle w:val="4-SubsectionHeading"/>
      </w:pPr>
      <w:bookmarkStart w:id="10" w:name="_Hlk76375935"/>
      <w:bookmarkStart w:id="11" w:name="_Toc72323736"/>
      <w:r w:rsidRPr="00BE6650">
        <w:t>Sponsor hearing</w:t>
      </w:r>
    </w:p>
    <w:p w14:paraId="3BA3938A" w14:textId="77777777" w:rsidR="002F5593" w:rsidRPr="00BE6650" w:rsidRDefault="002636FA" w:rsidP="002F5593">
      <w:pPr>
        <w:widowControl w:val="0"/>
        <w:numPr>
          <w:ilvl w:val="1"/>
          <w:numId w:val="1"/>
        </w:numPr>
        <w:spacing w:after="120"/>
        <w:ind w:left="720"/>
        <w:rPr>
          <w:rFonts w:cs="Calibri"/>
          <w:bCs/>
          <w:snapToGrid w:val="0"/>
        </w:rPr>
      </w:pPr>
      <w:bookmarkStart w:id="12" w:name="_Hlk76382586"/>
      <w:r w:rsidRPr="00BE6650">
        <w:rPr>
          <w:rFonts w:asciiTheme="minorHAnsi" w:hAnsiTheme="minorHAnsi"/>
          <w:bCs/>
          <w:snapToGrid w:val="0"/>
        </w:rPr>
        <w:t>The sponsor provided a hearing for this item.  The clinician presented discussed the natural history of the disease</w:t>
      </w:r>
      <w:r w:rsidR="008C0D8E" w:rsidRPr="00BE6650">
        <w:rPr>
          <w:rFonts w:asciiTheme="minorHAnsi" w:hAnsiTheme="minorHAnsi"/>
          <w:bCs/>
          <w:snapToGrid w:val="0"/>
        </w:rPr>
        <w:t xml:space="preserve">. The clinician </w:t>
      </w:r>
      <w:r w:rsidRPr="00BE6650">
        <w:rPr>
          <w:rFonts w:asciiTheme="minorHAnsi" w:hAnsiTheme="minorHAnsi"/>
          <w:bCs/>
          <w:snapToGrid w:val="0"/>
        </w:rPr>
        <w:t>described the benefits of Sd therapy</w:t>
      </w:r>
      <w:r w:rsidR="008C0D8E" w:rsidRPr="00BE6650">
        <w:rPr>
          <w:rFonts w:asciiTheme="minorHAnsi" w:hAnsiTheme="minorHAnsi"/>
          <w:bCs/>
          <w:snapToGrid w:val="0"/>
        </w:rPr>
        <w:t xml:space="preserve"> in patients with TCR/PR MM due to the novel mechanism of action of selinexor</w:t>
      </w:r>
      <w:r w:rsidRPr="00BE6650">
        <w:rPr>
          <w:rFonts w:asciiTheme="minorHAnsi" w:hAnsiTheme="minorHAnsi"/>
          <w:bCs/>
          <w:snapToGrid w:val="0"/>
        </w:rPr>
        <w:t xml:space="preserve"> </w:t>
      </w:r>
      <w:r w:rsidR="008C0D8E" w:rsidRPr="00BE6650">
        <w:rPr>
          <w:rFonts w:asciiTheme="minorHAnsi" w:hAnsiTheme="minorHAnsi"/>
          <w:bCs/>
          <w:snapToGrid w:val="0"/>
        </w:rPr>
        <w:t xml:space="preserve">and </w:t>
      </w:r>
      <w:r w:rsidRPr="00BE6650">
        <w:rPr>
          <w:rFonts w:asciiTheme="minorHAnsi" w:hAnsiTheme="minorHAnsi"/>
          <w:bCs/>
          <w:snapToGrid w:val="0"/>
        </w:rPr>
        <w:t>described management of the potential adverse events associated with treatment.  The PBAC considered that the hearing was informative as it provided a clinical perspective on the utilisation of Sd.</w:t>
      </w:r>
      <w:bookmarkEnd w:id="12"/>
    </w:p>
    <w:p w14:paraId="0D5FDC3E" w14:textId="77777777" w:rsidR="002F5593" w:rsidRPr="00BE6650" w:rsidRDefault="002F5593" w:rsidP="002636FA">
      <w:pPr>
        <w:pStyle w:val="4-SubsectionHeading"/>
      </w:pPr>
      <w:r w:rsidRPr="00BE6650">
        <w:t>Consumer comments</w:t>
      </w:r>
    </w:p>
    <w:p w14:paraId="3190F876" w14:textId="77777777" w:rsidR="002636FA" w:rsidRPr="00BE6650" w:rsidRDefault="002636FA" w:rsidP="002636FA">
      <w:pPr>
        <w:widowControl w:val="0"/>
        <w:numPr>
          <w:ilvl w:val="1"/>
          <w:numId w:val="1"/>
        </w:numPr>
        <w:spacing w:after="120"/>
        <w:ind w:left="720"/>
        <w:rPr>
          <w:rFonts w:asciiTheme="minorHAnsi" w:hAnsiTheme="minorHAnsi"/>
          <w:bCs/>
          <w:snapToGrid w:val="0"/>
        </w:rPr>
      </w:pPr>
      <w:bookmarkStart w:id="13" w:name="_Hlk76382618"/>
      <w:r w:rsidRPr="00BE6650">
        <w:rPr>
          <w:rFonts w:asciiTheme="minorHAnsi" w:hAnsiTheme="minorHAnsi"/>
          <w:bCs/>
          <w:snapToGrid w:val="0"/>
        </w:rPr>
        <w:t xml:space="preserve">The PBAC noted and welcomed the input from individuals (3) and organisations (3) via the Consumer Comments facility on the PBS website.  The comments from the individuals described the ongoing need for new treatment options for the management of RRMM.  </w:t>
      </w:r>
    </w:p>
    <w:p w14:paraId="21989AB7" w14:textId="77777777" w:rsidR="002F5593" w:rsidRPr="00BE6650" w:rsidRDefault="002636FA" w:rsidP="002636FA">
      <w:pPr>
        <w:widowControl w:val="0"/>
        <w:numPr>
          <w:ilvl w:val="1"/>
          <w:numId w:val="1"/>
        </w:numPr>
        <w:spacing w:after="120"/>
        <w:ind w:left="720"/>
        <w:rPr>
          <w:rFonts w:asciiTheme="minorHAnsi" w:hAnsiTheme="minorHAnsi"/>
          <w:bCs/>
          <w:snapToGrid w:val="0"/>
        </w:rPr>
      </w:pPr>
      <w:r w:rsidRPr="00BE6650">
        <w:rPr>
          <w:rFonts w:asciiTheme="minorHAnsi" w:hAnsiTheme="minorHAnsi"/>
          <w:bCs/>
          <w:snapToGrid w:val="0"/>
        </w:rPr>
        <w:t xml:space="preserve">The PBAC noted the advice received from (i) Myeloma Australia, (ii) Rare Cancers Australia, and (iii) the Leukaemia Foundation which described the ongoing clinical need for new therapies, such as selinexor, for the treatment of RRMM. </w:t>
      </w:r>
      <w:bookmarkEnd w:id="10"/>
      <w:bookmarkEnd w:id="13"/>
    </w:p>
    <w:p w14:paraId="76741BC5" w14:textId="77777777" w:rsidR="00A25B32" w:rsidRPr="00BE6650" w:rsidRDefault="00A25B32" w:rsidP="00A25B32">
      <w:pPr>
        <w:pStyle w:val="4-SubsectionHeading"/>
      </w:pPr>
      <w:r w:rsidRPr="00BE6650">
        <w:t>Clinical studies</w:t>
      </w:r>
      <w:bookmarkEnd w:id="9"/>
      <w:bookmarkEnd w:id="11"/>
    </w:p>
    <w:p w14:paraId="5F5A44BC" w14:textId="77777777" w:rsidR="00704B18" w:rsidRPr="00BE6650" w:rsidRDefault="000D1FD2" w:rsidP="00A25B32">
      <w:pPr>
        <w:pStyle w:val="3-BodyText"/>
      </w:pPr>
      <w:r w:rsidRPr="00BE6650">
        <w:t>The submission was based on one single arm study, STORM</w:t>
      </w:r>
      <w:r w:rsidR="00262E76" w:rsidRPr="00BE6650">
        <w:t xml:space="preserve"> </w:t>
      </w:r>
      <w:r w:rsidRPr="00BE6650">
        <w:t>Part 2 (</w:t>
      </w:r>
      <w:r w:rsidR="00861DA6" w:rsidRPr="00BE6650">
        <w:t xml:space="preserve">hereafter referred to as STORM; </w:t>
      </w:r>
      <w:r w:rsidRPr="00BE6650">
        <w:t>N=122</w:t>
      </w:r>
      <w:r w:rsidR="00512BDA" w:rsidRPr="00BE6650">
        <w:t xml:space="preserve"> for the</w:t>
      </w:r>
      <w:r w:rsidRPr="00BE6650">
        <w:t xml:space="preserve"> modified intention to treat population) </w:t>
      </w:r>
      <w:r w:rsidR="001D44A9" w:rsidRPr="00BE6650">
        <w:t xml:space="preserve">that </w:t>
      </w:r>
      <w:r w:rsidRPr="00BE6650">
        <w:t xml:space="preserve">included patients with penta-exposed </w:t>
      </w:r>
      <w:r w:rsidR="00895739" w:rsidRPr="00BE6650">
        <w:t xml:space="preserve">(PE) </w:t>
      </w:r>
      <w:r w:rsidRPr="00BE6650">
        <w:t xml:space="preserve">MM, defined as patients who </w:t>
      </w:r>
      <w:r w:rsidR="00D26F6B" w:rsidRPr="00BE6650">
        <w:t>were</w:t>
      </w:r>
      <w:r w:rsidRPr="00BE6650">
        <w:t xml:space="preserve"> previously treated with lenalidomide, pomalidomide, bortezomib, carfilzomib, and daratumumab (and an alkylating agent)</w:t>
      </w:r>
      <w:r w:rsidR="00895739" w:rsidRPr="00BE6650">
        <w:t>,</w:t>
      </w:r>
      <w:r w:rsidRPr="00BE6650">
        <w:t xml:space="preserve"> and TCR, defined as patients whose disease is refractory to prior treatment with at least </w:t>
      </w:r>
      <w:r w:rsidR="00773C6E" w:rsidRPr="00BE6650">
        <w:t>one</w:t>
      </w:r>
      <w:r w:rsidRPr="00BE6650">
        <w:t xml:space="preserve"> IMiD, at least </w:t>
      </w:r>
      <w:r w:rsidR="00773C6E" w:rsidRPr="00BE6650">
        <w:t>one</w:t>
      </w:r>
      <w:r w:rsidRPr="00BE6650">
        <w:t xml:space="preserve"> PI, and the anti-CD38 mAb daratumumab and glucocorticoids </w:t>
      </w:r>
      <w:r w:rsidR="00DF41CB" w:rsidRPr="00BE6650">
        <w:t>(</w:t>
      </w:r>
      <w:r w:rsidRPr="00BE6650">
        <w:t>TCR/PE MM</w:t>
      </w:r>
      <w:r w:rsidR="00DF41CB" w:rsidRPr="00BE6650">
        <w:t>)</w:t>
      </w:r>
      <w:r w:rsidRPr="00BE6650">
        <w:t xml:space="preserve">. </w:t>
      </w:r>
    </w:p>
    <w:p w14:paraId="250BB6FE" w14:textId="77777777" w:rsidR="006574C4" w:rsidRPr="00BE6650" w:rsidRDefault="006574C4" w:rsidP="00A25B32">
      <w:pPr>
        <w:pStyle w:val="3-BodyText"/>
      </w:pPr>
      <w:r w:rsidRPr="00BE6650">
        <w:t xml:space="preserve">Clinical results relevant to the requested listing (TCR/PR MM) were based on a subgroup of patients in STORM (N = 83) who were </w:t>
      </w:r>
      <w:r w:rsidR="008A7482" w:rsidRPr="00BE6650">
        <w:t xml:space="preserve">treated and were </w:t>
      </w:r>
      <w:r w:rsidRPr="00BE6650">
        <w:t>refractory to lenalidomide, pomalidomide, bortezomib, carfilzomib and daratumumab</w:t>
      </w:r>
      <w:r w:rsidR="008A7482" w:rsidRPr="00BE6650">
        <w:t xml:space="preserve"> (i.e. </w:t>
      </w:r>
      <w:r w:rsidR="006536DE" w:rsidRPr="00BE6650">
        <w:t>a subgroup of TCR/PE MM patients</w:t>
      </w:r>
      <w:r w:rsidR="008D2638" w:rsidRPr="00BE6650">
        <w:t>)</w:t>
      </w:r>
      <w:r w:rsidRPr="00BE6650">
        <w:t>.</w:t>
      </w:r>
      <w:r w:rsidR="007D7587" w:rsidRPr="00BE6650">
        <w:t xml:space="preserve"> </w:t>
      </w:r>
    </w:p>
    <w:p w14:paraId="4D77E7D1" w14:textId="77777777" w:rsidR="00F43E6E" w:rsidRPr="00BE6650" w:rsidRDefault="00F43E6E" w:rsidP="00F43E6E">
      <w:pPr>
        <w:pStyle w:val="3-BodyText"/>
      </w:pPr>
      <w:r w:rsidRPr="00BE6650">
        <w:t xml:space="preserve">The submission also presented two naïve comparisons of </w:t>
      </w:r>
      <w:r w:rsidR="002E59D9" w:rsidRPr="00BE6650">
        <w:t>OS</w:t>
      </w:r>
      <w:r w:rsidR="003F2D90" w:rsidRPr="00BE6650">
        <w:t xml:space="preserve"> and </w:t>
      </w:r>
      <w:r w:rsidR="002E59D9" w:rsidRPr="00BE6650">
        <w:t>overall response rate (</w:t>
      </w:r>
      <w:r w:rsidR="003F2D90" w:rsidRPr="00BE6650">
        <w:t>ORR</w:t>
      </w:r>
      <w:r w:rsidR="002E59D9" w:rsidRPr="00BE6650">
        <w:t>)</w:t>
      </w:r>
      <w:r w:rsidR="003F2D90" w:rsidRPr="00BE6650">
        <w:t xml:space="preserve"> between </w:t>
      </w:r>
      <w:r w:rsidR="00C07480" w:rsidRPr="00BE6650">
        <w:t>S</w:t>
      </w:r>
      <w:r w:rsidRPr="00BE6650">
        <w:t>d and conventional care, comparing the outcomes from STORM to two retrospective studies</w:t>
      </w:r>
      <w:r w:rsidR="005E5115" w:rsidRPr="00BE6650">
        <w:t>:</w:t>
      </w:r>
      <w:r w:rsidRPr="00BE6650">
        <w:t xml:space="preserve">  </w:t>
      </w:r>
    </w:p>
    <w:p w14:paraId="0C0529F3" w14:textId="77777777" w:rsidR="00FA3510" w:rsidRPr="00BE6650" w:rsidRDefault="0059633C" w:rsidP="004E4B07">
      <w:pPr>
        <w:pStyle w:val="3-BodyText"/>
        <w:numPr>
          <w:ilvl w:val="0"/>
          <w:numId w:val="9"/>
        </w:numPr>
      </w:pPr>
      <w:r w:rsidRPr="00BE6650">
        <w:t>Monoclonal Antibodies in Multiple Myeloma Outcomes after Therapy failure (MAMMOTH, N = 275) study</w:t>
      </w:r>
      <w:r w:rsidR="00FE0319" w:rsidRPr="00BE6650">
        <w:t xml:space="preserve">. </w:t>
      </w:r>
      <w:r w:rsidR="00AF012B" w:rsidRPr="00BE6650">
        <w:t>T</w:t>
      </w:r>
      <w:r w:rsidR="00FE0319" w:rsidRPr="00BE6650">
        <w:t>his study</w:t>
      </w:r>
      <w:r w:rsidRPr="00BE6650">
        <w:t xml:space="preserve"> </w:t>
      </w:r>
      <w:r w:rsidR="002E2736" w:rsidRPr="00BE6650">
        <w:t>investigat</w:t>
      </w:r>
      <w:r w:rsidR="00FE0319" w:rsidRPr="00BE6650">
        <w:t>ed</w:t>
      </w:r>
      <w:r w:rsidRPr="00BE6650">
        <w:t xml:space="preserve"> outcomes of patients who had become refractory to daratumumab</w:t>
      </w:r>
      <w:r w:rsidR="005E5115" w:rsidRPr="00BE6650">
        <w:t>.</w:t>
      </w:r>
      <w:r w:rsidRPr="00BE6650">
        <w:t xml:space="preserve"> Clinical outcomes used in the naive comparison with STORM were based on a subgroup of patients who were TCR/PE </w:t>
      </w:r>
      <w:r w:rsidR="00BE6895" w:rsidRPr="00BE6650">
        <w:t>MM</w:t>
      </w:r>
      <w:r w:rsidR="00AE54F7" w:rsidRPr="00BE6650">
        <w:t xml:space="preserve"> </w:t>
      </w:r>
      <w:r w:rsidRPr="00BE6650">
        <w:t xml:space="preserve">and who received subsequent therapy other than </w:t>
      </w:r>
      <w:r w:rsidR="00950AE0" w:rsidRPr="00BE6650">
        <w:t xml:space="preserve">Sd </w:t>
      </w:r>
      <w:r w:rsidRPr="00BE6650">
        <w:t xml:space="preserve">(n = 128). </w:t>
      </w:r>
    </w:p>
    <w:p w14:paraId="3D270DC5" w14:textId="77777777" w:rsidR="000B0DF5" w:rsidRPr="00BE6650" w:rsidRDefault="00FA3510" w:rsidP="004E4B07">
      <w:pPr>
        <w:pStyle w:val="3-BodyText"/>
        <w:numPr>
          <w:ilvl w:val="0"/>
          <w:numId w:val="9"/>
        </w:numPr>
      </w:pPr>
      <w:r w:rsidRPr="00BE6650">
        <w:t>The Flatiron Health Analytic Database (FLATIRON or FHAD, N = 36)</w:t>
      </w:r>
      <w:r w:rsidR="00FE0319" w:rsidRPr="00BE6650">
        <w:t xml:space="preserve"> study. This study</w:t>
      </w:r>
      <w:r w:rsidRPr="00BE6650">
        <w:t xml:space="preserve"> </w:t>
      </w:r>
      <w:r w:rsidR="00E109A6" w:rsidRPr="00BE6650">
        <w:t>investigat</w:t>
      </w:r>
      <w:r w:rsidR="00FE0319" w:rsidRPr="00BE6650">
        <w:t>ed</w:t>
      </w:r>
      <w:r w:rsidR="00E109A6" w:rsidRPr="00BE6650">
        <w:t xml:space="preserve"> outcomes of</w:t>
      </w:r>
      <w:r w:rsidRPr="00BE6650">
        <w:t xml:space="preserve"> patients who received at least one therapy after becoming TCR/PE</w:t>
      </w:r>
      <w:r w:rsidR="00BE6895" w:rsidRPr="00BE6650">
        <w:t xml:space="preserve"> MM</w:t>
      </w:r>
      <w:r w:rsidRPr="00BE6650">
        <w:t xml:space="preserve"> and who received subsequent therapy other than </w:t>
      </w:r>
      <w:r w:rsidR="00950AE0" w:rsidRPr="00BE6650">
        <w:t>Sd</w:t>
      </w:r>
      <w:r w:rsidR="00994E28" w:rsidRPr="00BE6650">
        <w:t>.</w:t>
      </w:r>
      <w:r w:rsidRPr="00BE6650">
        <w:t xml:space="preserve"> </w:t>
      </w:r>
    </w:p>
    <w:p w14:paraId="1E4804C7" w14:textId="77777777" w:rsidR="000B387F" w:rsidRPr="00BE6650" w:rsidRDefault="00420BDC" w:rsidP="00D07F17">
      <w:pPr>
        <w:pStyle w:val="3-BodyText"/>
      </w:pPr>
      <w:r w:rsidRPr="00BE6650">
        <w:t xml:space="preserve">STORM patients </w:t>
      </w:r>
      <w:r w:rsidR="005E5115" w:rsidRPr="00BE6650">
        <w:t xml:space="preserve">included </w:t>
      </w:r>
      <w:r w:rsidR="002A3E3C" w:rsidRPr="00BE6650">
        <w:t>in</w:t>
      </w:r>
      <w:r w:rsidRPr="00BE6650">
        <w:t xml:space="preserve"> the </w:t>
      </w:r>
      <w:r w:rsidR="001012ED" w:rsidRPr="00BE6650">
        <w:t xml:space="preserve">naïve </w:t>
      </w:r>
      <w:r w:rsidRPr="00BE6650">
        <w:t xml:space="preserve">comparison with MAMMOTH and FLATIRON were those </w:t>
      </w:r>
      <w:r w:rsidR="00452750" w:rsidRPr="00BE6650">
        <w:t xml:space="preserve">who were </w:t>
      </w:r>
      <w:r w:rsidRPr="00BE6650">
        <w:t xml:space="preserve">TCR/PE MM, and received </w:t>
      </w:r>
      <w:r w:rsidR="0076391C" w:rsidRPr="00BE6650">
        <w:t xml:space="preserve">Sd </w:t>
      </w:r>
      <w:r w:rsidRPr="00BE6650">
        <w:t>as the subsequent treatment (</w:t>
      </w:r>
      <w:r w:rsidR="007721B4" w:rsidRPr="00BE6650">
        <w:rPr>
          <w:iCs/>
        </w:rPr>
        <w:t xml:space="preserve">TCR/PE MM with </w:t>
      </w:r>
      <w:r w:rsidR="00664747" w:rsidRPr="00BE6650">
        <w:rPr>
          <w:iCs/>
        </w:rPr>
        <w:t xml:space="preserve">Sd as next </w:t>
      </w:r>
      <w:r w:rsidR="007721B4" w:rsidRPr="00BE6650">
        <w:rPr>
          <w:iCs/>
        </w:rPr>
        <w:t xml:space="preserve">subsequent </w:t>
      </w:r>
      <w:r w:rsidR="00664747" w:rsidRPr="00BE6650">
        <w:rPr>
          <w:iCs/>
        </w:rPr>
        <w:t>treatment</w:t>
      </w:r>
      <w:r w:rsidR="007721B4" w:rsidRPr="00BE6650">
        <w:rPr>
          <w:i/>
          <w:iCs/>
        </w:rPr>
        <w:t>;</w:t>
      </w:r>
      <w:r w:rsidR="007721B4" w:rsidRPr="00BE6650">
        <w:t xml:space="preserve"> </w:t>
      </w:r>
      <w:r w:rsidRPr="00BE6650">
        <w:t xml:space="preserve">n = 64). </w:t>
      </w:r>
      <w:r w:rsidR="00033784" w:rsidRPr="00BE6650">
        <w:rPr>
          <w:iCs/>
        </w:rPr>
        <w:t xml:space="preserve">This </w:t>
      </w:r>
      <w:r w:rsidR="00224641" w:rsidRPr="00BE6650">
        <w:rPr>
          <w:iCs/>
        </w:rPr>
        <w:t>subgroup</w:t>
      </w:r>
      <w:r w:rsidR="001211B6" w:rsidRPr="00BE6650">
        <w:rPr>
          <w:iCs/>
        </w:rPr>
        <w:t xml:space="preserve"> </w:t>
      </w:r>
      <w:r w:rsidR="00B83FA2" w:rsidRPr="00BE6650">
        <w:rPr>
          <w:iCs/>
        </w:rPr>
        <w:t>used in the comparison</w:t>
      </w:r>
      <w:r w:rsidR="00E42067" w:rsidRPr="00BE6650">
        <w:rPr>
          <w:iCs/>
        </w:rPr>
        <w:t xml:space="preserve"> </w:t>
      </w:r>
      <w:r w:rsidR="00536C18" w:rsidRPr="00BE6650">
        <w:rPr>
          <w:iCs/>
        </w:rPr>
        <w:t>was not consistent with</w:t>
      </w:r>
      <w:r w:rsidR="0082044F" w:rsidRPr="00BE6650">
        <w:rPr>
          <w:iCs/>
        </w:rPr>
        <w:t xml:space="preserve"> </w:t>
      </w:r>
      <w:r w:rsidR="001211B6" w:rsidRPr="00BE6650">
        <w:rPr>
          <w:iCs/>
        </w:rPr>
        <w:t xml:space="preserve">the </w:t>
      </w:r>
      <w:r w:rsidR="00083DCC" w:rsidRPr="00BE6650">
        <w:rPr>
          <w:iCs/>
        </w:rPr>
        <w:t xml:space="preserve">requested PBS </w:t>
      </w:r>
      <w:r w:rsidR="001211B6" w:rsidRPr="00BE6650">
        <w:rPr>
          <w:iCs/>
        </w:rPr>
        <w:t xml:space="preserve">restriction </w:t>
      </w:r>
      <w:r w:rsidR="00993A3F" w:rsidRPr="00BE6650">
        <w:rPr>
          <w:iCs/>
        </w:rPr>
        <w:t>(TCR/PR MM)</w:t>
      </w:r>
      <w:r w:rsidR="00083DCC" w:rsidRPr="00BE6650">
        <w:rPr>
          <w:iCs/>
        </w:rPr>
        <w:t>.</w:t>
      </w:r>
    </w:p>
    <w:p w14:paraId="4BEC0156" w14:textId="77777777" w:rsidR="00217FBA" w:rsidRPr="00BE6650" w:rsidRDefault="00217FBA" w:rsidP="00D07F17">
      <w:pPr>
        <w:pStyle w:val="3-BodyText"/>
      </w:pPr>
      <w:r w:rsidRPr="00BE6650">
        <w:t xml:space="preserve">A summary of </w:t>
      </w:r>
      <w:r w:rsidR="009800E9" w:rsidRPr="00BE6650">
        <w:t>the relevant</w:t>
      </w:r>
      <w:r w:rsidR="00C15316" w:rsidRPr="00BE6650">
        <w:t xml:space="preserve"> population</w:t>
      </w:r>
      <w:r w:rsidR="009800E9" w:rsidRPr="00BE6650">
        <w:t>s</w:t>
      </w:r>
      <w:r w:rsidR="00C15316" w:rsidRPr="00BE6650">
        <w:t xml:space="preserve"> from STORM presented by the submission </w:t>
      </w:r>
      <w:r w:rsidR="004475B0" w:rsidRPr="00BE6650">
        <w:t>is provided in Table 2.</w:t>
      </w:r>
    </w:p>
    <w:p w14:paraId="37FC1F2D" w14:textId="77777777" w:rsidR="004475B0" w:rsidRPr="00BE6650" w:rsidRDefault="004475B0" w:rsidP="004475B0">
      <w:pPr>
        <w:keepNext/>
        <w:rPr>
          <w:rFonts w:ascii="Arial Narrow" w:hAnsi="Arial Narrow"/>
          <w:b/>
          <w:bCs/>
          <w:sz w:val="20"/>
          <w:szCs w:val="20"/>
        </w:rPr>
      </w:pPr>
      <w:r w:rsidRPr="00BE6650">
        <w:rPr>
          <w:rFonts w:ascii="Arial Narrow" w:hAnsi="Arial Narrow"/>
          <w:b/>
          <w:bCs/>
          <w:sz w:val="20"/>
          <w:szCs w:val="20"/>
        </w:rPr>
        <w:t>Table 2: STORM population</w:t>
      </w:r>
      <w:r w:rsidR="00AC75AC" w:rsidRPr="00BE6650">
        <w:rPr>
          <w:rFonts w:ascii="Arial Narrow" w:hAnsi="Arial Narrow"/>
          <w:b/>
          <w:bCs/>
          <w:sz w:val="20"/>
          <w:szCs w:val="20"/>
        </w:rPr>
        <w:t>s</w:t>
      </w:r>
      <w:r w:rsidRPr="00BE6650">
        <w:rPr>
          <w:rFonts w:ascii="Arial Narrow" w:hAnsi="Arial Narrow"/>
          <w:b/>
          <w:bCs/>
          <w:sz w:val="20"/>
          <w:szCs w:val="20"/>
        </w:rPr>
        <w:t xml:space="preserve"> referred to in the submission. </w:t>
      </w:r>
    </w:p>
    <w:tbl>
      <w:tblPr>
        <w:tblStyle w:val="TableGrid"/>
        <w:tblW w:w="5000" w:type="pct"/>
        <w:tblCellMar>
          <w:left w:w="57" w:type="dxa"/>
          <w:right w:w="57" w:type="dxa"/>
        </w:tblCellMar>
        <w:tblLook w:val="04A0" w:firstRow="1" w:lastRow="0" w:firstColumn="1" w:lastColumn="0" w:noHBand="0" w:noVBand="1"/>
        <w:tblCaption w:val="Table 2: STORM populations referred to in the submission. "/>
      </w:tblPr>
      <w:tblGrid>
        <w:gridCol w:w="1715"/>
        <w:gridCol w:w="2391"/>
        <w:gridCol w:w="2411"/>
        <w:gridCol w:w="2499"/>
      </w:tblGrid>
      <w:tr w:rsidR="004475B0" w:rsidRPr="00BE6650" w14:paraId="1F574C16" w14:textId="77777777" w:rsidTr="00E517B9">
        <w:trPr>
          <w:tblHeader/>
        </w:trPr>
        <w:tc>
          <w:tcPr>
            <w:tcW w:w="951" w:type="pct"/>
          </w:tcPr>
          <w:p w14:paraId="5E44E081" w14:textId="77777777" w:rsidR="004475B0" w:rsidRPr="00BE6650" w:rsidRDefault="001276C4" w:rsidP="00531D58">
            <w:pPr>
              <w:keepNext/>
              <w:jc w:val="left"/>
              <w:rPr>
                <w:rFonts w:ascii="Arial Narrow" w:hAnsi="Arial Narrow"/>
                <w:b/>
                <w:bCs/>
                <w:iCs/>
                <w:sz w:val="20"/>
                <w:szCs w:val="20"/>
              </w:rPr>
            </w:pPr>
            <w:r w:rsidRPr="00BE6650">
              <w:rPr>
                <w:rFonts w:ascii="Arial Narrow" w:hAnsi="Arial Narrow"/>
                <w:b/>
                <w:bCs/>
                <w:iCs/>
                <w:sz w:val="20"/>
                <w:szCs w:val="20"/>
              </w:rPr>
              <w:t>Population</w:t>
            </w:r>
          </w:p>
        </w:tc>
        <w:tc>
          <w:tcPr>
            <w:tcW w:w="1326" w:type="pct"/>
          </w:tcPr>
          <w:p w14:paraId="1365A8EE" w14:textId="77777777" w:rsidR="004475B0" w:rsidRPr="00BE6650" w:rsidRDefault="001276C4" w:rsidP="00531D58">
            <w:pPr>
              <w:keepNext/>
              <w:jc w:val="center"/>
              <w:rPr>
                <w:rFonts w:ascii="Arial Narrow" w:hAnsi="Arial Narrow"/>
                <w:b/>
                <w:bCs/>
                <w:iCs/>
                <w:sz w:val="20"/>
                <w:szCs w:val="20"/>
              </w:rPr>
            </w:pPr>
            <w:r w:rsidRPr="00BE6650">
              <w:rPr>
                <w:rFonts w:ascii="Arial Narrow" w:hAnsi="Arial Narrow"/>
                <w:b/>
                <w:bCs/>
                <w:iCs/>
                <w:sz w:val="20"/>
                <w:szCs w:val="20"/>
              </w:rPr>
              <w:t>TCR/PE MM</w:t>
            </w:r>
          </w:p>
        </w:tc>
        <w:tc>
          <w:tcPr>
            <w:tcW w:w="1337" w:type="pct"/>
          </w:tcPr>
          <w:p w14:paraId="3E0E73CD" w14:textId="77777777" w:rsidR="004475B0" w:rsidRPr="00BE6650" w:rsidRDefault="001276C4" w:rsidP="00531D58">
            <w:pPr>
              <w:keepNext/>
              <w:jc w:val="center"/>
              <w:rPr>
                <w:rFonts w:ascii="Arial Narrow" w:hAnsi="Arial Narrow"/>
                <w:b/>
                <w:bCs/>
                <w:iCs/>
                <w:sz w:val="20"/>
                <w:szCs w:val="20"/>
              </w:rPr>
            </w:pPr>
            <w:r w:rsidRPr="00BE6650">
              <w:rPr>
                <w:rFonts w:ascii="Arial Narrow" w:hAnsi="Arial Narrow"/>
                <w:b/>
                <w:bCs/>
                <w:iCs/>
                <w:sz w:val="20"/>
                <w:szCs w:val="20"/>
              </w:rPr>
              <w:t xml:space="preserve">TCR/PR MM </w:t>
            </w:r>
          </w:p>
        </w:tc>
        <w:tc>
          <w:tcPr>
            <w:tcW w:w="1386" w:type="pct"/>
          </w:tcPr>
          <w:p w14:paraId="4B7D41EF" w14:textId="77777777" w:rsidR="004475B0" w:rsidRPr="00BE6650" w:rsidRDefault="001276C4" w:rsidP="00531D58">
            <w:pPr>
              <w:keepNext/>
              <w:jc w:val="center"/>
              <w:rPr>
                <w:rFonts w:ascii="Arial Narrow" w:hAnsi="Arial Narrow"/>
                <w:b/>
                <w:bCs/>
                <w:iCs/>
                <w:sz w:val="20"/>
                <w:szCs w:val="20"/>
              </w:rPr>
            </w:pPr>
            <w:r w:rsidRPr="00BE6650">
              <w:rPr>
                <w:rFonts w:ascii="Arial Narrow" w:hAnsi="Arial Narrow"/>
                <w:b/>
                <w:bCs/>
                <w:iCs/>
                <w:sz w:val="20"/>
                <w:szCs w:val="20"/>
              </w:rPr>
              <w:t xml:space="preserve">TCR/PE MM with Sd as next subsequent treatment </w:t>
            </w:r>
          </w:p>
        </w:tc>
      </w:tr>
      <w:tr w:rsidR="004475B0" w:rsidRPr="00BE6650" w14:paraId="08E79105" w14:textId="77777777" w:rsidTr="00C4672D">
        <w:tc>
          <w:tcPr>
            <w:tcW w:w="951" w:type="pct"/>
          </w:tcPr>
          <w:p w14:paraId="730EAECC" w14:textId="77777777" w:rsidR="004475B0" w:rsidRPr="00BE6650" w:rsidRDefault="00617F92" w:rsidP="00617F92">
            <w:pPr>
              <w:keepNext/>
              <w:jc w:val="left"/>
              <w:rPr>
                <w:rFonts w:ascii="Arial Narrow" w:hAnsi="Arial Narrow"/>
                <w:b/>
                <w:bCs/>
                <w:iCs/>
                <w:sz w:val="20"/>
                <w:szCs w:val="20"/>
              </w:rPr>
            </w:pPr>
            <w:r w:rsidRPr="00BE6650">
              <w:rPr>
                <w:rFonts w:ascii="Arial Narrow" w:hAnsi="Arial Narrow"/>
                <w:b/>
                <w:bCs/>
                <w:iCs/>
                <w:sz w:val="20"/>
                <w:szCs w:val="20"/>
              </w:rPr>
              <w:t>R</w:t>
            </w:r>
            <w:r w:rsidR="001276C4" w:rsidRPr="00BE6650">
              <w:rPr>
                <w:rFonts w:ascii="Arial Narrow" w:hAnsi="Arial Narrow"/>
                <w:b/>
                <w:bCs/>
                <w:iCs/>
                <w:sz w:val="20"/>
                <w:szCs w:val="20"/>
              </w:rPr>
              <w:t>elevan</w:t>
            </w:r>
            <w:r w:rsidRPr="00BE6650">
              <w:rPr>
                <w:rFonts w:ascii="Arial Narrow" w:hAnsi="Arial Narrow"/>
                <w:b/>
                <w:bCs/>
                <w:iCs/>
                <w:sz w:val="20"/>
                <w:szCs w:val="20"/>
              </w:rPr>
              <w:t>ce</w:t>
            </w:r>
            <w:r w:rsidR="001276C4" w:rsidRPr="00BE6650">
              <w:rPr>
                <w:rFonts w:ascii="Arial Narrow" w:hAnsi="Arial Narrow"/>
                <w:b/>
                <w:bCs/>
                <w:iCs/>
                <w:sz w:val="20"/>
                <w:szCs w:val="20"/>
              </w:rPr>
              <w:t xml:space="preserve"> in the submission</w:t>
            </w:r>
          </w:p>
        </w:tc>
        <w:tc>
          <w:tcPr>
            <w:tcW w:w="1326" w:type="pct"/>
          </w:tcPr>
          <w:p w14:paraId="1554BAE7" w14:textId="77777777" w:rsidR="004475B0" w:rsidRPr="00BE6650" w:rsidRDefault="001276C4" w:rsidP="00531D58">
            <w:pPr>
              <w:keepNext/>
              <w:jc w:val="center"/>
              <w:rPr>
                <w:rFonts w:ascii="Arial Narrow" w:hAnsi="Arial Narrow"/>
                <w:iCs/>
                <w:sz w:val="20"/>
                <w:szCs w:val="20"/>
              </w:rPr>
            </w:pPr>
            <w:r w:rsidRPr="00BE6650">
              <w:rPr>
                <w:rFonts w:ascii="Arial Narrow" w:hAnsi="Arial Narrow"/>
                <w:iCs/>
                <w:sz w:val="20"/>
                <w:szCs w:val="20"/>
              </w:rPr>
              <w:t xml:space="preserve">Whole population </w:t>
            </w:r>
            <w:r w:rsidR="00AC75AC" w:rsidRPr="00BE6650">
              <w:rPr>
                <w:rFonts w:ascii="Arial Narrow" w:hAnsi="Arial Narrow"/>
                <w:iCs/>
                <w:sz w:val="20"/>
                <w:szCs w:val="20"/>
              </w:rPr>
              <w:br/>
            </w:r>
            <w:r w:rsidRPr="00BE6650">
              <w:rPr>
                <w:rFonts w:ascii="Arial Narrow" w:hAnsi="Arial Narrow"/>
                <w:iCs/>
                <w:sz w:val="20"/>
                <w:szCs w:val="20"/>
              </w:rPr>
              <w:t>(Part 2; mITT)</w:t>
            </w:r>
          </w:p>
        </w:tc>
        <w:tc>
          <w:tcPr>
            <w:tcW w:w="1337" w:type="pct"/>
          </w:tcPr>
          <w:p w14:paraId="6E92EDE2" w14:textId="77777777" w:rsidR="004475B0" w:rsidRPr="00BE6650" w:rsidRDefault="001276C4" w:rsidP="00531D58">
            <w:pPr>
              <w:keepNext/>
              <w:jc w:val="center"/>
              <w:rPr>
                <w:rFonts w:ascii="Arial Narrow" w:hAnsi="Arial Narrow"/>
                <w:iCs/>
                <w:sz w:val="20"/>
                <w:szCs w:val="20"/>
              </w:rPr>
            </w:pPr>
            <w:r w:rsidRPr="00BE6650">
              <w:rPr>
                <w:rFonts w:ascii="Arial Narrow" w:hAnsi="Arial Narrow"/>
                <w:iCs/>
                <w:sz w:val="20"/>
                <w:szCs w:val="20"/>
              </w:rPr>
              <w:t>Requested restriction</w:t>
            </w:r>
          </w:p>
        </w:tc>
        <w:tc>
          <w:tcPr>
            <w:tcW w:w="1386" w:type="pct"/>
          </w:tcPr>
          <w:p w14:paraId="15BCD943" w14:textId="77777777" w:rsidR="004475B0" w:rsidRPr="00BE6650" w:rsidRDefault="004231F1" w:rsidP="00531D58">
            <w:pPr>
              <w:keepNext/>
              <w:jc w:val="center"/>
              <w:rPr>
                <w:rFonts w:ascii="Arial Narrow" w:hAnsi="Arial Narrow"/>
                <w:iCs/>
                <w:sz w:val="20"/>
                <w:szCs w:val="20"/>
              </w:rPr>
            </w:pPr>
            <w:r w:rsidRPr="00BE6650">
              <w:rPr>
                <w:rFonts w:ascii="Arial Narrow" w:hAnsi="Arial Narrow"/>
                <w:iCs/>
                <w:sz w:val="20"/>
                <w:szCs w:val="20"/>
              </w:rPr>
              <w:t>Used in the n</w:t>
            </w:r>
            <w:r w:rsidR="001276C4" w:rsidRPr="00BE6650">
              <w:rPr>
                <w:rFonts w:ascii="Arial Narrow" w:hAnsi="Arial Narrow"/>
                <w:iCs/>
                <w:sz w:val="20"/>
                <w:szCs w:val="20"/>
              </w:rPr>
              <w:t>aïve comparison with MAMMOTH and FLATIRON</w:t>
            </w:r>
          </w:p>
        </w:tc>
      </w:tr>
      <w:tr w:rsidR="004475B0" w:rsidRPr="00BE6650" w14:paraId="3D0816D0" w14:textId="77777777" w:rsidTr="00C4672D">
        <w:tc>
          <w:tcPr>
            <w:tcW w:w="951" w:type="pct"/>
          </w:tcPr>
          <w:p w14:paraId="36B330B4" w14:textId="77777777" w:rsidR="004475B0" w:rsidRPr="00BE6650" w:rsidRDefault="004475B0" w:rsidP="00531D58">
            <w:pPr>
              <w:keepNext/>
              <w:jc w:val="left"/>
              <w:rPr>
                <w:rFonts w:ascii="Arial Narrow" w:hAnsi="Arial Narrow"/>
                <w:b/>
                <w:bCs/>
                <w:iCs/>
                <w:sz w:val="20"/>
                <w:szCs w:val="20"/>
              </w:rPr>
            </w:pPr>
            <w:r w:rsidRPr="00BE6650">
              <w:rPr>
                <w:rFonts w:ascii="Arial Narrow" w:hAnsi="Arial Narrow"/>
                <w:b/>
                <w:bCs/>
                <w:iCs/>
                <w:sz w:val="20"/>
                <w:szCs w:val="20"/>
              </w:rPr>
              <w:t>Number of patients</w:t>
            </w:r>
          </w:p>
        </w:tc>
        <w:tc>
          <w:tcPr>
            <w:tcW w:w="1326" w:type="pct"/>
          </w:tcPr>
          <w:p w14:paraId="13603299"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 = 122</w:t>
            </w:r>
          </w:p>
        </w:tc>
        <w:tc>
          <w:tcPr>
            <w:tcW w:w="1337" w:type="pct"/>
          </w:tcPr>
          <w:p w14:paraId="6C81DCD0"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 = 83</w:t>
            </w:r>
          </w:p>
        </w:tc>
        <w:tc>
          <w:tcPr>
            <w:tcW w:w="1386" w:type="pct"/>
          </w:tcPr>
          <w:p w14:paraId="4D011178"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 = 64</w:t>
            </w:r>
          </w:p>
        </w:tc>
      </w:tr>
      <w:tr w:rsidR="004475B0" w:rsidRPr="00BE6650" w14:paraId="70EF3A35" w14:textId="77777777" w:rsidTr="00C4672D">
        <w:tc>
          <w:tcPr>
            <w:tcW w:w="951" w:type="pct"/>
          </w:tcPr>
          <w:p w14:paraId="7A600AD1" w14:textId="77777777" w:rsidR="004475B0" w:rsidRPr="00BE6650" w:rsidRDefault="001276C4" w:rsidP="00531D58">
            <w:pPr>
              <w:keepNext/>
              <w:jc w:val="left"/>
              <w:rPr>
                <w:rFonts w:ascii="Arial Narrow" w:hAnsi="Arial Narrow"/>
                <w:b/>
                <w:bCs/>
                <w:iCs/>
                <w:sz w:val="20"/>
                <w:szCs w:val="20"/>
              </w:rPr>
            </w:pPr>
            <w:r w:rsidRPr="00BE6650">
              <w:rPr>
                <w:rFonts w:ascii="Arial Narrow" w:hAnsi="Arial Narrow"/>
                <w:b/>
                <w:bCs/>
                <w:iCs/>
                <w:sz w:val="20"/>
                <w:szCs w:val="20"/>
              </w:rPr>
              <w:t xml:space="preserve">Details </w:t>
            </w:r>
            <w:r w:rsidR="004475B0" w:rsidRPr="00BE6650">
              <w:rPr>
                <w:rFonts w:ascii="Arial Narrow" w:hAnsi="Arial Narrow"/>
                <w:b/>
                <w:bCs/>
                <w:iCs/>
                <w:sz w:val="20"/>
                <w:szCs w:val="20"/>
              </w:rPr>
              <w:t xml:space="preserve"> </w:t>
            </w:r>
          </w:p>
        </w:tc>
        <w:tc>
          <w:tcPr>
            <w:tcW w:w="1326" w:type="pct"/>
          </w:tcPr>
          <w:p w14:paraId="518BEB49" w14:textId="77777777" w:rsidR="004475B0" w:rsidRPr="00BE6650" w:rsidRDefault="004475B0" w:rsidP="00531D58">
            <w:pPr>
              <w:keepNext/>
              <w:jc w:val="left"/>
              <w:rPr>
                <w:rFonts w:ascii="Arial Narrow" w:hAnsi="Arial Narrow"/>
                <w:iCs/>
                <w:sz w:val="20"/>
                <w:szCs w:val="20"/>
              </w:rPr>
            </w:pPr>
            <w:r w:rsidRPr="00BE6650">
              <w:rPr>
                <w:rFonts w:ascii="Arial Narrow" w:hAnsi="Arial Narrow"/>
                <w:iCs/>
                <w:sz w:val="20"/>
                <w:szCs w:val="20"/>
              </w:rPr>
              <w:t xml:space="preserve">Exposed to </w:t>
            </w:r>
            <w:r w:rsidR="00D13D91" w:rsidRPr="00BE6650">
              <w:rPr>
                <w:rFonts w:ascii="Arial Narrow" w:hAnsi="Arial Narrow"/>
                <w:iCs/>
                <w:sz w:val="20"/>
                <w:szCs w:val="20"/>
              </w:rPr>
              <w:t>BCLPD</w:t>
            </w:r>
            <w:r w:rsidRPr="00BE6650">
              <w:rPr>
                <w:rFonts w:ascii="Arial Narrow" w:hAnsi="Arial Narrow"/>
                <w:iCs/>
                <w:sz w:val="20"/>
                <w:szCs w:val="20"/>
              </w:rPr>
              <w:t xml:space="preserve"> (and an alkylating agent)</w:t>
            </w:r>
          </w:p>
        </w:tc>
        <w:tc>
          <w:tcPr>
            <w:tcW w:w="1337" w:type="pct"/>
          </w:tcPr>
          <w:p w14:paraId="7FCE36FE" w14:textId="77777777" w:rsidR="004475B0" w:rsidRPr="00BE6650" w:rsidRDefault="004475B0" w:rsidP="00531D58">
            <w:pPr>
              <w:keepNext/>
              <w:jc w:val="left"/>
              <w:rPr>
                <w:rFonts w:ascii="Arial Narrow" w:hAnsi="Arial Narrow"/>
                <w:iCs/>
                <w:sz w:val="20"/>
                <w:szCs w:val="20"/>
              </w:rPr>
            </w:pPr>
            <w:r w:rsidRPr="00BE6650">
              <w:rPr>
                <w:rFonts w:ascii="Arial Narrow" w:hAnsi="Arial Narrow"/>
                <w:iCs/>
                <w:sz w:val="20"/>
                <w:szCs w:val="20"/>
              </w:rPr>
              <w:t xml:space="preserve">Refractory to </w:t>
            </w:r>
            <w:r w:rsidR="00D13D91" w:rsidRPr="00BE6650">
              <w:rPr>
                <w:rFonts w:ascii="Arial Narrow" w:hAnsi="Arial Narrow"/>
                <w:iCs/>
                <w:sz w:val="20"/>
                <w:szCs w:val="20"/>
              </w:rPr>
              <w:t xml:space="preserve">≥ </w:t>
            </w:r>
            <w:r w:rsidRPr="00BE6650">
              <w:rPr>
                <w:rFonts w:ascii="Arial Narrow" w:hAnsi="Arial Narrow"/>
                <w:iCs/>
                <w:sz w:val="20"/>
                <w:szCs w:val="20"/>
              </w:rPr>
              <w:t>2 IMiD</w:t>
            </w:r>
            <w:r w:rsidR="00D13D91" w:rsidRPr="00BE6650">
              <w:rPr>
                <w:rFonts w:ascii="Arial Narrow" w:hAnsi="Arial Narrow"/>
                <w:iCs/>
                <w:sz w:val="20"/>
                <w:szCs w:val="20"/>
              </w:rPr>
              <w:t>s</w:t>
            </w:r>
            <w:r w:rsidRPr="00BE6650">
              <w:rPr>
                <w:rFonts w:ascii="Arial Narrow" w:hAnsi="Arial Narrow"/>
                <w:iCs/>
                <w:sz w:val="20"/>
                <w:szCs w:val="20"/>
              </w:rPr>
              <w:t xml:space="preserve">, </w:t>
            </w:r>
            <w:r w:rsidR="00D13D91" w:rsidRPr="00BE6650">
              <w:rPr>
                <w:rFonts w:ascii="Arial Narrow" w:hAnsi="Arial Narrow"/>
                <w:iCs/>
                <w:sz w:val="20"/>
                <w:szCs w:val="20"/>
              </w:rPr>
              <w:t xml:space="preserve">≥ </w:t>
            </w:r>
            <w:r w:rsidRPr="00BE6650">
              <w:rPr>
                <w:rFonts w:ascii="Arial Narrow" w:hAnsi="Arial Narrow"/>
                <w:iCs/>
                <w:sz w:val="20"/>
                <w:szCs w:val="20"/>
              </w:rPr>
              <w:t>2 PI</w:t>
            </w:r>
            <w:r w:rsidR="00D13D91" w:rsidRPr="00BE6650">
              <w:rPr>
                <w:rFonts w:ascii="Arial Narrow" w:hAnsi="Arial Narrow"/>
                <w:iCs/>
                <w:sz w:val="20"/>
                <w:szCs w:val="20"/>
              </w:rPr>
              <w:t>s</w:t>
            </w:r>
            <w:r w:rsidRPr="00BE6650">
              <w:rPr>
                <w:rFonts w:ascii="Arial Narrow" w:hAnsi="Arial Narrow"/>
                <w:iCs/>
                <w:sz w:val="20"/>
                <w:szCs w:val="20"/>
              </w:rPr>
              <w:t xml:space="preserve"> and </w:t>
            </w:r>
            <w:r w:rsidR="00D13D91" w:rsidRPr="00BE6650">
              <w:rPr>
                <w:rFonts w:ascii="Arial Narrow" w:hAnsi="Arial Narrow"/>
                <w:iCs/>
                <w:sz w:val="20"/>
                <w:szCs w:val="20"/>
              </w:rPr>
              <w:t xml:space="preserve">≥ </w:t>
            </w:r>
            <w:r w:rsidRPr="00BE6650">
              <w:rPr>
                <w:rFonts w:ascii="Arial Narrow" w:hAnsi="Arial Narrow"/>
                <w:iCs/>
                <w:sz w:val="20"/>
                <w:szCs w:val="20"/>
              </w:rPr>
              <w:t>1 mAb</w:t>
            </w:r>
            <w:r w:rsidR="00D13D91" w:rsidRPr="00BE6650">
              <w:rPr>
                <w:rFonts w:ascii="Arial Narrow" w:hAnsi="Arial Narrow"/>
                <w:iCs/>
                <w:sz w:val="20"/>
                <w:szCs w:val="20"/>
              </w:rPr>
              <w:t>s</w:t>
            </w:r>
            <w:r w:rsidR="00261A2E" w:rsidRPr="00BE6650">
              <w:rPr>
                <w:rFonts w:ascii="Arial Narrow" w:hAnsi="Arial Narrow"/>
                <w:iCs/>
                <w:sz w:val="20"/>
                <w:szCs w:val="20"/>
              </w:rPr>
              <w:t xml:space="preserve"> (per the submission</w:t>
            </w:r>
            <w:r w:rsidR="00AC75AC" w:rsidRPr="00BE6650">
              <w:rPr>
                <w:rFonts w:ascii="Arial Narrow" w:hAnsi="Arial Narrow"/>
                <w:iCs/>
                <w:sz w:val="20"/>
                <w:szCs w:val="20"/>
              </w:rPr>
              <w:t>,</w:t>
            </w:r>
            <w:r w:rsidR="00261A2E" w:rsidRPr="00BE6650">
              <w:rPr>
                <w:rFonts w:ascii="Arial Narrow" w:hAnsi="Arial Narrow"/>
                <w:iCs/>
                <w:sz w:val="20"/>
                <w:szCs w:val="20"/>
              </w:rPr>
              <w:t xml:space="preserve"> i.e. those refractory to </w:t>
            </w:r>
            <w:r w:rsidR="00D13D91" w:rsidRPr="00BE6650">
              <w:rPr>
                <w:rFonts w:ascii="Arial Narrow" w:hAnsi="Arial Narrow"/>
                <w:iCs/>
                <w:sz w:val="20"/>
                <w:szCs w:val="20"/>
              </w:rPr>
              <w:t>BCLPD</w:t>
            </w:r>
            <w:r w:rsidR="00AD55AD" w:rsidRPr="00BE6650">
              <w:rPr>
                <w:rFonts w:ascii="Arial Narrow" w:hAnsi="Arial Narrow"/>
                <w:iCs/>
                <w:sz w:val="20"/>
                <w:szCs w:val="20"/>
              </w:rPr>
              <w:t xml:space="preserve"> in STORM)</w:t>
            </w:r>
          </w:p>
        </w:tc>
        <w:tc>
          <w:tcPr>
            <w:tcW w:w="1386" w:type="pct"/>
          </w:tcPr>
          <w:p w14:paraId="2520A88F" w14:textId="77777777" w:rsidR="004475B0" w:rsidRPr="00BE6650" w:rsidRDefault="004475B0" w:rsidP="005337E5">
            <w:pPr>
              <w:keepNext/>
              <w:jc w:val="left"/>
              <w:rPr>
                <w:rFonts w:ascii="Arial Narrow" w:hAnsi="Arial Narrow"/>
                <w:iCs/>
                <w:sz w:val="20"/>
                <w:szCs w:val="20"/>
              </w:rPr>
            </w:pPr>
            <w:r w:rsidRPr="00BE6650">
              <w:rPr>
                <w:rFonts w:ascii="Arial Narrow" w:hAnsi="Arial Narrow"/>
                <w:iCs/>
                <w:sz w:val="20"/>
                <w:szCs w:val="20"/>
              </w:rPr>
              <w:t xml:space="preserve">Exposed to </w:t>
            </w:r>
            <w:r w:rsidR="00D13D91" w:rsidRPr="00BE6650">
              <w:rPr>
                <w:rFonts w:ascii="Arial Narrow" w:hAnsi="Arial Narrow"/>
                <w:iCs/>
                <w:sz w:val="20"/>
                <w:szCs w:val="20"/>
              </w:rPr>
              <w:t>BCLPD</w:t>
            </w:r>
            <w:r w:rsidRPr="00BE6650">
              <w:rPr>
                <w:rFonts w:ascii="Arial Narrow" w:hAnsi="Arial Narrow"/>
                <w:iCs/>
                <w:sz w:val="20"/>
                <w:szCs w:val="20"/>
              </w:rPr>
              <w:t xml:space="preserve"> (and an alkylating agent) and received </w:t>
            </w:r>
            <w:r w:rsidR="00380352" w:rsidRPr="00BE6650">
              <w:rPr>
                <w:rFonts w:ascii="Arial Narrow" w:hAnsi="Arial Narrow"/>
                <w:iCs/>
                <w:sz w:val="20"/>
                <w:szCs w:val="20"/>
              </w:rPr>
              <w:t>S</w:t>
            </w:r>
            <w:r w:rsidRPr="00BE6650">
              <w:rPr>
                <w:rFonts w:ascii="Arial Narrow" w:hAnsi="Arial Narrow"/>
                <w:iCs/>
                <w:sz w:val="20"/>
                <w:szCs w:val="20"/>
              </w:rPr>
              <w:t xml:space="preserve">d as </w:t>
            </w:r>
            <w:r w:rsidR="00451611" w:rsidRPr="00BE6650">
              <w:rPr>
                <w:rFonts w:ascii="Arial Narrow" w:hAnsi="Arial Narrow"/>
                <w:iCs/>
                <w:sz w:val="20"/>
                <w:szCs w:val="20"/>
              </w:rPr>
              <w:t>next subsequent treatment</w:t>
            </w:r>
            <w:r w:rsidR="004F2D1F" w:rsidRPr="00BE6650">
              <w:rPr>
                <w:rFonts w:ascii="Arial Narrow" w:hAnsi="Arial Narrow"/>
                <w:iCs/>
                <w:sz w:val="20"/>
                <w:szCs w:val="20"/>
              </w:rPr>
              <w:t>.</w:t>
            </w:r>
          </w:p>
        </w:tc>
      </w:tr>
      <w:tr w:rsidR="004475B0" w:rsidRPr="00BE6650" w14:paraId="425A865D" w14:textId="77777777" w:rsidTr="00C4672D">
        <w:tc>
          <w:tcPr>
            <w:tcW w:w="951" w:type="pct"/>
          </w:tcPr>
          <w:p w14:paraId="2498EF4D" w14:textId="77777777" w:rsidR="004475B0" w:rsidRPr="00BE6650" w:rsidRDefault="004475B0" w:rsidP="00531D58">
            <w:pPr>
              <w:keepNext/>
              <w:jc w:val="left"/>
              <w:rPr>
                <w:rFonts w:ascii="Arial Narrow" w:hAnsi="Arial Narrow"/>
                <w:b/>
                <w:bCs/>
                <w:iCs/>
                <w:sz w:val="20"/>
                <w:szCs w:val="20"/>
              </w:rPr>
            </w:pPr>
            <w:r w:rsidRPr="00BE6650">
              <w:rPr>
                <w:rFonts w:ascii="Arial Narrow" w:hAnsi="Arial Narrow"/>
                <w:b/>
                <w:bCs/>
                <w:iCs/>
                <w:sz w:val="20"/>
                <w:szCs w:val="20"/>
              </w:rPr>
              <w:t>Used for clinical claim</w:t>
            </w:r>
          </w:p>
        </w:tc>
        <w:tc>
          <w:tcPr>
            <w:tcW w:w="1326" w:type="pct"/>
          </w:tcPr>
          <w:p w14:paraId="1A21341E"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No</w:t>
            </w:r>
          </w:p>
        </w:tc>
        <w:tc>
          <w:tcPr>
            <w:tcW w:w="1337" w:type="pct"/>
          </w:tcPr>
          <w:p w14:paraId="06D91FE5"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No</w:t>
            </w:r>
          </w:p>
        </w:tc>
        <w:tc>
          <w:tcPr>
            <w:tcW w:w="1386" w:type="pct"/>
          </w:tcPr>
          <w:p w14:paraId="52A9421F"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Yes</w:t>
            </w:r>
          </w:p>
        </w:tc>
      </w:tr>
      <w:tr w:rsidR="004475B0" w:rsidRPr="00BE6650" w14:paraId="346D6C84" w14:textId="77777777" w:rsidTr="00C4672D">
        <w:tc>
          <w:tcPr>
            <w:tcW w:w="951" w:type="pct"/>
          </w:tcPr>
          <w:p w14:paraId="25E1753A" w14:textId="77777777" w:rsidR="004475B0" w:rsidRPr="00BE6650" w:rsidRDefault="004475B0" w:rsidP="00531D58">
            <w:pPr>
              <w:keepNext/>
              <w:jc w:val="left"/>
              <w:rPr>
                <w:rFonts w:ascii="Arial Narrow" w:hAnsi="Arial Narrow"/>
                <w:b/>
                <w:bCs/>
                <w:iCs/>
                <w:sz w:val="20"/>
                <w:szCs w:val="20"/>
              </w:rPr>
            </w:pPr>
            <w:r w:rsidRPr="00BE6650">
              <w:rPr>
                <w:rFonts w:ascii="Arial Narrow" w:hAnsi="Arial Narrow"/>
                <w:b/>
                <w:bCs/>
                <w:iCs/>
                <w:sz w:val="20"/>
                <w:szCs w:val="20"/>
              </w:rPr>
              <w:t>Use</w:t>
            </w:r>
            <w:r w:rsidR="00723330" w:rsidRPr="00BE6650">
              <w:rPr>
                <w:rFonts w:ascii="Arial Narrow" w:hAnsi="Arial Narrow"/>
                <w:b/>
                <w:bCs/>
                <w:iCs/>
                <w:sz w:val="20"/>
                <w:szCs w:val="20"/>
              </w:rPr>
              <w:t>d</w:t>
            </w:r>
            <w:r w:rsidRPr="00BE6650">
              <w:rPr>
                <w:rFonts w:ascii="Arial Narrow" w:hAnsi="Arial Narrow"/>
                <w:b/>
                <w:bCs/>
                <w:iCs/>
                <w:sz w:val="20"/>
                <w:szCs w:val="20"/>
              </w:rPr>
              <w:t xml:space="preserve"> in economic model</w:t>
            </w:r>
          </w:p>
        </w:tc>
        <w:tc>
          <w:tcPr>
            <w:tcW w:w="1326" w:type="pct"/>
          </w:tcPr>
          <w:p w14:paraId="555B0AEF"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No</w:t>
            </w:r>
          </w:p>
        </w:tc>
        <w:tc>
          <w:tcPr>
            <w:tcW w:w="1337" w:type="pct"/>
          </w:tcPr>
          <w:p w14:paraId="20BF5D00"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Yes</w:t>
            </w:r>
          </w:p>
        </w:tc>
        <w:tc>
          <w:tcPr>
            <w:tcW w:w="1386" w:type="pct"/>
          </w:tcPr>
          <w:p w14:paraId="685F8B3C" w14:textId="77777777" w:rsidR="004475B0" w:rsidRPr="00BE6650" w:rsidRDefault="004475B0" w:rsidP="00531D58">
            <w:pPr>
              <w:keepNext/>
              <w:jc w:val="center"/>
              <w:rPr>
                <w:rFonts w:ascii="Arial Narrow" w:hAnsi="Arial Narrow"/>
                <w:iCs/>
                <w:sz w:val="20"/>
                <w:szCs w:val="20"/>
              </w:rPr>
            </w:pPr>
            <w:r w:rsidRPr="00BE6650">
              <w:rPr>
                <w:rFonts w:ascii="Arial Narrow" w:hAnsi="Arial Narrow"/>
                <w:iCs/>
                <w:sz w:val="20"/>
                <w:szCs w:val="20"/>
              </w:rPr>
              <w:t>No</w:t>
            </w:r>
          </w:p>
        </w:tc>
      </w:tr>
      <w:tr w:rsidR="004475B0" w:rsidRPr="00BE6650" w14:paraId="0CA32E97" w14:textId="77777777" w:rsidTr="00C4672D">
        <w:tc>
          <w:tcPr>
            <w:tcW w:w="951" w:type="pct"/>
          </w:tcPr>
          <w:p w14:paraId="64E8D71F" w14:textId="77777777" w:rsidR="004475B0" w:rsidRPr="00BE6650" w:rsidRDefault="004475B0" w:rsidP="00531D58">
            <w:pPr>
              <w:keepNext/>
              <w:jc w:val="left"/>
              <w:rPr>
                <w:rFonts w:ascii="Arial Narrow" w:hAnsi="Arial Narrow"/>
                <w:b/>
                <w:bCs/>
                <w:iCs/>
                <w:sz w:val="20"/>
                <w:szCs w:val="20"/>
              </w:rPr>
            </w:pPr>
            <w:r w:rsidRPr="00BE6650">
              <w:rPr>
                <w:rFonts w:ascii="Arial Narrow" w:hAnsi="Arial Narrow"/>
                <w:b/>
                <w:bCs/>
                <w:iCs/>
                <w:sz w:val="20"/>
                <w:szCs w:val="20"/>
              </w:rPr>
              <w:t>Comments</w:t>
            </w:r>
          </w:p>
        </w:tc>
        <w:tc>
          <w:tcPr>
            <w:tcW w:w="1326" w:type="pct"/>
          </w:tcPr>
          <w:p w14:paraId="5391B1ED" w14:textId="77777777" w:rsidR="004475B0" w:rsidRPr="00BE6650" w:rsidRDefault="00617F92" w:rsidP="00531D58">
            <w:pPr>
              <w:keepNext/>
              <w:jc w:val="left"/>
              <w:rPr>
                <w:rFonts w:ascii="Arial Narrow" w:hAnsi="Arial Narrow"/>
                <w:iCs/>
                <w:sz w:val="20"/>
                <w:szCs w:val="20"/>
              </w:rPr>
            </w:pPr>
            <w:r w:rsidRPr="00BE6650">
              <w:rPr>
                <w:rFonts w:ascii="Arial Narrow" w:hAnsi="Arial Narrow"/>
                <w:iCs/>
                <w:sz w:val="20"/>
                <w:szCs w:val="20"/>
              </w:rPr>
              <w:t>Population is not consistent with the restriction requested population</w:t>
            </w:r>
            <w:r w:rsidR="004475B0" w:rsidRPr="00BE6650">
              <w:rPr>
                <w:rFonts w:ascii="Arial Narrow" w:hAnsi="Arial Narrow"/>
                <w:iCs/>
                <w:sz w:val="20"/>
                <w:szCs w:val="20"/>
              </w:rPr>
              <w:t xml:space="preserve">. Most patients were refractory </w:t>
            </w:r>
            <w:r w:rsidR="00D13D91" w:rsidRPr="00BE6650">
              <w:rPr>
                <w:rFonts w:ascii="Arial Narrow" w:hAnsi="Arial Narrow"/>
                <w:iCs/>
                <w:sz w:val="20"/>
                <w:szCs w:val="20"/>
              </w:rPr>
              <w:t>to</w:t>
            </w:r>
            <w:r w:rsidR="004475B0" w:rsidRPr="00BE6650">
              <w:rPr>
                <w:rFonts w:ascii="Arial Narrow" w:hAnsi="Arial Narrow"/>
                <w:iCs/>
                <w:sz w:val="20"/>
                <w:szCs w:val="20"/>
              </w:rPr>
              <w:t xml:space="preserve"> BCLPD.</w:t>
            </w:r>
          </w:p>
        </w:tc>
        <w:tc>
          <w:tcPr>
            <w:tcW w:w="1337" w:type="pct"/>
          </w:tcPr>
          <w:p w14:paraId="1763BFFF" w14:textId="77777777" w:rsidR="004475B0" w:rsidRPr="00BE6650" w:rsidRDefault="004475B0" w:rsidP="00531D58">
            <w:pPr>
              <w:keepNext/>
              <w:jc w:val="left"/>
              <w:rPr>
                <w:rFonts w:ascii="Arial Narrow" w:hAnsi="Arial Narrow"/>
                <w:iCs/>
                <w:sz w:val="20"/>
                <w:szCs w:val="20"/>
              </w:rPr>
            </w:pPr>
            <w:r w:rsidRPr="00BE6650">
              <w:rPr>
                <w:rFonts w:ascii="Arial Narrow" w:hAnsi="Arial Narrow"/>
                <w:iCs/>
                <w:sz w:val="20"/>
                <w:szCs w:val="20"/>
              </w:rPr>
              <w:t xml:space="preserve">No comparative evidence relating to this population was presented by the submission. Might receive other treatments prior to </w:t>
            </w:r>
            <w:r w:rsidR="00C07480" w:rsidRPr="00BE6650">
              <w:rPr>
                <w:rFonts w:ascii="Arial Narrow" w:hAnsi="Arial Narrow"/>
                <w:iCs/>
                <w:sz w:val="20"/>
                <w:szCs w:val="20"/>
              </w:rPr>
              <w:t>S</w:t>
            </w:r>
            <w:r w:rsidRPr="00BE6650">
              <w:rPr>
                <w:rFonts w:ascii="Arial Narrow" w:hAnsi="Arial Narrow"/>
                <w:iCs/>
                <w:sz w:val="20"/>
                <w:szCs w:val="20"/>
              </w:rPr>
              <w:t xml:space="preserve">d after becoming penta-refractory. </w:t>
            </w:r>
          </w:p>
        </w:tc>
        <w:tc>
          <w:tcPr>
            <w:tcW w:w="1386" w:type="pct"/>
          </w:tcPr>
          <w:p w14:paraId="68C94684" w14:textId="77777777" w:rsidR="004475B0" w:rsidRPr="00BE6650" w:rsidRDefault="004475B0" w:rsidP="00531D58">
            <w:pPr>
              <w:keepNext/>
              <w:jc w:val="left"/>
              <w:rPr>
                <w:rFonts w:ascii="Arial Narrow" w:hAnsi="Arial Narrow"/>
                <w:iCs/>
                <w:sz w:val="20"/>
                <w:szCs w:val="20"/>
              </w:rPr>
            </w:pPr>
            <w:r w:rsidRPr="00BE6650">
              <w:rPr>
                <w:rFonts w:ascii="Arial Narrow" w:hAnsi="Arial Narrow"/>
                <w:iCs/>
                <w:sz w:val="20"/>
                <w:szCs w:val="20"/>
              </w:rPr>
              <w:t>Naive comparative evidence.  Population is not consistent with the restriction requested population.</w:t>
            </w:r>
          </w:p>
        </w:tc>
      </w:tr>
    </w:tbl>
    <w:p w14:paraId="6B3F1B43" w14:textId="77777777" w:rsidR="004475B0" w:rsidRPr="00BE6650" w:rsidRDefault="004475B0" w:rsidP="004475B0">
      <w:pPr>
        <w:keepNext/>
        <w:rPr>
          <w:rFonts w:ascii="Arial Narrow" w:hAnsi="Arial Narrow"/>
          <w:sz w:val="18"/>
          <w:szCs w:val="18"/>
        </w:rPr>
      </w:pPr>
      <w:r w:rsidRPr="00BE6650">
        <w:rPr>
          <w:rFonts w:ascii="Arial Narrow" w:hAnsi="Arial Narrow"/>
          <w:sz w:val="18"/>
          <w:szCs w:val="18"/>
        </w:rPr>
        <w:t xml:space="preserve">Source: Developed during the evaluation </w:t>
      </w:r>
    </w:p>
    <w:p w14:paraId="6F05D352" w14:textId="77777777" w:rsidR="004475B0" w:rsidRPr="00BE6650" w:rsidRDefault="004475B0" w:rsidP="0049203A">
      <w:pPr>
        <w:keepNext/>
        <w:spacing w:after="240"/>
        <w:rPr>
          <w:rFonts w:ascii="Arial Narrow" w:hAnsi="Arial Narrow"/>
          <w:sz w:val="18"/>
          <w:szCs w:val="18"/>
        </w:rPr>
      </w:pPr>
      <w:r w:rsidRPr="00BE6650">
        <w:rPr>
          <w:rFonts w:ascii="Arial Narrow" w:hAnsi="Arial Narrow"/>
          <w:sz w:val="18"/>
          <w:szCs w:val="28"/>
        </w:rPr>
        <w:t xml:space="preserve">BCLPD = bortezomib, carfilzomib, lenalidomide, pomalidomide, daratumumab; IMiD = immunomodulatory agent; mITT = modified intention to treat population; mAb = anti-CD38 monoclonal antibody; PI = proteasome inhibitor; </w:t>
      </w:r>
      <w:r w:rsidRPr="00BE6650">
        <w:rPr>
          <w:rFonts w:ascii="Arial Narrow" w:hAnsi="Arial Narrow"/>
          <w:sz w:val="18"/>
          <w:szCs w:val="18"/>
        </w:rPr>
        <w:t>TCR/PE MM = triple class refractory and penta-exposed multiple myeloma</w:t>
      </w:r>
      <w:r w:rsidRPr="00BE6650">
        <w:rPr>
          <w:rFonts w:ascii="Arial Narrow" w:hAnsi="Arial Narrow"/>
          <w:sz w:val="18"/>
          <w:szCs w:val="28"/>
        </w:rPr>
        <w:t xml:space="preserve">; TCR/PR MM = triple class refractory and penta-refractory multiple myeloma; </w:t>
      </w:r>
      <w:r w:rsidR="00ED31E8" w:rsidRPr="00BE6650">
        <w:rPr>
          <w:rFonts w:ascii="Arial Narrow" w:hAnsi="Arial Narrow"/>
          <w:sz w:val="18"/>
          <w:szCs w:val="18"/>
        </w:rPr>
        <w:t>S</w:t>
      </w:r>
      <w:r w:rsidRPr="00BE6650">
        <w:rPr>
          <w:rFonts w:ascii="Arial Narrow" w:hAnsi="Arial Narrow"/>
          <w:sz w:val="18"/>
          <w:szCs w:val="18"/>
        </w:rPr>
        <w:t>d = selinexor plus dexamethasone</w:t>
      </w:r>
    </w:p>
    <w:p w14:paraId="4D88E5E7" w14:textId="77777777" w:rsidR="00A25B32" w:rsidRPr="00BE6650" w:rsidRDefault="00A25B32" w:rsidP="00A25B32">
      <w:pPr>
        <w:pStyle w:val="3-BodyText"/>
      </w:pPr>
      <w:r w:rsidRPr="00BE6650">
        <w:rPr>
          <w:snapToGrid/>
        </w:rPr>
        <w:t xml:space="preserve">Details of the studies presented in the submission are provided in </w:t>
      </w:r>
      <w:r w:rsidR="003E1106" w:rsidRPr="00BE6650">
        <w:rPr>
          <w:snapToGrid/>
        </w:rPr>
        <w:t xml:space="preserve">Table </w:t>
      </w:r>
      <w:r w:rsidR="00D7017E" w:rsidRPr="00BE6650">
        <w:rPr>
          <w:snapToGrid/>
        </w:rPr>
        <w:t>3</w:t>
      </w:r>
      <w:r w:rsidRPr="00BE6650">
        <w:rPr>
          <w:snapToGrid/>
        </w:rPr>
        <w:t xml:space="preserve">. </w:t>
      </w:r>
    </w:p>
    <w:p w14:paraId="17E8A52A" w14:textId="77777777" w:rsidR="00A25B32" w:rsidRPr="00BE6650" w:rsidRDefault="00A25B32" w:rsidP="00D13D91">
      <w:pPr>
        <w:pStyle w:val="TableFigureHeading"/>
        <w:rPr>
          <w:rStyle w:val="CommentReference"/>
          <w:b/>
          <w:szCs w:val="24"/>
        </w:rPr>
      </w:pPr>
      <w:r w:rsidRPr="00BE6650">
        <w:rPr>
          <w:rStyle w:val="CommentReference"/>
          <w:b/>
          <w:szCs w:val="24"/>
        </w:rPr>
        <w:t xml:space="preserve">Table </w:t>
      </w:r>
      <w:r w:rsidR="00D7017E" w:rsidRPr="00BE6650">
        <w:rPr>
          <w:rStyle w:val="CommentReference"/>
          <w:b/>
          <w:szCs w:val="24"/>
        </w:rPr>
        <w:t>3</w:t>
      </w:r>
      <w:r w:rsidRPr="00BE6650">
        <w:rPr>
          <w:rStyle w:val="CommentReference"/>
          <w:b/>
          <w:szCs w:val="24"/>
        </w:rPr>
        <w:t>: Studies and associated reports presented in the submission</w:t>
      </w:r>
    </w:p>
    <w:tbl>
      <w:tblPr>
        <w:tblStyle w:val="HTATableshaded"/>
        <w:tblW w:w="5000" w:type="pct"/>
        <w:tblLook w:val="01E0" w:firstRow="1" w:lastRow="1" w:firstColumn="1" w:lastColumn="1" w:noHBand="0" w:noVBand="0"/>
        <w:tblCaption w:val="Table 3: Studies and associated reports presented in the submission"/>
      </w:tblPr>
      <w:tblGrid>
        <w:gridCol w:w="1414"/>
        <w:gridCol w:w="4820"/>
        <w:gridCol w:w="2782"/>
      </w:tblGrid>
      <w:tr w:rsidR="00A25B32" w:rsidRPr="00BE6650" w14:paraId="2C43C15F" w14:textId="77777777" w:rsidTr="00723330">
        <w:trPr>
          <w:cnfStyle w:val="100000000000" w:firstRow="1" w:lastRow="0" w:firstColumn="0" w:lastColumn="0" w:oddVBand="0" w:evenVBand="0" w:oddHBand="0" w:evenHBand="0" w:firstRowFirstColumn="0" w:firstRowLastColumn="0" w:lastRowFirstColumn="0" w:lastRowLastColumn="0"/>
          <w:cantSplit/>
          <w:trHeight w:val="20"/>
          <w:tblHeader/>
        </w:trPr>
        <w:tc>
          <w:tcPr>
            <w:tcW w:w="784" w:type="pct"/>
          </w:tcPr>
          <w:p w14:paraId="5314F25B" w14:textId="77777777" w:rsidR="00A25B32" w:rsidRPr="00BE6650" w:rsidRDefault="00A25B32" w:rsidP="00D13D91">
            <w:pPr>
              <w:pStyle w:val="In-tableHeading"/>
              <w:spacing w:before="0" w:after="0"/>
              <w:rPr>
                <w:sz w:val="20"/>
                <w:szCs w:val="20"/>
                <w:lang w:val="en-AU"/>
              </w:rPr>
            </w:pPr>
            <w:r w:rsidRPr="00BE6650">
              <w:rPr>
                <w:sz w:val="20"/>
                <w:szCs w:val="20"/>
                <w:lang w:val="en-AU"/>
              </w:rPr>
              <w:t>Study ID</w:t>
            </w:r>
          </w:p>
        </w:tc>
        <w:tc>
          <w:tcPr>
            <w:tcW w:w="2673" w:type="pct"/>
          </w:tcPr>
          <w:p w14:paraId="65A26C71" w14:textId="77777777" w:rsidR="00A25B32" w:rsidRPr="00BE6650" w:rsidRDefault="00A25B32" w:rsidP="00D13D91">
            <w:pPr>
              <w:pStyle w:val="In-tableHeading"/>
              <w:spacing w:before="0" w:after="0"/>
              <w:rPr>
                <w:sz w:val="20"/>
                <w:szCs w:val="20"/>
                <w:lang w:val="en-AU"/>
              </w:rPr>
            </w:pPr>
            <w:r w:rsidRPr="00BE6650">
              <w:rPr>
                <w:sz w:val="20"/>
                <w:szCs w:val="20"/>
                <w:lang w:val="en-AU"/>
              </w:rPr>
              <w:t>Protocol title/ Publication title</w:t>
            </w:r>
          </w:p>
        </w:tc>
        <w:tc>
          <w:tcPr>
            <w:tcW w:w="1543" w:type="pct"/>
          </w:tcPr>
          <w:p w14:paraId="23270DA9" w14:textId="77777777" w:rsidR="00A25B32" w:rsidRPr="00BE6650" w:rsidRDefault="00A25B32" w:rsidP="00D13D91">
            <w:pPr>
              <w:pStyle w:val="In-tableHeading"/>
              <w:spacing w:before="0" w:after="0"/>
              <w:rPr>
                <w:sz w:val="20"/>
                <w:szCs w:val="20"/>
                <w:lang w:val="en-AU"/>
              </w:rPr>
            </w:pPr>
            <w:r w:rsidRPr="00BE6650">
              <w:rPr>
                <w:sz w:val="20"/>
                <w:szCs w:val="20"/>
                <w:lang w:val="en-AU"/>
              </w:rPr>
              <w:t>Publication citation</w:t>
            </w:r>
          </w:p>
        </w:tc>
      </w:tr>
      <w:tr w:rsidR="00855DB0" w:rsidRPr="00BE6650" w14:paraId="0E9FDBD5" w14:textId="77777777" w:rsidTr="00723330">
        <w:trPr>
          <w:cantSplit/>
          <w:trHeight w:val="20"/>
        </w:trPr>
        <w:tc>
          <w:tcPr>
            <w:tcW w:w="784" w:type="pct"/>
            <w:vMerge w:val="restart"/>
          </w:tcPr>
          <w:p w14:paraId="3E5E1D19" w14:textId="77777777" w:rsidR="00855DB0" w:rsidRPr="00BE6650" w:rsidRDefault="00855DB0" w:rsidP="00D13D91">
            <w:pPr>
              <w:pStyle w:val="TableLeft"/>
              <w:keepNext/>
              <w:spacing w:before="0" w:after="0"/>
              <w:rPr>
                <w:rFonts w:ascii="Arial Narrow" w:eastAsiaTheme="majorEastAsia" w:hAnsi="Arial Narrow" w:cstheme="majorBidi"/>
                <w:bCs/>
                <w:szCs w:val="20"/>
                <w:lang w:eastAsia="en-AU"/>
              </w:rPr>
            </w:pPr>
            <w:r w:rsidRPr="00BE6650">
              <w:rPr>
                <w:rFonts w:ascii="Arial Narrow" w:eastAsiaTheme="majorEastAsia" w:hAnsi="Arial Narrow" w:cstheme="majorBidi"/>
                <w:bCs/>
                <w:szCs w:val="20"/>
                <w:lang w:eastAsia="en-AU"/>
              </w:rPr>
              <w:t>STORM</w:t>
            </w:r>
          </w:p>
          <w:p w14:paraId="3B8F1BC7" w14:textId="77777777" w:rsidR="00855DB0" w:rsidRPr="00BE6650" w:rsidRDefault="00855DB0" w:rsidP="00D13D91">
            <w:pPr>
              <w:pStyle w:val="TableLeft"/>
              <w:keepNext/>
              <w:spacing w:before="0" w:after="0"/>
              <w:rPr>
                <w:rFonts w:ascii="Arial Narrow" w:eastAsiaTheme="majorEastAsia" w:hAnsi="Arial Narrow" w:cstheme="majorBidi"/>
                <w:bCs/>
                <w:szCs w:val="20"/>
                <w:lang w:eastAsia="en-AU"/>
              </w:rPr>
            </w:pPr>
          </w:p>
          <w:p w14:paraId="7C297702" w14:textId="77777777" w:rsidR="00855DB0" w:rsidRPr="00BE6650" w:rsidRDefault="00855DB0" w:rsidP="00D13D91">
            <w:pPr>
              <w:pStyle w:val="TableLeft"/>
              <w:keepNext/>
              <w:spacing w:before="0" w:after="0"/>
              <w:rPr>
                <w:rFonts w:ascii="Arial Narrow" w:eastAsiaTheme="majorEastAsia" w:hAnsi="Arial Narrow" w:cstheme="majorBidi"/>
                <w:bCs/>
                <w:szCs w:val="20"/>
                <w:lang w:eastAsia="en-AU"/>
              </w:rPr>
            </w:pPr>
            <w:r w:rsidRPr="00BE6650">
              <w:rPr>
                <w:rFonts w:ascii="Arial Narrow" w:eastAsiaTheme="majorEastAsia" w:hAnsi="Arial Narrow" w:cstheme="majorBidi"/>
                <w:bCs/>
                <w:szCs w:val="20"/>
                <w:lang w:eastAsia="en-AU"/>
              </w:rPr>
              <w:t>NCT02336815</w:t>
            </w:r>
          </w:p>
          <w:p w14:paraId="5DC78023" w14:textId="77777777" w:rsidR="00855DB0" w:rsidRPr="00BE6650" w:rsidRDefault="00855DB0" w:rsidP="00D13D91">
            <w:pPr>
              <w:pStyle w:val="TableLeft"/>
              <w:keepNext/>
              <w:spacing w:before="0" w:after="0"/>
              <w:rPr>
                <w:rFonts w:ascii="Arial Narrow" w:eastAsiaTheme="majorEastAsia" w:hAnsi="Arial Narrow" w:cstheme="majorBidi"/>
                <w:bCs/>
                <w:szCs w:val="20"/>
                <w:lang w:eastAsia="en-AU"/>
              </w:rPr>
            </w:pPr>
          </w:p>
          <w:p w14:paraId="498B94A8" w14:textId="77777777" w:rsidR="00855DB0" w:rsidRPr="00BE6650" w:rsidRDefault="00855DB0" w:rsidP="00D13D91">
            <w:pPr>
              <w:pStyle w:val="TableText0"/>
              <w:spacing w:before="0" w:after="0"/>
              <w:rPr>
                <w:sz w:val="20"/>
                <w:szCs w:val="20"/>
              </w:rPr>
            </w:pPr>
            <w:r w:rsidRPr="00BE6650">
              <w:rPr>
                <w:sz w:val="20"/>
                <w:szCs w:val="20"/>
              </w:rPr>
              <w:t>EUCTR2016-003094-18-DE</w:t>
            </w:r>
          </w:p>
        </w:tc>
        <w:tc>
          <w:tcPr>
            <w:tcW w:w="2673" w:type="pct"/>
          </w:tcPr>
          <w:p w14:paraId="0AD2D7FC" w14:textId="77777777" w:rsidR="00855DB0" w:rsidRPr="00BE6650" w:rsidRDefault="00855DB0" w:rsidP="00D13D91">
            <w:pPr>
              <w:pStyle w:val="TableLeft"/>
              <w:keepNext/>
              <w:spacing w:before="0" w:after="0"/>
              <w:rPr>
                <w:rFonts w:ascii="Arial Narrow" w:hAnsi="Arial Narrow"/>
                <w:szCs w:val="20"/>
              </w:rPr>
            </w:pPr>
            <w:r w:rsidRPr="00BE6650">
              <w:rPr>
                <w:rFonts w:ascii="Arial Narrow" w:hAnsi="Arial Narrow"/>
                <w:szCs w:val="20"/>
              </w:rPr>
              <w:t>Clinical Study Report: Study KCP-330-012 (STORM study): Phase 2b study of selinexor plus low dose dexamethasone treatment in patients with penta-refractory RRMM [Phase 2b STORM study] – addresses patients with heavily pre-treated relapsed refractory multiple myeloma (RRMM)</w:t>
            </w:r>
          </w:p>
        </w:tc>
        <w:tc>
          <w:tcPr>
            <w:tcW w:w="1543" w:type="pct"/>
          </w:tcPr>
          <w:p w14:paraId="55B4A80D" w14:textId="77777777" w:rsidR="00855DB0" w:rsidRPr="00BE6650" w:rsidRDefault="00855DB0" w:rsidP="00D13D91">
            <w:pPr>
              <w:pStyle w:val="TableText0"/>
              <w:spacing w:before="0" w:after="0"/>
              <w:rPr>
                <w:iCs/>
                <w:sz w:val="20"/>
                <w:szCs w:val="20"/>
              </w:rPr>
            </w:pPr>
            <w:r w:rsidRPr="00BE6650">
              <w:rPr>
                <w:iCs/>
                <w:sz w:val="20"/>
                <w:szCs w:val="20"/>
              </w:rPr>
              <w:t>The CSR</w:t>
            </w:r>
          </w:p>
        </w:tc>
      </w:tr>
      <w:tr w:rsidR="00855DB0" w:rsidRPr="00BE6650" w14:paraId="3C48630E" w14:textId="77777777" w:rsidTr="00723330">
        <w:trPr>
          <w:cantSplit/>
          <w:trHeight w:val="20"/>
        </w:trPr>
        <w:tc>
          <w:tcPr>
            <w:tcW w:w="784" w:type="pct"/>
            <w:vMerge/>
          </w:tcPr>
          <w:p w14:paraId="25C13D71" w14:textId="77777777" w:rsidR="00855DB0" w:rsidRPr="00BE6650" w:rsidRDefault="00855DB0" w:rsidP="00D13D91">
            <w:pPr>
              <w:pStyle w:val="TableText0"/>
              <w:spacing w:before="0" w:after="0"/>
              <w:rPr>
                <w:sz w:val="20"/>
                <w:szCs w:val="20"/>
              </w:rPr>
            </w:pPr>
          </w:p>
        </w:tc>
        <w:tc>
          <w:tcPr>
            <w:tcW w:w="2673" w:type="pct"/>
          </w:tcPr>
          <w:p w14:paraId="015EE156" w14:textId="77777777" w:rsidR="00855DB0" w:rsidRPr="00BE6650" w:rsidRDefault="00855DB0" w:rsidP="00D13D91">
            <w:pPr>
              <w:pStyle w:val="TableText0"/>
              <w:spacing w:before="0" w:after="0"/>
              <w:rPr>
                <w:sz w:val="20"/>
                <w:szCs w:val="20"/>
              </w:rPr>
            </w:pPr>
            <w:r w:rsidRPr="00BE6650">
              <w:rPr>
                <w:rFonts w:cs="Calibri"/>
                <w:sz w:val="20"/>
                <w:szCs w:val="20"/>
              </w:rPr>
              <w:t xml:space="preserve">Chari A, Vogl DT, Gavriatopoulou M, et al. Oral Selinexor-Dexamethasone for Triple-Class Refractory Multiple Myeloma. </w:t>
            </w:r>
          </w:p>
        </w:tc>
        <w:tc>
          <w:tcPr>
            <w:tcW w:w="1543" w:type="pct"/>
          </w:tcPr>
          <w:p w14:paraId="2FF74615" w14:textId="77777777" w:rsidR="00855DB0" w:rsidRPr="00BE6650" w:rsidRDefault="00855DB0" w:rsidP="00D13D91">
            <w:pPr>
              <w:pStyle w:val="TableText0"/>
              <w:spacing w:before="0" w:after="0"/>
              <w:rPr>
                <w:i/>
                <w:sz w:val="20"/>
                <w:szCs w:val="20"/>
              </w:rPr>
            </w:pPr>
            <w:r w:rsidRPr="00BE6650">
              <w:rPr>
                <w:rFonts w:cs="Calibri"/>
                <w:sz w:val="20"/>
                <w:szCs w:val="20"/>
              </w:rPr>
              <w:t xml:space="preserve">N Engl J Med. 2019 Aug 22;381(8):727-738. </w:t>
            </w:r>
          </w:p>
        </w:tc>
      </w:tr>
      <w:tr w:rsidR="00855DB0" w:rsidRPr="00BE6650" w14:paraId="7E915171" w14:textId="77777777" w:rsidTr="00723330">
        <w:trPr>
          <w:cantSplit/>
          <w:trHeight w:val="20"/>
        </w:trPr>
        <w:tc>
          <w:tcPr>
            <w:tcW w:w="784" w:type="pct"/>
            <w:vMerge/>
          </w:tcPr>
          <w:p w14:paraId="400CE3BE" w14:textId="77777777" w:rsidR="00855DB0" w:rsidRPr="00BE6650" w:rsidRDefault="00855DB0" w:rsidP="00D13D91">
            <w:pPr>
              <w:pStyle w:val="TableText0"/>
              <w:spacing w:before="0" w:after="0"/>
              <w:rPr>
                <w:sz w:val="20"/>
                <w:szCs w:val="20"/>
              </w:rPr>
            </w:pPr>
          </w:p>
        </w:tc>
        <w:tc>
          <w:tcPr>
            <w:tcW w:w="2673" w:type="pct"/>
          </w:tcPr>
          <w:p w14:paraId="4989D57A" w14:textId="77777777" w:rsidR="00855DB0" w:rsidRPr="00BE6650" w:rsidRDefault="00855DB0" w:rsidP="00D13D91">
            <w:pPr>
              <w:pStyle w:val="TableText0"/>
              <w:spacing w:before="0" w:after="0"/>
              <w:rPr>
                <w:sz w:val="20"/>
                <w:szCs w:val="20"/>
              </w:rPr>
            </w:pPr>
            <w:r w:rsidRPr="00BE6650">
              <w:rPr>
                <w:rFonts w:cs="Calibri"/>
                <w:sz w:val="20"/>
                <w:szCs w:val="20"/>
              </w:rPr>
              <w:t xml:space="preserve">Vogl DT, Dingli D, Cornell RF, et al. Selective Inhibition of Nuclear Export With Oral Selinexor for Treatment of Relapsed or Refractory Multiple Myeloma. </w:t>
            </w:r>
          </w:p>
        </w:tc>
        <w:tc>
          <w:tcPr>
            <w:tcW w:w="1543" w:type="pct"/>
          </w:tcPr>
          <w:p w14:paraId="47CF80E9" w14:textId="77777777" w:rsidR="00855DB0" w:rsidRPr="00BE6650" w:rsidRDefault="00855DB0" w:rsidP="00D13D91">
            <w:pPr>
              <w:pStyle w:val="TableText0"/>
              <w:spacing w:before="0" w:after="0"/>
              <w:rPr>
                <w:i/>
                <w:sz w:val="20"/>
                <w:szCs w:val="20"/>
              </w:rPr>
            </w:pPr>
            <w:r w:rsidRPr="00BE6650">
              <w:rPr>
                <w:rFonts w:cs="Calibri"/>
                <w:sz w:val="20"/>
                <w:szCs w:val="20"/>
              </w:rPr>
              <w:t xml:space="preserve">J Clin Oncol. 2018 Mar 20;36(9):859-866. </w:t>
            </w:r>
          </w:p>
        </w:tc>
      </w:tr>
      <w:tr w:rsidR="00855DB0" w:rsidRPr="00BE6650" w14:paraId="3DF310CF" w14:textId="77777777" w:rsidTr="00723330">
        <w:trPr>
          <w:cantSplit/>
          <w:trHeight w:val="20"/>
        </w:trPr>
        <w:tc>
          <w:tcPr>
            <w:tcW w:w="784" w:type="pct"/>
            <w:vMerge w:val="restart"/>
          </w:tcPr>
          <w:p w14:paraId="27EE6459" w14:textId="77777777" w:rsidR="00855DB0" w:rsidRPr="00BE6650" w:rsidRDefault="00855DB0" w:rsidP="00D13D91">
            <w:pPr>
              <w:pStyle w:val="TableText0"/>
              <w:spacing w:before="0" w:after="0"/>
              <w:rPr>
                <w:szCs w:val="20"/>
              </w:rPr>
            </w:pPr>
            <w:r w:rsidRPr="00BE6650">
              <w:rPr>
                <w:sz w:val="20"/>
                <w:szCs w:val="20"/>
              </w:rPr>
              <w:t>STORM vs MAMMOTH</w:t>
            </w:r>
          </w:p>
        </w:tc>
        <w:tc>
          <w:tcPr>
            <w:tcW w:w="2673" w:type="pct"/>
          </w:tcPr>
          <w:p w14:paraId="7F8C6D64" w14:textId="77777777" w:rsidR="00855DB0" w:rsidRPr="00BE6650" w:rsidRDefault="00855DB0" w:rsidP="00D13D91">
            <w:pPr>
              <w:pStyle w:val="TableText0"/>
              <w:spacing w:before="0" w:after="0"/>
              <w:rPr>
                <w:rFonts w:cs="Calibri"/>
                <w:szCs w:val="20"/>
              </w:rPr>
            </w:pPr>
            <w:r w:rsidRPr="00BE6650">
              <w:rPr>
                <w:rFonts w:cs="Calibri"/>
                <w:sz w:val="20"/>
                <w:szCs w:val="20"/>
              </w:rPr>
              <w:t>Cornell R. Parameswaran H. Tang S.</w:t>
            </w:r>
            <w:r w:rsidR="00AC75AC" w:rsidRPr="00BE6650">
              <w:rPr>
                <w:rFonts w:cs="Calibri"/>
                <w:sz w:val="20"/>
                <w:szCs w:val="20"/>
              </w:rPr>
              <w:t>et a;</w:t>
            </w:r>
            <w:r w:rsidRPr="00BE6650">
              <w:rPr>
                <w:rFonts w:cs="Calibri"/>
                <w:sz w:val="20"/>
                <w:szCs w:val="20"/>
              </w:rPr>
              <w:t xml:space="preserve">. Real world vs. clinical trial outcomes of triple class refractory penta-exposed multiple myeloma (MM). </w:t>
            </w:r>
          </w:p>
        </w:tc>
        <w:tc>
          <w:tcPr>
            <w:tcW w:w="1543" w:type="pct"/>
          </w:tcPr>
          <w:p w14:paraId="494D84F9" w14:textId="77777777" w:rsidR="00855DB0" w:rsidRPr="00BE6650" w:rsidRDefault="00855DB0" w:rsidP="00D13D91">
            <w:pPr>
              <w:pStyle w:val="TableText0"/>
              <w:spacing w:before="0" w:after="0"/>
              <w:rPr>
                <w:rFonts w:cs="Calibri"/>
                <w:szCs w:val="20"/>
              </w:rPr>
            </w:pPr>
            <w:r w:rsidRPr="00BE6650">
              <w:rPr>
                <w:rFonts w:cs="Calibri"/>
                <w:sz w:val="20"/>
                <w:szCs w:val="20"/>
              </w:rPr>
              <w:t xml:space="preserve">Clinical Lymphoma, Myeloma and Leukemia. Conference: 17th International Myeloma Workshop. United States. 19 (10 Supplement) (pp e115-e116), October 2019. </w:t>
            </w:r>
            <w:r w:rsidRPr="00BE6650">
              <w:rPr>
                <w:sz w:val="20"/>
                <w:szCs w:val="20"/>
              </w:rPr>
              <w:t xml:space="preserve"> </w:t>
            </w:r>
          </w:p>
        </w:tc>
      </w:tr>
      <w:tr w:rsidR="00855DB0" w:rsidRPr="00BE6650" w14:paraId="6B693053" w14:textId="77777777" w:rsidTr="00723330">
        <w:trPr>
          <w:cantSplit/>
          <w:trHeight w:val="20"/>
        </w:trPr>
        <w:tc>
          <w:tcPr>
            <w:tcW w:w="784" w:type="pct"/>
            <w:vMerge/>
          </w:tcPr>
          <w:p w14:paraId="30D8B290" w14:textId="77777777" w:rsidR="00855DB0" w:rsidRPr="00BE6650" w:rsidRDefault="00855DB0" w:rsidP="00D13D91">
            <w:pPr>
              <w:pStyle w:val="TableText0"/>
              <w:spacing w:before="0" w:after="0"/>
              <w:rPr>
                <w:szCs w:val="20"/>
              </w:rPr>
            </w:pPr>
          </w:p>
        </w:tc>
        <w:tc>
          <w:tcPr>
            <w:tcW w:w="2673" w:type="pct"/>
          </w:tcPr>
          <w:p w14:paraId="0446FE3B" w14:textId="77777777" w:rsidR="00855DB0" w:rsidRPr="00BE6650" w:rsidRDefault="00855DB0" w:rsidP="00D13D91">
            <w:pPr>
              <w:pStyle w:val="TableText0"/>
              <w:spacing w:before="0" w:after="0"/>
              <w:rPr>
                <w:rFonts w:cs="Calibri"/>
                <w:szCs w:val="20"/>
              </w:rPr>
            </w:pPr>
            <w:r w:rsidRPr="00BE6650">
              <w:rPr>
                <w:rFonts w:cs="Calibri"/>
                <w:sz w:val="20"/>
                <w:szCs w:val="20"/>
              </w:rPr>
              <w:t xml:space="preserve">Cornell R, Hari P, Tang S. et al. Overall survival of patients with triple-class refractory multiple myeloma treated with selinexor plus dexamethasone vs standard of care in MAMMOTH. </w:t>
            </w:r>
          </w:p>
        </w:tc>
        <w:tc>
          <w:tcPr>
            <w:tcW w:w="1543" w:type="pct"/>
          </w:tcPr>
          <w:p w14:paraId="3293CE96" w14:textId="77777777" w:rsidR="00855DB0" w:rsidRPr="00BE6650" w:rsidRDefault="00855DB0" w:rsidP="00D13D91">
            <w:pPr>
              <w:pStyle w:val="TableText0"/>
              <w:spacing w:before="0" w:after="0"/>
              <w:rPr>
                <w:rFonts w:cs="Calibri"/>
                <w:szCs w:val="20"/>
              </w:rPr>
            </w:pPr>
            <w:r w:rsidRPr="00BE6650">
              <w:rPr>
                <w:rFonts w:cs="Calibri"/>
                <w:sz w:val="20"/>
                <w:szCs w:val="20"/>
              </w:rPr>
              <w:t>Am J Hematol. 2021 Jan;96(1):E5-E8. doi: 10.1002/ajh.26010. Epub 2020 Oct 21. PMID: 32974944.</w:t>
            </w:r>
          </w:p>
        </w:tc>
      </w:tr>
      <w:tr w:rsidR="00A25B32" w:rsidRPr="00BE6650" w14:paraId="7D283264" w14:textId="77777777" w:rsidTr="00723330">
        <w:trPr>
          <w:cantSplit/>
          <w:trHeight w:val="20"/>
        </w:trPr>
        <w:tc>
          <w:tcPr>
            <w:tcW w:w="784" w:type="pct"/>
          </w:tcPr>
          <w:p w14:paraId="3D6FC635" w14:textId="77777777" w:rsidR="00A25B32" w:rsidRPr="00BE6650" w:rsidRDefault="00A25B32" w:rsidP="00D13D91">
            <w:pPr>
              <w:pStyle w:val="TableText0"/>
              <w:spacing w:before="0" w:after="0"/>
              <w:rPr>
                <w:sz w:val="20"/>
                <w:szCs w:val="20"/>
              </w:rPr>
            </w:pPr>
            <w:r w:rsidRPr="00BE6650">
              <w:rPr>
                <w:sz w:val="20"/>
                <w:szCs w:val="20"/>
              </w:rPr>
              <w:t>STORM vs FLATIRON</w:t>
            </w:r>
          </w:p>
        </w:tc>
        <w:tc>
          <w:tcPr>
            <w:tcW w:w="2673" w:type="pct"/>
          </w:tcPr>
          <w:p w14:paraId="0413A205" w14:textId="77777777" w:rsidR="00A25B32" w:rsidRPr="00BE6650" w:rsidRDefault="00A25B32" w:rsidP="00D13D91">
            <w:pPr>
              <w:pStyle w:val="TableText0"/>
              <w:spacing w:before="0" w:after="0"/>
              <w:rPr>
                <w:rFonts w:cs="Calibri"/>
                <w:sz w:val="20"/>
                <w:szCs w:val="20"/>
              </w:rPr>
            </w:pPr>
            <w:r w:rsidRPr="00BE6650">
              <w:rPr>
                <w:rFonts w:cs="Calibri"/>
                <w:sz w:val="20"/>
                <w:szCs w:val="20"/>
              </w:rPr>
              <w:t xml:space="preserve">Richardson P.G. Jagannath S. Chari A. et al., Overall survival (OS) with oral selinexor plus low dose dexamethasone (Xd) in patients with triple class refractory-multiple myeloma (TCR-MM). </w:t>
            </w:r>
          </w:p>
        </w:tc>
        <w:tc>
          <w:tcPr>
            <w:tcW w:w="1543" w:type="pct"/>
          </w:tcPr>
          <w:p w14:paraId="003B473A" w14:textId="77777777" w:rsidR="00A25B32" w:rsidRPr="00BE6650" w:rsidRDefault="00A25B32" w:rsidP="00D13D91">
            <w:pPr>
              <w:pStyle w:val="TableText0"/>
              <w:spacing w:before="0" w:after="0"/>
              <w:rPr>
                <w:i/>
                <w:sz w:val="20"/>
                <w:szCs w:val="20"/>
              </w:rPr>
            </w:pPr>
            <w:r w:rsidRPr="00BE6650">
              <w:rPr>
                <w:rFonts w:cs="Calibri"/>
                <w:sz w:val="20"/>
                <w:szCs w:val="20"/>
              </w:rPr>
              <w:t>Journal of Clinical Oncology. Conference: 2019 Annual Meeting of the American Society of Clinical Oncology, 37 (Supplement 15) (no pagination), May 2019.</w:t>
            </w:r>
          </w:p>
        </w:tc>
      </w:tr>
    </w:tbl>
    <w:p w14:paraId="0A221A9F" w14:textId="77777777" w:rsidR="00A25B32" w:rsidRPr="00BE6650" w:rsidRDefault="00A25B32" w:rsidP="00A25B32">
      <w:pPr>
        <w:pStyle w:val="TableFigureFooter"/>
        <w:rPr>
          <w:sz w:val="20"/>
        </w:rPr>
      </w:pPr>
      <w:r w:rsidRPr="00BE6650">
        <w:t>Source: Table 2-3, p48-50 of the submission</w:t>
      </w:r>
    </w:p>
    <w:p w14:paraId="59640407" w14:textId="77777777" w:rsidR="00A25B32" w:rsidRPr="00BE6650" w:rsidRDefault="00A25B32" w:rsidP="00A25B32">
      <w:pPr>
        <w:pStyle w:val="3-BodyText"/>
        <w:rPr>
          <w:color w:val="0066FF"/>
        </w:rPr>
      </w:pPr>
      <w:r w:rsidRPr="00BE6650">
        <w:t xml:space="preserve">The key features of the studies are summarised in </w:t>
      </w:r>
      <w:r w:rsidR="00DE4F6D" w:rsidRPr="00BE6650">
        <w:t xml:space="preserve">Table </w:t>
      </w:r>
      <w:r w:rsidR="00946043" w:rsidRPr="00BE6650">
        <w:t>4</w:t>
      </w:r>
      <w:r w:rsidRPr="00BE6650">
        <w:t>.</w:t>
      </w:r>
    </w:p>
    <w:p w14:paraId="79C9FB3B" w14:textId="77777777" w:rsidR="00822EDD" w:rsidRDefault="00822EDD">
      <w:pPr>
        <w:jc w:val="left"/>
        <w:rPr>
          <w:rStyle w:val="CommentReference"/>
          <w:rFonts w:eastAsiaTheme="majorEastAsia" w:cstheme="majorBidi"/>
          <w:bCs/>
          <w:szCs w:val="24"/>
        </w:rPr>
      </w:pPr>
      <w:r>
        <w:rPr>
          <w:rStyle w:val="CommentReference"/>
          <w:b w:val="0"/>
          <w:szCs w:val="24"/>
        </w:rPr>
        <w:br w:type="page"/>
      </w:r>
    </w:p>
    <w:p w14:paraId="6CFB5835" w14:textId="289BBDB8" w:rsidR="00A25B32" w:rsidRPr="00BE6650" w:rsidRDefault="00A25B32" w:rsidP="00A25B32">
      <w:pPr>
        <w:pStyle w:val="TableFigureHeading"/>
        <w:rPr>
          <w:rStyle w:val="CommentReference"/>
          <w:b/>
          <w:szCs w:val="24"/>
        </w:rPr>
      </w:pPr>
      <w:r w:rsidRPr="00BE6650">
        <w:rPr>
          <w:rStyle w:val="CommentReference"/>
          <w:b/>
          <w:szCs w:val="24"/>
        </w:rPr>
        <w:t xml:space="preserve">Table </w:t>
      </w:r>
      <w:r w:rsidR="00946043" w:rsidRPr="00BE6650">
        <w:rPr>
          <w:rStyle w:val="CommentReference"/>
          <w:b/>
          <w:szCs w:val="24"/>
        </w:rPr>
        <w:t>4</w:t>
      </w:r>
      <w:r w:rsidRPr="00BE6650">
        <w:rPr>
          <w:rStyle w:val="CommentReference"/>
          <w:b/>
          <w:szCs w:val="24"/>
        </w:rPr>
        <w:t>: Key features of the included evidence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0"/>
        <w:gridCol w:w="548"/>
        <w:gridCol w:w="1408"/>
        <w:gridCol w:w="1116"/>
        <w:gridCol w:w="1715"/>
        <w:gridCol w:w="950"/>
        <w:gridCol w:w="1434"/>
      </w:tblGrid>
      <w:tr w:rsidR="00001C85" w:rsidRPr="00BE6650" w14:paraId="05287B47" w14:textId="77777777" w:rsidTr="008C353B">
        <w:trPr>
          <w:cantSplit/>
          <w:tblHeader/>
        </w:trPr>
        <w:tc>
          <w:tcPr>
            <w:tcW w:w="1027" w:type="pct"/>
            <w:shd w:val="clear" w:color="auto" w:fill="auto"/>
            <w:vAlign w:val="center"/>
          </w:tcPr>
          <w:p w14:paraId="0173D707" w14:textId="77777777" w:rsidR="00A25B32" w:rsidRPr="00BE6650" w:rsidRDefault="008953C0" w:rsidP="00B137BE">
            <w:pPr>
              <w:pStyle w:val="In-tableHeading"/>
              <w:rPr>
                <w:lang w:val="en-AU"/>
              </w:rPr>
            </w:pPr>
            <w:r w:rsidRPr="00BE6650">
              <w:rPr>
                <w:lang w:val="en-AU"/>
              </w:rPr>
              <w:t>Study</w:t>
            </w:r>
          </w:p>
        </w:tc>
        <w:tc>
          <w:tcPr>
            <w:tcW w:w="295" w:type="pct"/>
            <w:shd w:val="clear" w:color="auto" w:fill="auto"/>
            <w:vAlign w:val="center"/>
          </w:tcPr>
          <w:p w14:paraId="540CDF10" w14:textId="77777777" w:rsidR="00A25B32" w:rsidRPr="00BE6650" w:rsidRDefault="00A25B32" w:rsidP="00B137BE">
            <w:pPr>
              <w:pStyle w:val="In-tableHeading"/>
              <w:jc w:val="center"/>
              <w:rPr>
                <w:lang w:val="en-AU"/>
              </w:rPr>
            </w:pPr>
            <w:r w:rsidRPr="00BE6650">
              <w:rPr>
                <w:lang w:val="en-AU"/>
              </w:rPr>
              <w:t>N</w:t>
            </w:r>
          </w:p>
        </w:tc>
        <w:tc>
          <w:tcPr>
            <w:tcW w:w="782" w:type="pct"/>
            <w:shd w:val="clear" w:color="auto" w:fill="auto"/>
            <w:vAlign w:val="center"/>
          </w:tcPr>
          <w:p w14:paraId="0CD65982" w14:textId="77777777" w:rsidR="00A25B32" w:rsidRPr="00BE6650" w:rsidRDefault="00A25B32" w:rsidP="00B137BE">
            <w:pPr>
              <w:pStyle w:val="In-tableHeading"/>
              <w:jc w:val="center"/>
              <w:rPr>
                <w:lang w:val="en-AU"/>
              </w:rPr>
            </w:pPr>
            <w:r w:rsidRPr="00BE6650">
              <w:rPr>
                <w:lang w:val="en-AU"/>
              </w:rPr>
              <w:t>Design/ duration</w:t>
            </w:r>
          </w:p>
        </w:tc>
        <w:tc>
          <w:tcPr>
            <w:tcW w:w="620" w:type="pct"/>
            <w:shd w:val="clear" w:color="auto" w:fill="auto"/>
            <w:vAlign w:val="center"/>
          </w:tcPr>
          <w:p w14:paraId="1634965D" w14:textId="77777777" w:rsidR="00A25B32" w:rsidRPr="00BE6650" w:rsidRDefault="00A25B32" w:rsidP="00B137BE">
            <w:pPr>
              <w:pStyle w:val="In-tableHeading"/>
              <w:jc w:val="center"/>
              <w:rPr>
                <w:lang w:val="en-AU"/>
              </w:rPr>
            </w:pPr>
            <w:r w:rsidRPr="00BE6650">
              <w:rPr>
                <w:lang w:val="en-AU"/>
              </w:rPr>
              <w:t>Risk of bias</w:t>
            </w:r>
          </w:p>
        </w:tc>
        <w:tc>
          <w:tcPr>
            <w:tcW w:w="952" w:type="pct"/>
            <w:shd w:val="clear" w:color="auto" w:fill="auto"/>
            <w:vAlign w:val="center"/>
          </w:tcPr>
          <w:p w14:paraId="7A7921DB" w14:textId="77777777" w:rsidR="00A25B32" w:rsidRPr="00BE6650" w:rsidRDefault="00A25B32" w:rsidP="00B137BE">
            <w:pPr>
              <w:pStyle w:val="In-tableHeading"/>
              <w:jc w:val="center"/>
              <w:rPr>
                <w:lang w:val="en-AU"/>
              </w:rPr>
            </w:pPr>
            <w:r w:rsidRPr="00BE6650">
              <w:rPr>
                <w:lang w:val="en-AU"/>
              </w:rPr>
              <w:t>Patient population</w:t>
            </w:r>
          </w:p>
        </w:tc>
        <w:tc>
          <w:tcPr>
            <w:tcW w:w="528" w:type="pct"/>
            <w:shd w:val="clear" w:color="auto" w:fill="auto"/>
            <w:vAlign w:val="center"/>
          </w:tcPr>
          <w:p w14:paraId="1414D7FB" w14:textId="77777777" w:rsidR="00A25B32" w:rsidRPr="00BE6650" w:rsidRDefault="00A25B32" w:rsidP="00B137BE">
            <w:pPr>
              <w:pStyle w:val="In-tableHeading"/>
              <w:jc w:val="center"/>
              <w:rPr>
                <w:lang w:val="en-AU"/>
              </w:rPr>
            </w:pPr>
            <w:r w:rsidRPr="00BE6650">
              <w:rPr>
                <w:lang w:val="en-AU"/>
              </w:rPr>
              <w:t>Outcomes</w:t>
            </w:r>
          </w:p>
        </w:tc>
        <w:tc>
          <w:tcPr>
            <w:tcW w:w="796" w:type="pct"/>
            <w:shd w:val="clear" w:color="auto" w:fill="auto"/>
            <w:vAlign w:val="center"/>
          </w:tcPr>
          <w:p w14:paraId="7EAE70C0" w14:textId="77777777" w:rsidR="00A25B32" w:rsidRPr="00BE6650" w:rsidRDefault="00A25B32" w:rsidP="00B137BE">
            <w:pPr>
              <w:pStyle w:val="In-tableHeading"/>
              <w:jc w:val="center"/>
              <w:rPr>
                <w:lang w:val="en-AU"/>
              </w:rPr>
            </w:pPr>
            <w:r w:rsidRPr="00BE6650">
              <w:rPr>
                <w:lang w:val="en-AU"/>
              </w:rPr>
              <w:t>Use in modelled evaluation</w:t>
            </w:r>
          </w:p>
        </w:tc>
      </w:tr>
      <w:tr w:rsidR="00A25B32" w:rsidRPr="00BE6650" w14:paraId="1C476B6F" w14:textId="77777777" w:rsidTr="00B137BE">
        <w:trPr>
          <w:cantSplit/>
        </w:trPr>
        <w:tc>
          <w:tcPr>
            <w:tcW w:w="5000" w:type="pct"/>
            <w:gridSpan w:val="7"/>
            <w:shd w:val="clear" w:color="auto" w:fill="auto"/>
            <w:vAlign w:val="center"/>
          </w:tcPr>
          <w:p w14:paraId="7D0DFA47" w14:textId="77777777" w:rsidR="00A25B32" w:rsidRPr="00BE6650" w:rsidRDefault="00417373" w:rsidP="00B137BE">
            <w:pPr>
              <w:pStyle w:val="In-tableHeading"/>
              <w:rPr>
                <w:lang w:val="en-AU"/>
              </w:rPr>
            </w:pPr>
            <w:r w:rsidRPr="00BE6650">
              <w:rPr>
                <w:lang w:val="en-AU"/>
              </w:rPr>
              <w:t xml:space="preserve">Sd </w:t>
            </w:r>
          </w:p>
        </w:tc>
      </w:tr>
      <w:tr w:rsidR="000F38B7" w:rsidRPr="00BE6650" w14:paraId="3E1B7E4C" w14:textId="77777777" w:rsidTr="00EA53FB">
        <w:trPr>
          <w:cantSplit/>
        </w:trPr>
        <w:tc>
          <w:tcPr>
            <w:tcW w:w="1027" w:type="pct"/>
            <w:vMerge w:val="restart"/>
            <w:shd w:val="clear" w:color="auto" w:fill="auto"/>
            <w:vAlign w:val="center"/>
          </w:tcPr>
          <w:p w14:paraId="7AF13BB1" w14:textId="77777777" w:rsidR="000F38B7" w:rsidRPr="00BE6650" w:rsidRDefault="000F38B7" w:rsidP="00B137BE">
            <w:pPr>
              <w:pStyle w:val="TableText0"/>
            </w:pPr>
            <w:r w:rsidRPr="00BE6650">
              <w:t>STORM</w:t>
            </w:r>
          </w:p>
        </w:tc>
        <w:tc>
          <w:tcPr>
            <w:tcW w:w="295" w:type="pct"/>
            <w:shd w:val="clear" w:color="auto" w:fill="auto"/>
            <w:vAlign w:val="center"/>
          </w:tcPr>
          <w:p w14:paraId="138BE240" w14:textId="77777777" w:rsidR="000F38B7" w:rsidRPr="00BE6650" w:rsidRDefault="000F38B7" w:rsidP="00EA53FB">
            <w:pPr>
              <w:pStyle w:val="TableText0"/>
              <w:jc w:val="center"/>
            </w:pPr>
            <w:r w:rsidRPr="00BE6650">
              <w:t>122 (mITT)</w:t>
            </w:r>
          </w:p>
        </w:tc>
        <w:tc>
          <w:tcPr>
            <w:tcW w:w="782" w:type="pct"/>
            <w:vMerge w:val="restart"/>
            <w:shd w:val="clear" w:color="auto" w:fill="auto"/>
            <w:vAlign w:val="center"/>
          </w:tcPr>
          <w:p w14:paraId="787368EB" w14:textId="77777777" w:rsidR="000F38B7" w:rsidRPr="00BE6650" w:rsidRDefault="000F38B7" w:rsidP="00B137BE">
            <w:pPr>
              <w:pStyle w:val="TableText0"/>
              <w:jc w:val="center"/>
            </w:pPr>
            <w:r w:rsidRPr="00BE6650">
              <w:t>Single arm</w:t>
            </w:r>
          </w:p>
        </w:tc>
        <w:tc>
          <w:tcPr>
            <w:tcW w:w="620" w:type="pct"/>
            <w:vMerge w:val="restart"/>
            <w:shd w:val="clear" w:color="auto" w:fill="auto"/>
            <w:vAlign w:val="center"/>
          </w:tcPr>
          <w:p w14:paraId="7E8CFDFF" w14:textId="77777777" w:rsidR="000F38B7" w:rsidRPr="00BE6650" w:rsidRDefault="000F38B7" w:rsidP="00B137BE">
            <w:pPr>
              <w:pStyle w:val="TableText0"/>
              <w:jc w:val="center"/>
            </w:pPr>
            <w:r w:rsidRPr="00BE6650">
              <w:t>High</w:t>
            </w:r>
          </w:p>
        </w:tc>
        <w:tc>
          <w:tcPr>
            <w:tcW w:w="952" w:type="pct"/>
            <w:shd w:val="clear" w:color="auto" w:fill="auto"/>
            <w:vAlign w:val="center"/>
          </w:tcPr>
          <w:p w14:paraId="01F91EF2" w14:textId="77777777" w:rsidR="000F38B7" w:rsidRPr="00BE6650" w:rsidRDefault="000F38B7" w:rsidP="00EA53FB">
            <w:pPr>
              <w:pStyle w:val="TableText0"/>
              <w:jc w:val="center"/>
            </w:pPr>
            <w:r w:rsidRPr="00BE6650">
              <w:t>TCR/PE MM</w:t>
            </w:r>
          </w:p>
        </w:tc>
        <w:tc>
          <w:tcPr>
            <w:tcW w:w="528" w:type="pct"/>
            <w:vMerge w:val="restart"/>
            <w:shd w:val="clear" w:color="auto" w:fill="auto"/>
            <w:vAlign w:val="center"/>
          </w:tcPr>
          <w:p w14:paraId="4D24CE67" w14:textId="77777777" w:rsidR="000F38B7" w:rsidRPr="00BE6650" w:rsidRDefault="000F38B7" w:rsidP="00EA53FB">
            <w:pPr>
              <w:pStyle w:val="TableText0"/>
              <w:jc w:val="center"/>
            </w:pPr>
            <w:r w:rsidRPr="00BE6650">
              <w:t>OS, PFS, ORR</w:t>
            </w:r>
          </w:p>
          <w:p w14:paraId="180F30DF" w14:textId="77777777" w:rsidR="000F38B7" w:rsidRPr="00BE6650" w:rsidRDefault="000F38B7" w:rsidP="00B137BE">
            <w:pPr>
              <w:pStyle w:val="TableText0"/>
              <w:jc w:val="center"/>
            </w:pPr>
          </w:p>
        </w:tc>
        <w:tc>
          <w:tcPr>
            <w:tcW w:w="796" w:type="pct"/>
            <w:shd w:val="clear" w:color="auto" w:fill="auto"/>
            <w:vAlign w:val="center"/>
          </w:tcPr>
          <w:p w14:paraId="19D29143" w14:textId="77777777" w:rsidR="000F38B7" w:rsidRPr="00BE6650" w:rsidRDefault="000F38B7" w:rsidP="00EA53FB">
            <w:pPr>
              <w:pStyle w:val="TableText0"/>
              <w:jc w:val="center"/>
            </w:pPr>
            <w:r w:rsidRPr="00BE6650">
              <w:t>Not used</w:t>
            </w:r>
          </w:p>
        </w:tc>
      </w:tr>
      <w:tr w:rsidR="000F38B7" w:rsidRPr="00BE6650" w14:paraId="2BF88116" w14:textId="77777777" w:rsidTr="008C353B">
        <w:trPr>
          <w:cantSplit/>
        </w:trPr>
        <w:tc>
          <w:tcPr>
            <w:tcW w:w="1027" w:type="pct"/>
            <w:vMerge/>
            <w:shd w:val="clear" w:color="auto" w:fill="auto"/>
            <w:vAlign w:val="center"/>
          </w:tcPr>
          <w:p w14:paraId="3FC903F9" w14:textId="77777777" w:rsidR="000F38B7" w:rsidRPr="00BE6650" w:rsidRDefault="000F38B7" w:rsidP="00B137BE">
            <w:pPr>
              <w:pStyle w:val="TableText0"/>
            </w:pPr>
          </w:p>
        </w:tc>
        <w:tc>
          <w:tcPr>
            <w:tcW w:w="295" w:type="pct"/>
            <w:shd w:val="clear" w:color="auto" w:fill="auto"/>
            <w:vAlign w:val="center"/>
          </w:tcPr>
          <w:p w14:paraId="1DAA438C" w14:textId="77777777" w:rsidR="000F38B7" w:rsidRPr="00BE6650" w:rsidRDefault="000F38B7" w:rsidP="00B137BE">
            <w:pPr>
              <w:pStyle w:val="TableText0"/>
              <w:jc w:val="center"/>
            </w:pPr>
            <w:r w:rsidRPr="00BE6650">
              <w:t>83</w:t>
            </w:r>
          </w:p>
        </w:tc>
        <w:tc>
          <w:tcPr>
            <w:tcW w:w="782" w:type="pct"/>
            <w:vMerge/>
            <w:shd w:val="clear" w:color="auto" w:fill="auto"/>
            <w:vAlign w:val="center"/>
          </w:tcPr>
          <w:p w14:paraId="27EE0E67" w14:textId="77777777" w:rsidR="000F38B7" w:rsidRPr="00BE6650" w:rsidRDefault="000F38B7" w:rsidP="00B137BE">
            <w:pPr>
              <w:pStyle w:val="TableText0"/>
              <w:jc w:val="center"/>
            </w:pPr>
          </w:p>
        </w:tc>
        <w:tc>
          <w:tcPr>
            <w:tcW w:w="620" w:type="pct"/>
            <w:vMerge/>
            <w:shd w:val="clear" w:color="auto" w:fill="auto"/>
            <w:vAlign w:val="center"/>
          </w:tcPr>
          <w:p w14:paraId="72AB5643" w14:textId="77777777" w:rsidR="000F38B7" w:rsidRPr="00BE6650" w:rsidRDefault="000F38B7" w:rsidP="00B137BE">
            <w:pPr>
              <w:pStyle w:val="TableText0"/>
              <w:jc w:val="center"/>
            </w:pPr>
          </w:p>
        </w:tc>
        <w:tc>
          <w:tcPr>
            <w:tcW w:w="952" w:type="pct"/>
            <w:shd w:val="clear" w:color="auto" w:fill="auto"/>
            <w:vAlign w:val="center"/>
          </w:tcPr>
          <w:p w14:paraId="3219482B" w14:textId="77777777" w:rsidR="000F38B7" w:rsidRPr="00BE6650" w:rsidRDefault="000F38B7" w:rsidP="00B137BE">
            <w:pPr>
              <w:pStyle w:val="TableText0"/>
              <w:jc w:val="center"/>
            </w:pPr>
            <w:r w:rsidRPr="00BE6650">
              <w:t>TCR/P</w:t>
            </w:r>
            <w:r w:rsidR="00634D0B" w:rsidRPr="00BE6650">
              <w:t>R</w:t>
            </w:r>
            <w:r w:rsidRPr="00BE6650">
              <w:t xml:space="preserve"> MM</w:t>
            </w:r>
          </w:p>
        </w:tc>
        <w:tc>
          <w:tcPr>
            <w:tcW w:w="528" w:type="pct"/>
            <w:vMerge/>
            <w:shd w:val="clear" w:color="auto" w:fill="auto"/>
            <w:vAlign w:val="center"/>
          </w:tcPr>
          <w:p w14:paraId="0EF26EF8" w14:textId="77777777" w:rsidR="000F38B7" w:rsidRPr="00BE6650" w:rsidRDefault="000F38B7" w:rsidP="00B137BE">
            <w:pPr>
              <w:pStyle w:val="TableText0"/>
              <w:jc w:val="center"/>
            </w:pPr>
          </w:p>
        </w:tc>
        <w:tc>
          <w:tcPr>
            <w:tcW w:w="796" w:type="pct"/>
            <w:shd w:val="clear" w:color="auto" w:fill="auto"/>
            <w:vAlign w:val="center"/>
          </w:tcPr>
          <w:p w14:paraId="0597CF4D" w14:textId="77777777" w:rsidR="000F38B7" w:rsidRPr="00BE6650" w:rsidRDefault="009A6DD1" w:rsidP="00B137BE">
            <w:pPr>
              <w:pStyle w:val="TableText0"/>
              <w:jc w:val="center"/>
            </w:pPr>
            <w:r w:rsidRPr="00BE6650">
              <w:t>OS</w:t>
            </w:r>
            <w:r w:rsidR="005E5115" w:rsidRPr="00BE6650">
              <w:t>,</w:t>
            </w:r>
            <w:r w:rsidRPr="00BE6650">
              <w:t xml:space="preserve"> PFS</w:t>
            </w:r>
          </w:p>
        </w:tc>
      </w:tr>
      <w:tr w:rsidR="000F38B7" w:rsidRPr="00BE6650" w14:paraId="221B0EC6" w14:textId="77777777" w:rsidTr="008C353B">
        <w:trPr>
          <w:cantSplit/>
        </w:trPr>
        <w:tc>
          <w:tcPr>
            <w:tcW w:w="1027" w:type="pct"/>
            <w:vMerge/>
            <w:shd w:val="clear" w:color="auto" w:fill="auto"/>
            <w:vAlign w:val="center"/>
          </w:tcPr>
          <w:p w14:paraId="777CE0BC" w14:textId="77777777" w:rsidR="000F38B7" w:rsidRPr="00BE6650" w:rsidRDefault="000F38B7" w:rsidP="002472F3">
            <w:pPr>
              <w:pStyle w:val="TableText0"/>
            </w:pPr>
          </w:p>
        </w:tc>
        <w:tc>
          <w:tcPr>
            <w:tcW w:w="295" w:type="pct"/>
            <w:shd w:val="clear" w:color="auto" w:fill="auto"/>
            <w:vAlign w:val="center"/>
          </w:tcPr>
          <w:p w14:paraId="0CC691E6" w14:textId="77777777" w:rsidR="000F38B7" w:rsidRPr="00BE6650" w:rsidRDefault="000F38B7" w:rsidP="000F38B7">
            <w:pPr>
              <w:pStyle w:val="TableText0"/>
              <w:jc w:val="center"/>
            </w:pPr>
            <w:r w:rsidRPr="00BE6650">
              <w:t>64</w:t>
            </w:r>
            <w:r w:rsidR="009A6DD1" w:rsidRPr="00BE6650">
              <w:rPr>
                <w:vertAlign w:val="superscript"/>
              </w:rPr>
              <w:t xml:space="preserve"> a</w:t>
            </w:r>
          </w:p>
        </w:tc>
        <w:tc>
          <w:tcPr>
            <w:tcW w:w="782" w:type="pct"/>
            <w:vMerge/>
            <w:shd w:val="clear" w:color="auto" w:fill="auto"/>
            <w:vAlign w:val="center"/>
          </w:tcPr>
          <w:p w14:paraId="38D7D2F0" w14:textId="77777777" w:rsidR="000F38B7" w:rsidRPr="00BE6650" w:rsidRDefault="000F38B7" w:rsidP="002472F3">
            <w:pPr>
              <w:pStyle w:val="TableText0"/>
            </w:pPr>
          </w:p>
        </w:tc>
        <w:tc>
          <w:tcPr>
            <w:tcW w:w="620" w:type="pct"/>
            <w:vMerge/>
            <w:shd w:val="clear" w:color="auto" w:fill="auto"/>
            <w:vAlign w:val="center"/>
          </w:tcPr>
          <w:p w14:paraId="4AC4055F" w14:textId="77777777" w:rsidR="000F38B7" w:rsidRPr="00BE6650" w:rsidRDefault="000F38B7" w:rsidP="002472F3">
            <w:pPr>
              <w:pStyle w:val="TableText0"/>
              <w:jc w:val="center"/>
            </w:pPr>
          </w:p>
        </w:tc>
        <w:tc>
          <w:tcPr>
            <w:tcW w:w="952" w:type="pct"/>
            <w:shd w:val="clear" w:color="auto" w:fill="auto"/>
            <w:vAlign w:val="center"/>
          </w:tcPr>
          <w:p w14:paraId="5D0EF297" w14:textId="77777777" w:rsidR="000F38B7" w:rsidRPr="00BE6650" w:rsidRDefault="000F38B7" w:rsidP="002472F3">
            <w:pPr>
              <w:pStyle w:val="TableText0"/>
              <w:jc w:val="center"/>
            </w:pPr>
            <w:r w:rsidRPr="00BE6650">
              <w:t>TCR/PE MM</w:t>
            </w:r>
            <w:r w:rsidR="009A6DD1" w:rsidRPr="00BE6650">
              <w:t xml:space="preserve"> (</w:t>
            </w:r>
            <w:r w:rsidR="00946043" w:rsidRPr="00BE6650">
              <w:t>S</w:t>
            </w:r>
            <w:r w:rsidR="009A6DD1" w:rsidRPr="00BE6650">
              <w:t>d</w:t>
            </w:r>
            <w:r w:rsidR="00946043" w:rsidRPr="00BE6650">
              <w:t xml:space="preserve"> as next</w:t>
            </w:r>
            <w:r w:rsidR="009A6DD1" w:rsidRPr="00BE6650">
              <w:t xml:space="preserve"> subsequent </w:t>
            </w:r>
            <w:r w:rsidR="00820B0D" w:rsidRPr="00BE6650">
              <w:t>treatment</w:t>
            </w:r>
            <w:r w:rsidR="009A6DD1" w:rsidRPr="00BE6650">
              <w:t>)</w:t>
            </w:r>
            <w:r w:rsidR="009A6DD1" w:rsidRPr="00BE6650">
              <w:rPr>
                <w:vertAlign w:val="superscript"/>
              </w:rPr>
              <w:t>b</w:t>
            </w:r>
          </w:p>
        </w:tc>
        <w:tc>
          <w:tcPr>
            <w:tcW w:w="528" w:type="pct"/>
            <w:vMerge/>
            <w:shd w:val="clear" w:color="auto" w:fill="auto"/>
            <w:vAlign w:val="center"/>
          </w:tcPr>
          <w:p w14:paraId="217D65F8" w14:textId="77777777" w:rsidR="000F38B7" w:rsidRPr="00BE6650" w:rsidRDefault="000F38B7" w:rsidP="002472F3">
            <w:pPr>
              <w:pStyle w:val="TableText0"/>
              <w:jc w:val="center"/>
            </w:pPr>
          </w:p>
        </w:tc>
        <w:tc>
          <w:tcPr>
            <w:tcW w:w="796" w:type="pct"/>
            <w:shd w:val="clear" w:color="auto" w:fill="auto"/>
            <w:vAlign w:val="center"/>
          </w:tcPr>
          <w:p w14:paraId="62BDB023" w14:textId="77777777" w:rsidR="000F38B7" w:rsidRPr="00BE6650" w:rsidRDefault="009A6DD1" w:rsidP="002472F3">
            <w:pPr>
              <w:pStyle w:val="TableText0"/>
              <w:jc w:val="center"/>
            </w:pPr>
            <w:r w:rsidRPr="00BE6650">
              <w:t>Not used</w:t>
            </w:r>
          </w:p>
        </w:tc>
      </w:tr>
      <w:tr w:rsidR="00A25B32" w:rsidRPr="00BE6650" w14:paraId="7B256F4A" w14:textId="77777777" w:rsidTr="00B137BE">
        <w:trPr>
          <w:cantSplit/>
        </w:trPr>
        <w:tc>
          <w:tcPr>
            <w:tcW w:w="5000" w:type="pct"/>
            <w:gridSpan w:val="7"/>
            <w:shd w:val="clear" w:color="auto" w:fill="auto"/>
            <w:vAlign w:val="center"/>
          </w:tcPr>
          <w:p w14:paraId="03129687" w14:textId="77777777" w:rsidR="00A25B32" w:rsidRPr="00BE6650" w:rsidRDefault="00417373" w:rsidP="00B137BE">
            <w:pPr>
              <w:pStyle w:val="TableText0"/>
              <w:rPr>
                <w:b/>
                <w:bCs w:val="0"/>
              </w:rPr>
            </w:pPr>
            <w:r w:rsidRPr="00BE6650">
              <w:rPr>
                <w:b/>
                <w:bCs w:val="0"/>
              </w:rPr>
              <w:t xml:space="preserve">Conventional </w:t>
            </w:r>
            <w:r w:rsidR="00A25B32" w:rsidRPr="00BE6650">
              <w:rPr>
                <w:b/>
                <w:bCs w:val="0"/>
              </w:rPr>
              <w:t>care</w:t>
            </w:r>
          </w:p>
        </w:tc>
      </w:tr>
      <w:tr w:rsidR="00001C85" w:rsidRPr="00BE6650" w14:paraId="68B0E201" w14:textId="77777777" w:rsidTr="008C353B">
        <w:trPr>
          <w:cantSplit/>
        </w:trPr>
        <w:tc>
          <w:tcPr>
            <w:tcW w:w="1027" w:type="pct"/>
            <w:shd w:val="clear" w:color="auto" w:fill="auto"/>
            <w:vAlign w:val="center"/>
          </w:tcPr>
          <w:p w14:paraId="662B5734" w14:textId="77777777" w:rsidR="004525E1" w:rsidRPr="00BE6650" w:rsidRDefault="004525E1" w:rsidP="004525E1">
            <w:pPr>
              <w:pStyle w:val="TableText0"/>
            </w:pPr>
            <w:r w:rsidRPr="00BE6650">
              <w:t>MAMMOTH</w:t>
            </w:r>
          </w:p>
        </w:tc>
        <w:tc>
          <w:tcPr>
            <w:tcW w:w="295" w:type="pct"/>
            <w:shd w:val="clear" w:color="auto" w:fill="auto"/>
            <w:vAlign w:val="center"/>
          </w:tcPr>
          <w:p w14:paraId="27BD5742" w14:textId="77777777" w:rsidR="004525E1" w:rsidRPr="00BE6650" w:rsidRDefault="00001C85" w:rsidP="004525E1">
            <w:pPr>
              <w:pStyle w:val="TableText0"/>
              <w:jc w:val="center"/>
            </w:pPr>
            <w:r w:rsidRPr="00BE6650">
              <w:t>128</w:t>
            </w:r>
            <w:r w:rsidR="00921B8B" w:rsidRPr="00BE6650">
              <w:rPr>
                <w:vertAlign w:val="superscript"/>
              </w:rPr>
              <w:t>c</w:t>
            </w:r>
          </w:p>
        </w:tc>
        <w:tc>
          <w:tcPr>
            <w:tcW w:w="782" w:type="pct"/>
            <w:shd w:val="clear" w:color="auto" w:fill="auto"/>
            <w:vAlign w:val="center"/>
          </w:tcPr>
          <w:p w14:paraId="25C95200" w14:textId="77777777" w:rsidR="004525E1" w:rsidRPr="00BE6650" w:rsidRDefault="004525E1" w:rsidP="004525E1">
            <w:pPr>
              <w:pStyle w:val="TableText0"/>
              <w:jc w:val="center"/>
            </w:pPr>
            <w:r w:rsidRPr="00BE6650">
              <w:t>Retrospective</w:t>
            </w:r>
          </w:p>
        </w:tc>
        <w:tc>
          <w:tcPr>
            <w:tcW w:w="620" w:type="pct"/>
            <w:shd w:val="clear" w:color="auto" w:fill="auto"/>
            <w:vAlign w:val="center"/>
          </w:tcPr>
          <w:p w14:paraId="375B875E" w14:textId="77777777" w:rsidR="004525E1" w:rsidRPr="00BE6650" w:rsidRDefault="004525E1" w:rsidP="004525E1">
            <w:pPr>
              <w:pStyle w:val="TableText0"/>
              <w:jc w:val="center"/>
            </w:pPr>
            <w:r w:rsidRPr="00BE6650">
              <w:t>High</w:t>
            </w:r>
          </w:p>
        </w:tc>
        <w:tc>
          <w:tcPr>
            <w:tcW w:w="952" w:type="pct"/>
            <w:shd w:val="clear" w:color="auto" w:fill="auto"/>
            <w:vAlign w:val="center"/>
          </w:tcPr>
          <w:p w14:paraId="4D64F1EC" w14:textId="77777777" w:rsidR="004525E1" w:rsidRPr="00BE6650" w:rsidRDefault="004525E1" w:rsidP="004525E1">
            <w:pPr>
              <w:pStyle w:val="TableText0"/>
              <w:jc w:val="center"/>
            </w:pPr>
            <w:r w:rsidRPr="00BE6650">
              <w:t>TCR/PE MM</w:t>
            </w:r>
          </w:p>
        </w:tc>
        <w:tc>
          <w:tcPr>
            <w:tcW w:w="528" w:type="pct"/>
            <w:shd w:val="clear" w:color="auto" w:fill="auto"/>
            <w:vAlign w:val="center"/>
          </w:tcPr>
          <w:p w14:paraId="34A1BD3B" w14:textId="77777777" w:rsidR="004525E1" w:rsidRPr="00BE6650" w:rsidRDefault="004525E1" w:rsidP="004525E1">
            <w:pPr>
              <w:pStyle w:val="TableText0"/>
              <w:jc w:val="center"/>
            </w:pPr>
            <w:r w:rsidRPr="00BE6650">
              <w:t>OS, ORR</w:t>
            </w:r>
          </w:p>
        </w:tc>
        <w:tc>
          <w:tcPr>
            <w:tcW w:w="796" w:type="pct"/>
            <w:shd w:val="clear" w:color="auto" w:fill="auto"/>
            <w:vAlign w:val="center"/>
          </w:tcPr>
          <w:p w14:paraId="3BE559C0" w14:textId="77777777" w:rsidR="004525E1" w:rsidRPr="00BE6650" w:rsidRDefault="004525E1" w:rsidP="004525E1">
            <w:pPr>
              <w:pStyle w:val="TableText0"/>
              <w:jc w:val="center"/>
            </w:pPr>
            <w:r w:rsidRPr="00BE6650">
              <w:t>Not used</w:t>
            </w:r>
          </w:p>
        </w:tc>
      </w:tr>
      <w:tr w:rsidR="00001C85" w:rsidRPr="00BE6650" w14:paraId="4B346187" w14:textId="77777777" w:rsidTr="008C353B">
        <w:trPr>
          <w:cantSplit/>
        </w:trPr>
        <w:tc>
          <w:tcPr>
            <w:tcW w:w="1027" w:type="pct"/>
            <w:shd w:val="clear" w:color="auto" w:fill="auto"/>
            <w:vAlign w:val="center"/>
          </w:tcPr>
          <w:p w14:paraId="64DB3699" w14:textId="77777777" w:rsidR="004525E1" w:rsidRPr="00BE6650" w:rsidRDefault="004525E1" w:rsidP="004525E1">
            <w:pPr>
              <w:pStyle w:val="TableText0"/>
            </w:pPr>
            <w:r w:rsidRPr="00BE6650">
              <w:t>FLATIRON</w:t>
            </w:r>
          </w:p>
        </w:tc>
        <w:tc>
          <w:tcPr>
            <w:tcW w:w="295" w:type="pct"/>
            <w:shd w:val="clear" w:color="auto" w:fill="auto"/>
            <w:vAlign w:val="center"/>
          </w:tcPr>
          <w:p w14:paraId="48CA7D8C" w14:textId="77777777" w:rsidR="004525E1" w:rsidRPr="00BE6650" w:rsidRDefault="004525E1" w:rsidP="004525E1">
            <w:pPr>
              <w:pStyle w:val="TableText0"/>
              <w:jc w:val="center"/>
            </w:pPr>
            <w:r w:rsidRPr="00BE6650">
              <w:t>36</w:t>
            </w:r>
          </w:p>
        </w:tc>
        <w:tc>
          <w:tcPr>
            <w:tcW w:w="782" w:type="pct"/>
            <w:shd w:val="clear" w:color="auto" w:fill="auto"/>
            <w:vAlign w:val="center"/>
          </w:tcPr>
          <w:p w14:paraId="1B3F4844" w14:textId="77777777" w:rsidR="004525E1" w:rsidRPr="00BE6650" w:rsidRDefault="004525E1" w:rsidP="004525E1">
            <w:pPr>
              <w:pStyle w:val="TableText0"/>
              <w:jc w:val="center"/>
            </w:pPr>
            <w:r w:rsidRPr="00BE6650">
              <w:t>Retrospective</w:t>
            </w:r>
          </w:p>
        </w:tc>
        <w:tc>
          <w:tcPr>
            <w:tcW w:w="620" w:type="pct"/>
            <w:shd w:val="clear" w:color="auto" w:fill="auto"/>
            <w:vAlign w:val="center"/>
          </w:tcPr>
          <w:p w14:paraId="65C41B76" w14:textId="77777777" w:rsidR="004525E1" w:rsidRPr="00BE6650" w:rsidRDefault="004525E1" w:rsidP="004525E1">
            <w:pPr>
              <w:pStyle w:val="TableText0"/>
              <w:jc w:val="center"/>
            </w:pPr>
            <w:r w:rsidRPr="00BE6650">
              <w:t>High</w:t>
            </w:r>
          </w:p>
        </w:tc>
        <w:tc>
          <w:tcPr>
            <w:tcW w:w="952" w:type="pct"/>
            <w:shd w:val="clear" w:color="auto" w:fill="auto"/>
            <w:vAlign w:val="center"/>
          </w:tcPr>
          <w:p w14:paraId="2F5E7800" w14:textId="77777777" w:rsidR="004525E1" w:rsidRPr="00BE6650" w:rsidRDefault="004525E1" w:rsidP="004525E1">
            <w:pPr>
              <w:pStyle w:val="TableText0"/>
              <w:jc w:val="center"/>
            </w:pPr>
            <w:r w:rsidRPr="00BE6650">
              <w:t>TCR/PE MM</w:t>
            </w:r>
          </w:p>
        </w:tc>
        <w:tc>
          <w:tcPr>
            <w:tcW w:w="528" w:type="pct"/>
            <w:shd w:val="clear" w:color="auto" w:fill="auto"/>
            <w:vAlign w:val="center"/>
          </w:tcPr>
          <w:p w14:paraId="562E74AF" w14:textId="77777777" w:rsidR="004525E1" w:rsidRPr="00BE6650" w:rsidRDefault="004525E1" w:rsidP="004525E1">
            <w:pPr>
              <w:pStyle w:val="TableText0"/>
              <w:jc w:val="center"/>
            </w:pPr>
            <w:r w:rsidRPr="00BE6650">
              <w:t>OS</w:t>
            </w:r>
          </w:p>
        </w:tc>
        <w:tc>
          <w:tcPr>
            <w:tcW w:w="796" w:type="pct"/>
            <w:shd w:val="clear" w:color="auto" w:fill="auto"/>
            <w:vAlign w:val="center"/>
          </w:tcPr>
          <w:p w14:paraId="4F3F51DD" w14:textId="77777777" w:rsidR="004525E1" w:rsidRPr="00BE6650" w:rsidRDefault="004525E1" w:rsidP="004525E1">
            <w:pPr>
              <w:pStyle w:val="TableText0"/>
              <w:jc w:val="center"/>
            </w:pPr>
            <w:r w:rsidRPr="00BE6650">
              <w:t>Not used</w:t>
            </w:r>
          </w:p>
        </w:tc>
      </w:tr>
      <w:tr w:rsidR="00A25B32" w:rsidRPr="00BE6650" w14:paraId="764CB83E" w14:textId="77777777" w:rsidTr="00B137BE">
        <w:trPr>
          <w:cantSplit/>
        </w:trPr>
        <w:tc>
          <w:tcPr>
            <w:tcW w:w="5000" w:type="pct"/>
            <w:gridSpan w:val="7"/>
            <w:shd w:val="clear" w:color="auto" w:fill="auto"/>
            <w:vAlign w:val="center"/>
          </w:tcPr>
          <w:p w14:paraId="338E5481" w14:textId="77777777" w:rsidR="00A25B32" w:rsidRPr="00BE6650" w:rsidRDefault="00A25B32" w:rsidP="00B137BE">
            <w:pPr>
              <w:pStyle w:val="TableText0"/>
              <w:rPr>
                <w:b/>
                <w:bCs w:val="0"/>
              </w:rPr>
            </w:pPr>
            <w:r w:rsidRPr="00BE6650">
              <w:rPr>
                <w:b/>
                <w:bCs w:val="0"/>
              </w:rPr>
              <w:t>Naïve comparison</w:t>
            </w:r>
          </w:p>
        </w:tc>
      </w:tr>
      <w:tr w:rsidR="00795D1E" w:rsidRPr="00BE6650" w14:paraId="4AE3B793" w14:textId="77777777" w:rsidTr="00EA53FB">
        <w:trPr>
          <w:cantSplit/>
        </w:trPr>
        <w:tc>
          <w:tcPr>
            <w:tcW w:w="1027" w:type="pct"/>
            <w:shd w:val="clear" w:color="auto" w:fill="auto"/>
            <w:vAlign w:val="center"/>
          </w:tcPr>
          <w:p w14:paraId="78452B7D" w14:textId="77777777" w:rsidR="006B6485" w:rsidRPr="00BE6650" w:rsidRDefault="006B6485" w:rsidP="00EA53FB">
            <w:pPr>
              <w:pStyle w:val="TableText0"/>
            </w:pPr>
            <w:r w:rsidRPr="00BE6650">
              <w:t>STORM vs MAMMOTH</w:t>
            </w:r>
          </w:p>
        </w:tc>
        <w:tc>
          <w:tcPr>
            <w:tcW w:w="295" w:type="pct"/>
            <w:shd w:val="clear" w:color="auto" w:fill="auto"/>
            <w:vAlign w:val="center"/>
          </w:tcPr>
          <w:p w14:paraId="10A25C1D" w14:textId="77777777" w:rsidR="006B6485" w:rsidRPr="00BE6650" w:rsidRDefault="006B6485" w:rsidP="00EA53FB">
            <w:pPr>
              <w:pStyle w:val="TableText0"/>
              <w:jc w:val="center"/>
            </w:pPr>
            <w:r w:rsidRPr="00BE6650">
              <w:t>192</w:t>
            </w:r>
            <w:r w:rsidR="005C6802" w:rsidRPr="00BE6650">
              <w:rPr>
                <w:vertAlign w:val="superscript"/>
              </w:rPr>
              <w:t>d</w:t>
            </w:r>
            <w:r w:rsidRPr="00BE6650">
              <w:t xml:space="preserve"> </w:t>
            </w:r>
          </w:p>
        </w:tc>
        <w:tc>
          <w:tcPr>
            <w:tcW w:w="782" w:type="pct"/>
            <w:shd w:val="clear" w:color="auto" w:fill="auto"/>
            <w:vAlign w:val="center"/>
          </w:tcPr>
          <w:p w14:paraId="3FB48832" w14:textId="77777777" w:rsidR="006B6485" w:rsidRPr="00BE6650" w:rsidRDefault="006B6485" w:rsidP="00EA53FB">
            <w:pPr>
              <w:pStyle w:val="TableText0"/>
              <w:jc w:val="center"/>
            </w:pPr>
            <w:r w:rsidRPr="00BE6650">
              <w:t>Naïve comparison</w:t>
            </w:r>
          </w:p>
        </w:tc>
        <w:tc>
          <w:tcPr>
            <w:tcW w:w="620" w:type="pct"/>
            <w:shd w:val="clear" w:color="auto" w:fill="auto"/>
            <w:vAlign w:val="center"/>
          </w:tcPr>
          <w:p w14:paraId="0BD9C0D5" w14:textId="77777777" w:rsidR="006B6485" w:rsidRPr="00BE6650" w:rsidRDefault="006B6485" w:rsidP="00EA53FB">
            <w:pPr>
              <w:pStyle w:val="TableText0"/>
              <w:jc w:val="center"/>
            </w:pPr>
            <w:r w:rsidRPr="00BE6650">
              <w:t>High</w:t>
            </w:r>
          </w:p>
        </w:tc>
        <w:tc>
          <w:tcPr>
            <w:tcW w:w="952" w:type="pct"/>
            <w:shd w:val="clear" w:color="auto" w:fill="auto"/>
            <w:vAlign w:val="center"/>
          </w:tcPr>
          <w:p w14:paraId="3BC7569D" w14:textId="77777777" w:rsidR="006B6485" w:rsidRPr="00BE6650" w:rsidRDefault="006B6485" w:rsidP="00EA53FB">
            <w:pPr>
              <w:pStyle w:val="TableText0"/>
              <w:jc w:val="center"/>
            </w:pPr>
            <w:r w:rsidRPr="00BE6650">
              <w:t>TCR/PE MM (</w:t>
            </w:r>
            <w:r w:rsidR="004A6933" w:rsidRPr="00BE6650">
              <w:t xml:space="preserve">Sd as next </w:t>
            </w:r>
            <w:r w:rsidRPr="00BE6650">
              <w:t xml:space="preserve">subsequent </w:t>
            </w:r>
            <w:r w:rsidR="004A6933" w:rsidRPr="00BE6650">
              <w:t>treatment</w:t>
            </w:r>
            <w:r w:rsidRPr="00BE6650">
              <w:t>)</w:t>
            </w:r>
            <w:r w:rsidRPr="00BE6650">
              <w:rPr>
                <w:vertAlign w:val="superscript"/>
              </w:rPr>
              <w:t xml:space="preserve"> </w:t>
            </w:r>
            <w:r w:rsidR="00001C85" w:rsidRPr="00BE6650">
              <w:rPr>
                <w:sz w:val="18"/>
                <w:szCs w:val="18"/>
                <w:vertAlign w:val="superscript"/>
              </w:rPr>
              <w:t>b</w:t>
            </w:r>
          </w:p>
        </w:tc>
        <w:tc>
          <w:tcPr>
            <w:tcW w:w="528" w:type="pct"/>
            <w:shd w:val="clear" w:color="auto" w:fill="auto"/>
            <w:vAlign w:val="center"/>
          </w:tcPr>
          <w:p w14:paraId="69529774" w14:textId="77777777" w:rsidR="006B6485" w:rsidRPr="00BE6650" w:rsidRDefault="006B6485" w:rsidP="00EA53FB">
            <w:pPr>
              <w:pStyle w:val="TableText0"/>
              <w:jc w:val="center"/>
            </w:pPr>
            <w:r w:rsidRPr="00BE6650">
              <w:t>OS, ORR</w:t>
            </w:r>
          </w:p>
        </w:tc>
        <w:tc>
          <w:tcPr>
            <w:tcW w:w="796" w:type="pct"/>
            <w:shd w:val="clear" w:color="auto" w:fill="auto"/>
            <w:vAlign w:val="center"/>
          </w:tcPr>
          <w:p w14:paraId="208935DA" w14:textId="77777777" w:rsidR="006B6485" w:rsidRPr="00BE6650" w:rsidRDefault="006B6485" w:rsidP="00EA53FB">
            <w:pPr>
              <w:pStyle w:val="TableText0"/>
              <w:jc w:val="center"/>
            </w:pPr>
            <w:r w:rsidRPr="00BE6650">
              <w:t>Not used</w:t>
            </w:r>
          </w:p>
        </w:tc>
      </w:tr>
      <w:tr w:rsidR="00D1713C" w:rsidRPr="00BE6650" w14:paraId="4879A91A" w14:textId="77777777" w:rsidTr="008C353B">
        <w:trPr>
          <w:cantSplit/>
        </w:trPr>
        <w:tc>
          <w:tcPr>
            <w:tcW w:w="1027" w:type="pct"/>
            <w:shd w:val="clear" w:color="auto" w:fill="auto"/>
            <w:vAlign w:val="center"/>
          </w:tcPr>
          <w:p w14:paraId="1D0651E7" w14:textId="77777777" w:rsidR="00D1713C" w:rsidRPr="00BE6650" w:rsidRDefault="00D1713C" w:rsidP="00D1713C">
            <w:pPr>
              <w:pStyle w:val="TableText0"/>
            </w:pPr>
            <w:r w:rsidRPr="00BE6650">
              <w:t xml:space="preserve">STORM vs </w:t>
            </w:r>
            <w:r w:rsidR="006B6485" w:rsidRPr="00BE6650">
              <w:t>FLATIRON</w:t>
            </w:r>
          </w:p>
        </w:tc>
        <w:tc>
          <w:tcPr>
            <w:tcW w:w="295" w:type="pct"/>
            <w:shd w:val="clear" w:color="auto" w:fill="auto"/>
            <w:vAlign w:val="center"/>
          </w:tcPr>
          <w:p w14:paraId="1680DA0C" w14:textId="77777777" w:rsidR="00D1713C" w:rsidRPr="00BE6650" w:rsidRDefault="002678C9" w:rsidP="00D1713C">
            <w:pPr>
              <w:pStyle w:val="TableText0"/>
              <w:jc w:val="center"/>
            </w:pPr>
            <w:r w:rsidRPr="00BE6650">
              <w:t>100</w:t>
            </w:r>
            <w:r w:rsidR="009E176E" w:rsidRPr="00BE6650">
              <w:rPr>
                <w:vertAlign w:val="superscript"/>
              </w:rPr>
              <w:t>e</w:t>
            </w:r>
          </w:p>
        </w:tc>
        <w:tc>
          <w:tcPr>
            <w:tcW w:w="782" w:type="pct"/>
            <w:shd w:val="clear" w:color="auto" w:fill="auto"/>
            <w:vAlign w:val="center"/>
          </w:tcPr>
          <w:p w14:paraId="6839AAA4" w14:textId="77777777" w:rsidR="00D1713C" w:rsidRPr="00BE6650" w:rsidRDefault="00975BC0" w:rsidP="00D1713C">
            <w:pPr>
              <w:pStyle w:val="TableText0"/>
              <w:jc w:val="center"/>
            </w:pPr>
            <w:r w:rsidRPr="00BE6650">
              <w:t>Naïve comparison</w:t>
            </w:r>
          </w:p>
        </w:tc>
        <w:tc>
          <w:tcPr>
            <w:tcW w:w="620" w:type="pct"/>
            <w:shd w:val="clear" w:color="auto" w:fill="auto"/>
            <w:vAlign w:val="center"/>
          </w:tcPr>
          <w:p w14:paraId="07543CD5" w14:textId="77777777" w:rsidR="00D1713C" w:rsidRPr="00BE6650" w:rsidRDefault="00D1713C" w:rsidP="00D1713C">
            <w:pPr>
              <w:pStyle w:val="TableText0"/>
              <w:jc w:val="center"/>
            </w:pPr>
            <w:r w:rsidRPr="00BE6650">
              <w:t>High</w:t>
            </w:r>
          </w:p>
        </w:tc>
        <w:tc>
          <w:tcPr>
            <w:tcW w:w="952" w:type="pct"/>
            <w:shd w:val="clear" w:color="auto" w:fill="auto"/>
            <w:vAlign w:val="center"/>
          </w:tcPr>
          <w:p w14:paraId="45AE7665" w14:textId="77777777" w:rsidR="00D1713C" w:rsidRPr="00BE6650" w:rsidRDefault="00D1713C" w:rsidP="00D1713C">
            <w:pPr>
              <w:pStyle w:val="TableText0"/>
              <w:jc w:val="center"/>
            </w:pPr>
            <w:r w:rsidRPr="00BE6650">
              <w:t>TCR/PE MM</w:t>
            </w:r>
            <w:r w:rsidR="00975BC0" w:rsidRPr="00BE6650">
              <w:t xml:space="preserve"> (</w:t>
            </w:r>
            <w:r w:rsidR="004A6933" w:rsidRPr="00BE6650">
              <w:t xml:space="preserve">Sd as next </w:t>
            </w:r>
            <w:r w:rsidR="00975BC0" w:rsidRPr="00BE6650">
              <w:t xml:space="preserve">subsequent </w:t>
            </w:r>
            <w:r w:rsidR="004A6933" w:rsidRPr="00BE6650">
              <w:t>treatment</w:t>
            </w:r>
            <w:r w:rsidR="00975BC0" w:rsidRPr="00BE6650">
              <w:t>)</w:t>
            </w:r>
            <w:r w:rsidR="008C353B" w:rsidRPr="00BE6650">
              <w:rPr>
                <w:vertAlign w:val="superscript"/>
              </w:rPr>
              <w:t xml:space="preserve"> </w:t>
            </w:r>
            <w:r w:rsidR="00001C85" w:rsidRPr="00BE6650">
              <w:rPr>
                <w:sz w:val="18"/>
                <w:szCs w:val="18"/>
                <w:vertAlign w:val="superscript"/>
              </w:rPr>
              <w:t>b</w:t>
            </w:r>
          </w:p>
        </w:tc>
        <w:tc>
          <w:tcPr>
            <w:tcW w:w="528" w:type="pct"/>
            <w:shd w:val="clear" w:color="auto" w:fill="auto"/>
            <w:vAlign w:val="center"/>
          </w:tcPr>
          <w:p w14:paraId="5100D150" w14:textId="77777777" w:rsidR="00D1713C" w:rsidRPr="00BE6650" w:rsidRDefault="009D0788" w:rsidP="00D1713C">
            <w:pPr>
              <w:pStyle w:val="TableText0"/>
              <w:jc w:val="center"/>
            </w:pPr>
            <w:r w:rsidRPr="00BE6650">
              <w:t>OS</w:t>
            </w:r>
          </w:p>
        </w:tc>
        <w:tc>
          <w:tcPr>
            <w:tcW w:w="796" w:type="pct"/>
            <w:shd w:val="clear" w:color="auto" w:fill="auto"/>
            <w:vAlign w:val="center"/>
          </w:tcPr>
          <w:p w14:paraId="276AD4FD" w14:textId="77777777" w:rsidR="00D1713C" w:rsidRPr="00BE6650" w:rsidRDefault="00D1713C" w:rsidP="00D1713C">
            <w:pPr>
              <w:pStyle w:val="TableText0"/>
              <w:jc w:val="center"/>
            </w:pPr>
            <w:r w:rsidRPr="00BE6650">
              <w:t>Not used</w:t>
            </w:r>
          </w:p>
        </w:tc>
      </w:tr>
    </w:tbl>
    <w:p w14:paraId="7E593750" w14:textId="77777777" w:rsidR="00A25B32" w:rsidRPr="00BE6650" w:rsidRDefault="00A25B32" w:rsidP="00A25B32">
      <w:pPr>
        <w:pStyle w:val="TableFigureFooter"/>
      </w:pPr>
      <w:r w:rsidRPr="00BE6650">
        <w:t>Source: Developed during the evaluation</w:t>
      </w:r>
      <w:r w:rsidR="008821B5" w:rsidRPr="00BE6650">
        <w:t xml:space="preserve"> (</w:t>
      </w:r>
      <w:r w:rsidR="004A6933" w:rsidRPr="00BE6650">
        <w:t xml:space="preserve">risk of bias </w:t>
      </w:r>
      <w:r w:rsidR="008821B5" w:rsidRPr="00BE6650">
        <w:t>in all studies was assessed using ROBINS I)</w:t>
      </w:r>
    </w:p>
    <w:p w14:paraId="3FABF558" w14:textId="77777777" w:rsidR="00A25B32" w:rsidRPr="00BE6650" w:rsidRDefault="00826B6A" w:rsidP="00A25B32">
      <w:pPr>
        <w:pStyle w:val="TableFigureFooter"/>
      </w:pPr>
      <w:r w:rsidRPr="00BE6650">
        <w:t>m</w:t>
      </w:r>
      <w:r w:rsidR="00B11554" w:rsidRPr="00BE6650">
        <w:t xml:space="preserve">ITT = modified intention to treat population; </w:t>
      </w:r>
      <w:r w:rsidR="00864B58" w:rsidRPr="00BE6650">
        <w:t xml:space="preserve">ORR = overall response rate; </w:t>
      </w:r>
      <w:r w:rsidR="00A25B32" w:rsidRPr="00BE6650">
        <w:t xml:space="preserve">OS = overall survival; PFS = progression-free survival; </w:t>
      </w:r>
      <w:r w:rsidR="00864B58" w:rsidRPr="00BE6650">
        <w:t xml:space="preserve">Sd = selinexor plus dexamethasone; </w:t>
      </w:r>
      <w:r w:rsidR="00A83EB9" w:rsidRPr="00BE6650">
        <w:rPr>
          <w:szCs w:val="18"/>
        </w:rPr>
        <w:t>TCR/PE MM = triple class refractory and penta-exposed multiple myeloma</w:t>
      </w:r>
      <w:r w:rsidR="00A83EB9" w:rsidRPr="00BE6650">
        <w:rPr>
          <w:szCs w:val="28"/>
        </w:rPr>
        <w:t xml:space="preserve">; </w:t>
      </w:r>
      <w:r w:rsidR="00EA345C" w:rsidRPr="00BE6650">
        <w:rPr>
          <w:szCs w:val="18"/>
        </w:rPr>
        <w:t>TCR/P</w:t>
      </w:r>
      <w:r w:rsidR="00165A48" w:rsidRPr="00BE6650">
        <w:rPr>
          <w:szCs w:val="18"/>
        </w:rPr>
        <w:t>R</w:t>
      </w:r>
      <w:r w:rsidR="00EA345C" w:rsidRPr="00BE6650">
        <w:rPr>
          <w:szCs w:val="18"/>
        </w:rPr>
        <w:t xml:space="preserve"> MM = triple class refractory and penta-refractory multiple myeloma</w:t>
      </w:r>
      <w:r w:rsidR="00EA345C" w:rsidRPr="00BE6650" w:rsidDel="005E5115">
        <w:rPr>
          <w:szCs w:val="28"/>
        </w:rPr>
        <w:t xml:space="preserve"> </w:t>
      </w:r>
    </w:p>
    <w:p w14:paraId="42EFFF6B" w14:textId="77777777" w:rsidR="00A25B32" w:rsidRPr="00BE6650" w:rsidRDefault="00406B4C" w:rsidP="00A25B32">
      <w:pPr>
        <w:pStyle w:val="TableFigureFooter"/>
        <w:rPr>
          <w:szCs w:val="18"/>
        </w:rPr>
      </w:pPr>
      <w:r w:rsidRPr="00BE6650">
        <w:rPr>
          <w:szCs w:val="18"/>
          <w:vertAlign w:val="superscript"/>
        </w:rPr>
        <w:t>a</w:t>
      </w:r>
      <w:r w:rsidR="008C353B" w:rsidRPr="00BE6650">
        <w:rPr>
          <w:szCs w:val="18"/>
          <w:vertAlign w:val="superscript"/>
        </w:rPr>
        <w:t xml:space="preserve"> </w:t>
      </w:r>
      <w:r w:rsidR="004B2DD1" w:rsidRPr="00BE6650">
        <w:rPr>
          <w:szCs w:val="18"/>
        </w:rPr>
        <w:t>Used in the naïve comparison with MAMMOTH and FLATIRON</w:t>
      </w:r>
      <w:r w:rsidR="00A7184E" w:rsidRPr="00BE6650">
        <w:rPr>
          <w:szCs w:val="18"/>
        </w:rPr>
        <w:t>.</w:t>
      </w:r>
    </w:p>
    <w:p w14:paraId="0C268C88" w14:textId="77777777" w:rsidR="009A6DD1" w:rsidRPr="00BE6650" w:rsidRDefault="009A6DD1" w:rsidP="00A25B32">
      <w:pPr>
        <w:pStyle w:val="TableFigureFooter"/>
        <w:rPr>
          <w:szCs w:val="18"/>
        </w:rPr>
      </w:pPr>
      <w:r w:rsidRPr="00BE6650">
        <w:rPr>
          <w:szCs w:val="18"/>
          <w:vertAlign w:val="superscript"/>
        </w:rPr>
        <w:t xml:space="preserve">b </w:t>
      </w:r>
      <w:r w:rsidR="00A2345E" w:rsidRPr="00BE6650">
        <w:rPr>
          <w:szCs w:val="18"/>
        </w:rPr>
        <w:t xml:space="preserve">Patients that were TCR/PE and received </w:t>
      </w:r>
      <w:r w:rsidR="00593A6D" w:rsidRPr="00BE6650">
        <w:rPr>
          <w:szCs w:val="18"/>
        </w:rPr>
        <w:t xml:space="preserve">Sd </w:t>
      </w:r>
      <w:r w:rsidR="00A2345E" w:rsidRPr="00BE6650">
        <w:rPr>
          <w:szCs w:val="18"/>
        </w:rPr>
        <w:t xml:space="preserve">as the subsequent treatment after </w:t>
      </w:r>
      <w:r w:rsidR="00A7184E" w:rsidRPr="00BE6650">
        <w:rPr>
          <w:szCs w:val="18"/>
        </w:rPr>
        <w:t>this status.</w:t>
      </w:r>
    </w:p>
    <w:p w14:paraId="3DE9FD05" w14:textId="77777777" w:rsidR="00921B8B" w:rsidRPr="00BE6650" w:rsidRDefault="00921B8B" w:rsidP="00A25B32">
      <w:pPr>
        <w:pStyle w:val="TableFigureFooter"/>
        <w:rPr>
          <w:szCs w:val="18"/>
        </w:rPr>
      </w:pPr>
      <w:r w:rsidRPr="00BE6650">
        <w:rPr>
          <w:szCs w:val="18"/>
          <w:vertAlign w:val="superscript"/>
        </w:rPr>
        <w:t xml:space="preserve">C </w:t>
      </w:r>
      <w:r w:rsidR="00E13035" w:rsidRPr="00BE6650">
        <w:rPr>
          <w:szCs w:val="18"/>
        </w:rPr>
        <w:t xml:space="preserve">Used in the </w:t>
      </w:r>
      <w:r w:rsidR="001E49C5" w:rsidRPr="00BE6650">
        <w:rPr>
          <w:szCs w:val="18"/>
        </w:rPr>
        <w:t>naïve comparison with STORM. Subgroup of the MAMMOTH study (</w:t>
      </w:r>
      <w:r w:rsidR="005B63BB" w:rsidRPr="00BE6650">
        <w:rPr>
          <w:szCs w:val="18"/>
        </w:rPr>
        <w:t>128/275 patients)</w:t>
      </w:r>
      <w:r w:rsidR="00D94DE2" w:rsidRPr="00BE6650">
        <w:rPr>
          <w:szCs w:val="18"/>
        </w:rPr>
        <w:t xml:space="preserve"> included TCR/PE patients that received subsequent therapy other than </w:t>
      </w:r>
      <w:r w:rsidR="00417373" w:rsidRPr="00BE6650">
        <w:rPr>
          <w:szCs w:val="18"/>
        </w:rPr>
        <w:t>Sd</w:t>
      </w:r>
      <w:r w:rsidR="00D94DE2" w:rsidRPr="00BE6650">
        <w:rPr>
          <w:szCs w:val="18"/>
        </w:rPr>
        <w:t xml:space="preserve">. MAMMOTH </w:t>
      </w:r>
      <w:r w:rsidR="005C6802" w:rsidRPr="00BE6650">
        <w:rPr>
          <w:szCs w:val="18"/>
        </w:rPr>
        <w:t xml:space="preserve">included all patients that had become refractory to MM. </w:t>
      </w:r>
    </w:p>
    <w:p w14:paraId="549C8AD2" w14:textId="77777777" w:rsidR="009E176E" w:rsidRPr="00BE6650" w:rsidRDefault="009E176E" w:rsidP="00A25B32">
      <w:pPr>
        <w:pStyle w:val="TableFigureFooter"/>
        <w:rPr>
          <w:szCs w:val="18"/>
        </w:rPr>
      </w:pPr>
      <w:r w:rsidRPr="00BE6650">
        <w:rPr>
          <w:szCs w:val="18"/>
          <w:vertAlign w:val="superscript"/>
        </w:rPr>
        <w:t>d</w:t>
      </w:r>
      <w:r w:rsidR="002E00D9" w:rsidRPr="00BE6650">
        <w:rPr>
          <w:szCs w:val="18"/>
          <w:vertAlign w:val="superscript"/>
        </w:rPr>
        <w:t xml:space="preserve"> </w:t>
      </w:r>
      <w:r w:rsidR="00D05C30" w:rsidRPr="00BE6650">
        <w:rPr>
          <w:szCs w:val="18"/>
        </w:rPr>
        <w:t>64</w:t>
      </w:r>
      <w:r w:rsidR="002E00D9" w:rsidRPr="00BE6650">
        <w:rPr>
          <w:szCs w:val="18"/>
        </w:rPr>
        <w:t xml:space="preserve"> patients from STORM and 128 patients from MAMMOTH</w:t>
      </w:r>
    </w:p>
    <w:p w14:paraId="14868A9C" w14:textId="77777777" w:rsidR="002E00D9" w:rsidRPr="00BE6650" w:rsidRDefault="002E00D9" w:rsidP="00222CC4">
      <w:pPr>
        <w:pStyle w:val="TableFigureFooter"/>
        <w:spacing w:before="240"/>
        <w:rPr>
          <w:szCs w:val="18"/>
        </w:rPr>
      </w:pPr>
      <w:r w:rsidRPr="00BE6650">
        <w:rPr>
          <w:szCs w:val="18"/>
          <w:vertAlign w:val="superscript"/>
        </w:rPr>
        <w:t xml:space="preserve">e </w:t>
      </w:r>
      <w:r w:rsidR="00D05C30" w:rsidRPr="00BE6650">
        <w:rPr>
          <w:szCs w:val="18"/>
        </w:rPr>
        <w:t>64</w:t>
      </w:r>
      <w:r w:rsidRPr="00BE6650">
        <w:rPr>
          <w:szCs w:val="18"/>
        </w:rPr>
        <w:t xml:space="preserve"> patients from STORM and </w:t>
      </w:r>
      <w:r w:rsidR="007F23E7" w:rsidRPr="00BE6650">
        <w:rPr>
          <w:szCs w:val="18"/>
        </w:rPr>
        <w:t>36</w:t>
      </w:r>
      <w:r w:rsidRPr="00BE6650">
        <w:rPr>
          <w:szCs w:val="18"/>
        </w:rPr>
        <w:t xml:space="preserve"> patients from MAMMOTH</w:t>
      </w:r>
    </w:p>
    <w:p w14:paraId="088040DE" w14:textId="77777777" w:rsidR="00A44E26" w:rsidRPr="00BE6650" w:rsidRDefault="00A44E26" w:rsidP="00A44E26">
      <w:pPr>
        <w:pStyle w:val="3-BodyText"/>
        <w:rPr>
          <w:iCs/>
        </w:rPr>
      </w:pPr>
      <w:r w:rsidRPr="00BE6650">
        <w:rPr>
          <w:iCs/>
        </w:rPr>
        <w:t xml:space="preserve">The overall risk of bias in STORM </w:t>
      </w:r>
      <w:r w:rsidR="00873FFF" w:rsidRPr="00BE6650">
        <w:rPr>
          <w:iCs/>
        </w:rPr>
        <w:t xml:space="preserve">was </w:t>
      </w:r>
      <w:r w:rsidRPr="00BE6650">
        <w:rPr>
          <w:iCs/>
        </w:rPr>
        <w:t>high, given that it is an open-label, single arm non-randomised study. This includes a high probability of selection bias (exclusion of patients might favour clinical outcomes), performance bias (unblinded study), and measurement of outcome bias (unblinded study).</w:t>
      </w:r>
      <w:r w:rsidR="009E0B8D" w:rsidRPr="00BE6650">
        <w:rPr>
          <w:iCs/>
        </w:rPr>
        <w:t xml:space="preserve"> </w:t>
      </w:r>
      <w:r w:rsidR="009E0B8D" w:rsidRPr="00BE6650">
        <w:rPr>
          <w:rFonts w:eastAsia="Calibri"/>
        </w:rPr>
        <w:t>The PSCR stated that the primary outcome of disease response was adjudicated by an independent review committee of four physicians and the outcome measures of response and disease progression used were objective measures that were defined by pre-specified criteria.</w:t>
      </w:r>
      <w:r w:rsidR="009E0B8D" w:rsidRPr="00BE6650">
        <w:rPr>
          <w:rFonts w:eastAsia="Calibri"/>
          <w:i/>
        </w:rPr>
        <w:t xml:space="preserve"> </w:t>
      </w:r>
      <w:r w:rsidRPr="00BE6650">
        <w:rPr>
          <w:iCs/>
        </w:rPr>
        <w:t xml:space="preserve"> The risk of bias in MAMMOTH and FLATIRON </w:t>
      </w:r>
      <w:r w:rsidR="00873FFF" w:rsidRPr="00BE6650">
        <w:rPr>
          <w:iCs/>
        </w:rPr>
        <w:t xml:space="preserve">was </w:t>
      </w:r>
      <w:r w:rsidRPr="00BE6650">
        <w:rPr>
          <w:iCs/>
        </w:rPr>
        <w:t>high given they are both retrospective single-arm studies. Limited information regarding methods and characteristics of patients from both studies was available</w:t>
      </w:r>
      <w:r w:rsidR="006A6DCF" w:rsidRPr="00BE6650">
        <w:rPr>
          <w:iCs/>
        </w:rPr>
        <w:t xml:space="preserve">. The PSCR provided a comparison of the baseline characteristics of the TCR/PR MM </w:t>
      </w:r>
      <w:r w:rsidR="00BE67EF" w:rsidRPr="00BE6650">
        <w:rPr>
          <w:iCs/>
        </w:rPr>
        <w:t xml:space="preserve">subgroups </w:t>
      </w:r>
      <w:r w:rsidR="006A6DCF" w:rsidRPr="00BE6650">
        <w:rPr>
          <w:iCs/>
        </w:rPr>
        <w:t xml:space="preserve">from STORM and </w:t>
      </w:r>
      <w:r w:rsidR="00BE67EF" w:rsidRPr="00BE6650">
        <w:rPr>
          <w:iCs/>
        </w:rPr>
        <w:t>MAMMOTH.</w:t>
      </w:r>
      <w:r w:rsidR="00BE67EF" w:rsidRPr="00BE6650">
        <w:rPr>
          <w:i/>
          <w:iCs/>
        </w:rPr>
        <w:t xml:space="preserve"> </w:t>
      </w:r>
    </w:p>
    <w:p w14:paraId="3B452EFC" w14:textId="77777777" w:rsidR="00A44E26" w:rsidRPr="00BE6650" w:rsidRDefault="00CB5C9C" w:rsidP="00A44E26">
      <w:pPr>
        <w:pStyle w:val="3-BodyText"/>
        <w:rPr>
          <w:iCs/>
        </w:rPr>
      </w:pPr>
      <w:r w:rsidRPr="00BE6650">
        <w:rPr>
          <w:iCs/>
        </w:rPr>
        <w:t>The ESC noted that p</w:t>
      </w:r>
      <w:r w:rsidR="00A44E26" w:rsidRPr="00BE6650">
        <w:rPr>
          <w:iCs/>
        </w:rPr>
        <w:t>atients in STORM appeared to be healthier and/or had less advanced disease than MAMMOTH and FLATIRON given that:</w:t>
      </w:r>
    </w:p>
    <w:p w14:paraId="68284513" w14:textId="77777777" w:rsidR="00A44E26" w:rsidRPr="00BE6650" w:rsidRDefault="00A44E26" w:rsidP="004E4B07">
      <w:pPr>
        <w:pStyle w:val="3-BodyText"/>
        <w:numPr>
          <w:ilvl w:val="0"/>
          <w:numId w:val="10"/>
        </w:numPr>
        <w:rPr>
          <w:iCs/>
        </w:rPr>
      </w:pPr>
      <w:r w:rsidRPr="00BE6650">
        <w:rPr>
          <w:iCs/>
        </w:rPr>
        <w:t>Patients with limited life expectancy</w:t>
      </w:r>
      <w:r w:rsidR="000A3E65" w:rsidRPr="00BE6650">
        <w:rPr>
          <w:iCs/>
        </w:rPr>
        <w:t xml:space="preserve"> (less than four months)</w:t>
      </w:r>
      <w:r w:rsidRPr="00BE6650">
        <w:rPr>
          <w:iCs/>
        </w:rPr>
        <w:t xml:space="preserve"> were excluded in STORM.</w:t>
      </w:r>
    </w:p>
    <w:p w14:paraId="6BEEC756" w14:textId="77777777" w:rsidR="00A44E26" w:rsidRPr="00BE6650" w:rsidRDefault="00A44E26" w:rsidP="004E4B07">
      <w:pPr>
        <w:pStyle w:val="3-BodyText"/>
        <w:numPr>
          <w:ilvl w:val="0"/>
          <w:numId w:val="10"/>
        </w:numPr>
        <w:rPr>
          <w:iCs/>
        </w:rPr>
      </w:pPr>
      <w:r w:rsidRPr="00BE6650">
        <w:rPr>
          <w:iCs/>
        </w:rPr>
        <w:t xml:space="preserve">Patients in STORM had longer time between initial diagnosis of the disease and date receiving the studied intervention (median = 6.4 years) compared with MAMMOTH (median = 5.0 years) and FLATIRON (median = </w:t>
      </w:r>
      <w:r w:rsidR="00773C6E" w:rsidRPr="00BE6650">
        <w:rPr>
          <w:iCs/>
        </w:rPr>
        <w:t>3.4 years</w:t>
      </w:r>
      <w:r w:rsidRPr="00BE6650">
        <w:rPr>
          <w:iCs/>
        </w:rPr>
        <w:t xml:space="preserve">). </w:t>
      </w:r>
    </w:p>
    <w:p w14:paraId="42621B7D" w14:textId="77777777" w:rsidR="00A44E26" w:rsidRPr="00BE6650" w:rsidRDefault="00A44E26" w:rsidP="004E4B07">
      <w:pPr>
        <w:pStyle w:val="3-BodyText"/>
        <w:numPr>
          <w:ilvl w:val="0"/>
          <w:numId w:val="10"/>
        </w:numPr>
        <w:rPr>
          <w:i/>
          <w:iCs/>
        </w:rPr>
      </w:pPr>
      <w:r w:rsidRPr="00BE6650">
        <w:rPr>
          <w:iCs/>
        </w:rPr>
        <w:t>A high proportion of patients in STORM previously received stem cell transplantation (ASCT; 53/64; 82.8%) compared with FLATIRON (22/36; 61.1%). There was no information regarding the proportion of patients receiving ASCT in MAMMOTH.</w:t>
      </w:r>
    </w:p>
    <w:p w14:paraId="48C55DF4" w14:textId="77777777" w:rsidR="00A44E26" w:rsidRPr="00BE6650" w:rsidRDefault="00AC75AC" w:rsidP="004E4B07">
      <w:pPr>
        <w:pStyle w:val="3-BodyText"/>
        <w:numPr>
          <w:ilvl w:val="0"/>
          <w:numId w:val="10"/>
        </w:numPr>
        <w:rPr>
          <w:iCs/>
        </w:rPr>
      </w:pPr>
      <w:r w:rsidRPr="00BE6650">
        <w:rPr>
          <w:iCs/>
        </w:rPr>
        <w:t>The majority of p</w:t>
      </w:r>
      <w:r w:rsidR="00A44E26" w:rsidRPr="00BE6650">
        <w:rPr>
          <w:iCs/>
        </w:rPr>
        <w:t xml:space="preserve">atients in STORM </w:t>
      </w:r>
      <w:r w:rsidRPr="00BE6650">
        <w:rPr>
          <w:iCs/>
        </w:rPr>
        <w:t xml:space="preserve">had an </w:t>
      </w:r>
      <w:r w:rsidR="00A44E26" w:rsidRPr="00BE6650">
        <w:rPr>
          <w:iCs/>
        </w:rPr>
        <w:t xml:space="preserve">ECOG performance status (PS) score of 0 or 1 (74/83; 89.1% </w:t>
      </w:r>
      <w:r w:rsidR="003652AF" w:rsidRPr="00BE6650">
        <w:rPr>
          <w:iCs/>
        </w:rPr>
        <w:t>of</w:t>
      </w:r>
      <w:r w:rsidR="00A44E26" w:rsidRPr="00BE6650">
        <w:rPr>
          <w:iCs/>
        </w:rPr>
        <w:t xml:space="preserve"> TCR/PR MM) despite having late-stage MM. There was no information about ECOG score in MAMMOTH. </w:t>
      </w:r>
      <w:r w:rsidR="00463D8C" w:rsidRPr="00BE6650">
        <w:rPr>
          <w:iCs/>
        </w:rPr>
        <w:t xml:space="preserve">In FLATIRON, </w:t>
      </w:r>
      <w:r w:rsidR="004B3664" w:rsidRPr="00BE6650">
        <w:rPr>
          <w:iCs/>
        </w:rPr>
        <w:t>a</w:t>
      </w:r>
      <w:r w:rsidR="00E036A8" w:rsidRPr="00BE6650">
        <w:rPr>
          <w:iCs/>
        </w:rPr>
        <w:t xml:space="preserve"> high proportion of patients </w:t>
      </w:r>
      <w:r w:rsidR="00463D8C" w:rsidRPr="00BE6650">
        <w:rPr>
          <w:iCs/>
        </w:rPr>
        <w:t>had an</w:t>
      </w:r>
      <w:r w:rsidR="0089527D" w:rsidRPr="00BE6650">
        <w:rPr>
          <w:iCs/>
        </w:rPr>
        <w:t xml:space="preserve"> unknown </w:t>
      </w:r>
      <w:r w:rsidR="009139C5" w:rsidRPr="00BE6650">
        <w:rPr>
          <w:iCs/>
        </w:rPr>
        <w:t xml:space="preserve">ECOG </w:t>
      </w:r>
      <w:r w:rsidR="00E036A8" w:rsidRPr="00BE6650">
        <w:rPr>
          <w:iCs/>
        </w:rPr>
        <w:t xml:space="preserve">PS </w:t>
      </w:r>
      <w:r w:rsidR="0089527D" w:rsidRPr="00BE6650">
        <w:rPr>
          <w:iCs/>
        </w:rPr>
        <w:t>(15/36; 41.7% was reported as 0 or missing).</w:t>
      </w:r>
    </w:p>
    <w:p w14:paraId="56B247C9" w14:textId="77777777" w:rsidR="00D00F1A" w:rsidRPr="00BE6650" w:rsidRDefault="00D00F1A" w:rsidP="004E4B07">
      <w:pPr>
        <w:pStyle w:val="ListParagraph"/>
        <w:numPr>
          <w:ilvl w:val="0"/>
          <w:numId w:val="8"/>
        </w:numPr>
        <w:ind w:left="1077" w:hanging="357"/>
        <w:rPr>
          <w:iCs/>
        </w:rPr>
      </w:pPr>
      <w:r w:rsidRPr="00BE6650">
        <w:rPr>
          <w:iCs/>
        </w:rPr>
        <w:t xml:space="preserve">In STORM, </w:t>
      </w:r>
      <w:r w:rsidR="00FB20C1" w:rsidRPr="00BE6650">
        <w:rPr>
          <w:iCs/>
        </w:rPr>
        <w:t xml:space="preserve">a high proportion of patients </w:t>
      </w:r>
      <w:r w:rsidRPr="00BE6650">
        <w:rPr>
          <w:iCs/>
        </w:rPr>
        <w:t>(61/122</w:t>
      </w:r>
      <w:r w:rsidR="00FB20C1" w:rsidRPr="00BE6650">
        <w:rPr>
          <w:iCs/>
        </w:rPr>
        <w:t>; 50%</w:t>
      </w:r>
      <w:r w:rsidRPr="00BE6650">
        <w:rPr>
          <w:iCs/>
        </w:rPr>
        <w:t xml:space="preserve">) received subsequent treatments </w:t>
      </w:r>
      <w:r w:rsidR="00310B7C" w:rsidRPr="00BE6650">
        <w:rPr>
          <w:iCs/>
        </w:rPr>
        <w:t xml:space="preserve">after </w:t>
      </w:r>
      <w:r w:rsidR="00D65E5C" w:rsidRPr="00BE6650">
        <w:rPr>
          <w:iCs/>
        </w:rPr>
        <w:t xml:space="preserve">Sd </w:t>
      </w:r>
      <w:r w:rsidRPr="00BE6650">
        <w:rPr>
          <w:iCs/>
        </w:rPr>
        <w:t>(Chari et al., 2019</w:t>
      </w:r>
      <w:r w:rsidR="005813F3" w:rsidRPr="00BE6650">
        <w:rPr>
          <w:iCs/>
        </w:rPr>
        <w:t>).</w:t>
      </w:r>
      <w:r w:rsidRPr="00BE6650">
        <w:rPr>
          <w:iCs/>
        </w:rPr>
        <w:t xml:space="preserve"> </w:t>
      </w:r>
      <w:r w:rsidR="004E5A0A" w:rsidRPr="00BE6650">
        <w:rPr>
          <w:iCs/>
        </w:rPr>
        <w:t>Most</w:t>
      </w:r>
      <w:r w:rsidRPr="00BE6650">
        <w:rPr>
          <w:iCs/>
        </w:rPr>
        <w:t xml:space="preserve"> patients receive</w:t>
      </w:r>
      <w:r w:rsidR="00EF63FE" w:rsidRPr="00BE6650">
        <w:rPr>
          <w:iCs/>
        </w:rPr>
        <w:t>d</w:t>
      </w:r>
      <w:r w:rsidRPr="00BE6650">
        <w:rPr>
          <w:iCs/>
        </w:rPr>
        <w:t xml:space="preserve"> PIs, IMiDs, daratumumab or chemotherapy (41/</w:t>
      </w:r>
      <w:r w:rsidR="001A7BD0" w:rsidRPr="00BE6650">
        <w:rPr>
          <w:iCs/>
        </w:rPr>
        <w:t>122; 34%</w:t>
      </w:r>
      <w:r w:rsidRPr="00BE6650">
        <w:rPr>
          <w:iCs/>
        </w:rPr>
        <w:t>)</w:t>
      </w:r>
      <w:r w:rsidR="00A97966" w:rsidRPr="00BE6650">
        <w:rPr>
          <w:iCs/>
        </w:rPr>
        <w:t xml:space="preserve"> </w:t>
      </w:r>
      <w:r w:rsidR="001474D1" w:rsidRPr="00BE6650">
        <w:rPr>
          <w:iCs/>
        </w:rPr>
        <w:t>and</w:t>
      </w:r>
      <w:r w:rsidRPr="00BE6650">
        <w:rPr>
          <w:iCs/>
        </w:rPr>
        <w:t xml:space="preserve"> </w:t>
      </w:r>
      <w:r w:rsidR="00766EED" w:rsidRPr="00BE6650">
        <w:rPr>
          <w:iCs/>
        </w:rPr>
        <w:t>autologous stem cell transplant (</w:t>
      </w:r>
      <w:r w:rsidRPr="00BE6650">
        <w:rPr>
          <w:iCs/>
        </w:rPr>
        <w:t>ASCT</w:t>
      </w:r>
      <w:r w:rsidR="00766EED" w:rsidRPr="00BE6650">
        <w:rPr>
          <w:iCs/>
        </w:rPr>
        <w:t xml:space="preserve">; </w:t>
      </w:r>
      <w:r w:rsidR="001474D1" w:rsidRPr="00BE6650">
        <w:rPr>
          <w:iCs/>
        </w:rPr>
        <w:t>10/122; 8%)</w:t>
      </w:r>
      <w:r w:rsidRPr="00BE6650">
        <w:rPr>
          <w:iCs/>
        </w:rPr>
        <w:t>.</w:t>
      </w:r>
      <w:r w:rsidR="008C4A79" w:rsidRPr="00BE6650">
        <w:rPr>
          <w:iCs/>
        </w:rPr>
        <w:t xml:space="preserve"> </w:t>
      </w:r>
      <w:r w:rsidR="00261C32" w:rsidRPr="00BE6650">
        <w:rPr>
          <w:iCs/>
        </w:rPr>
        <w:t>The use of subsequent treatment</w:t>
      </w:r>
      <w:r w:rsidR="005764F8" w:rsidRPr="00BE6650">
        <w:rPr>
          <w:iCs/>
        </w:rPr>
        <w:t>s</w:t>
      </w:r>
      <w:r w:rsidR="00261C32" w:rsidRPr="00BE6650">
        <w:rPr>
          <w:iCs/>
        </w:rPr>
        <w:t xml:space="preserve"> might </w:t>
      </w:r>
      <w:r w:rsidR="00231004" w:rsidRPr="00BE6650">
        <w:rPr>
          <w:iCs/>
        </w:rPr>
        <w:t>bias</w:t>
      </w:r>
      <w:r w:rsidR="00BA1BAB" w:rsidRPr="00BE6650">
        <w:rPr>
          <w:iCs/>
        </w:rPr>
        <w:t xml:space="preserve"> OS</w:t>
      </w:r>
      <w:r w:rsidR="00231004" w:rsidRPr="00BE6650">
        <w:rPr>
          <w:iCs/>
        </w:rPr>
        <w:t xml:space="preserve"> in favour of</w:t>
      </w:r>
      <w:r w:rsidR="00BA1BAB" w:rsidRPr="00BE6650">
        <w:rPr>
          <w:iCs/>
        </w:rPr>
        <w:t xml:space="preserve"> </w:t>
      </w:r>
      <w:r w:rsidR="00D65E5C" w:rsidRPr="00BE6650">
        <w:rPr>
          <w:iCs/>
        </w:rPr>
        <w:t>Sd</w:t>
      </w:r>
      <w:r w:rsidR="00BA1BAB" w:rsidRPr="00BE6650">
        <w:rPr>
          <w:iCs/>
        </w:rPr>
        <w:t>.</w:t>
      </w:r>
      <w:r w:rsidR="00231004" w:rsidRPr="00BE6650">
        <w:rPr>
          <w:iCs/>
        </w:rPr>
        <w:t xml:space="preserve"> </w:t>
      </w:r>
      <w:r w:rsidRPr="00BE6650">
        <w:rPr>
          <w:iCs/>
        </w:rPr>
        <w:t xml:space="preserve">No details for subsequent treatments in MAMMOTH and FLATIRON were presented in the submission.  </w:t>
      </w:r>
    </w:p>
    <w:p w14:paraId="1078C450" w14:textId="77777777" w:rsidR="00BE67EF" w:rsidRPr="00BE6650" w:rsidRDefault="00BE67EF" w:rsidP="007633BE">
      <w:pPr>
        <w:pStyle w:val="3-BodyText"/>
        <w:rPr>
          <w:iCs/>
        </w:rPr>
      </w:pPr>
      <w:r w:rsidRPr="00BE6650">
        <w:rPr>
          <w:iCs/>
        </w:rPr>
        <w:t xml:space="preserve">The PSCR claimed that while STORM and MAMMOTH were </w:t>
      </w:r>
      <w:r w:rsidRPr="00BE6650">
        <w:t>well matched for gender and race, the STORM population had a higher proportion of high-risk chromosomal abnormalities, were more heavily pre-treated and had more advanced disease (STORM = 6.4 years from diagnosis; MAMMOTH = 5.0 years) when compared with the MAMMOTH TCR/PR cohort. The ESC considered that the longer time between initial diagnosis and enrolment into a study reflected a better disease prognosis.</w:t>
      </w:r>
    </w:p>
    <w:p w14:paraId="040FDFD2" w14:textId="77777777" w:rsidR="007633BE" w:rsidRPr="00BE6650" w:rsidRDefault="007975B6" w:rsidP="007633BE">
      <w:pPr>
        <w:pStyle w:val="3-BodyText"/>
        <w:rPr>
          <w:iCs/>
        </w:rPr>
      </w:pPr>
      <w:r w:rsidRPr="00BE6650">
        <w:rPr>
          <w:iCs/>
        </w:rPr>
        <w:t xml:space="preserve">The most common therapies administered to patients after becoming TCR/PE MM in MAMMOTH were pomalidomide-based </w:t>
      </w:r>
      <w:r w:rsidR="001A6CF3" w:rsidRPr="00BE6650">
        <w:rPr>
          <w:iCs/>
        </w:rPr>
        <w:t>treatment</w:t>
      </w:r>
      <w:r w:rsidR="00D476DE" w:rsidRPr="00BE6650">
        <w:rPr>
          <w:iCs/>
        </w:rPr>
        <w:t>s</w:t>
      </w:r>
      <w:r w:rsidR="001A6CF3" w:rsidRPr="00BE6650">
        <w:rPr>
          <w:iCs/>
        </w:rPr>
        <w:t xml:space="preserve"> </w:t>
      </w:r>
      <w:r w:rsidRPr="00BE6650">
        <w:rPr>
          <w:iCs/>
        </w:rPr>
        <w:t>(36.8%)</w:t>
      </w:r>
      <w:r w:rsidR="001A6CF3" w:rsidRPr="00BE6650">
        <w:rPr>
          <w:iCs/>
        </w:rPr>
        <w:t xml:space="preserve">, </w:t>
      </w:r>
      <w:r w:rsidRPr="00BE6650">
        <w:rPr>
          <w:iCs/>
        </w:rPr>
        <w:t>traditional chemotherapy (33.6%)</w:t>
      </w:r>
      <w:r w:rsidR="001A6CF3" w:rsidRPr="00BE6650">
        <w:rPr>
          <w:iCs/>
        </w:rPr>
        <w:t xml:space="preserve"> and </w:t>
      </w:r>
      <w:r w:rsidR="00D476DE" w:rsidRPr="00BE6650">
        <w:rPr>
          <w:iCs/>
        </w:rPr>
        <w:t xml:space="preserve">daratumumab-based treatments (19.5%). </w:t>
      </w:r>
      <w:r w:rsidR="00764CC5" w:rsidRPr="00BE6650">
        <w:rPr>
          <w:iCs/>
        </w:rPr>
        <w:t>No detail was provided</w:t>
      </w:r>
      <w:r w:rsidR="00470935" w:rsidRPr="00BE6650">
        <w:rPr>
          <w:iCs/>
        </w:rPr>
        <w:t xml:space="preserve"> regarding the conventional treatments provided to patients after becoming TCR/PE MM in FLATIRON. Therefore, </w:t>
      </w:r>
      <w:r w:rsidR="00764CC5" w:rsidRPr="00BE6650">
        <w:rPr>
          <w:iCs/>
        </w:rPr>
        <w:t xml:space="preserve">the outcomes observed in </w:t>
      </w:r>
      <w:r w:rsidR="00470935" w:rsidRPr="00BE6650">
        <w:rPr>
          <w:iCs/>
        </w:rPr>
        <w:t xml:space="preserve">both MAMMOTH and FLATIRON </w:t>
      </w:r>
      <w:r w:rsidR="00764CC5" w:rsidRPr="00BE6650">
        <w:rPr>
          <w:iCs/>
        </w:rPr>
        <w:t>may</w:t>
      </w:r>
      <w:r w:rsidR="00470935" w:rsidRPr="00BE6650">
        <w:rPr>
          <w:iCs/>
        </w:rPr>
        <w:t xml:space="preserve"> not represent outcome</w:t>
      </w:r>
      <w:r w:rsidR="00764CC5" w:rsidRPr="00BE6650">
        <w:rPr>
          <w:iCs/>
        </w:rPr>
        <w:t>s</w:t>
      </w:r>
      <w:r w:rsidR="00470935" w:rsidRPr="00BE6650">
        <w:rPr>
          <w:iCs/>
        </w:rPr>
        <w:t xml:space="preserve"> of </w:t>
      </w:r>
      <w:r w:rsidR="00904A55" w:rsidRPr="00BE6650">
        <w:rPr>
          <w:iCs/>
        </w:rPr>
        <w:t>salvage chemotherapy</w:t>
      </w:r>
      <w:r w:rsidR="00470935" w:rsidRPr="00BE6650">
        <w:rPr>
          <w:iCs/>
        </w:rPr>
        <w:t xml:space="preserve">. </w:t>
      </w:r>
    </w:p>
    <w:p w14:paraId="700A3BF3" w14:textId="77777777" w:rsidR="00A25B32" w:rsidRPr="00BE6650" w:rsidRDefault="00A25B32" w:rsidP="00A25B32">
      <w:pPr>
        <w:pStyle w:val="4-SubsectionHeading"/>
      </w:pPr>
      <w:bookmarkStart w:id="14" w:name="_Toc22897641"/>
      <w:bookmarkStart w:id="15" w:name="_Toc72323737"/>
      <w:r w:rsidRPr="00BE6650">
        <w:t>Comparative effectiveness</w:t>
      </w:r>
      <w:bookmarkEnd w:id="14"/>
      <w:bookmarkEnd w:id="15"/>
    </w:p>
    <w:p w14:paraId="53AAD01D" w14:textId="77777777" w:rsidR="00BE67EF" w:rsidRPr="00BE6650" w:rsidRDefault="00A25B32" w:rsidP="00A25B32">
      <w:pPr>
        <w:pStyle w:val="3-BodyText"/>
      </w:pPr>
      <w:r w:rsidRPr="00BE6650">
        <w:t>A summary of effectiveness results</w:t>
      </w:r>
      <w:r w:rsidR="00C332FB" w:rsidRPr="00BE6650">
        <w:t xml:space="preserve"> of Sd</w:t>
      </w:r>
      <w:r w:rsidRPr="00BE6650">
        <w:t xml:space="preserve"> from STORM for the mITT population</w:t>
      </w:r>
      <w:r w:rsidR="00CC1BA7" w:rsidRPr="00BE6650">
        <w:t xml:space="preserve"> (TCR/PE MM)</w:t>
      </w:r>
      <w:r w:rsidRPr="00BE6650">
        <w:t xml:space="preserve"> </w:t>
      </w:r>
      <w:r w:rsidR="005A200A" w:rsidRPr="00BE6650">
        <w:t xml:space="preserve">and </w:t>
      </w:r>
      <w:r w:rsidR="008D77C1" w:rsidRPr="00BE6650">
        <w:t xml:space="preserve">TCR/PR MM </w:t>
      </w:r>
      <w:r w:rsidRPr="00BE6650">
        <w:t xml:space="preserve">is presented in Table </w:t>
      </w:r>
      <w:r w:rsidR="00B24A5D" w:rsidRPr="00BE6650">
        <w:t>5</w:t>
      </w:r>
      <w:r w:rsidRPr="00BE6650">
        <w:t xml:space="preserve">. </w:t>
      </w:r>
    </w:p>
    <w:p w14:paraId="5AFEC5AB" w14:textId="77777777" w:rsidR="00A25B32" w:rsidRPr="00BE6650" w:rsidRDefault="00A25B32" w:rsidP="00BE67EF">
      <w:pPr>
        <w:keepNext/>
        <w:rPr>
          <w:rStyle w:val="CommentReference"/>
        </w:rPr>
      </w:pPr>
      <w:r w:rsidRPr="00BE6650">
        <w:rPr>
          <w:rStyle w:val="CommentReference"/>
        </w:rPr>
        <w:t xml:space="preserve">Table </w:t>
      </w:r>
      <w:r w:rsidR="00B24A5D" w:rsidRPr="00BE6650">
        <w:rPr>
          <w:rStyle w:val="CommentReference"/>
        </w:rPr>
        <w:t>5</w:t>
      </w:r>
      <w:r w:rsidRPr="00BE6650">
        <w:rPr>
          <w:rStyle w:val="CommentReference"/>
        </w:rPr>
        <w:t>: Summary of OS, PFS and ORR in STORM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120"/>
        <w:gridCol w:w="3350"/>
      </w:tblGrid>
      <w:tr w:rsidR="0041322E" w:rsidRPr="00BE6650" w14:paraId="0A2D832F" w14:textId="77777777" w:rsidTr="001621B6">
        <w:tc>
          <w:tcPr>
            <w:tcW w:w="1412" w:type="pct"/>
            <w:vAlign w:val="center"/>
          </w:tcPr>
          <w:p w14:paraId="7AF228DA" w14:textId="77777777" w:rsidR="0041322E" w:rsidRPr="00BE6650" w:rsidRDefault="0041322E" w:rsidP="00BE67EF">
            <w:pPr>
              <w:pStyle w:val="In-tableHeading"/>
              <w:rPr>
                <w:lang w:val="en-AU"/>
              </w:rPr>
            </w:pPr>
          </w:p>
        </w:tc>
        <w:tc>
          <w:tcPr>
            <w:tcW w:w="1730" w:type="pct"/>
            <w:vAlign w:val="center"/>
          </w:tcPr>
          <w:p w14:paraId="37163D70" w14:textId="77777777" w:rsidR="0041322E" w:rsidRPr="00BE6650" w:rsidRDefault="0041322E" w:rsidP="00BE67EF">
            <w:pPr>
              <w:pStyle w:val="In-tableHeading"/>
              <w:jc w:val="center"/>
              <w:rPr>
                <w:lang w:val="en-AU"/>
              </w:rPr>
            </w:pPr>
            <w:r w:rsidRPr="00BE6650">
              <w:rPr>
                <w:lang w:val="en-AU"/>
              </w:rPr>
              <w:t>mITT (N=122)</w:t>
            </w:r>
          </w:p>
        </w:tc>
        <w:tc>
          <w:tcPr>
            <w:tcW w:w="1858" w:type="pct"/>
          </w:tcPr>
          <w:p w14:paraId="6B3FD078" w14:textId="77777777" w:rsidR="0041322E" w:rsidRPr="00BE6650" w:rsidRDefault="0041322E" w:rsidP="00BE67EF">
            <w:pPr>
              <w:pStyle w:val="In-tableHeading"/>
              <w:jc w:val="center"/>
              <w:rPr>
                <w:lang w:val="en-AU"/>
              </w:rPr>
            </w:pPr>
            <w:r w:rsidRPr="00BE6650">
              <w:rPr>
                <w:lang w:val="en-AU"/>
              </w:rPr>
              <w:t>TCR/PR MM (N</w:t>
            </w:r>
            <w:r w:rsidR="001E7477" w:rsidRPr="00BE6650">
              <w:rPr>
                <w:lang w:val="en-AU"/>
              </w:rPr>
              <w:t>=83)</w:t>
            </w:r>
          </w:p>
        </w:tc>
      </w:tr>
      <w:tr w:rsidR="0041322E" w:rsidRPr="00BE6650" w14:paraId="4801C4CF" w14:textId="77777777" w:rsidTr="001621B6">
        <w:tc>
          <w:tcPr>
            <w:tcW w:w="1412" w:type="pct"/>
            <w:vAlign w:val="center"/>
          </w:tcPr>
          <w:p w14:paraId="0F0E51A8" w14:textId="77777777" w:rsidR="0041322E" w:rsidRPr="00BE6650" w:rsidRDefault="0041322E" w:rsidP="00BE67EF">
            <w:pPr>
              <w:pStyle w:val="In-tableHeading"/>
              <w:rPr>
                <w:lang w:val="en-AU"/>
              </w:rPr>
            </w:pPr>
            <w:r w:rsidRPr="00BE6650">
              <w:rPr>
                <w:lang w:val="en-AU"/>
              </w:rPr>
              <w:t>OS</w:t>
            </w:r>
          </w:p>
        </w:tc>
        <w:tc>
          <w:tcPr>
            <w:tcW w:w="1730" w:type="pct"/>
            <w:vAlign w:val="center"/>
          </w:tcPr>
          <w:p w14:paraId="335F5A9F" w14:textId="77777777" w:rsidR="0041322E" w:rsidRPr="00BE6650" w:rsidRDefault="0041322E" w:rsidP="00BE67EF">
            <w:pPr>
              <w:pStyle w:val="In-tableHeading"/>
              <w:rPr>
                <w:lang w:val="en-AU"/>
              </w:rPr>
            </w:pPr>
          </w:p>
        </w:tc>
        <w:tc>
          <w:tcPr>
            <w:tcW w:w="1858" w:type="pct"/>
          </w:tcPr>
          <w:p w14:paraId="6C244F44" w14:textId="77777777" w:rsidR="0041322E" w:rsidRPr="00BE6650" w:rsidRDefault="0041322E" w:rsidP="00BE67EF">
            <w:pPr>
              <w:pStyle w:val="In-tableHeading"/>
              <w:rPr>
                <w:lang w:val="en-AU"/>
              </w:rPr>
            </w:pPr>
          </w:p>
        </w:tc>
      </w:tr>
      <w:tr w:rsidR="001E7477" w:rsidRPr="00BE6650" w14:paraId="1ED494F9" w14:textId="77777777" w:rsidTr="0002349F">
        <w:tc>
          <w:tcPr>
            <w:tcW w:w="1412" w:type="pct"/>
            <w:vAlign w:val="center"/>
          </w:tcPr>
          <w:p w14:paraId="06E822A1" w14:textId="77777777" w:rsidR="001E7477" w:rsidRPr="00BE6650" w:rsidRDefault="001E7477" w:rsidP="00BE67EF">
            <w:pPr>
              <w:pStyle w:val="TableText0"/>
            </w:pPr>
            <w:r w:rsidRPr="00BE6650">
              <w:t>Patients with event</w:t>
            </w:r>
          </w:p>
        </w:tc>
        <w:tc>
          <w:tcPr>
            <w:tcW w:w="1730" w:type="pct"/>
            <w:vAlign w:val="center"/>
          </w:tcPr>
          <w:p w14:paraId="12851D68" w14:textId="77777777" w:rsidR="001E7477" w:rsidRPr="00BE6650" w:rsidRDefault="001E7477" w:rsidP="00BE67EF">
            <w:pPr>
              <w:pStyle w:val="TableText0"/>
              <w:jc w:val="center"/>
            </w:pPr>
            <w:r w:rsidRPr="00BE6650">
              <w:t>76/122 (62.3%)</w:t>
            </w:r>
          </w:p>
        </w:tc>
        <w:tc>
          <w:tcPr>
            <w:tcW w:w="1858" w:type="pct"/>
            <w:vAlign w:val="center"/>
          </w:tcPr>
          <w:p w14:paraId="17C5EAFC" w14:textId="77777777" w:rsidR="001E7477" w:rsidRPr="00BE6650" w:rsidRDefault="001E7477" w:rsidP="00BE67EF">
            <w:pPr>
              <w:pStyle w:val="TableText0"/>
              <w:jc w:val="center"/>
            </w:pPr>
            <w:r w:rsidRPr="00BE6650">
              <w:t>54/83 (65.1%)</w:t>
            </w:r>
          </w:p>
        </w:tc>
      </w:tr>
      <w:tr w:rsidR="001E7477" w:rsidRPr="00BE6650" w14:paraId="2496534F" w14:textId="77777777" w:rsidTr="0002349F">
        <w:tc>
          <w:tcPr>
            <w:tcW w:w="1412" w:type="pct"/>
            <w:vAlign w:val="center"/>
          </w:tcPr>
          <w:p w14:paraId="5C63DC9D" w14:textId="77777777" w:rsidR="001E7477" w:rsidRPr="00BE6650" w:rsidRDefault="001E7477" w:rsidP="00BE67EF">
            <w:pPr>
              <w:pStyle w:val="TableText0"/>
            </w:pPr>
            <w:r w:rsidRPr="00BE6650">
              <w:t>Median OS months (95% CI)</w:t>
            </w:r>
          </w:p>
        </w:tc>
        <w:tc>
          <w:tcPr>
            <w:tcW w:w="1730" w:type="pct"/>
            <w:vAlign w:val="center"/>
          </w:tcPr>
          <w:p w14:paraId="7E1349CC" w14:textId="77777777" w:rsidR="001E7477" w:rsidRPr="00BE6650" w:rsidRDefault="001E7477" w:rsidP="00BE67EF">
            <w:pPr>
              <w:pStyle w:val="TableText0"/>
              <w:jc w:val="center"/>
            </w:pPr>
            <w:r w:rsidRPr="00BE6650">
              <w:t>8.4 (6.2, 11.2)</w:t>
            </w:r>
          </w:p>
        </w:tc>
        <w:tc>
          <w:tcPr>
            <w:tcW w:w="1858" w:type="pct"/>
            <w:vAlign w:val="center"/>
          </w:tcPr>
          <w:p w14:paraId="45032459" w14:textId="77777777" w:rsidR="001E7477" w:rsidRPr="00BE6650" w:rsidRDefault="001E7477" w:rsidP="00BE67EF">
            <w:pPr>
              <w:pStyle w:val="TableText0"/>
              <w:jc w:val="center"/>
            </w:pPr>
            <w:r w:rsidRPr="00BE6650">
              <w:t>8.4 (6.2, 11.2)</w:t>
            </w:r>
          </w:p>
        </w:tc>
      </w:tr>
      <w:tr w:rsidR="0041322E" w:rsidRPr="00BE6650" w14:paraId="6AD99B28" w14:textId="77777777" w:rsidTr="001621B6">
        <w:tc>
          <w:tcPr>
            <w:tcW w:w="1412" w:type="pct"/>
            <w:vAlign w:val="center"/>
          </w:tcPr>
          <w:p w14:paraId="3606C389" w14:textId="77777777" w:rsidR="0041322E" w:rsidRPr="00BE6650" w:rsidRDefault="0041322E" w:rsidP="00BE67EF">
            <w:pPr>
              <w:pStyle w:val="In-tableHeading"/>
              <w:rPr>
                <w:lang w:val="en-AU"/>
              </w:rPr>
            </w:pPr>
            <w:r w:rsidRPr="00BE6650">
              <w:rPr>
                <w:lang w:val="en-AU"/>
              </w:rPr>
              <w:t>PFS</w:t>
            </w:r>
          </w:p>
        </w:tc>
        <w:tc>
          <w:tcPr>
            <w:tcW w:w="1730" w:type="pct"/>
            <w:vAlign w:val="center"/>
          </w:tcPr>
          <w:p w14:paraId="3C881D56" w14:textId="77777777" w:rsidR="0041322E" w:rsidRPr="00BE6650" w:rsidRDefault="0041322E" w:rsidP="00BE67EF">
            <w:pPr>
              <w:pStyle w:val="In-tableHeading"/>
              <w:rPr>
                <w:lang w:val="en-AU"/>
              </w:rPr>
            </w:pPr>
          </w:p>
        </w:tc>
        <w:tc>
          <w:tcPr>
            <w:tcW w:w="1858" w:type="pct"/>
          </w:tcPr>
          <w:p w14:paraId="4CDA396B" w14:textId="77777777" w:rsidR="0041322E" w:rsidRPr="00BE6650" w:rsidRDefault="0041322E" w:rsidP="00BE67EF">
            <w:pPr>
              <w:pStyle w:val="In-tableHeading"/>
              <w:rPr>
                <w:lang w:val="en-AU"/>
              </w:rPr>
            </w:pPr>
          </w:p>
        </w:tc>
      </w:tr>
      <w:tr w:rsidR="001E7477" w:rsidRPr="00BE6650" w14:paraId="7AAA1767" w14:textId="77777777" w:rsidTr="0002349F">
        <w:tc>
          <w:tcPr>
            <w:tcW w:w="1412" w:type="pct"/>
            <w:vAlign w:val="center"/>
          </w:tcPr>
          <w:p w14:paraId="39222CD7" w14:textId="77777777" w:rsidR="001E7477" w:rsidRPr="00BE6650" w:rsidRDefault="001E7477" w:rsidP="00BE67EF">
            <w:pPr>
              <w:pStyle w:val="TableText0"/>
            </w:pPr>
            <w:r w:rsidRPr="00BE6650">
              <w:t>Patients with event</w:t>
            </w:r>
          </w:p>
        </w:tc>
        <w:tc>
          <w:tcPr>
            <w:tcW w:w="1730" w:type="pct"/>
            <w:vAlign w:val="center"/>
          </w:tcPr>
          <w:p w14:paraId="6F1F0FBD" w14:textId="77777777" w:rsidR="001E7477" w:rsidRPr="00BE6650" w:rsidRDefault="001E7477" w:rsidP="00BE67EF">
            <w:pPr>
              <w:pStyle w:val="TableText0"/>
              <w:jc w:val="center"/>
            </w:pPr>
            <w:r w:rsidRPr="00BE6650">
              <w:t>51/122 (41.8%)</w:t>
            </w:r>
          </w:p>
        </w:tc>
        <w:tc>
          <w:tcPr>
            <w:tcW w:w="1858" w:type="pct"/>
            <w:vAlign w:val="center"/>
          </w:tcPr>
          <w:p w14:paraId="15ABCB7C" w14:textId="77777777" w:rsidR="001E7477" w:rsidRPr="00BE6650" w:rsidRDefault="001E7477" w:rsidP="00BE67EF">
            <w:pPr>
              <w:pStyle w:val="TableText0"/>
              <w:jc w:val="center"/>
            </w:pPr>
            <w:r w:rsidRPr="00BE6650">
              <w:t>40/83 (48.2%)</w:t>
            </w:r>
          </w:p>
        </w:tc>
      </w:tr>
      <w:tr w:rsidR="001E7477" w:rsidRPr="00BE6650" w14:paraId="4BAA8B1B" w14:textId="77777777" w:rsidTr="0002349F">
        <w:tc>
          <w:tcPr>
            <w:tcW w:w="1412" w:type="pct"/>
            <w:vAlign w:val="center"/>
          </w:tcPr>
          <w:p w14:paraId="6A50D5EF" w14:textId="77777777" w:rsidR="001E7477" w:rsidRPr="00BE6650" w:rsidRDefault="001E7477" w:rsidP="00BE67EF">
            <w:pPr>
              <w:pStyle w:val="TableText0"/>
            </w:pPr>
            <w:r w:rsidRPr="00BE6650">
              <w:t>Median PFS months (95% CI)</w:t>
            </w:r>
          </w:p>
        </w:tc>
        <w:tc>
          <w:tcPr>
            <w:tcW w:w="1730" w:type="pct"/>
          </w:tcPr>
          <w:p w14:paraId="3A2C140E" w14:textId="77777777" w:rsidR="001E7477" w:rsidRPr="00BE6650" w:rsidRDefault="001E7477" w:rsidP="00BE67EF">
            <w:pPr>
              <w:pStyle w:val="TableText0"/>
              <w:jc w:val="center"/>
            </w:pPr>
            <w:r w:rsidRPr="00BE6650">
              <w:t>3.7 (2.8, 4.7)</w:t>
            </w:r>
          </w:p>
        </w:tc>
        <w:tc>
          <w:tcPr>
            <w:tcW w:w="1858" w:type="pct"/>
            <w:vAlign w:val="center"/>
          </w:tcPr>
          <w:p w14:paraId="480A3BF2" w14:textId="77777777" w:rsidR="001E7477" w:rsidRPr="00BE6650" w:rsidRDefault="001E7477" w:rsidP="00BE67EF">
            <w:pPr>
              <w:pStyle w:val="TableText0"/>
              <w:jc w:val="center"/>
            </w:pPr>
            <w:r w:rsidRPr="00BE6650">
              <w:t>2.8 (1.9, 4.3)</w:t>
            </w:r>
          </w:p>
        </w:tc>
      </w:tr>
      <w:tr w:rsidR="0041322E" w:rsidRPr="00BE6650" w14:paraId="04005D4D" w14:textId="77777777" w:rsidTr="001621B6">
        <w:tc>
          <w:tcPr>
            <w:tcW w:w="1412" w:type="pct"/>
            <w:vAlign w:val="center"/>
          </w:tcPr>
          <w:p w14:paraId="68A75CA1" w14:textId="77777777" w:rsidR="0041322E" w:rsidRPr="00BE6650" w:rsidRDefault="0041322E" w:rsidP="00BE67EF">
            <w:pPr>
              <w:pStyle w:val="TableText0"/>
            </w:pPr>
            <w:r w:rsidRPr="00BE6650">
              <w:rPr>
                <w:b/>
                <w:bCs w:val="0"/>
              </w:rPr>
              <w:t>ORR</w:t>
            </w:r>
          </w:p>
        </w:tc>
        <w:tc>
          <w:tcPr>
            <w:tcW w:w="1730" w:type="pct"/>
            <w:vAlign w:val="center"/>
          </w:tcPr>
          <w:p w14:paraId="779973D0" w14:textId="77777777" w:rsidR="0041322E" w:rsidRPr="00BE6650" w:rsidRDefault="0041322E" w:rsidP="00BE67EF">
            <w:pPr>
              <w:pStyle w:val="TableText0"/>
            </w:pPr>
          </w:p>
        </w:tc>
        <w:tc>
          <w:tcPr>
            <w:tcW w:w="1858" w:type="pct"/>
          </w:tcPr>
          <w:p w14:paraId="54FCDEE8" w14:textId="77777777" w:rsidR="0041322E" w:rsidRPr="00BE6650" w:rsidRDefault="0041322E" w:rsidP="00BE67EF">
            <w:pPr>
              <w:pStyle w:val="TableText0"/>
            </w:pPr>
          </w:p>
        </w:tc>
      </w:tr>
      <w:tr w:rsidR="001621B6" w:rsidRPr="00BE6650" w14:paraId="2E6F10FE" w14:textId="77777777" w:rsidTr="0002349F">
        <w:tc>
          <w:tcPr>
            <w:tcW w:w="1412" w:type="pct"/>
            <w:vAlign w:val="center"/>
          </w:tcPr>
          <w:p w14:paraId="1D07FF7C" w14:textId="77777777" w:rsidR="001621B6" w:rsidRPr="00BE6650" w:rsidRDefault="001621B6" w:rsidP="00BE67EF">
            <w:pPr>
              <w:pStyle w:val="TableText0"/>
            </w:pPr>
            <w:r w:rsidRPr="00BE6650">
              <w:t>Patients with event</w:t>
            </w:r>
          </w:p>
        </w:tc>
        <w:tc>
          <w:tcPr>
            <w:tcW w:w="1730" w:type="pct"/>
            <w:vAlign w:val="center"/>
          </w:tcPr>
          <w:p w14:paraId="56E0E77A" w14:textId="77777777" w:rsidR="001621B6" w:rsidRPr="00BE6650" w:rsidRDefault="001621B6" w:rsidP="00BE67EF">
            <w:pPr>
              <w:pStyle w:val="TableText0"/>
              <w:jc w:val="center"/>
            </w:pPr>
            <w:r w:rsidRPr="00BE6650">
              <w:t>32/122</w:t>
            </w:r>
          </w:p>
        </w:tc>
        <w:tc>
          <w:tcPr>
            <w:tcW w:w="1858" w:type="pct"/>
            <w:vAlign w:val="center"/>
          </w:tcPr>
          <w:p w14:paraId="0D1D0C57" w14:textId="77777777" w:rsidR="001621B6" w:rsidRPr="00BE6650" w:rsidRDefault="001621B6" w:rsidP="00BE67EF">
            <w:pPr>
              <w:pStyle w:val="TableText0"/>
              <w:jc w:val="center"/>
            </w:pPr>
            <w:r w:rsidRPr="00BE6650">
              <w:t>21/83</w:t>
            </w:r>
          </w:p>
        </w:tc>
      </w:tr>
      <w:tr w:rsidR="001621B6" w:rsidRPr="00BE6650" w14:paraId="15673FDD" w14:textId="77777777" w:rsidTr="0002349F">
        <w:tc>
          <w:tcPr>
            <w:tcW w:w="1412" w:type="pct"/>
            <w:vAlign w:val="center"/>
          </w:tcPr>
          <w:p w14:paraId="75EB9A44" w14:textId="77777777" w:rsidR="001621B6" w:rsidRPr="00BE6650" w:rsidRDefault="001621B6" w:rsidP="00BE67EF">
            <w:pPr>
              <w:pStyle w:val="TableText0"/>
            </w:pPr>
            <w:r w:rsidRPr="00BE6650">
              <w:t>% (95% CI)</w:t>
            </w:r>
          </w:p>
        </w:tc>
        <w:tc>
          <w:tcPr>
            <w:tcW w:w="1730" w:type="pct"/>
            <w:vAlign w:val="center"/>
          </w:tcPr>
          <w:p w14:paraId="6A8A132B" w14:textId="77777777" w:rsidR="001621B6" w:rsidRPr="00BE6650" w:rsidRDefault="001621B6" w:rsidP="00BE67EF">
            <w:pPr>
              <w:pStyle w:val="TableText0"/>
              <w:jc w:val="center"/>
            </w:pPr>
            <w:r w:rsidRPr="00BE6650">
              <w:t>26.2</w:t>
            </w:r>
            <w:r w:rsidR="00864B58" w:rsidRPr="00BE6650">
              <w:t>%</w:t>
            </w:r>
            <w:r w:rsidRPr="00BE6650">
              <w:t xml:space="preserve"> (18.7, 35.0)</w:t>
            </w:r>
          </w:p>
        </w:tc>
        <w:tc>
          <w:tcPr>
            <w:tcW w:w="1858" w:type="pct"/>
            <w:vAlign w:val="center"/>
          </w:tcPr>
          <w:p w14:paraId="4E0E4B30" w14:textId="77777777" w:rsidR="001621B6" w:rsidRPr="00BE6650" w:rsidRDefault="001621B6" w:rsidP="00BE67EF">
            <w:pPr>
              <w:pStyle w:val="TableText0"/>
              <w:jc w:val="center"/>
            </w:pPr>
            <w:r w:rsidRPr="00BE6650">
              <w:t>25.3</w:t>
            </w:r>
            <w:r w:rsidR="00864B58" w:rsidRPr="00BE6650">
              <w:t>%</w:t>
            </w:r>
            <w:r w:rsidRPr="00BE6650">
              <w:t xml:space="preserve"> (16.4, 36.0)</w:t>
            </w:r>
          </w:p>
        </w:tc>
      </w:tr>
    </w:tbl>
    <w:p w14:paraId="3509C971" w14:textId="77777777" w:rsidR="00A25B32" w:rsidRPr="00BE6650" w:rsidRDefault="00A25B32" w:rsidP="00A25B32">
      <w:pPr>
        <w:pStyle w:val="TableFigureFooter"/>
      </w:pPr>
      <w:r w:rsidRPr="00BE6650">
        <w:t>Source: Table 2-14, p66; Table 2-21, p73; Table 2-22, p75 of the submission</w:t>
      </w:r>
    </w:p>
    <w:p w14:paraId="5381CAD1" w14:textId="77777777" w:rsidR="00A25B32" w:rsidRPr="00BE6650" w:rsidRDefault="00A25B32" w:rsidP="00A25B32">
      <w:pPr>
        <w:pStyle w:val="TableFigureFooter"/>
        <w:rPr>
          <w:sz w:val="20"/>
        </w:rPr>
      </w:pPr>
      <w:r w:rsidRPr="00BE6650">
        <w:t xml:space="preserve">CI = confident interval; mITT = modified intention to treat population; </w:t>
      </w:r>
      <w:r w:rsidR="00864B58" w:rsidRPr="00BE6650">
        <w:t xml:space="preserve">ORR = overall response rate; OS = overall survival; </w:t>
      </w:r>
      <w:r w:rsidRPr="00BE6650">
        <w:t xml:space="preserve">PFS = progression free survival </w:t>
      </w:r>
    </w:p>
    <w:p w14:paraId="354E9ACE" w14:textId="77777777" w:rsidR="00853FF2" w:rsidRPr="00BE6650" w:rsidRDefault="00A25B32" w:rsidP="00853FF2">
      <w:pPr>
        <w:pStyle w:val="3-BodyText"/>
        <w:rPr>
          <w:rStyle w:val="CommentReference"/>
          <w:rFonts w:asciiTheme="minorHAnsi" w:hAnsiTheme="minorHAnsi"/>
          <w:b w:val="0"/>
          <w:sz w:val="24"/>
          <w:szCs w:val="24"/>
        </w:rPr>
      </w:pPr>
      <w:r w:rsidRPr="00BE6650">
        <w:t xml:space="preserve">In the </w:t>
      </w:r>
      <w:r w:rsidR="00766EED" w:rsidRPr="00BE6650">
        <w:t>modified intention to treat (</w:t>
      </w:r>
      <w:r w:rsidRPr="00BE6650">
        <w:t>mITT</w:t>
      </w:r>
      <w:r w:rsidR="00766EED" w:rsidRPr="00BE6650">
        <w:t>)</w:t>
      </w:r>
      <w:r w:rsidRPr="00BE6650">
        <w:t xml:space="preserve"> population of STORM, median OS was 8.4 months (95% CI: 6.2, 11.2), median </w:t>
      </w:r>
      <w:r w:rsidR="00EE101A" w:rsidRPr="00BE6650">
        <w:t>progression free survival (</w:t>
      </w:r>
      <w:r w:rsidRPr="00BE6650">
        <w:t>PFS</w:t>
      </w:r>
      <w:r w:rsidR="00EE101A" w:rsidRPr="00BE6650">
        <w:t>)</w:t>
      </w:r>
      <w:r w:rsidRPr="00BE6650">
        <w:t xml:space="preserve"> was 3.7 months (95% CI: 2.8, 4.7), and ORR was 26.2% (95% CI: 18.7%, 35.0%).</w:t>
      </w:r>
      <w:r w:rsidR="008D77C1" w:rsidRPr="00BE6650">
        <w:t xml:space="preserve"> In the STORM TCR/PR MM</w:t>
      </w:r>
      <w:r w:rsidR="00CF4335" w:rsidRPr="00BE6650">
        <w:t xml:space="preserve"> subgroup</w:t>
      </w:r>
      <w:r w:rsidR="008D77C1" w:rsidRPr="00BE6650">
        <w:t xml:space="preserve">, the median OS was 8.4 months (95% CI: 6.2, 11.2), and the median PFS was 2.8 months (95% CI: 1.9, 4.3). </w:t>
      </w:r>
      <w:r w:rsidR="008D77C1" w:rsidRPr="00BE6650">
        <w:rPr>
          <w:iCs/>
        </w:rPr>
        <w:t xml:space="preserve">The median OS </w:t>
      </w:r>
      <w:r w:rsidR="008B339B" w:rsidRPr="00BE6650">
        <w:rPr>
          <w:iCs/>
        </w:rPr>
        <w:t xml:space="preserve">for the TCR/PR MM group </w:t>
      </w:r>
      <w:r w:rsidR="008D77C1" w:rsidRPr="00BE6650">
        <w:rPr>
          <w:iCs/>
        </w:rPr>
        <w:t xml:space="preserve">appeared to be consistent with the mITT population while the median PFS was numerically shorter (3.7; 95% CI: 2.8, 4.7 in mITT). </w:t>
      </w:r>
      <w:r w:rsidR="008D77C1" w:rsidRPr="00BE6650">
        <w:rPr>
          <w:rStyle w:val="CommentReference"/>
        </w:rPr>
        <w:t xml:space="preserve"> </w:t>
      </w:r>
    </w:p>
    <w:p w14:paraId="23959360" w14:textId="77777777" w:rsidR="00853FF2" w:rsidRPr="00BE6650" w:rsidRDefault="00853FF2" w:rsidP="00853FF2">
      <w:pPr>
        <w:pStyle w:val="3-BodyText"/>
      </w:pPr>
      <w:r w:rsidRPr="00BE6650">
        <w:t xml:space="preserve">The </w:t>
      </w:r>
      <w:r w:rsidR="00766EED" w:rsidRPr="00BE6650">
        <w:t xml:space="preserve">Kaplan Meier </w:t>
      </w:r>
      <w:r w:rsidRPr="00BE6650">
        <w:t xml:space="preserve">plot for OS for </w:t>
      </w:r>
      <w:r w:rsidR="00B46EAE" w:rsidRPr="00BE6650">
        <w:t>S</w:t>
      </w:r>
      <w:r w:rsidRPr="00BE6650">
        <w:t>d by level of response for the TCR/PR MM subgroup</w:t>
      </w:r>
      <w:r w:rsidR="00BD529D" w:rsidRPr="00BE6650">
        <w:t xml:space="preserve"> in STORM</w:t>
      </w:r>
      <w:r w:rsidRPr="00BE6650">
        <w:t xml:space="preserve"> is shown in Figure </w:t>
      </w:r>
      <w:r w:rsidR="008F5753" w:rsidRPr="00BE6650">
        <w:t>2</w:t>
      </w:r>
      <w:r w:rsidRPr="00BE6650">
        <w:t xml:space="preserve">. </w:t>
      </w:r>
    </w:p>
    <w:p w14:paraId="3C4388BE" w14:textId="77777777" w:rsidR="008D77C1" w:rsidRPr="00BE6650" w:rsidRDefault="008D77C1" w:rsidP="00D81ACC">
      <w:pPr>
        <w:keepNext/>
        <w:rPr>
          <w:rStyle w:val="CommentReference"/>
        </w:rPr>
      </w:pPr>
      <w:r w:rsidRPr="00BE6650">
        <w:rPr>
          <w:rStyle w:val="CommentReference"/>
        </w:rPr>
        <w:t xml:space="preserve">Figure </w:t>
      </w:r>
      <w:r w:rsidR="008F5753" w:rsidRPr="00BE6650">
        <w:rPr>
          <w:rStyle w:val="CommentReference"/>
        </w:rPr>
        <w:t>2</w:t>
      </w:r>
      <w:r w:rsidRPr="00BE6650">
        <w:rPr>
          <w:rStyle w:val="CommentReference"/>
        </w:rPr>
        <w:t>: Kaplan-Meier estimates of OS for TCR/PR MM in STORM by response</w:t>
      </w:r>
    </w:p>
    <w:p w14:paraId="05E1A3B7" w14:textId="77777777" w:rsidR="008D77C1" w:rsidRPr="00BE6650" w:rsidRDefault="008D77C1" w:rsidP="00D81ACC">
      <w:pPr>
        <w:keepNext/>
        <w:jc w:val="center"/>
      </w:pPr>
      <w:r w:rsidRPr="00BE6650">
        <w:rPr>
          <w:noProof/>
        </w:rPr>
        <w:drawing>
          <wp:inline distT="0" distB="0" distL="0" distR="0" wp14:anchorId="6EB52ADF" wp14:editId="373A9337">
            <wp:extent cx="3600194" cy="2165350"/>
            <wp:effectExtent l="0" t="0" r="635" b="635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Chart, line chart&#10;&#10;Description automatically generated"/>
                    <pic:cNvPicPr/>
                  </pic:nvPicPr>
                  <pic:blipFill rotWithShape="1">
                    <a:blip r:embed="rId9"/>
                    <a:srcRect b="8726"/>
                    <a:stretch/>
                  </pic:blipFill>
                  <pic:spPr bwMode="auto">
                    <a:xfrm>
                      <a:off x="0" y="0"/>
                      <a:ext cx="3622249" cy="2178615"/>
                    </a:xfrm>
                    <a:prstGeom prst="rect">
                      <a:avLst/>
                    </a:prstGeom>
                    <a:ln>
                      <a:noFill/>
                    </a:ln>
                    <a:extLst>
                      <a:ext uri="{53640926-AAD7-44D8-BBD7-CCE9431645EC}">
                        <a14:shadowObscured xmlns:a14="http://schemas.microsoft.com/office/drawing/2010/main"/>
                      </a:ext>
                    </a:extLst>
                  </pic:spPr>
                </pic:pic>
              </a:graphicData>
            </a:graphic>
          </wp:inline>
        </w:drawing>
      </w:r>
    </w:p>
    <w:p w14:paraId="3C5249EB" w14:textId="77777777" w:rsidR="008D77C1" w:rsidRPr="00BE6650" w:rsidRDefault="008D77C1" w:rsidP="00D81ACC">
      <w:pPr>
        <w:pStyle w:val="TableFigureFooter"/>
        <w:keepNext/>
      </w:pPr>
      <w:r w:rsidRPr="00BE6650">
        <w:t>Source: Figure 2-8, p76 of the submission.</w:t>
      </w:r>
    </w:p>
    <w:p w14:paraId="3BEA9D2E" w14:textId="77777777" w:rsidR="008D77C1" w:rsidRPr="00BE6650" w:rsidRDefault="008D77C1" w:rsidP="008D77C1">
      <w:pPr>
        <w:pStyle w:val="TableFigureFooter"/>
      </w:pPr>
      <w:r w:rsidRPr="00BE6650">
        <w:t xml:space="preserve">BCLPD = </w:t>
      </w:r>
      <w:r w:rsidRPr="00BE6650">
        <w:rPr>
          <w:szCs w:val="28"/>
        </w:rPr>
        <w:t>bortezomib, carfilzomib, lenalidomide, pomalidomide, daratumumab</w:t>
      </w:r>
      <w:r w:rsidR="00864B58" w:rsidRPr="00BE6650">
        <w:t xml:space="preserve">; </w:t>
      </w:r>
      <w:r w:rsidRPr="00BE6650">
        <w:t xml:space="preserve">MR = minimal response; NE = not estimable/evaluable; OS = overall survival; PD = progressive disease; PR = partial response; SD = stable disease; </w:t>
      </w:r>
      <w:r w:rsidRPr="00BE6650">
        <w:rPr>
          <w:szCs w:val="28"/>
        </w:rPr>
        <w:t>TCR/PR MM = triple class refractory and penta-refractory multiple myeloma</w:t>
      </w:r>
      <w:r w:rsidRPr="00BE6650">
        <w:t xml:space="preserve"> </w:t>
      </w:r>
    </w:p>
    <w:p w14:paraId="329CBB43" w14:textId="77777777" w:rsidR="008D77C1" w:rsidRPr="00BE6650" w:rsidRDefault="008D77C1" w:rsidP="008D77C1">
      <w:pPr>
        <w:pStyle w:val="3-BodyText"/>
      </w:pPr>
      <w:r w:rsidRPr="00BE6650">
        <w:t xml:space="preserve">The </w:t>
      </w:r>
      <w:r w:rsidR="00766EED" w:rsidRPr="00BE6650">
        <w:t>Kaplan Meier</w:t>
      </w:r>
      <w:r w:rsidRPr="00BE6650">
        <w:t xml:space="preserve"> plot for PFS for </w:t>
      </w:r>
      <w:r w:rsidR="00B46EAE" w:rsidRPr="00BE6650">
        <w:t>S</w:t>
      </w:r>
      <w:r w:rsidRPr="00BE6650">
        <w:t xml:space="preserve">d for TCR/PR MM subgroup in STORM is shown in Figure </w:t>
      </w:r>
      <w:r w:rsidR="008F5753" w:rsidRPr="00BE6650">
        <w:t>3</w:t>
      </w:r>
      <w:r w:rsidRPr="00BE6650">
        <w:t xml:space="preserve">. </w:t>
      </w:r>
    </w:p>
    <w:p w14:paraId="41C8D31B" w14:textId="77777777" w:rsidR="008D77C1" w:rsidRPr="00BE6650" w:rsidRDefault="008D77C1" w:rsidP="00BE67EF">
      <w:pPr>
        <w:keepNext/>
        <w:rPr>
          <w:rStyle w:val="CommentReference"/>
        </w:rPr>
      </w:pPr>
      <w:r w:rsidRPr="00BE6650">
        <w:rPr>
          <w:rStyle w:val="CommentReference"/>
        </w:rPr>
        <w:t xml:space="preserve">Figure </w:t>
      </w:r>
      <w:r w:rsidR="008F5753" w:rsidRPr="00BE6650">
        <w:rPr>
          <w:rStyle w:val="CommentReference"/>
        </w:rPr>
        <w:t>3</w:t>
      </w:r>
      <w:r w:rsidRPr="00BE6650">
        <w:rPr>
          <w:rStyle w:val="CommentReference"/>
        </w:rPr>
        <w:t>: Kaplan-Meier estimates of PFS for TCR/PR MM subgroup in STORM</w:t>
      </w:r>
    </w:p>
    <w:p w14:paraId="50577D83" w14:textId="77777777" w:rsidR="008D77C1" w:rsidRPr="00BE6650" w:rsidRDefault="008D77C1" w:rsidP="00BE67EF">
      <w:pPr>
        <w:pStyle w:val="Caption"/>
        <w:keepNext/>
        <w:spacing w:after="0"/>
        <w:jc w:val="center"/>
      </w:pPr>
      <w:r w:rsidRPr="00BE6650">
        <w:rPr>
          <w:noProof/>
        </w:rPr>
        <w:drawing>
          <wp:inline distT="0" distB="0" distL="0" distR="0" wp14:anchorId="5D2E7587" wp14:editId="5A5F9FFF">
            <wp:extent cx="3878294" cy="2425700"/>
            <wp:effectExtent l="0" t="0" r="8255" b="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0">
                      <a:extLst>
                        <a:ext uri="{28A0092B-C50C-407E-A947-70E740481C1C}">
                          <a14:useLocalDpi xmlns:a14="http://schemas.microsoft.com/office/drawing/2010/main" val="0"/>
                        </a:ext>
                      </a:extLst>
                    </a:blip>
                    <a:stretch>
                      <a:fillRect/>
                    </a:stretch>
                  </pic:blipFill>
                  <pic:spPr>
                    <a:xfrm>
                      <a:off x="0" y="0"/>
                      <a:ext cx="3885545" cy="2430235"/>
                    </a:xfrm>
                    <a:prstGeom prst="rect">
                      <a:avLst/>
                    </a:prstGeom>
                  </pic:spPr>
                </pic:pic>
              </a:graphicData>
            </a:graphic>
          </wp:inline>
        </w:drawing>
      </w:r>
    </w:p>
    <w:p w14:paraId="4776E81A" w14:textId="77777777" w:rsidR="008D77C1" w:rsidRPr="00BE6650" w:rsidRDefault="008D77C1" w:rsidP="00BE67EF">
      <w:pPr>
        <w:pStyle w:val="TableFigureFooter"/>
        <w:keepNext/>
        <w:spacing w:after="0"/>
      </w:pPr>
      <w:r w:rsidRPr="00BE6650">
        <w:t>Source: Figure 2-6, p74 of the submission.</w:t>
      </w:r>
    </w:p>
    <w:p w14:paraId="37B2FB4C" w14:textId="77777777" w:rsidR="008D77C1" w:rsidRPr="00BE6650" w:rsidRDefault="008D77C1" w:rsidP="008D77C1">
      <w:pPr>
        <w:pStyle w:val="TableFigureFooter"/>
      </w:pPr>
      <w:r w:rsidRPr="00BE6650">
        <w:t xml:space="preserve">CI = confident interval; PFS = progression free survival; </w:t>
      </w:r>
      <w:r w:rsidRPr="00BE6650">
        <w:rPr>
          <w:szCs w:val="28"/>
        </w:rPr>
        <w:t>TCR/PR MM = triple class refractory and penta-refractory multiple myeloma</w:t>
      </w:r>
      <w:r w:rsidRPr="00BE6650">
        <w:t xml:space="preserve"> </w:t>
      </w:r>
    </w:p>
    <w:p w14:paraId="685F61E2" w14:textId="77777777" w:rsidR="006C3C33" w:rsidRPr="00BE6650" w:rsidRDefault="000B735D" w:rsidP="00A25B32">
      <w:pPr>
        <w:pStyle w:val="3-BodyText"/>
        <w:rPr>
          <w:rStyle w:val="CommentReference"/>
          <w:rFonts w:asciiTheme="minorHAnsi" w:hAnsiTheme="minorHAnsi"/>
          <w:b w:val="0"/>
          <w:color w:val="0066FF"/>
          <w:sz w:val="24"/>
          <w:szCs w:val="24"/>
        </w:rPr>
      </w:pPr>
      <w:r w:rsidRPr="00BE6650">
        <w:t xml:space="preserve">A summary of </w:t>
      </w:r>
      <w:r w:rsidR="0082028B" w:rsidRPr="00BE6650">
        <w:t xml:space="preserve">the naïve </w:t>
      </w:r>
      <w:r w:rsidR="00884A68" w:rsidRPr="00BE6650">
        <w:t xml:space="preserve">comparative </w:t>
      </w:r>
      <w:r w:rsidR="00A56B4D" w:rsidRPr="00BE6650">
        <w:t>results for TCR/PE MM</w:t>
      </w:r>
      <w:r w:rsidR="00884A68" w:rsidRPr="00BE6650">
        <w:t xml:space="preserve"> </w:t>
      </w:r>
      <w:r w:rsidR="0026286F" w:rsidRPr="00BE6650">
        <w:t xml:space="preserve">patients receiving </w:t>
      </w:r>
      <w:r w:rsidR="00884A68" w:rsidRPr="00BE6650">
        <w:t>Sd as next subsequent treatment</w:t>
      </w:r>
      <w:r w:rsidR="005E2CAB" w:rsidRPr="00BE6650">
        <w:t xml:space="preserve"> </w:t>
      </w:r>
      <w:r w:rsidR="0026286F" w:rsidRPr="00BE6650">
        <w:t>(</w:t>
      </w:r>
      <w:r w:rsidR="005E2CAB" w:rsidRPr="00BE6650">
        <w:t>based on STORM</w:t>
      </w:r>
      <w:r w:rsidR="0026286F" w:rsidRPr="00BE6650">
        <w:t>)</w:t>
      </w:r>
      <w:r w:rsidR="00A56B4D" w:rsidRPr="00BE6650">
        <w:t xml:space="preserve"> </w:t>
      </w:r>
      <w:r w:rsidR="005E2CAB" w:rsidRPr="00BE6650">
        <w:t xml:space="preserve">compared with </w:t>
      </w:r>
      <w:r w:rsidR="00BE55D3" w:rsidRPr="00BE6650">
        <w:t xml:space="preserve">TCR/PE MM </w:t>
      </w:r>
      <w:r w:rsidR="005E2CAB" w:rsidRPr="00BE6650">
        <w:t>patients receiving</w:t>
      </w:r>
      <w:r w:rsidR="00884A68" w:rsidRPr="00BE6650">
        <w:t xml:space="preserve"> </w:t>
      </w:r>
      <w:r w:rsidR="00A56B4D" w:rsidRPr="00BE6650">
        <w:t>conventional care</w:t>
      </w:r>
      <w:r w:rsidR="00884A68" w:rsidRPr="00BE6650">
        <w:t xml:space="preserve"> </w:t>
      </w:r>
      <w:r w:rsidR="0026286F" w:rsidRPr="00BE6650">
        <w:t>(</w:t>
      </w:r>
      <w:r w:rsidR="00884A68" w:rsidRPr="00BE6650">
        <w:t xml:space="preserve">based on </w:t>
      </w:r>
      <w:r w:rsidRPr="00BE6650">
        <w:t>MAMMOTH and FLATIRON</w:t>
      </w:r>
      <w:r w:rsidR="0026286F" w:rsidRPr="00BE6650">
        <w:t>)</w:t>
      </w:r>
      <w:r w:rsidRPr="00BE6650">
        <w:t xml:space="preserve"> is presented in Table </w:t>
      </w:r>
      <w:r w:rsidR="00B24A5D" w:rsidRPr="00BE6650">
        <w:t>6</w:t>
      </w:r>
      <w:r w:rsidRPr="00BE6650">
        <w:t>.</w:t>
      </w:r>
      <w:r w:rsidR="00531D58" w:rsidRPr="00BE6650">
        <w:t xml:space="preserve"> </w:t>
      </w:r>
    </w:p>
    <w:p w14:paraId="2E3AFBAF" w14:textId="77777777" w:rsidR="00DC36CA" w:rsidRPr="00BE6650" w:rsidRDefault="006C3C33" w:rsidP="00EF0140">
      <w:pPr>
        <w:keepNext/>
        <w:rPr>
          <w:rStyle w:val="CommentReference"/>
        </w:rPr>
      </w:pPr>
      <w:r w:rsidRPr="00BE6650">
        <w:rPr>
          <w:rStyle w:val="CommentReference"/>
        </w:rPr>
        <w:t xml:space="preserve">Table </w:t>
      </w:r>
      <w:r w:rsidR="00B24A5D" w:rsidRPr="00BE6650">
        <w:rPr>
          <w:rStyle w:val="CommentReference"/>
        </w:rPr>
        <w:t>6</w:t>
      </w:r>
      <w:r w:rsidRPr="00BE6650">
        <w:rPr>
          <w:rStyle w:val="CommentReference"/>
        </w:rPr>
        <w:t>: Summary of</w:t>
      </w:r>
      <w:r w:rsidR="00A56B4D" w:rsidRPr="00BE6650">
        <w:rPr>
          <w:rStyle w:val="CommentReference"/>
        </w:rPr>
        <w:t xml:space="preserve"> results from the naïve comparison</w:t>
      </w:r>
      <w:r w:rsidR="00E21BC6" w:rsidRPr="00BE6650">
        <w:rPr>
          <w:rStyle w:val="CommentReference"/>
        </w:rPr>
        <w:t>s</w:t>
      </w:r>
      <w:r w:rsidRPr="00BE6650">
        <w:rPr>
          <w:rStyle w:val="CommentReference"/>
        </w:rPr>
        <w:t xml:space="preserve"> </w:t>
      </w:r>
      <w:r w:rsidR="00E21BC6" w:rsidRPr="00BE6650">
        <w:rPr>
          <w:rStyle w:val="CommentReference"/>
        </w:rPr>
        <w:t>in</w:t>
      </w:r>
      <w:r w:rsidR="00A56B4D" w:rsidRPr="00BE6650">
        <w:rPr>
          <w:rStyle w:val="CommentReference"/>
        </w:rPr>
        <w:t xml:space="preserve"> </w:t>
      </w:r>
      <w:r w:rsidRPr="00BE6650">
        <w:rPr>
          <w:rStyle w:val="CommentReference"/>
        </w:rPr>
        <w:t>TCR/PE</w:t>
      </w:r>
      <w:r w:rsidR="009C1362" w:rsidRPr="00BE6650">
        <w:rPr>
          <w:rStyle w:val="CommentReference"/>
        </w:rPr>
        <w:t xml:space="preserve"> MM </w:t>
      </w:r>
      <w:r w:rsidRPr="00BE6650">
        <w:rPr>
          <w:rStyle w:val="CommentReference"/>
        </w:rPr>
        <w:t xml:space="preserve">subpopulations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28"/>
        <w:gridCol w:w="1998"/>
        <w:gridCol w:w="2784"/>
      </w:tblGrid>
      <w:tr w:rsidR="00B67FA2" w:rsidRPr="00BE6650" w14:paraId="41B7E924" w14:textId="77777777" w:rsidTr="00BC4099">
        <w:tc>
          <w:tcPr>
            <w:tcW w:w="1334" w:type="pct"/>
            <w:tcMar>
              <w:left w:w="28" w:type="dxa"/>
              <w:right w:w="28" w:type="dxa"/>
            </w:tcMar>
            <w:vAlign w:val="center"/>
          </w:tcPr>
          <w:p w14:paraId="27D64796" w14:textId="77777777" w:rsidR="00B67FA2" w:rsidRPr="00BE6650" w:rsidRDefault="00B67FA2" w:rsidP="00EF0140">
            <w:pPr>
              <w:pStyle w:val="In-tableHeading"/>
              <w:rPr>
                <w:lang w:val="en-AU"/>
              </w:rPr>
            </w:pPr>
          </w:p>
        </w:tc>
        <w:tc>
          <w:tcPr>
            <w:tcW w:w="1014" w:type="pct"/>
            <w:vAlign w:val="center"/>
          </w:tcPr>
          <w:p w14:paraId="62850541" w14:textId="77777777" w:rsidR="001B24F4" w:rsidRPr="00BE6650" w:rsidRDefault="00B67FA2" w:rsidP="00EF0140">
            <w:pPr>
              <w:pStyle w:val="In-tableHeading"/>
              <w:jc w:val="center"/>
              <w:rPr>
                <w:iCs/>
                <w:lang w:val="en-AU"/>
              </w:rPr>
            </w:pPr>
            <w:r w:rsidRPr="00BE6650">
              <w:rPr>
                <w:iCs/>
                <w:lang w:val="en-AU"/>
              </w:rPr>
              <w:t xml:space="preserve">Sd </w:t>
            </w:r>
          </w:p>
          <w:p w14:paraId="24277E8F" w14:textId="77777777" w:rsidR="001B24F4" w:rsidRPr="00BE6650" w:rsidRDefault="001B24F4" w:rsidP="00EF0140">
            <w:pPr>
              <w:pStyle w:val="In-tableHeading"/>
              <w:jc w:val="center"/>
              <w:rPr>
                <w:iCs/>
                <w:lang w:val="en-AU"/>
              </w:rPr>
            </w:pPr>
            <w:r w:rsidRPr="00BE6650">
              <w:rPr>
                <w:iCs/>
                <w:lang w:val="en-AU"/>
              </w:rPr>
              <w:t xml:space="preserve">TCR/PE MM with Sd as next subsequent treatment </w:t>
            </w:r>
          </w:p>
          <w:p w14:paraId="1A2EF5AA" w14:textId="77777777" w:rsidR="00B67FA2" w:rsidRPr="00BE6650" w:rsidRDefault="00B67FA2" w:rsidP="00EF0140">
            <w:pPr>
              <w:pStyle w:val="In-tableHeading"/>
              <w:jc w:val="center"/>
              <w:rPr>
                <w:vertAlign w:val="superscript"/>
                <w:lang w:val="en-AU"/>
              </w:rPr>
            </w:pPr>
            <w:r w:rsidRPr="00BE6650">
              <w:rPr>
                <w:iCs/>
                <w:lang w:val="en-AU"/>
              </w:rPr>
              <w:t>(</w:t>
            </w:r>
            <w:r w:rsidRPr="00BE6650">
              <w:rPr>
                <w:lang w:val="en-AU"/>
              </w:rPr>
              <w:t xml:space="preserve">N = 64) </w:t>
            </w:r>
            <w:r w:rsidRPr="00BE6650">
              <w:rPr>
                <w:vertAlign w:val="superscript"/>
                <w:lang w:val="en-AU"/>
              </w:rPr>
              <w:t>a</w:t>
            </w:r>
          </w:p>
        </w:tc>
        <w:tc>
          <w:tcPr>
            <w:tcW w:w="1108" w:type="pct"/>
            <w:vAlign w:val="center"/>
          </w:tcPr>
          <w:p w14:paraId="169339B3" w14:textId="77777777" w:rsidR="00E24CC1" w:rsidRPr="00BE6650" w:rsidRDefault="00B67FA2" w:rsidP="00EF0140">
            <w:pPr>
              <w:pStyle w:val="In-tableHeading"/>
              <w:jc w:val="center"/>
              <w:rPr>
                <w:lang w:val="en-AU"/>
              </w:rPr>
            </w:pPr>
            <w:r w:rsidRPr="00BE6650">
              <w:rPr>
                <w:lang w:val="en-AU"/>
              </w:rPr>
              <w:t>Conventional care</w:t>
            </w:r>
          </w:p>
          <w:p w14:paraId="291951AF" w14:textId="77777777" w:rsidR="00E24CC1" w:rsidRPr="00BE6650" w:rsidRDefault="00E24CC1" w:rsidP="00EF0140">
            <w:pPr>
              <w:pStyle w:val="In-tableHeading"/>
              <w:jc w:val="center"/>
              <w:rPr>
                <w:bCs/>
                <w:lang w:val="en-AU"/>
              </w:rPr>
            </w:pPr>
          </w:p>
          <w:p w14:paraId="4B5F6F41" w14:textId="77777777" w:rsidR="00B67FA2" w:rsidRPr="00BE6650" w:rsidRDefault="00B67FA2" w:rsidP="00EF0140">
            <w:pPr>
              <w:pStyle w:val="In-tableHeading"/>
              <w:jc w:val="center"/>
              <w:rPr>
                <w:lang w:val="en-AU"/>
              </w:rPr>
            </w:pPr>
          </w:p>
        </w:tc>
        <w:tc>
          <w:tcPr>
            <w:tcW w:w="1544" w:type="pct"/>
            <w:tcMar>
              <w:left w:w="28" w:type="dxa"/>
              <w:right w:w="28" w:type="dxa"/>
            </w:tcMar>
            <w:vAlign w:val="center"/>
          </w:tcPr>
          <w:p w14:paraId="273BF1CC" w14:textId="77777777" w:rsidR="00B67FA2" w:rsidRPr="00BE6650" w:rsidRDefault="004F3C73" w:rsidP="004F3C73">
            <w:pPr>
              <w:pStyle w:val="In-tableHeading"/>
              <w:jc w:val="center"/>
              <w:rPr>
                <w:bCs/>
                <w:lang w:val="en-AU"/>
              </w:rPr>
            </w:pPr>
            <w:r w:rsidRPr="00BE6650">
              <w:rPr>
                <w:lang w:val="en-AU"/>
              </w:rPr>
              <w:t xml:space="preserve">Naïve comparison </w:t>
            </w:r>
            <w:r w:rsidR="0002349F" w:rsidRPr="00BE6650">
              <w:rPr>
                <w:lang w:val="en-AU"/>
              </w:rPr>
              <w:br/>
            </w:r>
            <w:r w:rsidRPr="00BE6650">
              <w:rPr>
                <w:lang w:val="en-AU"/>
              </w:rPr>
              <w:t xml:space="preserve">(Sd </w:t>
            </w:r>
            <w:r w:rsidR="00351464" w:rsidRPr="00BE6650">
              <w:rPr>
                <w:iCs/>
                <w:lang w:val="en-AU"/>
              </w:rPr>
              <w:t xml:space="preserve">as next subsequent treatment </w:t>
            </w:r>
            <w:r w:rsidRPr="00BE6650">
              <w:rPr>
                <w:lang w:val="en-AU"/>
              </w:rPr>
              <w:t>vs. conventional care)</w:t>
            </w:r>
          </w:p>
        </w:tc>
      </w:tr>
      <w:tr w:rsidR="001E536F" w:rsidRPr="00BE6650" w14:paraId="5A5623BC" w14:textId="77777777" w:rsidTr="001E536F">
        <w:tc>
          <w:tcPr>
            <w:tcW w:w="5000" w:type="pct"/>
            <w:gridSpan w:val="4"/>
            <w:tcMar>
              <w:left w:w="28" w:type="dxa"/>
              <w:right w:w="28" w:type="dxa"/>
            </w:tcMar>
            <w:vAlign w:val="center"/>
          </w:tcPr>
          <w:p w14:paraId="4777CF3D" w14:textId="77777777" w:rsidR="001E536F" w:rsidRPr="00BE6650" w:rsidRDefault="001E536F" w:rsidP="00EF0140">
            <w:pPr>
              <w:pStyle w:val="In-tableHeading"/>
              <w:rPr>
                <w:lang w:val="en-AU"/>
              </w:rPr>
            </w:pPr>
            <w:r w:rsidRPr="00BE6650">
              <w:rPr>
                <w:lang w:val="en-AU"/>
              </w:rPr>
              <w:t>OS</w:t>
            </w:r>
          </w:p>
        </w:tc>
      </w:tr>
      <w:tr w:rsidR="0002349F" w:rsidRPr="00BE6650" w14:paraId="19346763" w14:textId="77777777" w:rsidTr="00552A66">
        <w:tc>
          <w:tcPr>
            <w:tcW w:w="1" w:type="pct"/>
            <w:gridSpan w:val="2"/>
            <w:tcMar>
              <w:left w:w="28" w:type="dxa"/>
              <w:right w:w="28" w:type="dxa"/>
            </w:tcMar>
            <w:vAlign w:val="center"/>
          </w:tcPr>
          <w:p w14:paraId="35A5D590" w14:textId="77777777" w:rsidR="0002349F" w:rsidRPr="00BE6650" w:rsidRDefault="0002349F" w:rsidP="00EF0140">
            <w:pPr>
              <w:pStyle w:val="In-tableHeading"/>
              <w:jc w:val="center"/>
              <w:rPr>
                <w:iCs/>
                <w:lang w:val="en-AU"/>
              </w:rPr>
            </w:pPr>
          </w:p>
        </w:tc>
        <w:tc>
          <w:tcPr>
            <w:tcW w:w="1108" w:type="pct"/>
            <w:vAlign w:val="center"/>
          </w:tcPr>
          <w:p w14:paraId="35FECF3A" w14:textId="77777777" w:rsidR="0002349F" w:rsidRPr="00BE6650" w:rsidRDefault="0002349F" w:rsidP="00EF0140">
            <w:pPr>
              <w:pStyle w:val="In-tableHeading"/>
              <w:jc w:val="center"/>
              <w:rPr>
                <w:lang w:val="en-AU"/>
              </w:rPr>
            </w:pPr>
            <w:r w:rsidRPr="00BE6650">
              <w:rPr>
                <w:bCs/>
                <w:lang w:val="en-AU"/>
              </w:rPr>
              <w:t>MAMMOTH (N=128)</w:t>
            </w:r>
          </w:p>
        </w:tc>
        <w:tc>
          <w:tcPr>
            <w:tcW w:w="1544" w:type="pct"/>
            <w:tcMar>
              <w:left w:w="28" w:type="dxa"/>
              <w:right w:w="28" w:type="dxa"/>
            </w:tcMar>
            <w:vAlign w:val="center"/>
          </w:tcPr>
          <w:p w14:paraId="0B60BCB7" w14:textId="77777777" w:rsidR="0002349F" w:rsidRPr="00BE6650" w:rsidRDefault="0002349F" w:rsidP="00EF0140">
            <w:pPr>
              <w:pStyle w:val="In-tableHeading"/>
              <w:jc w:val="center"/>
              <w:rPr>
                <w:lang w:val="en-AU"/>
              </w:rPr>
            </w:pPr>
            <w:r w:rsidRPr="00BE6650">
              <w:rPr>
                <w:lang w:val="en-AU"/>
              </w:rPr>
              <w:t>HR (95% CI)</w:t>
            </w:r>
          </w:p>
        </w:tc>
      </w:tr>
      <w:tr w:rsidR="00B67FA2" w:rsidRPr="00BE6650" w14:paraId="0753E1AF" w14:textId="77777777" w:rsidTr="00BC4099">
        <w:tc>
          <w:tcPr>
            <w:tcW w:w="1334" w:type="pct"/>
            <w:tcMar>
              <w:left w:w="28" w:type="dxa"/>
              <w:right w:w="28" w:type="dxa"/>
            </w:tcMar>
            <w:vAlign w:val="center"/>
          </w:tcPr>
          <w:p w14:paraId="0A6F0F91" w14:textId="77777777" w:rsidR="00B67FA2" w:rsidRPr="00BE6650" w:rsidRDefault="00B67FA2" w:rsidP="00EF0140">
            <w:pPr>
              <w:pStyle w:val="TableText0"/>
            </w:pPr>
            <w:r w:rsidRPr="00BE6650">
              <w:t>Patients with event</w:t>
            </w:r>
          </w:p>
        </w:tc>
        <w:tc>
          <w:tcPr>
            <w:tcW w:w="1014" w:type="pct"/>
            <w:tcMar>
              <w:left w:w="28" w:type="dxa"/>
              <w:right w:w="28" w:type="dxa"/>
            </w:tcMar>
            <w:vAlign w:val="center"/>
          </w:tcPr>
          <w:p w14:paraId="61B4F5E8" w14:textId="77777777" w:rsidR="00B67FA2" w:rsidRPr="00BE6650" w:rsidRDefault="00B67FA2" w:rsidP="00EF0140">
            <w:pPr>
              <w:pStyle w:val="TableText0"/>
              <w:jc w:val="center"/>
            </w:pPr>
            <w:r w:rsidRPr="00BE6650">
              <w:t>NR</w:t>
            </w:r>
          </w:p>
        </w:tc>
        <w:tc>
          <w:tcPr>
            <w:tcW w:w="1108" w:type="pct"/>
            <w:tcMar>
              <w:left w:w="28" w:type="dxa"/>
              <w:right w:w="28" w:type="dxa"/>
            </w:tcMar>
            <w:vAlign w:val="center"/>
          </w:tcPr>
          <w:p w14:paraId="764AA303" w14:textId="77777777" w:rsidR="00B67FA2" w:rsidRPr="00BE6650" w:rsidRDefault="00B67FA2" w:rsidP="00EF0140">
            <w:pPr>
              <w:pStyle w:val="TableText0"/>
              <w:jc w:val="center"/>
            </w:pPr>
            <w:r w:rsidRPr="00BE6650">
              <w:t>NR</w:t>
            </w:r>
          </w:p>
        </w:tc>
        <w:tc>
          <w:tcPr>
            <w:tcW w:w="1544" w:type="pct"/>
            <w:vMerge w:val="restart"/>
            <w:tcMar>
              <w:left w:w="28" w:type="dxa"/>
              <w:right w:w="28" w:type="dxa"/>
            </w:tcMar>
            <w:vAlign w:val="center"/>
          </w:tcPr>
          <w:p w14:paraId="285CB336" w14:textId="77777777" w:rsidR="00B67FA2" w:rsidRPr="00BE6650" w:rsidRDefault="00B67FA2" w:rsidP="00EF0140">
            <w:pPr>
              <w:pStyle w:val="TableText0"/>
              <w:jc w:val="center"/>
            </w:pPr>
            <w:r w:rsidRPr="00BE6650">
              <w:rPr>
                <w:b/>
                <w:bCs w:val="0"/>
              </w:rPr>
              <w:t xml:space="preserve">0.64 (0.41, 0.98) </w:t>
            </w:r>
            <w:r w:rsidR="00773C6E" w:rsidRPr="00BE6650">
              <w:rPr>
                <w:b/>
                <w:bCs w:val="0"/>
                <w:vertAlign w:val="superscript"/>
              </w:rPr>
              <w:t>c</w:t>
            </w:r>
            <w:r w:rsidRPr="00BE6650">
              <w:rPr>
                <w:b/>
                <w:bCs w:val="0"/>
              </w:rPr>
              <w:t xml:space="preserve"> </w:t>
            </w:r>
            <w:r w:rsidRPr="00BE6650">
              <w:rPr>
                <w:b/>
                <w:bCs w:val="0"/>
              </w:rPr>
              <w:br/>
              <w:t>p = 0.043</w:t>
            </w:r>
          </w:p>
        </w:tc>
      </w:tr>
      <w:tr w:rsidR="00B67FA2" w:rsidRPr="00BE6650" w14:paraId="6BA571D6" w14:textId="77777777" w:rsidTr="00BC4099">
        <w:tc>
          <w:tcPr>
            <w:tcW w:w="1334" w:type="pct"/>
            <w:tcMar>
              <w:left w:w="28" w:type="dxa"/>
              <w:right w:w="28" w:type="dxa"/>
            </w:tcMar>
            <w:vAlign w:val="center"/>
          </w:tcPr>
          <w:p w14:paraId="3805997E" w14:textId="77777777" w:rsidR="00B67FA2" w:rsidRPr="00BE6650" w:rsidRDefault="00B67FA2" w:rsidP="00EF0140">
            <w:pPr>
              <w:pStyle w:val="TableText0"/>
            </w:pPr>
            <w:r w:rsidRPr="00BE6650">
              <w:t>Median OS months (95% CI)</w:t>
            </w:r>
          </w:p>
        </w:tc>
        <w:tc>
          <w:tcPr>
            <w:tcW w:w="1014" w:type="pct"/>
            <w:tcMar>
              <w:left w:w="28" w:type="dxa"/>
              <w:right w:w="28" w:type="dxa"/>
            </w:tcMar>
            <w:vAlign w:val="center"/>
          </w:tcPr>
          <w:p w14:paraId="49DE42FA" w14:textId="77777777" w:rsidR="00B67FA2" w:rsidRPr="00BE6650" w:rsidRDefault="00B67FA2" w:rsidP="00EF0140">
            <w:pPr>
              <w:pStyle w:val="TableText0"/>
              <w:jc w:val="center"/>
            </w:pPr>
            <w:r w:rsidRPr="00BE6650">
              <w:t>10.4 (7.2, 13.7)</w:t>
            </w:r>
            <w:r w:rsidR="00773C6E" w:rsidRPr="00BE6650">
              <w:t xml:space="preserve"> </w:t>
            </w:r>
            <w:r w:rsidR="00773C6E" w:rsidRPr="00BE6650">
              <w:rPr>
                <w:vertAlign w:val="superscript"/>
              </w:rPr>
              <w:t>b</w:t>
            </w:r>
          </w:p>
        </w:tc>
        <w:tc>
          <w:tcPr>
            <w:tcW w:w="1108" w:type="pct"/>
            <w:tcMar>
              <w:left w:w="28" w:type="dxa"/>
              <w:right w:w="28" w:type="dxa"/>
            </w:tcMar>
            <w:vAlign w:val="center"/>
          </w:tcPr>
          <w:p w14:paraId="6EBC403E" w14:textId="77777777" w:rsidR="00B67FA2" w:rsidRPr="00BE6650" w:rsidRDefault="00B67FA2" w:rsidP="00EF0140">
            <w:pPr>
              <w:pStyle w:val="TableText0"/>
              <w:jc w:val="center"/>
            </w:pPr>
            <w:r w:rsidRPr="00BE6650">
              <w:t>6.9 (5.4, 8.3)</w:t>
            </w:r>
          </w:p>
        </w:tc>
        <w:tc>
          <w:tcPr>
            <w:tcW w:w="1544" w:type="pct"/>
            <w:vMerge/>
            <w:tcMar>
              <w:left w:w="28" w:type="dxa"/>
              <w:right w:w="28" w:type="dxa"/>
            </w:tcMar>
            <w:vAlign w:val="center"/>
          </w:tcPr>
          <w:p w14:paraId="46F9790B" w14:textId="77777777" w:rsidR="00B67FA2" w:rsidRPr="00BE6650" w:rsidRDefault="00B67FA2" w:rsidP="00EF0140">
            <w:pPr>
              <w:pStyle w:val="TableText0"/>
              <w:jc w:val="center"/>
            </w:pPr>
          </w:p>
        </w:tc>
      </w:tr>
      <w:tr w:rsidR="00B67FA2" w:rsidRPr="00BE6650" w14:paraId="7D687344" w14:textId="77777777" w:rsidTr="00BC4099">
        <w:tc>
          <w:tcPr>
            <w:tcW w:w="1334" w:type="pct"/>
            <w:tcMar>
              <w:left w:w="28" w:type="dxa"/>
              <w:right w:w="28" w:type="dxa"/>
            </w:tcMar>
            <w:vAlign w:val="center"/>
          </w:tcPr>
          <w:p w14:paraId="450D0C96" w14:textId="77777777" w:rsidR="00B67FA2" w:rsidRPr="00BE6650" w:rsidRDefault="00B67FA2" w:rsidP="00EF0140">
            <w:pPr>
              <w:pStyle w:val="TableText0"/>
              <w:rPr>
                <w:b/>
                <w:bCs w:val="0"/>
              </w:rPr>
            </w:pPr>
          </w:p>
        </w:tc>
        <w:tc>
          <w:tcPr>
            <w:tcW w:w="1014" w:type="pct"/>
            <w:vAlign w:val="center"/>
          </w:tcPr>
          <w:p w14:paraId="20A8BB6C" w14:textId="77777777" w:rsidR="00B67FA2" w:rsidRPr="00BE6650" w:rsidRDefault="00B67FA2" w:rsidP="00EF0140">
            <w:pPr>
              <w:pStyle w:val="TableText0"/>
              <w:jc w:val="center"/>
              <w:rPr>
                <w:b/>
                <w:bCs w:val="0"/>
              </w:rPr>
            </w:pPr>
          </w:p>
        </w:tc>
        <w:tc>
          <w:tcPr>
            <w:tcW w:w="1108" w:type="pct"/>
            <w:vAlign w:val="center"/>
          </w:tcPr>
          <w:p w14:paraId="042AEB6A" w14:textId="77777777" w:rsidR="00B67FA2" w:rsidRPr="00BE6650" w:rsidRDefault="00B67FA2" w:rsidP="00EF0140">
            <w:pPr>
              <w:pStyle w:val="TableText0"/>
              <w:jc w:val="center"/>
              <w:rPr>
                <w:b/>
                <w:bCs w:val="0"/>
              </w:rPr>
            </w:pPr>
            <w:r w:rsidRPr="00BE6650">
              <w:rPr>
                <w:b/>
              </w:rPr>
              <w:t>FLATIRON (N=36)</w:t>
            </w:r>
          </w:p>
        </w:tc>
        <w:tc>
          <w:tcPr>
            <w:tcW w:w="1544" w:type="pct"/>
            <w:tcMar>
              <w:left w:w="28" w:type="dxa"/>
              <w:right w:w="28" w:type="dxa"/>
            </w:tcMar>
            <w:vAlign w:val="center"/>
          </w:tcPr>
          <w:p w14:paraId="7D95F86D" w14:textId="77777777" w:rsidR="00B67FA2" w:rsidRPr="00BE6650" w:rsidRDefault="00B67FA2" w:rsidP="00EF0140">
            <w:pPr>
              <w:pStyle w:val="TableText0"/>
              <w:jc w:val="center"/>
              <w:rPr>
                <w:b/>
              </w:rPr>
            </w:pPr>
            <w:r w:rsidRPr="00BE6650">
              <w:rPr>
                <w:b/>
              </w:rPr>
              <w:t>HR (95% CI)</w:t>
            </w:r>
          </w:p>
        </w:tc>
      </w:tr>
      <w:tr w:rsidR="00B67FA2" w:rsidRPr="00BE6650" w14:paraId="7E778C3C" w14:textId="77777777" w:rsidTr="00BC4099">
        <w:tc>
          <w:tcPr>
            <w:tcW w:w="1334" w:type="pct"/>
            <w:tcMar>
              <w:left w:w="28" w:type="dxa"/>
              <w:right w:w="28" w:type="dxa"/>
            </w:tcMar>
            <w:vAlign w:val="center"/>
          </w:tcPr>
          <w:p w14:paraId="2B1AF9B5" w14:textId="77777777" w:rsidR="00B67FA2" w:rsidRPr="00BE6650" w:rsidRDefault="00B67FA2" w:rsidP="00EF0140">
            <w:pPr>
              <w:pStyle w:val="TableText0"/>
            </w:pPr>
            <w:r w:rsidRPr="00BE6650">
              <w:t>Patients with event</w:t>
            </w:r>
          </w:p>
        </w:tc>
        <w:tc>
          <w:tcPr>
            <w:tcW w:w="1014" w:type="pct"/>
            <w:tcMar>
              <w:left w:w="28" w:type="dxa"/>
              <w:right w:w="28" w:type="dxa"/>
            </w:tcMar>
            <w:vAlign w:val="center"/>
          </w:tcPr>
          <w:p w14:paraId="44EA4DED" w14:textId="77777777" w:rsidR="00B67FA2" w:rsidRPr="00BE6650" w:rsidRDefault="00B67FA2" w:rsidP="00EF0140">
            <w:pPr>
              <w:pStyle w:val="TableText0"/>
              <w:jc w:val="center"/>
            </w:pPr>
            <w:r w:rsidRPr="00BE6650">
              <w:t>NR</w:t>
            </w:r>
          </w:p>
        </w:tc>
        <w:tc>
          <w:tcPr>
            <w:tcW w:w="1108" w:type="pct"/>
            <w:tcMar>
              <w:left w:w="28" w:type="dxa"/>
              <w:right w:w="28" w:type="dxa"/>
            </w:tcMar>
            <w:vAlign w:val="center"/>
          </w:tcPr>
          <w:p w14:paraId="6BBC4746" w14:textId="77777777" w:rsidR="00B67FA2" w:rsidRPr="00BE6650" w:rsidRDefault="00B67FA2" w:rsidP="00EF0140">
            <w:pPr>
              <w:pStyle w:val="TableText0"/>
              <w:jc w:val="center"/>
            </w:pPr>
            <w:r w:rsidRPr="00BE6650">
              <w:t>NR</w:t>
            </w:r>
          </w:p>
        </w:tc>
        <w:tc>
          <w:tcPr>
            <w:tcW w:w="1544" w:type="pct"/>
            <w:vMerge w:val="restart"/>
            <w:tcMar>
              <w:left w:w="28" w:type="dxa"/>
              <w:right w:w="28" w:type="dxa"/>
            </w:tcMar>
            <w:vAlign w:val="center"/>
          </w:tcPr>
          <w:p w14:paraId="310741E4" w14:textId="77777777" w:rsidR="00B67FA2" w:rsidRPr="00BE6650" w:rsidRDefault="00B67FA2" w:rsidP="00EF0140">
            <w:pPr>
              <w:pStyle w:val="TableText0"/>
              <w:jc w:val="center"/>
            </w:pPr>
            <w:r w:rsidRPr="00BE6650">
              <w:rPr>
                <w:b/>
                <w:bCs w:val="0"/>
              </w:rPr>
              <w:t xml:space="preserve">0.52 (0.29, 0.95) </w:t>
            </w:r>
            <w:r w:rsidR="00773C6E" w:rsidRPr="00BE6650">
              <w:rPr>
                <w:b/>
                <w:bCs w:val="0"/>
                <w:vertAlign w:val="superscript"/>
              </w:rPr>
              <w:t>d</w:t>
            </w:r>
            <w:r w:rsidRPr="00BE6650">
              <w:rPr>
                <w:b/>
                <w:bCs w:val="0"/>
              </w:rPr>
              <w:t xml:space="preserve"> </w:t>
            </w:r>
            <w:r w:rsidRPr="00BE6650">
              <w:rPr>
                <w:b/>
                <w:bCs w:val="0"/>
              </w:rPr>
              <w:br/>
              <w:t>p = NR</w:t>
            </w:r>
          </w:p>
        </w:tc>
      </w:tr>
      <w:tr w:rsidR="00B67FA2" w:rsidRPr="00BE6650" w14:paraId="37D17512" w14:textId="77777777" w:rsidTr="00BC4099">
        <w:tc>
          <w:tcPr>
            <w:tcW w:w="1334" w:type="pct"/>
            <w:tcMar>
              <w:left w:w="28" w:type="dxa"/>
              <w:right w:w="28" w:type="dxa"/>
            </w:tcMar>
            <w:vAlign w:val="center"/>
          </w:tcPr>
          <w:p w14:paraId="4B4BD3C8" w14:textId="77777777" w:rsidR="00B67FA2" w:rsidRPr="00BE6650" w:rsidRDefault="00B67FA2" w:rsidP="00EF0140">
            <w:pPr>
              <w:pStyle w:val="TableText0"/>
            </w:pPr>
            <w:r w:rsidRPr="00BE6650">
              <w:t>Median OS months (95% CI)</w:t>
            </w:r>
          </w:p>
        </w:tc>
        <w:tc>
          <w:tcPr>
            <w:tcW w:w="1014" w:type="pct"/>
            <w:tcMar>
              <w:left w:w="28" w:type="dxa"/>
              <w:right w:w="28" w:type="dxa"/>
            </w:tcMar>
            <w:vAlign w:val="center"/>
          </w:tcPr>
          <w:p w14:paraId="37086E68" w14:textId="77777777" w:rsidR="00B67FA2" w:rsidRPr="00BE6650" w:rsidRDefault="00B67FA2" w:rsidP="00EF0140">
            <w:pPr>
              <w:pStyle w:val="TableText0"/>
              <w:jc w:val="center"/>
            </w:pPr>
            <w:r w:rsidRPr="00BE6650">
              <w:t>10.4 (7.</w:t>
            </w:r>
            <w:r w:rsidR="0009645A" w:rsidRPr="00BE6650">
              <w:t>9, NE</w:t>
            </w:r>
            <w:r w:rsidRPr="00BE6650">
              <w:t>)</w:t>
            </w:r>
            <w:r w:rsidR="00773C6E" w:rsidRPr="00BE6650">
              <w:t xml:space="preserve"> </w:t>
            </w:r>
            <w:r w:rsidR="00773C6E" w:rsidRPr="00BE6650">
              <w:rPr>
                <w:vertAlign w:val="superscript"/>
              </w:rPr>
              <w:t>b</w:t>
            </w:r>
          </w:p>
        </w:tc>
        <w:tc>
          <w:tcPr>
            <w:tcW w:w="1108" w:type="pct"/>
            <w:tcMar>
              <w:left w:w="28" w:type="dxa"/>
              <w:right w:w="28" w:type="dxa"/>
            </w:tcMar>
            <w:vAlign w:val="center"/>
          </w:tcPr>
          <w:p w14:paraId="598061F3" w14:textId="77777777" w:rsidR="00B67FA2" w:rsidRPr="00BE6650" w:rsidRDefault="00B67FA2" w:rsidP="00EF0140">
            <w:pPr>
              <w:pStyle w:val="TableText0"/>
              <w:jc w:val="center"/>
            </w:pPr>
            <w:r w:rsidRPr="00BE6650">
              <w:t>5.8 (2.8, 12.6)</w:t>
            </w:r>
          </w:p>
        </w:tc>
        <w:tc>
          <w:tcPr>
            <w:tcW w:w="1544" w:type="pct"/>
            <w:vMerge/>
            <w:tcMar>
              <w:left w:w="28" w:type="dxa"/>
              <w:right w:w="28" w:type="dxa"/>
            </w:tcMar>
            <w:vAlign w:val="center"/>
          </w:tcPr>
          <w:p w14:paraId="2D3A7CC6" w14:textId="77777777" w:rsidR="00B67FA2" w:rsidRPr="00BE6650" w:rsidRDefault="00B67FA2" w:rsidP="00EF0140">
            <w:pPr>
              <w:pStyle w:val="TableText0"/>
              <w:jc w:val="center"/>
            </w:pPr>
          </w:p>
        </w:tc>
      </w:tr>
      <w:tr w:rsidR="00BC4099" w:rsidRPr="00BE6650" w14:paraId="01A1056E" w14:textId="77777777" w:rsidTr="00BC4099">
        <w:tc>
          <w:tcPr>
            <w:tcW w:w="5000" w:type="pct"/>
            <w:gridSpan w:val="4"/>
            <w:tcMar>
              <w:left w:w="28" w:type="dxa"/>
              <w:right w:w="28" w:type="dxa"/>
            </w:tcMar>
            <w:vAlign w:val="center"/>
          </w:tcPr>
          <w:p w14:paraId="798515C4" w14:textId="77777777" w:rsidR="00BC4099" w:rsidRPr="00BE6650" w:rsidRDefault="00BC4099" w:rsidP="00EF0140">
            <w:pPr>
              <w:pStyle w:val="TableText0"/>
              <w:rPr>
                <w:b/>
                <w:bCs w:val="0"/>
              </w:rPr>
            </w:pPr>
            <w:r w:rsidRPr="00BE6650">
              <w:rPr>
                <w:b/>
              </w:rPr>
              <w:t xml:space="preserve">ORR </w:t>
            </w:r>
          </w:p>
        </w:tc>
      </w:tr>
      <w:tr w:rsidR="0002349F" w:rsidRPr="00BE6650" w14:paraId="0159B5E3" w14:textId="77777777" w:rsidTr="00552A66">
        <w:tc>
          <w:tcPr>
            <w:tcW w:w="1" w:type="pct"/>
            <w:gridSpan w:val="2"/>
            <w:tcMar>
              <w:left w:w="28" w:type="dxa"/>
              <w:right w:w="28" w:type="dxa"/>
            </w:tcMar>
            <w:vAlign w:val="center"/>
          </w:tcPr>
          <w:p w14:paraId="1959FEF1" w14:textId="77777777" w:rsidR="0002349F" w:rsidRPr="00BE6650" w:rsidRDefault="0002349F" w:rsidP="00EF0140">
            <w:pPr>
              <w:pStyle w:val="TableText0"/>
              <w:jc w:val="center"/>
            </w:pPr>
          </w:p>
        </w:tc>
        <w:tc>
          <w:tcPr>
            <w:tcW w:w="1108" w:type="pct"/>
            <w:tcMar>
              <w:left w:w="28" w:type="dxa"/>
              <w:right w:w="28" w:type="dxa"/>
            </w:tcMar>
            <w:vAlign w:val="center"/>
          </w:tcPr>
          <w:p w14:paraId="2C961CF3" w14:textId="77777777" w:rsidR="0002349F" w:rsidRPr="00BE6650" w:rsidRDefault="0002349F" w:rsidP="00EF0140">
            <w:pPr>
              <w:pStyle w:val="TableText0"/>
              <w:jc w:val="center"/>
            </w:pPr>
            <w:r w:rsidRPr="00BE6650">
              <w:rPr>
                <w:b/>
              </w:rPr>
              <w:t>MAMMOTH (N=128)</w:t>
            </w:r>
          </w:p>
        </w:tc>
        <w:tc>
          <w:tcPr>
            <w:tcW w:w="1544" w:type="pct"/>
            <w:tcMar>
              <w:left w:w="28" w:type="dxa"/>
              <w:right w:w="28" w:type="dxa"/>
            </w:tcMar>
            <w:vAlign w:val="center"/>
          </w:tcPr>
          <w:p w14:paraId="15E15A81" w14:textId="77777777" w:rsidR="0002349F" w:rsidRPr="00BE6650" w:rsidRDefault="0002349F" w:rsidP="00EF0140">
            <w:pPr>
              <w:pStyle w:val="TableText0"/>
              <w:jc w:val="center"/>
              <w:rPr>
                <w:b/>
                <w:bCs w:val="0"/>
                <w:highlight w:val="yellow"/>
              </w:rPr>
            </w:pPr>
            <w:r w:rsidRPr="00BE6650">
              <w:rPr>
                <w:b/>
                <w:bCs w:val="0"/>
              </w:rPr>
              <w:t>ORR treatment difference (95% CI)</w:t>
            </w:r>
          </w:p>
        </w:tc>
      </w:tr>
      <w:tr w:rsidR="00BC4099" w:rsidRPr="00BE6650" w14:paraId="0BDB4CD6" w14:textId="77777777" w:rsidTr="00BC4099">
        <w:tc>
          <w:tcPr>
            <w:tcW w:w="1334" w:type="pct"/>
            <w:tcMar>
              <w:left w:w="28" w:type="dxa"/>
              <w:right w:w="28" w:type="dxa"/>
            </w:tcMar>
            <w:vAlign w:val="center"/>
          </w:tcPr>
          <w:p w14:paraId="69A364F8" w14:textId="77777777" w:rsidR="00BC4099" w:rsidRPr="00BE6650" w:rsidRDefault="00BC4099" w:rsidP="00EF0140">
            <w:pPr>
              <w:pStyle w:val="TableText0"/>
            </w:pPr>
            <w:r w:rsidRPr="00BE6650">
              <w:t>Patients with event</w:t>
            </w:r>
          </w:p>
        </w:tc>
        <w:tc>
          <w:tcPr>
            <w:tcW w:w="1014" w:type="pct"/>
            <w:tcMar>
              <w:left w:w="28" w:type="dxa"/>
              <w:right w:w="28" w:type="dxa"/>
            </w:tcMar>
            <w:vAlign w:val="center"/>
          </w:tcPr>
          <w:p w14:paraId="3C6579B1" w14:textId="77777777" w:rsidR="00BC4099" w:rsidRPr="00BE6650" w:rsidRDefault="00BC4099" w:rsidP="00EF0140">
            <w:pPr>
              <w:pStyle w:val="TableText0"/>
              <w:jc w:val="center"/>
            </w:pPr>
            <w:r w:rsidRPr="00BE6650">
              <w:t>21/64</w:t>
            </w:r>
          </w:p>
        </w:tc>
        <w:tc>
          <w:tcPr>
            <w:tcW w:w="1108" w:type="pct"/>
            <w:tcMar>
              <w:left w:w="28" w:type="dxa"/>
              <w:right w:w="28" w:type="dxa"/>
            </w:tcMar>
            <w:vAlign w:val="center"/>
          </w:tcPr>
          <w:p w14:paraId="1BFA3EBD" w14:textId="77777777" w:rsidR="00BC4099" w:rsidRPr="00BE6650" w:rsidRDefault="00BC4099" w:rsidP="00EF0140">
            <w:pPr>
              <w:pStyle w:val="TableText0"/>
              <w:jc w:val="center"/>
            </w:pPr>
            <w:r w:rsidRPr="00BE6650">
              <w:t>32/128</w:t>
            </w:r>
          </w:p>
        </w:tc>
        <w:tc>
          <w:tcPr>
            <w:tcW w:w="1544" w:type="pct"/>
            <w:vMerge w:val="restart"/>
            <w:tcMar>
              <w:left w:w="28" w:type="dxa"/>
              <w:right w:w="28" w:type="dxa"/>
            </w:tcMar>
            <w:vAlign w:val="center"/>
          </w:tcPr>
          <w:p w14:paraId="6A459E6B" w14:textId="77777777" w:rsidR="00BC4099" w:rsidRPr="00BE6650" w:rsidRDefault="00BC4099" w:rsidP="00EF0140">
            <w:pPr>
              <w:pStyle w:val="TableText0"/>
              <w:jc w:val="center"/>
              <w:rPr>
                <w:b/>
                <w:bCs w:val="0"/>
              </w:rPr>
            </w:pPr>
            <w:r w:rsidRPr="00BE6650">
              <w:rPr>
                <w:iCs/>
              </w:rPr>
              <w:t>NR</w:t>
            </w:r>
            <w:r w:rsidRPr="00BE6650">
              <w:br/>
              <w:t>p = 0.078</w:t>
            </w:r>
          </w:p>
        </w:tc>
      </w:tr>
      <w:tr w:rsidR="00BC4099" w:rsidRPr="00BE6650" w14:paraId="10704D5B" w14:textId="77777777" w:rsidTr="00BC4099">
        <w:tc>
          <w:tcPr>
            <w:tcW w:w="1334" w:type="pct"/>
            <w:tcMar>
              <w:left w:w="28" w:type="dxa"/>
              <w:right w:w="28" w:type="dxa"/>
            </w:tcMar>
            <w:vAlign w:val="center"/>
          </w:tcPr>
          <w:p w14:paraId="771F58AC" w14:textId="77777777" w:rsidR="00BC4099" w:rsidRPr="00BE6650" w:rsidRDefault="00BC4099" w:rsidP="00EF0140">
            <w:pPr>
              <w:pStyle w:val="TableText0"/>
            </w:pPr>
            <w:r w:rsidRPr="00BE6650">
              <w:t>% (95% CI)</w:t>
            </w:r>
          </w:p>
        </w:tc>
        <w:tc>
          <w:tcPr>
            <w:tcW w:w="1014" w:type="pct"/>
            <w:tcMar>
              <w:left w:w="28" w:type="dxa"/>
              <w:right w:w="28" w:type="dxa"/>
            </w:tcMar>
            <w:vAlign w:val="center"/>
          </w:tcPr>
          <w:p w14:paraId="0899C1C3" w14:textId="77777777" w:rsidR="00BC4099" w:rsidRPr="00BE6650" w:rsidRDefault="00BC4099" w:rsidP="00EF0140">
            <w:pPr>
              <w:pStyle w:val="TableText0"/>
              <w:jc w:val="center"/>
            </w:pPr>
            <w:r w:rsidRPr="00BE6650">
              <w:t>32.8 (NR, NR)</w:t>
            </w:r>
          </w:p>
        </w:tc>
        <w:tc>
          <w:tcPr>
            <w:tcW w:w="1108" w:type="pct"/>
            <w:tcMar>
              <w:left w:w="28" w:type="dxa"/>
              <w:right w:w="28" w:type="dxa"/>
            </w:tcMar>
            <w:vAlign w:val="center"/>
          </w:tcPr>
          <w:p w14:paraId="0DAB124F" w14:textId="77777777" w:rsidR="00BC4099" w:rsidRPr="00BE6650" w:rsidRDefault="00BC4099" w:rsidP="00EF0140">
            <w:pPr>
              <w:pStyle w:val="TableText0"/>
              <w:jc w:val="center"/>
            </w:pPr>
            <w:r w:rsidRPr="00BE6650">
              <w:t>25.0 (NR, NR)</w:t>
            </w:r>
          </w:p>
        </w:tc>
        <w:tc>
          <w:tcPr>
            <w:tcW w:w="1544" w:type="pct"/>
            <w:vMerge/>
            <w:tcMar>
              <w:left w:w="28" w:type="dxa"/>
              <w:right w:w="28" w:type="dxa"/>
            </w:tcMar>
            <w:vAlign w:val="center"/>
          </w:tcPr>
          <w:p w14:paraId="76EA2A93" w14:textId="77777777" w:rsidR="00BC4099" w:rsidRPr="00BE6650" w:rsidRDefault="00BC4099" w:rsidP="00EF0140">
            <w:pPr>
              <w:pStyle w:val="TableText0"/>
              <w:jc w:val="center"/>
              <w:rPr>
                <w:b/>
                <w:bCs w:val="0"/>
              </w:rPr>
            </w:pPr>
          </w:p>
        </w:tc>
      </w:tr>
    </w:tbl>
    <w:p w14:paraId="3F544A97" w14:textId="77777777" w:rsidR="006C3C33" w:rsidRPr="00BE6650" w:rsidRDefault="006C3C33" w:rsidP="00EF0140">
      <w:pPr>
        <w:keepNext/>
        <w:rPr>
          <w:rFonts w:ascii="Arial Narrow" w:hAnsi="Arial Narrow"/>
          <w:sz w:val="18"/>
          <w:szCs w:val="18"/>
        </w:rPr>
      </w:pPr>
      <w:r w:rsidRPr="00BE6650">
        <w:rPr>
          <w:rFonts w:ascii="Arial Narrow" w:hAnsi="Arial Narrow"/>
          <w:sz w:val="18"/>
          <w:szCs w:val="18"/>
        </w:rPr>
        <w:t>Source: Table 2-14, p66; Table 2-21, p73; Table 2-22, p75; Table 2-31, p91; Figure 2</w:t>
      </w:r>
      <w:r w:rsidR="006F1B84" w:rsidRPr="00BE6650">
        <w:rPr>
          <w:rFonts w:ascii="Arial Narrow" w:hAnsi="Arial Narrow"/>
          <w:sz w:val="18"/>
          <w:szCs w:val="18"/>
        </w:rPr>
        <w:t>-</w:t>
      </w:r>
      <w:r w:rsidRPr="00BE6650">
        <w:rPr>
          <w:rFonts w:ascii="Arial Narrow" w:hAnsi="Arial Narrow"/>
          <w:sz w:val="18"/>
          <w:szCs w:val="18"/>
        </w:rPr>
        <w:t>10, p92; Table 2-33, p95 of the submission.</w:t>
      </w:r>
    </w:p>
    <w:p w14:paraId="1FBE54FB" w14:textId="77777777" w:rsidR="006C3C33" w:rsidRPr="00BE6650" w:rsidRDefault="006C3C33" w:rsidP="00EF0140">
      <w:pPr>
        <w:keepNext/>
        <w:rPr>
          <w:rFonts w:ascii="Arial Narrow" w:hAnsi="Arial Narrow"/>
          <w:sz w:val="18"/>
          <w:szCs w:val="18"/>
        </w:rPr>
      </w:pPr>
      <w:r w:rsidRPr="00BE6650">
        <w:rPr>
          <w:rFonts w:ascii="Arial Narrow" w:hAnsi="Arial Narrow"/>
          <w:sz w:val="18"/>
          <w:szCs w:val="18"/>
        </w:rPr>
        <w:t xml:space="preserve">CI = confidence interval; HR = hazard ratio; NA = not applicable; NE = not estimable/evaluable; NR = not reported; ORR = overall response rate; OS = overall survival; </w:t>
      </w:r>
      <w:r w:rsidR="00864B58" w:rsidRPr="00BE6650">
        <w:rPr>
          <w:rFonts w:ascii="Arial Narrow" w:hAnsi="Arial Narrow"/>
          <w:sz w:val="18"/>
          <w:szCs w:val="18"/>
        </w:rPr>
        <w:t xml:space="preserve">Sd = selinexor plus dexamethasone; </w:t>
      </w:r>
      <w:r w:rsidRPr="00BE6650">
        <w:rPr>
          <w:rFonts w:ascii="Arial Narrow" w:hAnsi="Arial Narrow"/>
          <w:sz w:val="18"/>
          <w:szCs w:val="18"/>
        </w:rPr>
        <w:t xml:space="preserve">TCR/PE MM = triple class refractory and penta-exposed multiple myeloma </w:t>
      </w:r>
    </w:p>
    <w:p w14:paraId="63CED7A8" w14:textId="77777777" w:rsidR="00D13D91" w:rsidRPr="00BE6650" w:rsidRDefault="009F024D" w:rsidP="00D13D91">
      <w:pPr>
        <w:keepNext/>
        <w:rPr>
          <w:rFonts w:ascii="Arial Narrow" w:hAnsi="Arial Narrow"/>
          <w:sz w:val="18"/>
          <w:szCs w:val="18"/>
        </w:rPr>
      </w:pPr>
      <w:r w:rsidRPr="00BE6650">
        <w:rPr>
          <w:rFonts w:ascii="Arial Narrow" w:hAnsi="Arial Narrow"/>
          <w:sz w:val="18"/>
          <w:szCs w:val="18"/>
          <w:vertAlign w:val="superscript"/>
        </w:rPr>
        <w:t>a</w:t>
      </w:r>
      <w:r w:rsidRPr="00BE6650">
        <w:rPr>
          <w:rFonts w:ascii="Arial Narrow" w:hAnsi="Arial Narrow"/>
          <w:sz w:val="18"/>
          <w:szCs w:val="18"/>
        </w:rPr>
        <w:t xml:space="preserve"> S</w:t>
      </w:r>
      <w:r w:rsidR="004B7FB4" w:rsidRPr="00BE6650">
        <w:rPr>
          <w:rFonts w:ascii="Arial Narrow" w:hAnsi="Arial Narrow"/>
          <w:sz w:val="18"/>
          <w:szCs w:val="18"/>
        </w:rPr>
        <w:t>d</w:t>
      </w:r>
      <w:r w:rsidRPr="00BE6650">
        <w:rPr>
          <w:rFonts w:ascii="Arial Narrow" w:hAnsi="Arial Narrow"/>
          <w:sz w:val="18"/>
          <w:szCs w:val="18"/>
        </w:rPr>
        <w:t xml:space="preserve"> as next subsequent treatment in STORM;</w:t>
      </w:r>
      <w:r w:rsidR="006C3C33" w:rsidRPr="00BE6650">
        <w:rPr>
          <w:rFonts w:ascii="Arial Narrow" w:hAnsi="Arial Narrow"/>
          <w:sz w:val="18"/>
          <w:szCs w:val="18"/>
        </w:rPr>
        <w:t xml:space="preserve"> </w:t>
      </w:r>
    </w:p>
    <w:p w14:paraId="113423E6" w14:textId="77777777" w:rsidR="00D13D91" w:rsidRPr="00BE6650" w:rsidRDefault="009F024D" w:rsidP="00D13D91">
      <w:pPr>
        <w:keepNext/>
        <w:rPr>
          <w:rFonts w:ascii="Arial Narrow" w:hAnsi="Arial Narrow"/>
          <w:sz w:val="18"/>
          <w:szCs w:val="18"/>
        </w:rPr>
      </w:pPr>
      <w:r w:rsidRPr="00BE6650">
        <w:rPr>
          <w:rFonts w:ascii="Arial Narrow" w:hAnsi="Arial Narrow"/>
          <w:sz w:val="18"/>
          <w:szCs w:val="18"/>
          <w:vertAlign w:val="superscript"/>
        </w:rPr>
        <w:t>b</w:t>
      </w:r>
      <w:r w:rsidR="006C3C33" w:rsidRPr="00BE6650">
        <w:rPr>
          <w:rFonts w:ascii="Arial Narrow" w:hAnsi="Arial Narrow"/>
          <w:sz w:val="18"/>
          <w:szCs w:val="18"/>
          <w:vertAlign w:val="superscript"/>
        </w:rPr>
        <w:t xml:space="preserve"> </w:t>
      </w:r>
      <w:r w:rsidR="00773C6E" w:rsidRPr="00BE6650">
        <w:rPr>
          <w:rFonts w:ascii="Arial Narrow" w:hAnsi="Arial Narrow"/>
          <w:sz w:val="18"/>
          <w:szCs w:val="18"/>
        </w:rPr>
        <w:t xml:space="preserve">Differences in the 95% CIs as reported in the submission. The reason for the difference was unclear; </w:t>
      </w:r>
    </w:p>
    <w:p w14:paraId="1851D632" w14:textId="77777777" w:rsidR="00D13D91" w:rsidRPr="00BE6650" w:rsidRDefault="00773C6E" w:rsidP="00D13D91">
      <w:pPr>
        <w:keepNext/>
        <w:rPr>
          <w:rFonts w:ascii="Arial Narrow" w:hAnsi="Arial Narrow"/>
          <w:sz w:val="18"/>
          <w:szCs w:val="18"/>
        </w:rPr>
      </w:pPr>
      <w:r w:rsidRPr="00BE6650">
        <w:rPr>
          <w:rFonts w:ascii="Arial Narrow" w:hAnsi="Arial Narrow"/>
          <w:sz w:val="18"/>
          <w:szCs w:val="18"/>
          <w:vertAlign w:val="superscript"/>
        </w:rPr>
        <w:t>c</w:t>
      </w:r>
      <w:r w:rsidRPr="00BE6650">
        <w:rPr>
          <w:rFonts w:ascii="Arial Narrow" w:hAnsi="Arial Narrow"/>
          <w:sz w:val="18"/>
          <w:szCs w:val="18"/>
        </w:rPr>
        <w:t xml:space="preserve"> </w:t>
      </w:r>
      <w:r w:rsidR="006C3C33" w:rsidRPr="00BE6650">
        <w:rPr>
          <w:rFonts w:ascii="Arial Narrow" w:hAnsi="Arial Narrow"/>
          <w:sz w:val="18"/>
          <w:szCs w:val="18"/>
        </w:rPr>
        <w:t>Adjusted HR based on multivariate analysis (using study group age, sex, time from diagnosis to study entry, refractoriness to carfilzomib, refractoriness to pomalidomide, and cytogenetic risk) was 0.55 (95% CI: 0.36, 0.86; p=0.009)</w:t>
      </w:r>
      <w:r w:rsidR="00A126CB" w:rsidRPr="00BE6650">
        <w:rPr>
          <w:rFonts w:ascii="Arial Narrow" w:hAnsi="Arial Narrow"/>
          <w:sz w:val="18"/>
          <w:szCs w:val="18"/>
        </w:rPr>
        <w:t xml:space="preserve">; </w:t>
      </w:r>
    </w:p>
    <w:p w14:paraId="1692F304" w14:textId="77777777" w:rsidR="006C3C33" w:rsidRPr="00BE6650" w:rsidRDefault="00773C6E" w:rsidP="00EF0140">
      <w:pPr>
        <w:keepNext/>
        <w:spacing w:after="240"/>
        <w:rPr>
          <w:rFonts w:ascii="Arial Narrow" w:hAnsi="Arial Narrow"/>
          <w:sz w:val="18"/>
          <w:szCs w:val="18"/>
        </w:rPr>
      </w:pPr>
      <w:r w:rsidRPr="00BE6650">
        <w:rPr>
          <w:rFonts w:ascii="Arial Narrow" w:hAnsi="Arial Narrow"/>
          <w:sz w:val="18"/>
          <w:szCs w:val="18"/>
          <w:vertAlign w:val="superscript"/>
        </w:rPr>
        <w:t>d</w:t>
      </w:r>
      <w:r w:rsidR="006C3C33" w:rsidRPr="00BE6650">
        <w:rPr>
          <w:rFonts w:ascii="Arial Narrow" w:hAnsi="Arial Narrow"/>
          <w:sz w:val="18"/>
          <w:szCs w:val="18"/>
        </w:rPr>
        <w:t xml:space="preserve"> Adjusted HR using lactate dehydrogenase at baseline, prior number of treatment regimens, and time since initial diagnosis was 0.33 (95% CI: 0.09, 1.15).</w:t>
      </w:r>
    </w:p>
    <w:p w14:paraId="1E81926F" w14:textId="77777777" w:rsidR="000E2AED" w:rsidRPr="00BE6650" w:rsidRDefault="000E2AED" w:rsidP="000E2AED">
      <w:pPr>
        <w:pStyle w:val="3-BodyText"/>
      </w:pPr>
      <w:r w:rsidRPr="00BE6650">
        <w:t xml:space="preserve">The median OS was 10.4 months (95% CI: 7.2, 13.7) in the STORM TCR/PE MM with </w:t>
      </w:r>
      <w:r w:rsidR="007C3CA8" w:rsidRPr="00BE6650">
        <w:t>S</w:t>
      </w:r>
      <w:r w:rsidRPr="00BE6650">
        <w:t xml:space="preserve">d </w:t>
      </w:r>
      <w:r w:rsidR="007C3CA8" w:rsidRPr="00BE6650">
        <w:t xml:space="preserve">as </w:t>
      </w:r>
      <w:r w:rsidR="004B7FB4" w:rsidRPr="00BE6650">
        <w:t xml:space="preserve">next </w:t>
      </w:r>
      <w:r w:rsidRPr="00BE6650">
        <w:t xml:space="preserve">subsequent </w:t>
      </w:r>
      <w:r w:rsidR="004B7FB4" w:rsidRPr="00BE6650">
        <w:t>treatment</w:t>
      </w:r>
      <w:r w:rsidRPr="00BE6650">
        <w:t xml:space="preserve"> versus 6.9 months (95% CI: 5.4, 8.3) in MAMMOTH TCR/PE MM with conventional care; with a hazard ratio (HR) of 0.64 (95% CI: 0.41, 0.98). The median OS in FLATIRON with conventional care was 5.8 months (95% CI: 2.8, 12.6); with a HR (STORM versus FLATIRON) of 0.52 (95% CI; 0.29, 0.95).</w:t>
      </w:r>
    </w:p>
    <w:p w14:paraId="6BDB65B8" w14:textId="77777777" w:rsidR="00A25B32" w:rsidRPr="00BE6650" w:rsidRDefault="00A25B32" w:rsidP="00A25B32">
      <w:pPr>
        <w:pStyle w:val="3-BodyText"/>
      </w:pPr>
      <w:r w:rsidRPr="00BE6650">
        <w:t xml:space="preserve">The </w:t>
      </w:r>
      <w:r w:rsidR="00766EED" w:rsidRPr="00BE6650">
        <w:t>Kaplan Meier</w:t>
      </w:r>
      <w:r w:rsidRPr="00BE6650">
        <w:t xml:space="preserve"> plot</w:t>
      </w:r>
      <w:r w:rsidR="00D1035C" w:rsidRPr="00BE6650">
        <w:t>s</w:t>
      </w:r>
      <w:r w:rsidRPr="00BE6650">
        <w:t xml:space="preserve"> for OS for TCR/PE MM subgroup </w:t>
      </w:r>
      <w:r w:rsidR="00B14E56" w:rsidRPr="00BE6650">
        <w:t xml:space="preserve">in </w:t>
      </w:r>
      <w:r w:rsidRPr="00BE6650">
        <w:t xml:space="preserve">STORM </w:t>
      </w:r>
      <w:r w:rsidR="009F3FE7" w:rsidRPr="00BE6650">
        <w:t>(</w:t>
      </w:r>
      <w:r w:rsidRPr="00BE6650">
        <w:t xml:space="preserve">TCR/PE MM with </w:t>
      </w:r>
      <w:r w:rsidR="005D26C0" w:rsidRPr="00BE6650">
        <w:t xml:space="preserve">Sd </w:t>
      </w:r>
      <w:r w:rsidR="00B75174" w:rsidRPr="00BE6650">
        <w:t>as next subsequent treatment</w:t>
      </w:r>
      <w:r w:rsidR="00D57DDB" w:rsidRPr="00BE6650">
        <w:t>)</w:t>
      </w:r>
      <w:r w:rsidRPr="00BE6650">
        <w:t xml:space="preserve"> </w:t>
      </w:r>
      <w:r w:rsidR="00B14E56" w:rsidRPr="00BE6650">
        <w:t xml:space="preserve">versus </w:t>
      </w:r>
      <w:r w:rsidRPr="00BE6650">
        <w:t>MAMMOTH</w:t>
      </w:r>
      <w:r w:rsidR="00A97BAF" w:rsidRPr="00BE6650">
        <w:t xml:space="preserve"> and FLATIRON</w:t>
      </w:r>
      <w:r w:rsidRPr="00BE6650">
        <w:t xml:space="preserve"> </w:t>
      </w:r>
      <w:r w:rsidR="00D1035C" w:rsidRPr="00BE6650">
        <w:t xml:space="preserve">are </w:t>
      </w:r>
      <w:r w:rsidRPr="00BE6650">
        <w:t xml:space="preserve">shown in Figure </w:t>
      </w:r>
      <w:r w:rsidR="0022745E" w:rsidRPr="00BE6650">
        <w:t>4</w:t>
      </w:r>
      <w:r w:rsidRPr="00BE6650">
        <w:t xml:space="preserve">. </w:t>
      </w:r>
    </w:p>
    <w:p w14:paraId="5ADA22ED" w14:textId="77777777" w:rsidR="00A25B32" w:rsidRPr="00BE6650" w:rsidRDefault="00A25B32" w:rsidP="00796B8A">
      <w:pPr>
        <w:keepNext/>
        <w:rPr>
          <w:rStyle w:val="CommentReference"/>
        </w:rPr>
      </w:pPr>
      <w:r w:rsidRPr="00BE6650">
        <w:rPr>
          <w:rStyle w:val="CommentReference"/>
        </w:rPr>
        <w:t xml:space="preserve">Figure </w:t>
      </w:r>
      <w:r w:rsidR="00436075" w:rsidRPr="00BE6650">
        <w:rPr>
          <w:rStyle w:val="CommentReference"/>
        </w:rPr>
        <w:t>4</w:t>
      </w:r>
      <w:r w:rsidRPr="00BE6650">
        <w:rPr>
          <w:rStyle w:val="CommentReference"/>
          <w:snapToGrid w:val="0"/>
        </w:rPr>
        <w:t xml:space="preserve">:  OS in STORM TCR/PE MM </w:t>
      </w:r>
      <w:r w:rsidR="003703EF" w:rsidRPr="00BE6650">
        <w:rPr>
          <w:rStyle w:val="CommentReference"/>
          <w:snapToGrid w:val="0"/>
        </w:rPr>
        <w:t>with Sd as next subsequent treatment</w:t>
      </w:r>
      <w:r w:rsidRPr="00BE6650">
        <w:rPr>
          <w:rStyle w:val="CommentReference"/>
          <w:snapToGrid w:val="0"/>
        </w:rPr>
        <w:t xml:space="preserve"> versus MAMMOTH</w:t>
      </w:r>
      <w:r w:rsidRPr="00BE6650">
        <w:rPr>
          <w:rStyle w:val="CommentReference"/>
        </w:rPr>
        <w:t xml:space="preserve"> </w:t>
      </w:r>
      <w:r w:rsidR="00B83BC4" w:rsidRPr="00BE6650">
        <w:rPr>
          <w:rStyle w:val="CommentReference"/>
        </w:rPr>
        <w:t>(</w:t>
      </w:r>
      <w:r w:rsidR="003703EF" w:rsidRPr="00BE6650">
        <w:rPr>
          <w:rStyle w:val="CommentReference"/>
        </w:rPr>
        <w:t>left) and FLATIRON (right</w:t>
      </w:r>
      <w:r w:rsidR="00911C00" w:rsidRPr="00BE6650">
        <w:rPr>
          <w:rStyle w:val="CommentReference"/>
        </w:rPr>
        <w:t xml:space="preserve">; </w:t>
      </w:r>
      <w:r w:rsidR="00336DF1" w:rsidRPr="00BE6650">
        <w:rPr>
          <w:rStyle w:val="CommentReference"/>
        </w:rPr>
        <w:t>FHAD</w:t>
      </w:r>
      <w:r w:rsidR="00FA09F2" w:rsidRPr="00BE6650">
        <w:rPr>
          <w:rStyle w:val="CommentReference"/>
        </w:rPr>
        <w:t>)</w:t>
      </w:r>
    </w:p>
    <w:p w14:paraId="7D7ACB44" w14:textId="77777777" w:rsidR="00A25B32" w:rsidRPr="00BE6650" w:rsidRDefault="00B41DBB" w:rsidP="0012286B">
      <w:pPr>
        <w:keepNext/>
        <w:ind w:left="357" w:hanging="357"/>
        <w:contextualSpacing/>
        <w:jc w:val="center"/>
      </w:pPr>
      <w:r w:rsidRPr="00BE6650">
        <w:rPr>
          <w:noProof/>
        </w:rPr>
        <w:drawing>
          <wp:inline distT="0" distB="0" distL="0" distR="0" wp14:anchorId="2189DF51" wp14:editId="7D4BE996">
            <wp:extent cx="5218262" cy="2317750"/>
            <wp:effectExtent l="0" t="0" r="1905" b="6350"/>
            <wp:docPr id="30" name="Picture 30" title="Figure 4:  OS in STORM TCR/PE MM with Sd as next subsequent treatment versus MAMMOTH (left) and FLATIRON (right; F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501" cy="2321409"/>
                    </a:xfrm>
                    <a:prstGeom prst="rect">
                      <a:avLst/>
                    </a:prstGeom>
                    <a:noFill/>
                    <a:ln>
                      <a:noFill/>
                    </a:ln>
                  </pic:spPr>
                </pic:pic>
              </a:graphicData>
            </a:graphic>
          </wp:inline>
        </w:drawing>
      </w:r>
    </w:p>
    <w:p w14:paraId="6AD4E27E" w14:textId="77777777" w:rsidR="00A25B32" w:rsidRPr="00BE6650" w:rsidRDefault="00A25B32" w:rsidP="00796B8A">
      <w:pPr>
        <w:pStyle w:val="TableFigureFooter"/>
        <w:keepNext/>
      </w:pPr>
      <w:r w:rsidRPr="00BE6650">
        <w:t>Source: Figure 2-</w:t>
      </w:r>
      <w:r w:rsidR="0057105F" w:rsidRPr="00BE6650">
        <w:t>10</w:t>
      </w:r>
      <w:r w:rsidRPr="00BE6650">
        <w:t>, p</w:t>
      </w:r>
      <w:r w:rsidR="003832BD" w:rsidRPr="00BE6650">
        <w:t>92</w:t>
      </w:r>
      <w:r w:rsidR="0057105F" w:rsidRPr="00BE6650">
        <w:t xml:space="preserve">, Figure </w:t>
      </w:r>
      <w:r w:rsidR="00BD4873" w:rsidRPr="00BE6650">
        <w:t>2-11, p95</w:t>
      </w:r>
      <w:r w:rsidRPr="00BE6650">
        <w:t xml:space="preserve"> of the submission.</w:t>
      </w:r>
    </w:p>
    <w:p w14:paraId="0401E01B" w14:textId="77777777" w:rsidR="00A25B32" w:rsidRPr="00BE6650" w:rsidRDefault="00A25B32" w:rsidP="00796B8A">
      <w:pPr>
        <w:pStyle w:val="TableFigureFooter"/>
        <w:keepNext/>
      </w:pPr>
      <w:r w:rsidRPr="00BE6650">
        <w:t>CI = confident interval; HR = hazard ratio; OS = overall survival; Sd = selinexor plus dexamethasone</w:t>
      </w:r>
      <w:r w:rsidR="00864B58" w:rsidRPr="00BE6650">
        <w:t xml:space="preserve">; </w:t>
      </w:r>
      <w:r w:rsidR="00864B58" w:rsidRPr="00BE6650">
        <w:rPr>
          <w:szCs w:val="18"/>
        </w:rPr>
        <w:t>TCR/PE MM = triple class refractory and penta-exposed multiple myeloma</w:t>
      </w:r>
      <w:r w:rsidRPr="00BE6650">
        <w:t xml:space="preserve"> </w:t>
      </w:r>
    </w:p>
    <w:p w14:paraId="56FF27AD" w14:textId="77777777" w:rsidR="005330AF" w:rsidRPr="00BE6650" w:rsidRDefault="005330AF" w:rsidP="005330AF">
      <w:pPr>
        <w:pStyle w:val="3-BodyText"/>
        <w:rPr>
          <w:iCs/>
        </w:rPr>
      </w:pPr>
      <w:r w:rsidRPr="00BE6650">
        <w:rPr>
          <w:iCs/>
        </w:rPr>
        <w:t xml:space="preserve">No PFS results were compared in the naive comparison. </w:t>
      </w:r>
    </w:p>
    <w:p w14:paraId="15A1F6B6" w14:textId="77777777" w:rsidR="00610FB0" w:rsidRPr="00BE6650" w:rsidRDefault="00040A9C" w:rsidP="005A17E2">
      <w:pPr>
        <w:pStyle w:val="3-BodyText"/>
      </w:pPr>
      <w:r w:rsidRPr="00BE6650">
        <w:rPr>
          <w:iCs/>
        </w:rPr>
        <w:t xml:space="preserve">The estimated magnitude of improvement </w:t>
      </w:r>
      <w:r w:rsidR="00C12CD7" w:rsidRPr="00BE6650">
        <w:rPr>
          <w:iCs/>
        </w:rPr>
        <w:t>in outcomes in STORM compared with MAMMOTH and FLATIRON</w:t>
      </w:r>
      <w:r w:rsidR="00593A6D" w:rsidRPr="00BE6650">
        <w:rPr>
          <w:iCs/>
        </w:rPr>
        <w:t>, although statistically significant, was</w:t>
      </w:r>
      <w:r w:rsidR="00C12CD7" w:rsidRPr="00BE6650">
        <w:rPr>
          <w:iCs/>
        </w:rPr>
        <w:t xml:space="preserve"> uncertain. </w:t>
      </w:r>
      <w:r w:rsidR="00593A6D" w:rsidRPr="00BE6650">
        <w:rPr>
          <w:iCs/>
        </w:rPr>
        <w:t xml:space="preserve">Patient </w:t>
      </w:r>
      <w:r w:rsidR="00610FB0" w:rsidRPr="00BE6650">
        <w:rPr>
          <w:iCs/>
        </w:rPr>
        <w:t>characteristic</w:t>
      </w:r>
      <w:r w:rsidR="00BF6B2C" w:rsidRPr="00BE6650">
        <w:rPr>
          <w:iCs/>
        </w:rPr>
        <w:t>s</w:t>
      </w:r>
      <w:r w:rsidR="00610FB0" w:rsidRPr="00BE6650">
        <w:rPr>
          <w:iCs/>
        </w:rPr>
        <w:t xml:space="preserve"> </w:t>
      </w:r>
      <w:r w:rsidR="00593A6D" w:rsidRPr="00BE6650">
        <w:rPr>
          <w:iCs/>
        </w:rPr>
        <w:t>differed</w:t>
      </w:r>
      <w:r w:rsidR="0080389F" w:rsidRPr="00BE6650">
        <w:rPr>
          <w:iCs/>
        </w:rPr>
        <w:t xml:space="preserve"> </w:t>
      </w:r>
      <w:r w:rsidR="00504A70" w:rsidRPr="00BE6650">
        <w:rPr>
          <w:iCs/>
        </w:rPr>
        <w:t>across the</w:t>
      </w:r>
      <w:r w:rsidR="0080389F" w:rsidRPr="00BE6650">
        <w:rPr>
          <w:iCs/>
        </w:rPr>
        <w:t xml:space="preserve"> studies</w:t>
      </w:r>
      <w:r w:rsidR="005A17E2" w:rsidRPr="00BE6650">
        <w:rPr>
          <w:iCs/>
        </w:rPr>
        <w:t xml:space="preserve"> </w:t>
      </w:r>
      <w:r w:rsidR="00BB095C" w:rsidRPr="00BE6650">
        <w:rPr>
          <w:iCs/>
        </w:rPr>
        <w:t xml:space="preserve">whereby </w:t>
      </w:r>
      <w:r w:rsidR="005330AF" w:rsidRPr="00BE6650">
        <w:rPr>
          <w:iCs/>
        </w:rPr>
        <w:t xml:space="preserve">patients in </w:t>
      </w:r>
      <w:r w:rsidR="005A17E2" w:rsidRPr="00BE6650">
        <w:rPr>
          <w:iCs/>
        </w:rPr>
        <w:t xml:space="preserve">STORM appeared to </w:t>
      </w:r>
      <w:r w:rsidR="00610FB0" w:rsidRPr="00BE6650">
        <w:rPr>
          <w:iCs/>
        </w:rPr>
        <w:t xml:space="preserve">be healthier and/or had less advanced disease than </w:t>
      </w:r>
      <w:r w:rsidR="00593A6D" w:rsidRPr="00BE6650">
        <w:rPr>
          <w:iCs/>
        </w:rPr>
        <w:t xml:space="preserve">those in </w:t>
      </w:r>
      <w:r w:rsidR="00610FB0" w:rsidRPr="00BE6650">
        <w:rPr>
          <w:iCs/>
        </w:rPr>
        <w:t>MAMMOTH and FLATIRON.</w:t>
      </w:r>
      <w:r w:rsidR="004B6670" w:rsidRPr="00BE6650">
        <w:rPr>
          <w:iCs/>
        </w:rPr>
        <w:t xml:space="preserve"> This m</w:t>
      </w:r>
      <w:r w:rsidR="00BB095C" w:rsidRPr="00BE6650">
        <w:rPr>
          <w:iCs/>
        </w:rPr>
        <w:t>ay</w:t>
      </w:r>
      <w:r w:rsidR="004B6670" w:rsidRPr="00BE6650">
        <w:rPr>
          <w:iCs/>
        </w:rPr>
        <w:t xml:space="preserve"> have bias</w:t>
      </w:r>
      <w:r w:rsidR="008D7C6D" w:rsidRPr="00BE6650">
        <w:rPr>
          <w:iCs/>
        </w:rPr>
        <w:t>ed the outcome</w:t>
      </w:r>
      <w:r w:rsidR="004B6670" w:rsidRPr="00BE6650">
        <w:rPr>
          <w:iCs/>
        </w:rPr>
        <w:t xml:space="preserve"> in favour</w:t>
      </w:r>
      <w:r w:rsidR="008D7C6D" w:rsidRPr="00BE6650">
        <w:rPr>
          <w:iCs/>
        </w:rPr>
        <w:t xml:space="preserve"> of</w:t>
      </w:r>
      <w:r w:rsidR="004B6670" w:rsidRPr="00BE6650">
        <w:rPr>
          <w:iCs/>
        </w:rPr>
        <w:t xml:space="preserve"> </w:t>
      </w:r>
      <w:r w:rsidR="00155C9C" w:rsidRPr="00BE6650">
        <w:rPr>
          <w:iCs/>
        </w:rPr>
        <w:t>Sd</w:t>
      </w:r>
      <w:r w:rsidR="004B6670" w:rsidRPr="00BE6650">
        <w:rPr>
          <w:iCs/>
        </w:rPr>
        <w:t xml:space="preserve">. </w:t>
      </w:r>
      <w:r w:rsidR="00610FB0" w:rsidRPr="00BE6650">
        <w:t xml:space="preserve"> </w:t>
      </w:r>
    </w:p>
    <w:p w14:paraId="018255F3" w14:textId="77777777" w:rsidR="00FD53EF" w:rsidRPr="00BE6650" w:rsidRDefault="00FD53EF" w:rsidP="00FD53EF">
      <w:pPr>
        <w:pStyle w:val="3-BodyText"/>
        <w:rPr>
          <w:iCs/>
        </w:rPr>
      </w:pPr>
      <w:r w:rsidRPr="00BE6650">
        <w:rPr>
          <w:iCs/>
        </w:rPr>
        <w:t xml:space="preserve">The </w:t>
      </w:r>
      <w:r w:rsidR="00CB5C9C" w:rsidRPr="00BE6650">
        <w:rPr>
          <w:iCs/>
        </w:rPr>
        <w:t xml:space="preserve">ESC noted that the </w:t>
      </w:r>
      <w:r w:rsidRPr="00BE6650">
        <w:rPr>
          <w:iCs/>
        </w:rPr>
        <w:t>naïve comparison was subject to applicability issues</w:t>
      </w:r>
      <w:r w:rsidR="00CB5C9C" w:rsidRPr="00BE6650">
        <w:rPr>
          <w:iCs/>
        </w:rPr>
        <w:t xml:space="preserve"> as (i) </w:t>
      </w:r>
      <w:r w:rsidRPr="00BE6650">
        <w:rPr>
          <w:iCs/>
        </w:rPr>
        <w:t>it was not based on the requested population for the listing</w:t>
      </w:r>
      <w:r w:rsidR="003037B6" w:rsidRPr="00BE6650">
        <w:rPr>
          <w:iCs/>
        </w:rPr>
        <w:t>,</w:t>
      </w:r>
      <w:r w:rsidRPr="00BE6650">
        <w:rPr>
          <w:iCs/>
        </w:rPr>
        <w:t xml:space="preserve"> TCR/PR MM</w:t>
      </w:r>
      <w:r w:rsidR="003037B6" w:rsidRPr="00BE6650">
        <w:rPr>
          <w:iCs/>
        </w:rPr>
        <w:t>,</w:t>
      </w:r>
      <w:r w:rsidRPr="00BE6650">
        <w:rPr>
          <w:iCs/>
        </w:rPr>
        <w:t xml:space="preserve"> but </w:t>
      </w:r>
      <w:r w:rsidR="003037B6" w:rsidRPr="00BE6650">
        <w:rPr>
          <w:iCs/>
        </w:rPr>
        <w:t xml:space="preserve">a subgroup of patients with </w:t>
      </w:r>
      <w:r w:rsidRPr="00BE6650">
        <w:rPr>
          <w:iCs/>
        </w:rPr>
        <w:t xml:space="preserve">TCR/PE MM (and who received </w:t>
      </w:r>
      <w:r w:rsidR="00336DF1" w:rsidRPr="00BE6650">
        <w:rPr>
          <w:iCs/>
        </w:rPr>
        <w:t xml:space="preserve">Sd </w:t>
      </w:r>
      <w:r w:rsidRPr="00BE6650">
        <w:rPr>
          <w:iCs/>
        </w:rPr>
        <w:t xml:space="preserve">as </w:t>
      </w:r>
      <w:r w:rsidR="00336DF1" w:rsidRPr="00BE6650">
        <w:rPr>
          <w:iCs/>
        </w:rPr>
        <w:t>next subsequent treatment</w:t>
      </w:r>
      <w:r w:rsidRPr="00BE6650">
        <w:rPr>
          <w:iCs/>
        </w:rPr>
        <w:t>)</w:t>
      </w:r>
      <w:r w:rsidR="00CB5C9C" w:rsidRPr="00BE6650">
        <w:rPr>
          <w:iCs/>
        </w:rPr>
        <w:t>; and (ii)</w:t>
      </w:r>
      <w:r w:rsidRPr="00BE6650">
        <w:rPr>
          <w:iCs/>
        </w:rPr>
        <w:t xml:space="preserve"> MAMMOTH and FLATIRON did not represent the clinical outcomes of the proposed comparator (DCEP) but </w:t>
      </w:r>
      <w:r w:rsidR="00593A6D" w:rsidRPr="00BE6650">
        <w:rPr>
          <w:iCs/>
        </w:rPr>
        <w:t xml:space="preserve">of </w:t>
      </w:r>
      <w:r w:rsidRPr="00BE6650">
        <w:rPr>
          <w:iCs/>
        </w:rPr>
        <w:t xml:space="preserve">conventional care. The direction of bias in the comparison is unclear. </w:t>
      </w:r>
    </w:p>
    <w:p w14:paraId="0027F6BD" w14:textId="77777777" w:rsidR="00A25B32" w:rsidRPr="00BE6650" w:rsidRDefault="00A25B32" w:rsidP="00A25B32">
      <w:pPr>
        <w:pStyle w:val="4-SubsectionHeading"/>
      </w:pPr>
      <w:bookmarkStart w:id="16" w:name="_Toc22897642"/>
      <w:bookmarkStart w:id="17" w:name="_Toc72323738"/>
      <w:r w:rsidRPr="00BE6650">
        <w:t>Comparative harms</w:t>
      </w:r>
      <w:bookmarkEnd w:id="16"/>
      <w:bookmarkEnd w:id="17"/>
    </w:p>
    <w:p w14:paraId="183171A0" w14:textId="77777777" w:rsidR="00A25B32" w:rsidRPr="00BE6650" w:rsidRDefault="00A25B32" w:rsidP="00A25B32">
      <w:pPr>
        <w:pStyle w:val="3-BodyText"/>
      </w:pPr>
      <w:r w:rsidRPr="00BE6650">
        <w:t xml:space="preserve">A summary of treatment-emergent adverse event (TEAEs) in STORM is presented in Table </w:t>
      </w:r>
      <w:r w:rsidR="00B24A5D" w:rsidRPr="00BE6650">
        <w:t>7</w:t>
      </w:r>
      <w:r w:rsidRPr="00BE6650">
        <w:t xml:space="preserve">. </w:t>
      </w:r>
    </w:p>
    <w:p w14:paraId="3BE0D89C" w14:textId="77777777" w:rsidR="00A25B32" w:rsidRPr="00BE6650" w:rsidRDefault="00A25B32" w:rsidP="00121D66">
      <w:pPr>
        <w:keepNext/>
        <w:rPr>
          <w:rStyle w:val="CommentReference"/>
        </w:rPr>
      </w:pPr>
      <w:r w:rsidRPr="00BE6650">
        <w:rPr>
          <w:rStyle w:val="CommentReference"/>
        </w:rPr>
        <w:t>Table</w:t>
      </w:r>
      <w:r w:rsidR="00B24A5D" w:rsidRPr="00BE6650">
        <w:rPr>
          <w:rStyle w:val="CommentReference"/>
        </w:rPr>
        <w:t xml:space="preserve"> 7</w:t>
      </w:r>
      <w:r w:rsidRPr="00BE6650">
        <w:rPr>
          <w:rStyle w:val="CommentReference"/>
        </w:rPr>
        <w:t xml:space="preserve">: Overall summary of </w:t>
      </w:r>
      <w:r w:rsidR="00864B58" w:rsidRPr="00BE6650">
        <w:rPr>
          <w:rStyle w:val="CommentReference"/>
        </w:rPr>
        <w:t>TEAEs</w:t>
      </w:r>
      <w:r w:rsidRPr="00BE6650">
        <w:rPr>
          <w:rStyle w:val="CommentReference"/>
        </w:rPr>
        <w:t xml:space="preserve"> in STORM</w:t>
      </w:r>
    </w:p>
    <w:tbl>
      <w:tblPr>
        <w:tblStyle w:val="HTATableshaded"/>
        <w:tblW w:w="9067" w:type="dxa"/>
        <w:tblLook w:val="04A0" w:firstRow="1" w:lastRow="0" w:firstColumn="1" w:lastColumn="0" w:noHBand="0" w:noVBand="1"/>
        <w:tblCaption w:val="Table 7: Overall summary of TEAEs in STORM"/>
      </w:tblPr>
      <w:tblGrid>
        <w:gridCol w:w="5694"/>
        <w:gridCol w:w="3373"/>
      </w:tblGrid>
      <w:tr w:rsidR="00A25B32" w:rsidRPr="00BE6650" w14:paraId="58509A2C" w14:textId="77777777" w:rsidTr="00E517B9">
        <w:trPr>
          <w:cnfStyle w:val="100000000000" w:firstRow="1" w:lastRow="0" w:firstColumn="0" w:lastColumn="0" w:oddVBand="0" w:evenVBand="0" w:oddHBand="0" w:evenHBand="0" w:firstRowFirstColumn="0" w:firstRowLastColumn="0" w:lastRowFirstColumn="0" w:lastRowLastColumn="0"/>
          <w:trHeight w:val="20"/>
          <w:tblHeader/>
        </w:trPr>
        <w:tc>
          <w:tcPr>
            <w:tcW w:w="5694" w:type="dxa"/>
          </w:tcPr>
          <w:p w14:paraId="3BE29FB4" w14:textId="77777777" w:rsidR="00A25B32" w:rsidRPr="00BE6650" w:rsidRDefault="00A25B32" w:rsidP="00121D66">
            <w:pPr>
              <w:keepNext/>
              <w:spacing w:before="0" w:after="0"/>
              <w:rPr>
                <w:rFonts w:ascii="Arial Narrow" w:hAnsi="Arial Narrow"/>
                <w:b/>
                <w:bCs/>
                <w:sz w:val="20"/>
                <w:szCs w:val="20"/>
              </w:rPr>
            </w:pPr>
            <w:r w:rsidRPr="00BE6650">
              <w:rPr>
                <w:rFonts w:ascii="Arial Narrow" w:hAnsi="Arial Narrow"/>
                <w:b/>
                <w:bCs/>
                <w:sz w:val="20"/>
                <w:szCs w:val="20"/>
              </w:rPr>
              <w:t>Patients with at least 1 event by category</w:t>
            </w:r>
          </w:p>
        </w:tc>
        <w:tc>
          <w:tcPr>
            <w:tcW w:w="3373" w:type="dxa"/>
          </w:tcPr>
          <w:p w14:paraId="00159DBA" w14:textId="77777777" w:rsidR="00A25B32" w:rsidRPr="00BE6650" w:rsidRDefault="00A25B32" w:rsidP="00121D66">
            <w:pPr>
              <w:keepNext/>
              <w:spacing w:before="0" w:after="0"/>
              <w:jc w:val="center"/>
              <w:rPr>
                <w:rFonts w:ascii="Arial Narrow" w:hAnsi="Arial Narrow"/>
                <w:b/>
                <w:bCs/>
                <w:sz w:val="20"/>
                <w:szCs w:val="20"/>
              </w:rPr>
            </w:pPr>
            <w:r w:rsidRPr="00BE6650">
              <w:rPr>
                <w:rFonts w:ascii="Arial Narrow" w:hAnsi="Arial Narrow"/>
                <w:b/>
                <w:bCs/>
                <w:sz w:val="20"/>
                <w:szCs w:val="20"/>
              </w:rPr>
              <w:t>SAP (N=123)</w:t>
            </w:r>
            <w:r w:rsidR="00864B58" w:rsidRPr="00BE6650">
              <w:rPr>
                <w:rFonts w:ascii="Arial Narrow" w:hAnsi="Arial Narrow"/>
                <w:b/>
                <w:bCs/>
                <w:sz w:val="20"/>
                <w:szCs w:val="20"/>
              </w:rPr>
              <w:t>;</w:t>
            </w:r>
            <w:r w:rsidRPr="00BE6650">
              <w:rPr>
                <w:rFonts w:ascii="Arial Narrow" w:hAnsi="Arial Narrow"/>
                <w:b/>
                <w:bCs/>
                <w:sz w:val="20"/>
                <w:szCs w:val="20"/>
              </w:rPr>
              <w:t xml:space="preserve"> n (%)</w:t>
            </w:r>
          </w:p>
        </w:tc>
      </w:tr>
      <w:tr w:rsidR="00A25B32" w:rsidRPr="00BE6650" w14:paraId="1467A4AB" w14:textId="77777777" w:rsidTr="0002349F">
        <w:trPr>
          <w:trHeight w:val="20"/>
        </w:trPr>
        <w:tc>
          <w:tcPr>
            <w:tcW w:w="9067" w:type="dxa"/>
            <w:gridSpan w:val="2"/>
          </w:tcPr>
          <w:p w14:paraId="27376D45" w14:textId="77777777" w:rsidR="00A25B32" w:rsidRPr="00BE6650" w:rsidRDefault="00A25B32" w:rsidP="00121D66">
            <w:pPr>
              <w:keepNext/>
              <w:spacing w:before="0" w:after="0"/>
              <w:rPr>
                <w:rFonts w:ascii="Arial Narrow" w:hAnsi="Arial Narrow"/>
                <w:b/>
                <w:bCs/>
                <w:sz w:val="20"/>
                <w:szCs w:val="20"/>
              </w:rPr>
            </w:pPr>
            <w:r w:rsidRPr="00BE6650">
              <w:rPr>
                <w:rFonts w:ascii="Arial Narrow" w:hAnsi="Arial Narrow"/>
                <w:b/>
                <w:bCs/>
                <w:sz w:val="20"/>
                <w:szCs w:val="20"/>
              </w:rPr>
              <w:t>All causality</w:t>
            </w:r>
            <w:r w:rsidRPr="00BE6650">
              <w:rPr>
                <w:rFonts w:ascii="Arial Narrow" w:hAnsi="Arial Narrow"/>
                <w:b/>
                <w:bCs/>
                <w:sz w:val="20"/>
                <w:szCs w:val="20"/>
                <w:vertAlign w:val="superscript"/>
              </w:rPr>
              <w:t xml:space="preserve"> a</w:t>
            </w:r>
          </w:p>
        </w:tc>
      </w:tr>
      <w:tr w:rsidR="00A25B32" w:rsidRPr="00BE6650" w14:paraId="3501B85C" w14:textId="77777777" w:rsidTr="0002349F">
        <w:trPr>
          <w:trHeight w:val="20"/>
        </w:trPr>
        <w:tc>
          <w:tcPr>
            <w:tcW w:w="0" w:type="auto"/>
          </w:tcPr>
          <w:p w14:paraId="6724FB3A"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w:t>
            </w:r>
          </w:p>
        </w:tc>
        <w:tc>
          <w:tcPr>
            <w:tcW w:w="3373" w:type="dxa"/>
          </w:tcPr>
          <w:p w14:paraId="10C6C860"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123 (100)</w:t>
            </w:r>
          </w:p>
        </w:tc>
      </w:tr>
      <w:tr w:rsidR="00A25B32" w:rsidRPr="00BE6650" w14:paraId="50413323" w14:textId="77777777" w:rsidTr="0002349F">
        <w:trPr>
          <w:trHeight w:val="20"/>
        </w:trPr>
        <w:tc>
          <w:tcPr>
            <w:tcW w:w="0" w:type="auto"/>
          </w:tcPr>
          <w:p w14:paraId="1E0A5EB7"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Grade 3 or 4 TEAE </w:t>
            </w:r>
          </w:p>
        </w:tc>
        <w:tc>
          <w:tcPr>
            <w:tcW w:w="3373" w:type="dxa"/>
          </w:tcPr>
          <w:p w14:paraId="0EE05C4A"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115 (93.5)</w:t>
            </w:r>
          </w:p>
        </w:tc>
      </w:tr>
      <w:tr w:rsidR="00A25B32" w:rsidRPr="00BE6650" w14:paraId="69EDB2D3" w14:textId="77777777" w:rsidTr="0002349F">
        <w:trPr>
          <w:trHeight w:val="20"/>
        </w:trPr>
        <w:tc>
          <w:tcPr>
            <w:tcW w:w="0" w:type="auto"/>
          </w:tcPr>
          <w:p w14:paraId="70539EA7"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TESAE </w:t>
            </w:r>
          </w:p>
        </w:tc>
        <w:tc>
          <w:tcPr>
            <w:tcW w:w="3373" w:type="dxa"/>
          </w:tcPr>
          <w:p w14:paraId="52FA5DCF"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78 (63.4)</w:t>
            </w:r>
          </w:p>
        </w:tc>
      </w:tr>
      <w:tr w:rsidR="00A25B32" w:rsidRPr="00BE6650" w14:paraId="664470FE" w14:textId="77777777" w:rsidTr="0002349F">
        <w:trPr>
          <w:trHeight w:val="20"/>
        </w:trPr>
        <w:tc>
          <w:tcPr>
            <w:tcW w:w="0" w:type="auto"/>
          </w:tcPr>
          <w:p w14:paraId="5EF246AE"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modification </w:t>
            </w:r>
          </w:p>
        </w:tc>
        <w:tc>
          <w:tcPr>
            <w:tcW w:w="3373" w:type="dxa"/>
          </w:tcPr>
          <w:p w14:paraId="0F8E6EFC"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97 (78.9)</w:t>
            </w:r>
          </w:p>
        </w:tc>
      </w:tr>
      <w:tr w:rsidR="00A25B32" w:rsidRPr="00BE6650" w14:paraId="1D6EA777" w14:textId="77777777" w:rsidTr="0002349F">
        <w:trPr>
          <w:trHeight w:val="20"/>
        </w:trPr>
        <w:tc>
          <w:tcPr>
            <w:tcW w:w="0" w:type="auto"/>
          </w:tcPr>
          <w:p w14:paraId="6AAFA9FF"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hold </w:t>
            </w:r>
          </w:p>
        </w:tc>
        <w:tc>
          <w:tcPr>
            <w:tcW w:w="3373" w:type="dxa"/>
          </w:tcPr>
          <w:p w14:paraId="701980CA"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80 (65.0)</w:t>
            </w:r>
          </w:p>
        </w:tc>
      </w:tr>
      <w:tr w:rsidR="00A25B32" w:rsidRPr="00BE6650" w14:paraId="16C6BFE9" w14:textId="77777777" w:rsidTr="0002349F">
        <w:trPr>
          <w:trHeight w:val="20"/>
        </w:trPr>
        <w:tc>
          <w:tcPr>
            <w:tcW w:w="0" w:type="auto"/>
          </w:tcPr>
          <w:p w14:paraId="391B513B"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reduction </w:t>
            </w:r>
          </w:p>
        </w:tc>
        <w:tc>
          <w:tcPr>
            <w:tcW w:w="3373" w:type="dxa"/>
          </w:tcPr>
          <w:p w14:paraId="68080578"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72 (58.5)</w:t>
            </w:r>
          </w:p>
        </w:tc>
      </w:tr>
      <w:tr w:rsidR="00A25B32" w:rsidRPr="00BE6650" w14:paraId="3CECB8B6" w14:textId="77777777" w:rsidTr="0002349F">
        <w:trPr>
          <w:trHeight w:val="20"/>
        </w:trPr>
        <w:tc>
          <w:tcPr>
            <w:tcW w:w="0" w:type="auto"/>
          </w:tcPr>
          <w:p w14:paraId="61BD1606"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treatment discontinuation </w:t>
            </w:r>
          </w:p>
        </w:tc>
        <w:tc>
          <w:tcPr>
            <w:tcW w:w="3373" w:type="dxa"/>
          </w:tcPr>
          <w:p w14:paraId="2E02CFDA"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39 (31.7)</w:t>
            </w:r>
          </w:p>
        </w:tc>
      </w:tr>
      <w:tr w:rsidR="00A25B32" w:rsidRPr="00BE6650" w14:paraId="2FADAD9A" w14:textId="77777777" w:rsidTr="0002349F">
        <w:trPr>
          <w:trHeight w:val="20"/>
        </w:trPr>
        <w:tc>
          <w:tcPr>
            <w:tcW w:w="0" w:type="auto"/>
          </w:tcPr>
          <w:p w14:paraId="6076E1C7"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with an outcome of death </w:t>
            </w:r>
          </w:p>
        </w:tc>
        <w:tc>
          <w:tcPr>
            <w:tcW w:w="3373" w:type="dxa"/>
          </w:tcPr>
          <w:p w14:paraId="4BC069F5"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12 (9.8)</w:t>
            </w:r>
          </w:p>
        </w:tc>
      </w:tr>
      <w:tr w:rsidR="00A25B32" w:rsidRPr="00BE6650" w14:paraId="065F4B80" w14:textId="77777777" w:rsidTr="0002349F">
        <w:trPr>
          <w:trHeight w:val="20"/>
        </w:trPr>
        <w:tc>
          <w:tcPr>
            <w:tcW w:w="9067" w:type="dxa"/>
            <w:gridSpan w:val="2"/>
          </w:tcPr>
          <w:p w14:paraId="34E9BF5E"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b/>
                <w:bCs/>
                <w:sz w:val="20"/>
                <w:szCs w:val="20"/>
              </w:rPr>
              <w:t xml:space="preserve">Treatment related </w:t>
            </w:r>
            <w:r w:rsidRPr="00BE6650">
              <w:rPr>
                <w:rFonts w:ascii="Arial Narrow" w:hAnsi="Arial Narrow"/>
                <w:b/>
                <w:bCs/>
                <w:sz w:val="20"/>
                <w:szCs w:val="20"/>
                <w:vertAlign w:val="superscript"/>
              </w:rPr>
              <w:t xml:space="preserve">b </w:t>
            </w:r>
          </w:p>
        </w:tc>
      </w:tr>
      <w:tr w:rsidR="00A25B32" w:rsidRPr="00BE6650" w14:paraId="67972E43" w14:textId="77777777" w:rsidTr="0002349F">
        <w:trPr>
          <w:trHeight w:val="20"/>
        </w:trPr>
        <w:tc>
          <w:tcPr>
            <w:tcW w:w="0" w:type="auto"/>
          </w:tcPr>
          <w:p w14:paraId="10E01285"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w:t>
            </w:r>
          </w:p>
        </w:tc>
        <w:tc>
          <w:tcPr>
            <w:tcW w:w="3373" w:type="dxa"/>
          </w:tcPr>
          <w:p w14:paraId="7F332173"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121 (98.4)</w:t>
            </w:r>
          </w:p>
        </w:tc>
      </w:tr>
      <w:tr w:rsidR="00A25B32" w:rsidRPr="00BE6650" w14:paraId="63E5A381" w14:textId="77777777" w:rsidTr="0002349F">
        <w:trPr>
          <w:trHeight w:val="20"/>
        </w:trPr>
        <w:tc>
          <w:tcPr>
            <w:tcW w:w="0" w:type="auto"/>
          </w:tcPr>
          <w:p w14:paraId="2DD6B95A"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Grade 3 or 4 TEAE </w:t>
            </w:r>
          </w:p>
        </w:tc>
        <w:tc>
          <w:tcPr>
            <w:tcW w:w="3373" w:type="dxa"/>
          </w:tcPr>
          <w:p w14:paraId="21917296"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110 (89.4)</w:t>
            </w:r>
          </w:p>
        </w:tc>
      </w:tr>
      <w:tr w:rsidR="00A25B32" w:rsidRPr="00BE6650" w14:paraId="05B332C0" w14:textId="77777777" w:rsidTr="0002349F">
        <w:trPr>
          <w:trHeight w:val="20"/>
        </w:trPr>
        <w:tc>
          <w:tcPr>
            <w:tcW w:w="0" w:type="auto"/>
          </w:tcPr>
          <w:p w14:paraId="7BBE82D9"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TESAE </w:t>
            </w:r>
          </w:p>
        </w:tc>
        <w:tc>
          <w:tcPr>
            <w:tcW w:w="3373" w:type="dxa"/>
          </w:tcPr>
          <w:p w14:paraId="56AEA9C1"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38 (30.9)</w:t>
            </w:r>
          </w:p>
        </w:tc>
      </w:tr>
      <w:tr w:rsidR="00A25B32" w:rsidRPr="00BE6650" w14:paraId="1A584775" w14:textId="77777777" w:rsidTr="0002349F">
        <w:trPr>
          <w:trHeight w:val="20"/>
        </w:trPr>
        <w:tc>
          <w:tcPr>
            <w:tcW w:w="0" w:type="auto"/>
          </w:tcPr>
          <w:p w14:paraId="46AE96DD"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modification </w:t>
            </w:r>
          </w:p>
        </w:tc>
        <w:tc>
          <w:tcPr>
            <w:tcW w:w="3373" w:type="dxa"/>
          </w:tcPr>
          <w:p w14:paraId="32DE6F15"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88 (71.5)</w:t>
            </w:r>
          </w:p>
        </w:tc>
      </w:tr>
      <w:tr w:rsidR="00A25B32" w:rsidRPr="00BE6650" w14:paraId="0E6A8A24" w14:textId="77777777" w:rsidTr="0002349F">
        <w:trPr>
          <w:trHeight w:val="20"/>
        </w:trPr>
        <w:tc>
          <w:tcPr>
            <w:tcW w:w="0" w:type="auto"/>
          </w:tcPr>
          <w:p w14:paraId="47BA0A47"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hold </w:t>
            </w:r>
          </w:p>
        </w:tc>
        <w:tc>
          <w:tcPr>
            <w:tcW w:w="3373" w:type="dxa"/>
          </w:tcPr>
          <w:p w14:paraId="4729172A"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64 (52.0)</w:t>
            </w:r>
          </w:p>
        </w:tc>
      </w:tr>
      <w:tr w:rsidR="00A25B32" w:rsidRPr="00BE6650" w14:paraId="4CE23F42" w14:textId="77777777" w:rsidTr="0002349F">
        <w:trPr>
          <w:trHeight w:val="20"/>
        </w:trPr>
        <w:tc>
          <w:tcPr>
            <w:tcW w:w="0" w:type="auto"/>
          </w:tcPr>
          <w:p w14:paraId="28423F6D"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dose reduction </w:t>
            </w:r>
          </w:p>
        </w:tc>
        <w:tc>
          <w:tcPr>
            <w:tcW w:w="3373" w:type="dxa"/>
          </w:tcPr>
          <w:p w14:paraId="108802DB"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70 (56.9)</w:t>
            </w:r>
          </w:p>
        </w:tc>
      </w:tr>
      <w:tr w:rsidR="00A25B32" w:rsidRPr="00BE6650" w14:paraId="02276F63" w14:textId="77777777" w:rsidTr="0002349F">
        <w:trPr>
          <w:trHeight w:val="20"/>
        </w:trPr>
        <w:tc>
          <w:tcPr>
            <w:tcW w:w="0" w:type="auto"/>
          </w:tcPr>
          <w:p w14:paraId="1EA1AD8E"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leading to treatment discontinuation </w:t>
            </w:r>
          </w:p>
        </w:tc>
        <w:tc>
          <w:tcPr>
            <w:tcW w:w="3373" w:type="dxa"/>
          </w:tcPr>
          <w:p w14:paraId="3B8BED9D"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24 (19.5)</w:t>
            </w:r>
          </w:p>
        </w:tc>
      </w:tr>
      <w:tr w:rsidR="00A25B32" w:rsidRPr="00BE6650" w14:paraId="5E0DD797" w14:textId="77777777" w:rsidTr="0002349F">
        <w:trPr>
          <w:trHeight w:val="20"/>
        </w:trPr>
        <w:tc>
          <w:tcPr>
            <w:tcW w:w="0" w:type="auto"/>
          </w:tcPr>
          <w:p w14:paraId="3DE8EA27" w14:textId="77777777" w:rsidR="00A25B32" w:rsidRPr="00BE6650" w:rsidRDefault="00A25B32" w:rsidP="00121D66">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TEAE with an outcome of death </w:t>
            </w:r>
          </w:p>
        </w:tc>
        <w:tc>
          <w:tcPr>
            <w:tcW w:w="3373" w:type="dxa"/>
          </w:tcPr>
          <w:p w14:paraId="2B6BB50F" w14:textId="77777777" w:rsidR="00A25B32" w:rsidRPr="00BE6650" w:rsidRDefault="00A25B32" w:rsidP="00121D66">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 (2.4)</w:t>
            </w:r>
          </w:p>
        </w:tc>
      </w:tr>
    </w:tbl>
    <w:p w14:paraId="54149F36" w14:textId="77777777" w:rsidR="00A25B32" w:rsidRPr="00BE6650" w:rsidRDefault="00A25B32" w:rsidP="00121D66">
      <w:pPr>
        <w:pStyle w:val="TableFigureFooter"/>
        <w:keepNext/>
      </w:pPr>
      <w:r w:rsidRPr="00BE6650">
        <w:t>Source: Table 2-25, p80 of the submission.</w:t>
      </w:r>
    </w:p>
    <w:p w14:paraId="362CAEEA" w14:textId="77777777" w:rsidR="00A25B32" w:rsidRPr="00BE6650" w:rsidRDefault="00A25B32" w:rsidP="00121D66">
      <w:pPr>
        <w:pStyle w:val="TableFigureFooter"/>
        <w:keepNext/>
      </w:pPr>
      <w:r w:rsidRPr="00BE6650">
        <w:t xml:space="preserve">SAP = safety analysis population; TEAE = treatment-emergent adverse event; TESAE = </w:t>
      </w:r>
      <w:r w:rsidR="00864B58" w:rsidRPr="00BE6650">
        <w:t>treatment-emergent serious adverse event</w:t>
      </w:r>
    </w:p>
    <w:p w14:paraId="6B3F07BE" w14:textId="77777777" w:rsidR="00A25B32" w:rsidRPr="00BE6650" w:rsidRDefault="00A25B32" w:rsidP="00121D66">
      <w:pPr>
        <w:pStyle w:val="TableFigureFooter"/>
        <w:keepNext/>
      </w:pPr>
      <w:r w:rsidRPr="00BE6650">
        <w:rPr>
          <w:vertAlign w:val="superscript"/>
        </w:rPr>
        <w:t>a</w:t>
      </w:r>
      <w:r w:rsidRPr="00BE6650">
        <w:t xml:space="preserve"> The number of patients with dose modification(s) is not necessarily equal to the sum of the number of patients who had a modified dose or a drug interruption since the same patient could fall into more than one of these categories.</w:t>
      </w:r>
    </w:p>
    <w:p w14:paraId="6C1901D3" w14:textId="77777777" w:rsidR="00A25B32" w:rsidRPr="00BE6650" w:rsidRDefault="00A25B32" w:rsidP="00121D66">
      <w:pPr>
        <w:pStyle w:val="TableFigureFooter"/>
        <w:keepNext/>
      </w:pPr>
      <w:r w:rsidRPr="00BE6650">
        <w:rPr>
          <w:vertAlign w:val="superscript"/>
        </w:rPr>
        <w:t>b</w:t>
      </w:r>
      <w:r w:rsidRPr="00BE6650">
        <w:t xml:space="preserve"> TEAEs with a relationship of Possible, Probable, or Definite to either selinexor or dexamethasone per Investigator are considered related to study treatment. Note: Percentages are based on the number of all-treated patients in each treatment group. A TEAE is defined as an AE that emerged or worsened from first dose to 30 days after last dose.</w:t>
      </w:r>
    </w:p>
    <w:p w14:paraId="1667FAF5" w14:textId="77777777" w:rsidR="00A25B32" w:rsidRPr="00BE6650" w:rsidRDefault="00A25B32" w:rsidP="00A25B32">
      <w:pPr>
        <w:pStyle w:val="3-BodyText"/>
      </w:pPr>
      <w:r w:rsidRPr="00BE6650">
        <w:t>A summary of TEAEs that occurred in ≥</w:t>
      </w:r>
      <w:r w:rsidR="00766EED" w:rsidRPr="00BE6650">
        <w:t xml:space="preserve"> </w:t>
      </w:r>
      <w:r w:rsidRPr="00BE6650">
        <w:t xml:space="preserve">10% of patients treated with </w:t>
      </w:r>
      <w:r w:rsidR="001E3E24" w:rsidRPr="00BE6650">
        <w:t xml:space="preserve">Sd </w:t>
      </w:r>
      <w:r w:rsidRPr="00BE6650">
        <w:t xml:space="preserve">is presented in Table </w:t>
      </w:r>
      <w:r w:rsidR="00B24A5D" w:rsidRPr="00BE6650">
        <w:t>8</w:t>
      </w:r>
      <w:r w:rsidRPr="00BE6650">
        <w:t>.</w:t>
      </w:r>
    </w:p>
    <w:p w14:paraId="2E1353DC" w14:textId="77777777" w:rsidR="00A25B32" w:rsidRPr="00BE6650" w:rsidRDefault="00A25B32" w:rsidP="00796B8A">
      <w:pPr>
        <w:keepNext/>
        <w:rPr>
          <w:rStyle w:val="CommentReference"/>
        </w:rPr>
      </w:pPr>
      <w:r w:rsidRPr="00BE6650">
        <w:rPr>
          <w:rStyle w:val="CommentReference"/>
        </w:rPr>
        <w:t xml:space="preserve">Table </w:t>
      </w:r>
      <w:r w:rsidR="00B24A5D" w:rsidRPr="00BE6650">
        <w:rPr>
          <w:rStyle w:val="CommentReference"/>
        </w:rPr>
        <w:t>8</w:t>
      </w:r>
      <w:r w:rsidRPr="00BE6650">
        <w:rPr>
          <w:rStyle w:val="CommentReference"/>
        </w:rPr>
        <w:t>: TEAE</w:t>
      </w:r>
      <w:r w:rsidR="00E85A90" w:rsidRPr="00BE6650">
        <w:rPr>
          <w:rStyle w:val="CommentReference"/>
        </w:rPr>
        <w:t>s</w:t>
      </w:r>
      <w:r w:rsidRPr="00BE6650">
        <w:rPr>
          <w:rStyle w:val="CommentReference"/>
        </w:rPr>
        <w:t xml:space="preserve"> occurring in ≥ 10% patients overall treated with </w:t>
      </w:r>
      <w:r w:rsidR="001E3E24" w:rsidRPr="00BE6650">
        <w:rPr>
          <w:rStyle w:val="CommentReference"/>
        </w:rPr>
        <w:t>Sd</w:t>
      </w:r>
    </w:p>
    <w:tbl>
      <w:tblPr>
        <w:tblStyle w:val="HTATableshaded"/>
        <w:tblW w:w="9067" w:type="dxa"/>
        <w:tblLook w:val="04A0" w:firstRow="1" w:lastRow="0" w:firstColumn="1" w:lastColumn="0" w:noHBand="0" w:noVBand="1"/>
        <w:tblCaption w:val="Table 8: TEAEs occurring in ≥ 10% patients overall treated with Sd"/>
      </w:tblPr>
      <w:tblGrid>
        <w:gridCol w:w="4585"/>
        <w:gridCol w:w="2356"/>
        <w:gridCol w:w="2126"/>
      </w:tblGrid>
      <w:tr w:rsidR="00A25B32" w:rsidRPr="00BE6650" w14:paraId="3E091073" w14:textId="77777777" w:rsidTr="00E517B9">
        <w:trPr>
          <w:cnfStyle w:val="100000000000" w:firstRow="1" w:lastRow="0" w:firstColumn="0" w:lastColumn="0" w:oddVBand="0" w:evenVBand="0" w:oddHBand="0" w:evenHBand="0" w:firstRowFirstColumn="0" w:firstRowLastColumn="0" w:lastRowFirstColumn="0" w:lastRowLastColumn="0"/>
          <w:tblHeader/>
        </w:trPr>
        <w:tc>
          <w:tcPr>
            <w:tcW w:w="4585" w:type="dxa"/>
          </w:tcPr>
          <w:p w14:paraId="3684E402" w14:textId="77777777" w:rsidR="00A25B32" w:rsidRPr="00BE6650" w:rsidRDefault="00A25B32" w:rsidP="00796B8A">
            <w:pPr>
              <w:keepNext/>
              <w:spacing w:before="0" w:after="0"/>
              <w:rPr>
                <w:rFonts w:ascii="Arial Narrow" w:hAnsi="Arial Narrow"/>
                <w:b/>
                <w:bCs/>
                <w:sz w:val="20"/>
                <w:szCs w:val="20"/>
              </w:rPr>
            </w:pPr>
            <w:r w:rsidRPr="00BE6650">
              <w:rPr>
                <w:rFonts w:ascii="Arial Narrow" w:hAnsi="Arial Narrow"/>
                <w:b/>
                <w:bCs/>
                <w:sz w:val="20"/>
                <w:szCs w:val="20"/>
              </w:rPr>
              <w:t>System organ class preferred term</w:t>
            </w:r>
          </w:p>
        </w:tc>
        <w:tc>
          <w:tcPr>
            <w:tcW w:w="2356" w:type="dxa"/>
          </w:tcPr>
          <w:p w14:paraId="232BE656" w14:textId="77777777" w:rsidR="00A25B32" w:rsidRPr="00BE6650" w:rsidRDefault="00A25B32" w:rsidP="00796B8A">
            <w:pPr>
              <w:keepNext/>
              <w:spacing w:before="0" w:after="0"/>
              <w:jc w:val="center"/>
              <w:rPr>
                <w:rFonts w:ascii="Arial Narrow" w:hAnsi="Arial Narrow"/>
                <w:b/>
                <w:bCs/>
                <w:sz w:val="20"/>
                <w:szCs w:val="20"/>
              </w:rPr>
            </w:pPr>
            <w:r w:rsidRPr="00BE6650">
              <w:rPr>
                <w:rFonts w:ascii="Arial Narrow" w:hAnsi="Arial Narrow"/>
                <w:b/>
                <w:bCs/>
                <w:sz w:val="20"/>
                <w:szCs w:val="20"/>
              </w:rPr>
              <w:t>SAP (N=123)</w:t>
            </w:r>
            <w:r w:rsidR="00864B58" w:rsidRPr="00BE6650">
              <w:rPr>
                <w:rFonts w:ascii="Arial Narrow" w:hAnsi="Arial Narrow"/>
                <w:b/>
                <w:bCs/>
                <w:sz w:val="20"/>
                <w:szCs w:val="20"/>
              </w:rPr>
              <w:t>;</w:t>
            </w:r>
          </w:p>
          <w:p w14:paraId="66304143" w14:textId="77777777" w:rsidR="00A25B32" w:rsidRPr="00BE6650" w:rsidRDefault="00A25B32" w:rsidP="00796B8A">
            <w:pPr>
              <w:keepNext/>
              <w:spacing w:before="0" w:after="0"/>
              <w:jc w:val="center"/>
              <w:rPr>
                <w:rFonts w:ascii="Arial Narrow" w:hAnsi="Arial Narrow"/>
                <w:b/>
                <w:bCs/>
                <w:sz w:val="20"/>
                <w:szCs w:val="20"/>
              </w:rPr>
            </w:pPr>
            <w:r w:rsidRPr="00BE6650">
              <w:rPr>
                <w:rFonts w:ascii="Arial Narrow" w:hAnsi="Arial Narrow"/>
                <w:b/>
                <w:bCs/>
                <w:sz w:val="20"/>
                <w:szCs w:val="20"/>
              </w:rPr>
              <w:t>n (%)</w:t>
            </w:r>
          </w:p>
        </w:tc>
        <w:tc>
          <w:tcPr>
            <w:tcW w:w="2126" w:type="dxa"/>
          </w:tcPr>
          <w:p w14:paraId="6444A73E" w14:textId="77777777" w:rsidR="00A25B32" w:rsidRPr="00BE6650" w:rsidRDefault="00A25B32" w:rsidP="00796B8A">
            <w:pPr>
              <w:keepNext/>
              <w:spacing w:before="0" w:after="0"/>
              <w:jc w:val="center"/>
              <w:rPr>
                <w:rFonts w:ascii="Arial Narrow" w:hAnsi="Arial Narrow"/>
                <w:b/>
                <w:bCs/>
                <w:sz w:val="20"/>
                <w:szCs w:val="20"/>
              </w:rPr>
            </w:pPr>
            <w:r w:rsidRPr="00BE6650">
              <w:rPr>
                <w:rFonts w:ascii="Arial Narrow" w:hAnsi="Arial Narrow"/>
                <w:b/>
                <w:bCs/>
                <w:sz w:val="20"/>
                <w:szCs w:val="20"/>
              </w:rPr>
              <w:t>TCR/PR MM (N=83)</w:t>
            </w:r>
          </w:p>
          <w:p w14:paraId="38D0D1B0" w14:textId="77777777" w:rsidR="00A25B32" w:rsidRPr="00BE6650" w:rsidRDefault="00A25B32" w:rsidP="00796B8A">
            <w:pPr>
              <w:keepNext/>
              <w:spacing w:before="0" w:after="0"/>
              <w:jc w:val="center"/>
              <w:rPr>
                <w:rFonts w:ascii="Arial Narrow" w:hAnsi="Arial Narrow"/>
                <w:b/>
                <w:bCs/>
                <w:sz w:val="20"/>
                <w:szCs w:val="20"/>
              </w:rPr>
            </w:pPr>
            <w:r w:rsidRPr="00BE6650">
              <w:rPr>
                <w:rFonts w:ascii="Arial Narrow" w:hAnsi="Arial Narrow"/>
                <w:b/>
                <w:bCs/>
                <w:sz w:val="20"/>
                <w:szCs w:val="20"/>
              </w:rPr>
              <w:t>n (%)</w:t>
            </w:r>
          </w:p>
        </w:tc>
      </w:tr>
      <w:tr w:rsidR="00A25B32" w:rsidRPr="00BE6650" w14:paraId="218F3413" w14:textId="77777777" w:rsidTr="00C4672D">
        <w:trPr>
          <w:trHeight w:val="147"/>
        </w:trPr>
        <w:tc>
          <w:tcPr>
            <w:tcW w:w="4585" w:type="dxa"/>
          </w:tcPr>
          <w:p w14:paraId="7CC8D880"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Patients with ≥ 1 TEAE </w:t>
            </w:r>
          </w:p>
        </w:tc>
        <w:tc>
          <w:tcPr>
            <w:tcW w:w="2356" w:type="dxa"/>
          </w:tcPr>
          <w:p w14:paraId="4026A6B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123 (100)</w:t>
            </w:r>
          </w:p>
        </w:tc>
        <w:tc>
          <w:tcPr>
            <w:tcW w:w="2126" w:type="dxa"/>
          </w:tcPr>
          <w:p w14:paraId="25D6192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83 (100)</w:t>
            </w:r>
          </w:p>
        </w:tc>
      </w:tr>
      <w:tr w:rsidR="00A25B32" w:rsidRPr="00BE6650" w14:paraId="2AF5D2BB" w14:textId="77777777" w:rsidTr="00C4672D">
        <w:trPr>
          <w:trHeight w:val="98"/>
        </w:trPr>
        <w:tc>
          <w:tcPr>
            <w:tcW w:w="4585" w:type="dxa"/>
          </w:tcPr>
          <w:p w14:paraId="0DCD8703"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Blood and lymphatic system disorders </w:t>
            </w:r>
          </w:p>
        </w:tc>
        <w:tc>
          <w:tcPr>
            <w:tcW w:w="2356" w:type="dxa"/>
          </w:tcPr>
          <w:p w14:paraId="20C123DB"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105 (85.4)</w:t>
            </w:r>
          </w:p>
        </w:tc>
        <w:tc>
          <w:tcPr>
            <w:tcW w:w="2126" w:type="dxa"/>
          </w:tcPr>
          <w:p w14:paraId="2C89510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72 (86.7)</w:t>
            </w:r>
          </w:p>
        </w:tc>
      </w:tr>
      <w:tr w:rsidR="00A25B32" w:rsidRPr="00BE6650" w14:paraId="27765338" w14:textId="77777777" w:rsidTr="00C4672D">
        <w:trPr>
          <w:trHeight w:val="147"/>
        </w:trPr>
        <w:tc>
          <w:tcPr>
            <w:tcW w:w="4585" w:type="dxa"/>
          </w:tcPr>
          <w:p w14:paraId="33A22654"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Thrombocytopenia </w:t>
            </w:r>
          </w:p>
        </w:tc>
        <w:tc>
          <w:tcPr>
            <w:tcW w:w="2356" w:type="dxa"/>
          </w:tcPr>
          <w:p w14:paraId="6EA5288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92 (74.8)</w:t>
            </w:r>
          </w:p>
        </w:tc>
        <w:tc>
          <w:tcPr>
            <w:tcW w:w="2126" w:type="dxa"/>
          </w:tcPr>
          <w:p w14:paraId="5111805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63 (75.9)</w:t>
            </w:r>
          </w:p>
        </w:tc>
      </w:tr>
      <w:tr w:rsidR="00A25B32" w:rsidRPr="00BE6650" w14:paraId="43F18505" w14:textId="77777777" w:rsidTr="00C4672D">
        <w:trPr>
          <w:trHeight w:val="147"/>
        </w:trPr>
        <w:tc>
          <w:tcPr>
            <w:tcW w:w="4585" w:type="dxa"/>
          </w:tcPr>
          <w:p w14:paraId="0163403F"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Anaemia </w:t>
            </w:r>
          </w:p>
        </w:tc>
        <w:tc>
          <w:tcPr>
            <w:tcW w:w="2356" w:type="dxa"/>
          </w:tcPr>
          <w:p w14:paraId="57A46D81"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82 (66.7)</w:t>
            </w:r>
          </w:p>
        </w:tc>
        <w:tc>
          <w:tcPr>
            <w:tcW w:w="2126" w:type="dxa"/>
          </w:tcPr>
          <w:p w14:paraId="5A09C5AE"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55 (66.3)</w:t>
            </w:r>
          </w:p>
        </w:tc>
      </w:tr>
      <w:tr w:rsidR="00A25B32" w:rsidRPr="00BE6650" w14:paraId="2AC1AFA1" w14:textId="77777777" w:rsidTr="00C4672D">
        <w:trPr>
          <w:trHeight w:val="147"/>
        </w:trPr>
        <w:tc>
          <w:tcPr>
            <w:tcW w:w="4585" w:type="dxa"/>
          </w:tcPr>
          <w:p w14:paraId="2388DE5F"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Neutropenia </w:t>
            </w:r>
          </w:p>
        </w:tc>
        <w:tc>
          <w:tcPr>
            <w:tcW w:w="2356" w:type="dxa"/>
          </w:tcPr>
          <w:p w14:paraId="54C795E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49 (39.8)</w:t>
            </w:r>
          </w:p>
        </w:tc>
        <w:tc>
          <w:tcPr>
            <w:tcW w:w="2126" w:type="dxa"/>
          </w:tcPr>
          <w:p w14:paraId="07CEFCB7"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35 (42.2)</w:t>
            </w:r>
          </w:p>
        </w:tc>
      </w:tr>
      <w:tr w:rsidR="00A25B32" w:rsidRPr="00BE6650" w14:paraId="2A8A7DCD" w14:textId="77777777" w:rsidTr="00C4672D">
        <w:trPr>
          <w:trHeight w:val="147"/>
        </w:trPr>
        <w:tc>
          <w:tcPr>
            <w:tcW w:w="4585" w:type="dxa"/>
          </w:tcPr>
          <w:p w14:paraId="637B8156"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Leukopenia </w:t>
            </w:r>
          </w:p>
        </w:tc>
        <w:tc>
          <w:tcPr>
            <w:tcW w:w="2356" w:type="dxa"/>
          </w:tcPr>
          <w:p w14:paraId="141DB5E2"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41 (33.3)</w:t>
            </w:r>
          </w:p>
        </w:tc>
        <w:tc>
          <w:tcPr>
            <w:tcW w:w="2126" w:type="dxa"/>
          </w:tcPr>
          <w:p w14:paraId="52D75952"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30 (36.1)</w:t>
            </w:r>
          </w:p>
        </w:tc>
      </w:tr>
      <w:tr w:rsidR="00A25B32" w:rsidRPr="00BE6650" w14:paraId="57E39D99" w14:textId="77777777" w:rsidTr="00C4672D">
        <w:trPr>
          <w:trHeight w:val="147"/>
        </w:trPr>
        <w:tc>
          <w:tcPr>
            <w:tcW w:w="4585" w:type="dxa"/>
          </w:tcPr>
          <w:p w14:paraId="1E08E13D"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Lymphopenia </w:t>
            </w:r>
          </w:p>
        </w:tc>
        <w:tc>
          <w:tcPr>
            <w:tcW w:w="2356" w:type="dxa"/>
          </w:tcPr>
          <w:p w14:paraId="55B5AAB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20 (16.3)</w:t>
            </w:r>
          </w:p>
        </w:tc>
        <w:tc>
          <w:tcPr>
            <w:tcW w:w="2126" w:type="dxa"/>
          </w:tcPr>
          <w:p w14:paraId="3563FCB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12 (14.5)</w:t>
            </w:r>
          </w:p>
        </w:tc>
      </w:tr>
      <w:tr w:rsidR="00A25B32" w:rsidRPr="00BE6650" w14:paraId="04EB69CF" w14:textId="77777777" w:rsidTr="00C4672D">
        <w:trPr>
          <w:trHeight w:val="98"/>
        </w:trPr>
        <w:tc>
          <w:tcPr>
            <w:tcW w:w="4585" w:type="dxa"/>
          </w:tcPr>
          <w:p w14:paraId="5221E699"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Eye disorders </w:t>
            </w:r>
          </w:p>
        </w:tc>
        <w:tc>
          <w:tcPr>
            <w:tcW w:w="2356" w:type="dxa"/>
          </w:tcPr>
          <w:p w14:paraId="79986A9F"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29 (23.6)</w:t>
            </w:r>
          </w:p>
        </w:tc>
        <w:tc>
          <w:tcPr>
            <w:tcW w:w="2126" w:type="dxa"/>
          </w:tcPr>
          <w:p w14:paraId="673F5D4E"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17 (20.5)</w:t>
            </w:r>
          </w:p>
        </w:tc>
      </w:tr>
      <w:tr w:rsidR="00A25B32" w:rsidRPr="00BE6650" w14:paraId="58C86305" w14:textId="77777777" w:rsidTr="00C4672D">
        <w:trPr>
          <w:trHeight w:val="147"/>
        </w:trPr>
        <w:tc>
          <w:tcPr>
            <w:tcW w:w="4585" w:type="dxa"/>
          </w:tcPr>
          <w:p w14:paraId="5646CFF6"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Vision blurred </w:t>
            </w:r>
          </w:p>
        </w:tc>
        <w:tc>
          <w:tcPr>
            <w:tcW w:w="2356" w:type="dxa"/>
          </w:tcPr>
          <w:p w14:paraId="75A4FF2F"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13 (10.6)</w:t>
            </w:r>
          </w:p>
        </w:tc>
        <w:tc>
          <w:tcPr>
            <w:tcW w:w="2126" w:type="dxa"/>
          </w:tcPr>
          <w:p w14:paraId="55DEA0B7"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10 (12.0)</w:t>
            </w:r>
          </w:p>
        </w:tc>
      </w:tr>
      <w:tr w:rsidR="00A25B32" w:rsidRPr="00BE6650" w14:paraId="3CB5D168" w14:textId="77777777" w:rsidTr="00C4672D">
        <w:trPr>
          <w:trHeight w:val="98"/>
        </w:trPr>
        <w:tc>
          <w:tcPr>
            <w:tcW w:w="4585" w:type="dxa"/>
          </w:tcPr>
          <w:p w14:paraId="1A8BAF27"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Gastrointestinal disorders </w:t>
            </w:r>
          </w:p>
        </w:tc>
        <w:tc>
          <w:tcPr>
            <w:tcW w:w="2356" w:type="dxa"/>
          </w:tcPr>
          <w:p w14:paraId="7BCB3A1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113 (91.9)</w:t>
            </w:r>
          </w:p>
        </w:tc>
        <w:tc>
          <w:tcPr>
            <w:tcW w:w="2126" w:type="dxa"/>
          </w:tcPr>
          <w:p w14:paraId="3E7F8248"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76 (91.6)</w:t>
            </w:r>
          </w:p>
        </w:tc>
      </w:tr>
      <w:tr w:rsidR="00A25B32" w:rsidRPr="00BE6650" w14:paraId="2AF2CEE4" w14:textId="77777777" w:rsidTr="00C4672D">
        <w:trPr>
          <w:trHeight w:val="147"/>
        </w:trPr>
        <w:tc>
          <w:tcPr>
            <w:tcW w:w="4585" w:type="dxa"/>
          </w:tcPr>
          <w:p w14:paraId="262F670A"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Nausea </w:t>
            </w:r>
          </w:p>
        </w:tc>
        <w:tc>
          <w:tcPr>
            <w:tcW w:w="2356" w:type="dxa"/>
          </w:tcPr>
          <w:p w14:paraId="03909F76"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88 (71.5)</w:t>
            </w:r>
          </w:p>
        </w:tc>
        <w:tc>
          <w:tcPr>
            <w:tcW w:w="2126" w:type="dxa"/>
          </w:tcPr>
          <w:p w14:paraId="5E42278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56 (67.5)</w:t>
            </w:r>
          </w:p>
        </w:tc>
      </w:tr>
      <w:tr w:rsidR="00A25B32" w:rsidRPr="00BE6650" w14:paraId="216ABBC3" w14:textId="77777777" w:rsidTr="00C4672D">
        <w:trPr>
          <w:trHeight w:val="147"/>
        </w:trPr>
        <w:tc>
          <w:tcPr>
            <w:tcW w:w="4585" w:type="dxa"/>
          </w:tcPr>
          <w:p w14:paraId="3FF7D5CC"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Diarrhoea </w:t>
            </w:r>
          </w:p>
        </w:tc>
        <w:tc>
          <w:tcPr>
            <w:tcW w:w="2356" w:type="dxa"/>
          </w:tcPr>
          <w:p w14:paraId="21D1CC3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58 (47.2)</w:t>
            </w:r>
          </w:p>
        </w:tc>
        <w:tc>
          <w:tcPr>
            <w:tcW w:w="2126" w:type="dxa"/>
          </w:tcPr>
          <w:p w14:paraId="0893993F"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42 (50.6)</w:t>
            </w:r>
          </w:p>
        </w:tc>
      </w:tr>
      <w:tr w:rsidR="00A25B32" w:rsidRPr="00BE6650" w14:paraId="3F44FA6F" w14:textId="77777777" w:rsidTr="00C4672D">
        <w:trPr>
          <w:trHeight w:val="147"/>
        </w:trPr>
        <w:tc>
          <w:tcPr>
            <w:tcW w:w="4585" w:type="dxa"/>
          </w:tcPr>
          <w:p w14:paraId="16B1F252"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Vomiting </w:t>
            </w:r>
          </w:p>
        </w:tc>
        <w:tc>
          <w:tcPr>
            <w:tcW w:w="2356" w:type="dxa"/>
          </w:tcPr>
          <w:p w14:paraId="43A9FC65"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48 (39.0)</w:t>
            </w:r>
          </w:p>
        </w:tc>
        <w:tc>
          <w:tcPr>
            <w:tcW w:w="2126" w:type="dxa"/>
          </w:tcPr>
          <w:p w14:paraId="6B4488E7"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32 (38.6)</w:t>
            </w:r>
          </w:p>
        </w:tc>
      </w:tr>
      <w:tr w:rsidR="00A25B32" w:rsidRPr="00BE6650" w14:paraId="41CDD9B9" w14:textId="77777777" w:rsidTr="00C4672D">
        <w:trPr>
          <w:trHeight w:val="147"/>
        </w:trPr>
        <w:tc>
          <w:tcPr>
            <w:tcW w:w="4585" w:type="dxa"/>
          </w:tcPr>
          <w:p w14:paraId="5448392F"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Constipation </w:t>
            </w:r>
          </w:p>
        </w:tc>
        <w:tc>
          <w:tcPr>
            <w:tcW w:w="2356" w:type="dxa"/>
          </w:tcPr>
          <w:p w14:paraId="71C69723"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27 (22.0)</w:t>
            </w:r>
          </w:p>
        </w:tc>
        <w:tc>
          <w:tcPr>
            <w:tcW w:w="2126" w:type="dxa"/>
          </w:tcPr>
          <w:p w14:paraId="6AA11C76"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19 (22.9)</w:t>
            </w:r>
          </w:p>
        </w:tc>
      </w:tr>
      <w:tr w:rsidR="00A25B32" w:rsidRPr="00BE6650" w14:paraId="507941C0" w14:textId="77777777" w:rsidTr="00C4672D">
        <w:trPr>
          <w:trHeight w:val="224"/>
        </w:trPr>
        <w:tc>
          <w:tcPr>
            <w:tcW w:w="4585" w:type="dxa"/>
          </w:tcPr>
          <w:p w14:paraId="1126558B"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General disorders and administration site conditions </w:t>
            </w:r>
          </w:p>
        </w:tc>
        <w:tc>
          <w:tcPr>
            <w:tcW w:w="2356" w:type="dxa"/>
          </w:tcPr>
          <w:p w14:paraId="06AC65FB"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102 (82.9)</w:t>
            </w:r>
          </w:p>
        </w:tc>
        <w:tc>
          <w:tcPr>
            <w:tcW w:w="2126" w:type="dxa"/>
          </w:tcPr>
          <w:p w14:paraId="1ED0EF4E"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65 (78.3)</w:t>
            </w:r>
          </w:p>
        </w:tc>
      </w:tr>
      <w:tr w:rsidR="00A25B32" w:rsidRPr="00BE6650" w14:paraId="22129263" w14:textId="77777777" w:rsidTr="00C4672D">
        <w:trPr>
          <w:trHeight w:val="147"/>
        </w:trPr>
        <w:tc>
          <w:tcPr>
            <w:tcW w:w="4585" w:type="dxa"/>
          </w:tcPr>
          <w:p w14:paraId="56DC485A"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Fatigue </w:t>
            </w:r>
          </w:p>
        </w:tc>
        <w:tc>
          <w:tcPr>
            <w:tcW w:w="2356" w:type="dxa"/>
          </w:tcPr>
          <w:p w14:paraId="5BD08A3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77 (62.6)</w:t>
            </w:r>
          </w:p>
        </w:tc>
        <w:tc>
          <w:tcPr>
            <w:tcW w:w="2126" w:type="dxa"/>
          </w:tcPr>
          <w:p w14:paraId="6A538B4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50 (60.2)</w:t>
            </w:r>
          </w:p>
        </w:tc>
      </w:tr>
      <w:tr w:rsidR="00A25B32" w:rsidRPr="00BE6650" w14:paraId="73D0CBDE" w14:textId="77777777" w:rsidTr="00C4672D">
        <w:trPr>
          <w:trHeight w:val="147"/>
        </w:trPr>
        <w:tc>
          <w:tcPr>
            <w:tcW w:w="4585" w:type="dxa"/>
          </w:tcPr>
          <w:p w14:paraId="3D869BE8"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Pyrexia </w:t>
            </w:r>
          </w:p>
        </w:tc>
        <w:tc>
          <w:tcPr>
            <w:tcW w:w="2356" w:type="dxa"/>
          </w:tcPr>
          <w:p w14:paraId="7017F91B"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20 (16.3)</w:t>
            </w:r>
          </w:p>
        </w:tc>
        <w:tc>
          <w:tcPr>
            <w:tcW w:w="2126" w:type="dxa"/>
          </w:tcPr>
          <w:p w14:paraId="62BC7B3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15 (18.1)</w:t>
            </w:r>
          </w:p>
        </w:tc>
      </w:tr>
      <w:tr w:rsidR="00A25B32" w:rsidRPr="00BE6650" w14:paraId="4AB3FB81" w14:textId="77777777" w:rsidTr="00C4672D">
        <w:trPr>
          <w:trHeight w:val="147"/>
        </w:trPr>
        <w:tc>
          <w:tcPr>
            <w:tcW w:w="4585" w:type="dxa"/>
          </w:tcPr>
          <w:p w14:paraId="2C29F564"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Asthenia </w:t>
            </w:r>
          </w:p>
        </w:tc>
        <w:tc>
          <w:tcPr>
            <w:tcW w:w="2356" w:type="dxa"/>
          </w:tcPr>
          <w:p w14:paraId="60B7CCF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22 (17.9)</w:t>
            </w:r>
          </w:p>
        </w:tc>
        <w:tc>
          <w:tcPr>
            <w:tcW w:w="2126" w:type="dxa"/>
          </w:tcPr>
          <w:p w14:paraId="063F6FE3"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13 (15.7)</w:t>
            </w:r>
          </w:p>
        </w:tc>
      </w:tr>
      <w:tr w:rsidR="00A25B32" w:rsidRPr="00BE6650" w14:paraId="26EDC650" w14:textId="77777777" w:rsidTr="00C4672D">
        <w:trPr>
          <w:trHeight w:val="98"/>
        </w:trPr>
        <w:tc>
          <w:tcPr>
            <w:tcW w:w="4585" w:type="dxa"/>
          </w:tcPr>
          <w:p w14:paraId="75C46BDC"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Infections and infestations </w:t>
            </w:r>
          </w:p>
        </w:tc>
        <w:tc>
          <w:tcPr>
            <w:tcW w:w="2356" w:type="dxa"/>
          </w:tcPr>
          <w:p w14:paraId="0B6ADBA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71 (57.7)</w:t>
            </w:r>
          </w:p>
        </w:tc>
        <w:tc>
          <w:tcPr>
            <w:tcW w:w="2126" w:type="dxa"/>
          </w:tcPr>
          <w:p w14:paraId="1D78309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47 (56.6)</w:t>
            </w:r>
          </w:p>
        </w:tc>
      </w:tr>
      <w:tr w:rsidR="00A25B32" w:rsidRPr="00BE6650" w14:paraId="7CEF569E" w14:textId="77777777" w:rsidTr="00C4672D">
        <w:trPr>
          <w:trHeight w:val="147"/>
        </w:trPr>
        <w:tc>
          <w:tcPr>
            <w:tcW w:w="4585" w:type="dxa"/>
          </w:tcPr>
          <w:p w14:paraId="0ADDA549"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Upper respiratory tract infection </w:t>
            </w:r>
          </w:p>
        </w:tc>
        <w:tc>
          <w:tcPr>
            <w:tcW w:w="2356" w:type="dxa"/>
          </w:tcPr>
          <w:p w14:paraId="741A9A2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17 (13.8)</w:t>
            </w:r>
          </w:p>
        </w:tc>
        <w:tc>
          <w:tcPr>
            <w:tcW w:w="2126" w:type="dxa"/>
          </w:tcPr>
          <w:p w14:paraId="3B992363"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11 (13.3)</w:t>
            </w:r>
          </w:p>
        </w:tc>
      </w:tr>
      <w:tr w:rsidR="00A25B32" w:rsidRPr="00BE6650" w14:paraId="47BB3AF5" w14:textId="77777777" w:rsidTr="00C4672D">
        <w:trPr>
          <w:trHeight w:val="147"/>
        </w:trPr>
        <w:tc>
          <w:tcPr>
            <w:tcW w:w="4585" w:type="dxa"/>
          </w:tcPr>
          <w:p w14:paraId="04DADA72"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Pneumonia </w:t>
            </w:r>
          </w:p>
        </w:tc>
        <w:tc>
          <w:tcPr>
            <w:tcW w:w="2356" w:type="dxa"/>
          </w:tcPr>
          <w:p w14:paraId="5AFB0262"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21 (17.1)</w:t>
            </w:r>
          </w:p>
        </w:tc>
        <w:tc>
          <w:tcPr>
            <w:tcW w:w="2126" w:type="dxa"/>
          </w:tcPr>
          <w:p w14:paraId="6A974191"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10 (12.0)</w:t>
            </w:r>
          </w:p>
        </w:tc>
      </w:tr>
      <w:tr w:rsidR="00A25B32" w:rsidRPr="00BE6650" w14:paraId="16C0B7D5" w14:textId="77777777" w:rsidTr="00C4672D">
        <w:trPr>
          <w:trHeight w:val="98"/>
        </w:trPr>
        <w:tc>
          <w:tcPr>
            <w:tcW w:w="4585" w:type="dxa"/>
          </w:tcPr>
          <w:p w14:paraId="74D19654"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Investigations </w:t>
            </w:r>
          </w:p>
        </w:tc>
        <w:tc>
          <w:tcPr>
            <w:tcW w:w="2356" w:type="dxa"/>
          </w:tcPr>
          <w:p w14:paraId="2780FFB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75 (61.0)</w:t>
            </w:r>
          </w:p>
        </w:tc>
        <w:tc>
          <w:tcPr>
            <w:tcW w:w="2126" w:type="dxa"/>
          </w:tcPr>
          <w:p w14:paraId="1ADFCCCE"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50 (60.2)</w:t>
            </w:r>
          </w:p>
        </w:tc>
      </w:tr>
      <w:tr w:rsidR="00A25B32" w:rsidRPr="00BE6650" w14:paraId="758FA5DF" w14:textId="77777777" w:rsidTr="00C4672D">
        <w:trPr>
          <w:trHeight w:val="147"/>
        </w:trPr>
        <w:tc>
          <w:tcPr>
            <w:tcW w:w="4585" w:type="dxa"/>
          </w:tcPr>
          <w:p w14:paraId="7A59144F"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Weight decreased </w:t>
            </w:r>
          </w:p>
        </w:tc>
        <w:tc>
          <w:tcPr>
            <w:tcW w:w="2356" w:type="dxa"/>
          </w:tcPr>
          <w:p w14:paraId="466D01C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62 (50.4)</w:t>
            </w:r>
          </w:p>
        </w:tc>
        <w:tc>
          <w:tcPr>
            <w:tcW w:w="2126" w:type="dxa"/>
          </w:tcPr>
          <w:p w14:paraId="5EEAECE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38 (45.8)</w:t>
            </w:r>
          </w:p>
        </w:tc>
      </w:tr>
      <w:tr w:rsidR="00A25B32" w:rsidRPr="00BE6650" w14:paraId="1E784EF4" w14:textId="77777777" w:rsidTr="00C4672D">
        <w:trPr>
          <w:trHeight w:val="98"/>
        </w:trPr>
        <w:tc>
          <w:tcPr>
            <w:tcW w:w="4585" w:type="dxa"/>
          </w:tcPr>
          <w:p w14:paraId="22DB4630"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Metabolism and nutrition disorders </w:t>
            </w:r>
          </w:p>
        </w:tc>
        <w:tc>
          <w:tcPr>
            <w:tcW w:w="2356" w:type="dxa"/>
          </w:tcPr>
          <w:p w14:paraId="512061C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99 (80.5)</w:t>
            </w:r>
          </w:p>
        </w:tc>
        <w:tc>
          <w:tcPr>
            <w:tcW w:w="2126" w:type="dxa"/>
          </w:tcPr>
          <w:p w14:paraId="6252D312"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67 (80.7)</w:t>
            </w:r>
          </w:p>
        </w:tc>
      </w:tr>
      <w:tr w:rsidR="00A25B32" w:rsidRPr="00BE6650" w14:paraId="18F7DFAF" w14:textId="77777777" w:rsidTr="00C4672D">
        <w:trPr>
          <w:trHeight w:val="147"/>
        </w:trPr>
        <w:tc>
          <w:tcPr>
            <w:tcW w:w="4585" w:type="dxa"/>
          </w:tcPr>
          <w:p w14:paraId="0879B252"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Decreased appetite </w:t>
            </w:r>
          </w:p>
        </w:tc>
        <w:tc>
          <w:tcPr>
            <w:tcW w:w="2356" w:type="dxa"/>
          </w:tcPr>
          <w:p w14:paraId="3FBAB8C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70 (56.9)</w:t>
            </w:r>
          </w:p>
        </w:tc>
        <w:tc>
          <w:tcPr>
            <w:tcW w:w="2126" w:type="dxa"/>
          </w:tcPr>
          <w:p w14:paraId="79504F1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46 (55.4)</w:t>
            </w:r>
          </w:p>
        </w:tc>
      </w:tr>
      <w:tr w:rsidR="00A25B32" w:rsidRPr="00BE6650" w14:paraId="279251FA" w14:textId="77777777" w:rsidTr="00C4672D">
        <w:trPr>
          <w:trHeight w:val="147"/>
        </w:trPr>
        <w:tc>
          <w:tcPr>
            <w:tcW w:w="4585" w:type="dxa"/>
          </w:tcPr>
          <w:p w14:paraId="784CEF73"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Hyponatraemia </w:t>
            </w:r>
          </w:p>
        </w:tc>
        <w:tc>
          <w:tcPr>
            <w:tcW w:w="2356" w:type="dxa"/>
          </w:tcPr>
          <w:p w14:paraId="3A8AF56E"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46 (37.4)</w:t>
            </w:r>
          </w:p>
        </w:tc>
        <w:tc>
          <w:tcPr>
            <w:tcW w:w="2126" w:type="dxa"/>
          </w:tcPr>
          <w:p w14:paraId="7FF6511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32 (38.6)</w:t>
            </w:r>
          </w:p>
        </w:tc>
      </w:tr>
      <w:tr w:rsidR="00A25B32" w:rsidRPr="00BE6650" w14:paraId="50BBA061" w14:textId="77777777" w:rsidTr="00C4672D">
        <w:trPr>
          <w:trHeight w:val="147"/>
        </w:trPr>
        <w:tc>
          <w:tcPr>
            <w:tcW w:w="4585" w:type="dxa"/>
          </w:tcPr>
          <w:p w14:paraId="335F9D4B"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Hyperglycaemia </w:t>
            </w:r>
          </w:p>
        </w:tc>
        <w:tc>
          <w:tcPr>
            <w:tcW w:w="2356" w:type="dxa"/>
          </w:tcPr>
          <w:p w14:paraId="762205EF"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15 (12.2)</w:t>
            </w:r>
          </w:p>
        </w:tc>
        <w:tc>
          <w:tcPr>
            <w:tcW w:w="2126" w:type="dxa"/>
          </w:tcPr>
          <w:p w14:paraId="124A8AC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Pr="00BE6650" w:rsidDel="004A6CA0">
              <w:rPr>
                <w:rFonts w:ascii="Arial Narrow" w:hAnsi="Arial Narrow" w:cs="Times New Roman"/>
                <w:color w:val="000000"/>
                <w:sz w:val="20"/>
                <w:szCs w:val="20"/>
              </w:rPr>
              <w:t xml:space="preserve">9 </w:t>
            </w:r>
            <w:r w:rsidRPr="00BE6650">
              <w:rPr>
                <w:rFonts w:ascii="Arial Narrow" w:hAnsi="Arial Narrow" w:cs="Times New Roman"/>
                <w:color w:val="000000"/>
                <w:sz w:val="20"/>
                <w:szCs w:val="20"/>
              </w:rPr>
              <w:t>(10.8)</w:t>
            </w:r>
          </w:p>
        </w:tc>
      </w:tr>
      <w:tr w:rsidR="00A25B32" w:rsidRPr="00BE6650" w14:paraId="5DFEEBDB" w14:textId="77777777" w:rsidTr="00C4672D">
        <w:trPr>
          <w:trHeight w:val="147"/>
        </w:trPr>
        <w:tc>
          <w:tcPr>
            <w:tcW w:w="4585" w:type="dxa"/>
          </w:tcPr>
          <w:p w14:paraId="49049523"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Dehydration </w:t>
            </w:r>
          </w:p>
        </w:tc>
        <w:tc>
          <w:tcPr>
            <w:tcW w:w="2356" w:type="dxa"/>
          </w:tcPr>
          <w:p w14:paraId="4FDA28C5"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13 (10.6)</w:t>
            </w:r>
          </w:p>
        </w:tc>
        <w:tc>
          <w:tcPr>
            <w:tcW w:w="2126" w:type="dxa"/>
          </w:tcPr>
          <w:p w14:paraId="7F5AEB3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7</w:t>
            </w:r>
            <w:r w:rsidRPr="00BE6650" w:rsidDel="004A6CA0">
              <w:rPr>
                <w:rFonts w:ascii="Arial Narrow" w:hAnsi="Arial Narrow" w:cs="Times New Roman"/>
                <w:color w:val="000000"/>
                <w:sz w:val="20"/>
                <w:szCs w:val="20"/>
              </w:rPr>
              <w:t xml:space="preserve"> </w:t>
            </w:r>
            <w:r w:rsidRPr="00BE6650">
              <w:rPr>
                <w:rFonts w:ascii="Arial Narrow" w:hAnsi="Arial Narrow" w:cs="Times New Roman"/>
                <w:color w:val="000000"/>
                <w:sz w:val="20"/>
                <w:szCs w:val="20"/>
              </w:rPr>
              <w:t>(8.4)</w:t>
            </w:r>
          </w:p>
        </w:tc>
      </w:tr>
      <w:tr w:rsidR="00A25B32" w:rsidRPr="00BE6650" w14:paraId="26D034B8" w14:textId="77777777" w:rsidTr="00C4672D">
        <w:trPr>
          <w:trHeight w:val="147"/>
        </w:trPr>
        <w:tc>
          <w:tcPr>
            <w:tcW w:w="4585" w:type="dxa"/>
          </w:tcPr>
          <w:p w14:paraId="17AB1E08"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Hypokalaemia </w:t>
            </w:r>
          </w:p>
        </w:tc>
        <w:tc>
          <w:tcPr>
            <w:tcW w:w="2356" w:type="dxa"/>
          </w:tcPr>
          <w:p w14:paraId="1AABDAD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24 (19.5)</w:t>
            </w:r>
          </w:p>
        </w:tc>
        <w:tc>
          <w:tcPr>
            <w:tcW w:w="2126" w:type="dxa"/>
          </w:tcPr>
          <w:p w14:paraId="4DF7645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18 (21.7)</w:t>
            </w:r>
          </w:p>
        </w:tc>
      </w:tr>
      <w:tr w:rsidR="00A25B32" w:rsidRPr="00BE6650" w14:paraId="6E387BB3" w14:textId="77777777" w:rsidTr="00C4672D">
        <w:trPr>
          <w:trHeight w:val="147"/>
        </w:trPr>
        <w:tc>
          <w:tcPr>
            <w:tcW w:w="4585" w:type="dxa"/>
          </w:tcPr>
          <w:p w14:paraId="1C8340A7"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Hypercreatininaemia </w:t>
            </w:r>
          </w:p>
        </w:tc>
        <w:tc>
          <w:tcPr>
            <w:tcW w:w="2356" w:type="dxa"/>
          </w:tcPr>
          <w:p w14:paraId="7253F6EB"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 (4.9)</w:t>
            </w:r>
          </w:p>
        </w:tc>
        <w:tc>
          <w:tcPr>
            <w:tcW w:w="2126" w:type="dxa"/>
          </w:tcPr>
          <w:p w14:paraId="1A3494A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w:t>
            </w:r>
            <w:r w:rsidRPr="00BE6650" w:rsidDel="004A6CA0">
              <w:rPr>
                <w:rFonts w:ascii="Arial Narrow" w:hAnsi="Arial Narrow" w:cs="Times New Roman"/>
                <w:color w:val="000000"/>
                <w:sz w:val="20"/>
                <w:szCs w:val="20"/>
              </w:rPr>
              <w:t xml:space="preserve"> </w:t>
            </w:r>
            <w:r w:rsidRPr="00BE6650">
              <w:rPr>
                <w:rFonts w:ascii="Arial Narrow" w:hAnsi="Arial Narrow" w:cs="Times New Roman"/>
                <w:color w:val="000000"/>
                <w:sz w:val="20"/>
                <w:szCs w:val="20"/>
              </w:rPr>
              <w:t>(4.8)</w:t>
            </w:r>
          </w:p>
        </w:tc>
      </w:tr>
      <w:tr w:rsidR="00A25B32" w:rsidRPr="00BE6650" w14:paraId="392EEA5E" w14:textId="77777777" w:rsidTr="00C4672D">
        <w:trPr>
          <w:trHeight w:val="98"/>
        </w:trPr>
        <w:tc>
          <w:tcPr>
            <w:tcW w:w="4585" w:type="dxa"/>
          </w:tcPr>
          <w:p w14:paraId="07EE6D7A"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Nervous system disorders </w:t>
            </w:r>
          </w:p>
        </w:tc>
        <w:tc>
          <w:tcPr>
            <w:tcW w:w="2356" w:type="dxa"/>
          </w:tcPr>
          <w:p w14:paraId="60EAA71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63 (51.2)</w:t>
            </w:r>
          </w:p>
        </w:tc>
        <w:tc>
          <w:tcPr>
            <w:tcW w:w="2126" w:type="dxa"/>
          </w:tcPr>
          <w:p w14:paraId="2518883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43 (51.8)</w:t>
            </w:r>
          </w:p>
        </w:tc>
      </w:tr>
      <w:tr w:rsidR="00A25B32" w:rsidRPr="00BE6650" w14:paraId="696475DA" w14:textId="77777777" w:rsidTr="00C4672D">
        <w:trPr>
          <w:trHeight w:val="147"/>
        </w:trPr>
        <w:tc>
          <w:tcPr>
            <w:tcW w:w="4585" w:type="dxa"/>
          </w:tcPr>
          <w:p w14:paraId="57E1F50F"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Dizziness </w:t>
            </w:r>
          </w:p>
        </w:tc>
        <w:tc>
          <w:tcPr>
            <w:tcW w:w="2356" w:type="dxa"/>
          </w:tcPr>
          <w:p w14:paraId="12832348"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19 (15.4)</w:t>
            </w:r>
          </w:p>
        </w:tc>
        <w:tc>
          <w:tcPr>
            <w:tcW w:w="2126" w:type="dxa"/>
          </w:tcPr>
          <w:p w14:paraId="4BED4B0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15 (18.1)</w:t>
            </w:r>
          </w:p>
        </w:tc>
      </w:tr>
      <w:tr w:rsidR="00A25B32" w:rsidRPr="00BE6650" w14:paraId="5228CC28" w14:textId="77777777" w:rsidTr="00C4672D">
        <w:trPr>
          <w:trHeight w:val="147"/>
        </w:trPr>
        <w:tc>
          <w:tcPr>
            <w:tcW w:w="4585" w:type="dxa"/>
          </w:tcPr>
          <w:p w14:paraId="4E0A2760"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Dysgeusia </w:t>
            </w:r>
          </w:p>
        </w:tc>
        <w:tc>
          <w:tcPr>
            <w:tcW w:w="2356" w:type="dxa"/>
          </w:tcPr>
          <w:p w14:paraId="76957F63"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10 (8.1)</w:t>
            </w:r>
          </w:p>
        </w:tc>
        <w:tc>
          <w:tcPr>
            <w:tcW w:w="2126" w:type="dxa"/>
          </w:tcPr>
          <w:p w14:paraId="6045004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8</w:t>
            </w:r>
            <w:r w:rsidRPr="00BE6650" w:rsidDel="004A6CA0">
              <w:rPr>
                <w:rFonts w:ascii="Arial Narrow" w:hAnsi="Arial Narrow" w:cs="Times New Roman"/>
                <w:color w:val="000000"/>
                <w:sz w:val="20"/>
                <w:szCs w:val="20"/>
              </w:rPr>
              <w:t xml:space="preserve"> </w:t>
            </w:r>
            <w:r w:rsidRPr="00BE6650">
              <w:rPr>
                <w:rFonts w:ascii="Arial Narrow" w:hAnsi="Arial Narrow" w:cs="Times New Roman"/>
                <w:color w:val="000000"/>
                <w:sz w:val="20"/>
                <w:szCs w:val="20"/>
              </w:rPr>
              <w:t>(9.6)</w:t>
            </w:r>
          </w:p>
        </w:tc>
      </w:tr>
      <w:tr w:rsidR="00A25B32" w:rsidRPr="00BE6650" w14:paraId="55A0CFAA" w14:textId="77777777" w:rsidTr="00C4672D">
        <w:trPr>
          <w:trHeight w:val="98"/>
        </w:trPr>
        <w:tc>
          <w:tcPr>
            <w:tcW w:w="4585" w:type="dxa"/>
          </w:tcPr>
          <w:p w14:paraId="022CF9FE" w14:textId="77777777" w:rsidR="00A25B32" w:rsidRPr="00BE6650" w:rsidRDefault="00A25B32" w:rsidP="00796B8A">
            <w:pPr>
              <w:keepNext/>
              <w:autoSpaceDE w:val="0"/>
              <w:autoSpaceDN w:val="0"/>
              <w:adjustRightInd w:val="0"/>
              <w:spacing w:before="0" w:after="0"/>
              <w:rPr>
                <w:rFonts w:ascii="Arial Narrow" w:hAnsi="Arial Narrow" w:cs="Times New Roman"/>
                <w:color w:val="000000"/>
                <w:sz w:val="20"/>
                <w:szCs w:val="20"/>
              </w:rPr>
            </w:pPr>
            <w:r w:rsidRPr="00BE6650">
              <w:rPr>
                <w:rFonts w:ascii="Arial Narrow" w:hAnsi="Arial Narrow" w:cs="Times New Roman"/>
                <w:color w:val="000000"/>
                <w:sz w:val="20"/>
                <w:szCs w:val="20"/>
              </w:rPr>
              <w:t xml:space="preserve">Psychiatric disorders </w:t>
            </w:r>
          </w:p>
        </w:tc>
        <w:tc>
          <w:tcPr>
            <w:tcW w:w="2356" w:type="dxa"/>
          </w:tcPr>
          <w:p w14:paraId="127F487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52 (42.3)</w:t>
            </w:r>
          </w:p>
        </w:tc>
        <w:tc>
          <w:tcPr>
            <w:tcW w:w="2126" w:type="dxa"/>
          </w:tcPr>
          <w:p w14:paraId="380C9444"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36 (43.4)</w:t>
            </w:r>
          </w:p>
        </w:tc>
      </w:tr>
      <w:tr w:rsidR="00A25B32" w:rsidRPr="00BE6650" w14:paraId="3E0379B7" w14:textId="77777777" w:rsidTr="00C4672D">
        <w:trPr>
          <w:trHeight w:val="147"/>
        </w:trPr>
        <w:tc>
          <w:tcPr>
            <w:tcW w:w="4585" w:type="dxa"/>
          </w:tcPr>
          <w:p w14:paraId="154B9A3B"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Insomnia </w:t>
            </w:r>
          </w:p>
        </w:tc>
        <w:tc>
          <w:tcPr>
            <w:tcW w:w="2356" w:type="dxa"/>
          </w:tcPr>
          <w:p w14:paraId="10688B6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22 (17.9)</w:t>
            </w:r>
          </w:p>
        </w:tc>
        <w:tc>
          <w:tcPr>
            <w:tcW w:w="2126" w:type="dxa"/>
          </w:tcPr>
          <w:p w14:paraId="15B78F5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17 (20.5)</w:t>
            </w:r>
          </w:p>
        </w:tc>
      </w:tr>
      <w:tr w:rsidR="00A25B32" w:rsidRPr="00BE6650" w14:paraId="073668E3" w14:textId="77777777" w:rsidTr="00C4672D">
        <w:trPr>
          <w:trHeight w:val="147"/>
        </w:trPr>
        <w:tc>
          <w:tcPr>
            <w:tcW w:w="4585" w:type="dxa"/>
          </w:tcPr>
          <w:p w14:paraId="26612B49"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Confusional state </w:t>
            </w:r>
          </w:p>
        </w:tc>
        <w:tc>
          <w:tcPr>
            <w:tcW w:w="2356" w:type="dxa"/>
          </w:tcPr>
          <w:p w14:paraId="78C66622"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15 (12.2)</w:t>
            </w:r>
          </w:p>
        </w:tc>
        <w:tc>
          <w:tcPr>
            <w:tcW w:w="2126" w:type="dxa"/>
          </w:tcPr>
          <w:p w14:paraId="6E4925A7"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13 (15.7)</w:t>
            </w:r>
          </w:p>
        </w:tc>
      </w:tr>
      <w:tr w:rsidR="00A25B32" w:rsidRPr="00BE6650" w14:paraId="170AF32A" w14:textId="77777777" w:rsidTr="00C4672D">
        <w:trPr>
          <w:trHeight w:val="224"/>
        </w:trPr>
        <w:tc>
          <w:tcPr>
            <w:tcW w:w="4585" w:type="dxa"/>
          </w:tcPr>
          <w:p w14:paraId="4D6291A0" w14:textId="77777777" w:rsidR="00A25B32" w:rsidRPr="00BE6650" w:rsidRDefault="00A25B3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Respiratory, thoracic, and mediastinal disorders </w:t>
            </w:r>
          </w:p>
        </w:tc>
        <w:tc>
          <w:tcPr>
            <w:tcW w:w="2356" w:type="dxa"/>
          </w:tcPr>
          <w:p w14:paraId="597973B3"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61 (49.6)</w:t>
            </w:r>
          </w:p>
        </w:tc>
        <w:tc>
          <w:tcPr>
            <w:tcW w:w="2126" w:type="dxa"/>
          </w:tcPr>
          <w:p w14:paraId="23588C4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38 (45.8)</w:t>
            </w:r>
          </w:p>
        </w:tc>
      </w:tr>
      <w:tr w:rsidR="00A25B32" w:rsidRPr="00BE6650" w14:paraId="5C737507" w14:textId="77777777" w:rsidTr="00C4672D">
        <w:trPr>
          <w:trHeight w:val="147"/>
        </w:trPr>
        <w:tc>
          <w:tcPr>
            <w:tcW w:w="4585" w:type="dxa"/>
          </w:tcPr>
          <w:p w14:paraId="1A1F448A"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Dyspnoea </w:t>
            </w:r>
          </w:p>
        </w:tc>
        <w:tc>
          <w:tcPr>
            <w:tcW w:w="2356" w:type="dxa"/>
          </w:tcPr>
          <w:p w14:paraId="3C95110A"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28 (22.8)</w:t>
            </w:r>
          </w:p>
        </w:tc>
        <w:tc>
          <w:tcPr>
            <w:tcW w:w="2126" w:type="dxa"/>
          </w:tcPr>
          <w:p w14:paraId="3DBB7B3C"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13 (15.7)</w:t>
            </w:r>
          </w:p>
        </w:tc>
      </w:tr>
      <w:tr w:rsidR="00A25B32" w:rsidRPr="00BE6650" w14:paraId="6E0B1B0E" w14:textId="77777777" w:rsidTr="00C4672D">
        <w:trPr>
          <w:trHeight w:val="147"/>
        </w:trPr>
        <w:tc>
          <w:tcPr>
            <w:tcW w:w="4585" w:type="dxa"/>
          </w:tcPr>
          <w:p w14:paraId="545D6B47"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Cough </w:t>
            </w:r>
          </w:p>
        </w:tc>
        <w:tc>
          <w:tcPr>
            <w:tcW w:w="2356" w:type="dxa"/>
          </w:tcPr>
          <w:p w14:paraId="1EE9658D"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18 (14.6)</w:t>
            </w:r>
          </w:p>
        </w:tc>
        <w:tc>
          <w:tcPr>
            <w:tcW w:w="2126" w:type="dxa"/>
          </w:tcPr>
          <w:p w14:paraId="7AE99521"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9 (10.8)</w:t>
            </w:r>
          </w:p>
        </w:tc>
      </w:tr>
      <w:tr w:rsidR="00A25B32" w:rsidRPr="00BE6650" w14:paraId="28F6707D" w14:textId="77777777" w:rsidTr="00C4672D">
        <w:trPr>
          <w:trHeight w:val="147"/>
        </w:trPr>
        <w:tc>
          <w:tcPr>
            <w:tcW w:w="4585" w:type="dxa"/>
          </w:tcPr>
          <w:p w14:paraId="3B19E2E5" w14:textId="77777777" w:rsidR="00A25B32" w:rsidRPr="00BE6650" w:rsidRDefault="00361AE2" w:rsidP="00796B8A">
            <w:pPr>
              <w:keepNext/>
              <w:autoSpaceDE w:val="0"/>
              <w:autoSpaceDN w:val="0"/>
              <w:adjustRightInd w:val="0"/>
              <w:spacing w:before="0" w:after="0"/>
              <w:jc w:val="left"/>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w:t>
            </w:r>
            <w:r w:rsidR="00A25B32" w:rsidRPr="00BE6650">
              <w:rPr>
                <w:rFonts w:ascii="Arial Narrow" w:hAnsi="Arial Narrow" w:cs="Times New Roman"/>
                <w:color w:val="000000"/>
                <w:sz w:val="20"/>
                <w:szCs w:val="20"/>
              </w:rPr>
              <w:t xml:space="preserve">Epistaxis </w:t>
            </w:r>
          </w:p>
        </w:tc>
        <w:tc>
          <w:tcPr>
            <w:tcW w:w="2356" w:type="dxa"/>
          </w:tcPr>
          <w:p w14:paraId="6B2239F0"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15 (12.2)</w:t>
            </w:r>
          </w:p>
        </w:tc>
        <w:tc>
          <w:tcPr>
            <w:tcW w:w="2126" w:type="dxa"/>
          </w:tcPr>
          <w:p w14:paraId="1B15A8B9" w14:textId="77777777" w:rsidR="00A25B32" w:rsidRPr="00BE6650" w:rsidRDefault="00A25B32" w:rsidP="00796B8A">
            <w:pPr>
              <w:keepNext/>
              <w:autoSpaceDE w:val="0"/>
              <w:autoSpaceDN w:val="0"/>
              <w:adjustRightInd w:val="0"/>
              <w:spacing w:before="0" w:after="0"/>
              <w:jc w:val="center"/>
              <w:rPr>
                <w:rFonts w:ascii="Arial Narrow" w:hAnsi="Arial Narrow" w:cs="Times New Roman"/>
                <w:color w:val="000000"/>
                <w:sz w:val="20"/>
                <w:szCs w:val="20"/>
              </w:rPr>
            </w:pPr>
            <w:r w:rsidRPr="00BE6650">
              <w:rPr>
                <w:rFonts w:ascii="Arial Narrow" w:hAnsi="Arial Narrow" w:cs="Times New Roman"/>
                <w:color w:val="000000"/>
                <w:sz w:val="20"/>
                <w:szCs w:val="20"/>
              </w:rPr>
              <w:t xml:space="preserve">  8</w:t>
            </w:r>
            <w:r w:rsidRPr="00BE6650" w:rsidDel="00CF2EEF">
              <w:rPr>
                <w:rFonts w:ascii="Arial Narrow" w:hAnsi="Arial Narrow" w:cs="Times New Roman"/>
                <w:color w:val="000000"/>
                <w:sz w:val="20"/>
                <w:szCs w:val="20"/>
              </w:rPr>
              <w:t xml:space="preserve"> </w:t>
            </w:r>
            <w:r w:rsidRPr="00BE6650">
              <w:rPr>
                <w:rFonts w:ascii="Arial Narrow" w:hAnsi="Arial Narrow" w:cs="Times New Roman"/>
                <w:color w:val="000000"/>
                <w:sz w:val="20"/>
                <w:szCs w:val="20"/>
              </w:rPr>
              <w:t>(9.6)</w:t>
            </w:r>
          </w:p>
        </w:tc>
      </w:tr>
    </w:tbl>
    <w:p w14:paraId="1146367E" w14:textId="77777777" w:rsidR="00A25B32" w:rsidRPr="00BE6650" w:rsidRDefault="00A25B32" w:rsidP="00796B8A">
      <w:pPr>
        <w:pStyle w:val="CaptionFootnote"/>
        <w:keepNext/>
        <w:rPr>
          <w:rFonts w:ascii="Arial Narrow" w:hAnsi="Arial Narrow"/>
          <w:sz w:val="18"/>
          <w:szCs w:val="18"/>
        </w:rPr>
      </w:pPr>
      <w:r w:rsidRPr="00BE6650">
        <w:rPr>
          <w:rFonts w:ascii="Arial Narrow" w:hAnsi="Arial Narrow"/>
          <w:sz w:val="18"/>
          <w:szCs w:val="18"/>
        </w:rPr>
        <w:t>Source: Table 2-26, p81 of the submission</w:t>
      </w:r>
    </w:p>
    <w:p w14:paraId="4DA53366" w14:textId="77777777" w:rsidR="00A25B32" w:rsidRPr="00BE6650" w:rsidRDefault="00A25B32" w:rsidP="00796B8A">
      <w:pPr>
        <w:pStyle w:val="CaptionFootnote"/>
        <w:keepNext/>
        <w:rPr>
          <w:rFonts w:ascii="Arial Narrow" w:hAnsi="Arial Narrow"/>
          <w:sz w:val="18"/>
          <w:szCs w:val="18"/>
        </w:rPr>
      </w:pPr>
      <w:r w:rsidRPr="00BE6650">
        <w:rPr>
          <w:rFonts w:ascii="Arial Narrow" w:hAnsi="Arial Narrow"/>
          <w:sz w:val="18"/>
          <w:szCs w:val="18"/>
        </w:rPr>
        <w:t xml:space="preserve">SAP = safety analysis population; </w:t>
      </w:r>
      <w:r w:rsidRPr="00BE6650">
        <w:rPr>
          <w:rFonts w:ascii="Arial Narrow" w:hAnsi="Arial Narrow"/>
          <w:sz w:val="18"/>
          <w:szCs w:val="28"/>
        </w:rPr>
        <w:t>TCR/PR MM = triple class refractory and penta-refractory multiple myeloma</w:t>
      </w:r>
      <w:r w:rsidRPr="00BE6650">
        <w:rPr>
          <w:rFonts w:ascii="Arial Narrow" w:hAnsi="Arial Narrow"/>
          <w:sz w:val="18"/>
          <w:szCs w:val="18"/>
        </w:rPr>
        <w:t xml:space="preserve">; TEAE = treatment-emergent adverse event; </w:t>
      </w:r>
      <w:r w:rsidR="001E3E24" w:rsidRPr="00BE6650">
        <w:rPr>
          <w:rFonts w:ascii="Arial Narrow" w:hAnsi="Arial Narrow"/>
          <w:sz w:val="18"/>
          <w:szCs w:val="18"/>
        </w:rPr>
        <w:t xml:space="preserve">Sd </w:t>
      </w:r>
      <w:r w:rsidRPr="00BE6650">
        <w:rPr>
          <w:rFonts w:ascii="Arial Narrow" w:hAnsi="Arial Narrow"/>
          <w:sz w:val="18"/>
          <w:szCs w:val="18"/>
        </w:rPr>
        <w:t>= selinexor plus dexamethasone</w:t>
      </w:r>
    </w:p>
    <w:p w14:paraId="55B1AFAA" w14:textId="77777777" w:rsidR="00A25B32" w:rsidRPr="00BE6650" w:rsidRDefault="00A25B32" w:rsidP="001E6CB9">
      <w:pPr>
        <w:pStyle w:val="CaptionFootnote"/>
        <w:spacing w:after="240"/>
        <w:rPr>
          <w:rFonts w:ascii="Arial Narrow" w:hAnsi="Arial Narrow"/>
          <w:sz w:val="18"/>
          <w:szCs w:val="18"/>
        </w:rPr>
      </w:pPr>
      <w:r w:rsidRPr="00BE6650">
        <w:rPr>
          <w:rFonts w:ascii="Arial Narrow" w:hAnsi="Arial Narrow"/>
          <w:sz w:val="18"/>
          <w:szCs w:val="18"/>
        </w:rPr>
        <w:t xml:space="preserve">Note: Adverse Events are coded using MedDRA version 22.0. Patients are counted once within each system organ class and preferred term. Percentages are based on the number of all-treated patients in each treatment group. A TEAE is defined as an </w:t>
      </w:r>
      <w:r w:rsidR="00864B58" w:rsidRPr="00BE6650">
        <w:rPr>
          <w:rFonts w:ascii="Arial Narrow" w:hAnsi="Arial Narrow"/>
          <w:sz w:val="18"/>
          <w:szCs w:val="18"/>
        </w:rPr>
        <w:t>adverse event</w:t>
      </w:r>
      <w:r w:rsidRPr="00BE6650">
        <w:rPr>
          <w:rFonts w:ascii="Arial Narrow" w:hAnsi="Arial Narrow"/>
          <w:sz w:val="18"/>
          <w:szCs w:val="18"/>
        </w:rPr>
        <w:t xml:space="preserve"> that emerged or worsened in the period from date of first dose to 30 days after the date of last dose. The date of onset of the </w:t>
      </w:r>
      <w:r w:rsidR="00864B58" w:rsidRPr="00BE6650">
        <w:rPr>
          <w:rFonts w:ascii="Arial Narrow" w:hAnsi="Arial Narrow"/>
          <w:sz w:val="18"/>
          <w:szCs w:val="18"/>
        </w:rPr>
        <w:t>adverse event</w:t>
      </w:r>
      <w:r w:rsidRPr="00BE6650">
        <w:rPr>
          <w:rFonts w:ascii="Arial Narrow" w:hAnsi="Arial Narrow"/>
          <w:sz w:val="18"/>
          <w:szCs w:val="18"/>
        </w:rPr>
        <w:t xml:space="preserve"> was used to determine treatment emergence.</w:t>
      </w:r>
    </w:p>
    <w:p w14:paraId="1CACDDE8" w14:textId="77777777" w:rsidR="00397E72" w:rsidRPr="00BE6650" w:rsidRDefault="00397E72" w:rsidP="00B137BE">
      <w:pPr>
        <w:pStyle w:val="3-BodyText"/>
      </w:pPr>
      <w:r w:rsidRPr="00BE6650">
        <w:t xml:space="preserve">The majority of </w:t>
      </w:r>
      <w:r w:rsidR="00A94CEE" w:rsidRPr="00BE6650">
        <w:t xml:space="preserve">the </w:t>
      </w:r>
      <w:r w:rsidR="001A29F9" w:rsidRPr="00BE6650">
        <w:t xml:space="preserve">mITT </w:t>
      </w:r>
      <w:r w:rsidR="00561BF1" w:rsidRPr="00BE6650">
        <w:t>population</w:t>
      </w:r>
      <w:r w:rsidRPr="00BE6650">
        <w:t xml:space="preserve"> </w:t>
      </w:r>
      <w:r w:rsidR="00E47F15" w:rsidRPr="00BE6650">
        <w:t xml:space="preserve">in STORM </w:t>
      </w:r>
      <w:r w:rsidRPr="00BE6650">
        <w:t>had a ≥</w:t>
      </w:r>
      <w:r w:rsidR="00BD41C8" w:rsidRPr="00BE6650">
        <w:t xml:space="preserve"> </w:t>
      </w:r>
      <w:r w:rsidR="00843E4D" w:rsidRPr="00BE6650">
        <w:t>G</w:t>
      </w:r>
      <w:r w:rsidRPr="00BE6650">
        <w:t xml:space="preserve">rade 3 TEAE (93.5%). </w:t>
      </w:r>
      <w:r w:rsidR="00BA5A48" w:rsidRPr="00BE6650">
        <w:t>The submission</w:t>
      </w:r>
      <w:r w:rsidR="00EA1136" w:rsidRPr="00BE6650">
        <w:t xml:space="preserve"> </w:t>
      </w:r>
      <w:r w:rsidR="00F20C46" w:rsidRPr="00BE6650">
        <w:t>provide</w:t>
      </w:r>
      <w:r w:rsidR="00EA1136" w:rsidRPr="00BE6650">
        <w:t>d</w:t>
      </w:r>
      <w:r w:rsidR="00F20C46" w:rsidRPr="00BE6650">
        <w:t xml:space="preserve"> details on </w:t>
      </w:r>
      <w:r w:rsidR="00EA1136" w:rsidRPr="00BE6650">
        <w:t xml:space="preserve">any </w:t>
      </w:r>
      <w:r w:rsidR="00D86E02" w:rsidRPr="00BE6650">
        <w:t>g</w:t>
      </w:r>
      <w:r w:rsidR="00124C85" w:rsidRPr="00BE6650">
        <w:t>rade TEAE</w:t>
      </w:r>
      <w:r w:rsidR="00532DB0" w:rsidRPr="00BE6650">
        <w:t xml:space="preserve"> </w:t>
      </w:r>
      <w:r w:rsidR="00F34D38" w:rsidRPr="00BE6650">
        <w:t>(</w:t>
      </w:r>
      <w:r w:rsidR="00B24A5D" w:rsidRPr="00BE6650">
        <w:t>Table 8</w:t>
      </w:r>
      <w:r w:rsidR="00F34D38" w:rsidRPr="00BE6650">
        <w:t>)</w:t>
      </w:r>
      <w:r w:rsidR="00EA1136" w:rsidRPr="00BE6650">
        <w:t xml:space="preserve">. </w:t>
      </w:r>
      <w:r w:rsidR="00185F40" w:rsidRPr="00BE6650">
        <w:t xml:space="preserve">Based on the Clinical Study Report of STORM, </w:t>
      </w:r>
      <w:r w:rsidR="00185F40" w:rsidRPr="00BE6650">
        <w:rPr>
          <w:iCs/>
        </w:rPr>
        <w:t>t</w:t>
      </w:r>
      <w:r w:rsidRPr="00BE6650">
        <w:rPr>
          <w:iCs/>
        </w:rPr>
        <w:t xml:space="preserve">he </w:t>
      </w:r>
      <w:r w:rsidR="00AA4878" w:rsidRPr="00BE6650">
        <w:rPr>
          <w:iCs/>
        </w:rPr>
        <w:t>ESC noted that</w:t>
      </w:r>
      <w:r w:rsidR="00AA4878" w:rsidRPr="00BE6650">
        <w:t xml:space="preserve"> the </w:t>
      </w:r>
      <w:r w:rsidRPr="00BE6650">
        <w:t>most frequently occurring (&gt;10% of patients) ≥</w:t>
      </w:r>
      <w:r w:rsidR="00DB5497" w:rsidRPr="00BE6650">
        <w:t xml:space="preserve"> </w:t>
      </w:r>
      <w:r w:rsidR="00FD22C5" w:rsidRPr="00BE6650">
        <w:t xml:space="preserve">Grade </w:t>
      </w:r>
      <w:r w:rsidRPr="00BE6650">
        <w:t xml:space="preserve">3 severe hematologic </w:t>
      </w:r>
      <w:r w:rsidR="00766EED" w:rsidRPr="00BE6650">
        <w:t>adverse event</w:t>
      </w:r>
      <w:r w:rsidRPr="00BE6650">
        <w:t>s included thrombocytopenia (61.8%), anaemia (44.7%), neutropenia (22.0%), leukopenia (13.8%), and lymphopenia (11.4%). The most frequently occurring (&gt;</w:t>
      </w:r>
      <w:r w:rsidR="00766EED" w:rsidRPr="00BE6650">
        <w:t xml:space="preserve"> </w:t>
      </w:r>
      <w:r w:rsidRPr="00BE6650">
        <w:t>10% of patients) ≥</w:t>
      </w:r>
      <w:r w:rsidR="00FD22C5" w:rsidRPr="00BE6650">
        <w:t xml:space="preserve"> </w:t>
      </w:r>
      <w:r w:rsidRPr="00BE6650">
        <w:t xml:space="preserve">Grade 3 severe non-hematologic </w:t>
      </w:r>
      <w:r w:rsidR="00766EED" w:rsidRPr="00BE6650">
        <w:t>adverse event</w:t>
      </w:r>
      <w:r w:rsidRPr="00BE6650">
        <w:t xml:space="preserve">s included hyponatremia (22.0%) and fatigue (21.1%). Further, 89.4% of patients were assessed to have </w:t>
      </w:r>
      <w:r w:rsidR="001E7B52" w:rsidRPr="00BE6650">
        <w:t>≥</w:t>
      </w:r>
      <w:r w:rsidR="00FD22C5" w:rsidRPr="00BE6650">
        <w:t xml:space="preserve"> </w:t>
      </w:r>
      <w:r w:rsidR="001E7B52" w:rsidRPr="00BE6650">
        <w:t xml:space="preserve">Grade 3 </w:t>
      </w:r>
      <w:r w:rsidRPr="00BE6650">
        <w:t xml:space="preserve">adverse events that related to </w:t>
      </w:r>
      <w:r w:rsidR="009931F3" w:rsidRPr="00BE6650">
        <w:t>S</w:t>
      </w:r>
      <w:r w:rsidRPr="00BE6650">
        <w:t>d. Other TEAEs with potentially serious implications included pneumonia (14/123; 11.4%) and sepsis (12/123; 9.8%)</w:t>
      </w:r>
      <w:r w:rsidR="001E7B52" w:rsidRPr="00BE6650">
        <w:t xml:space="preserve">. </w:t>
      </w:r>
      <w:r w:rsidRPr="00BE6650">
        <w:t xml:space="preserve">Of the mITT </w:t>
      </w:r>
      <w:r w:rsidR="00561BF1" w:rsidRPr="00BE6650">
        <w:t>population</w:t>
      </w:r>
      <w:r w:rsidRPr="00BE6650">
        <w:t>, 61.8% had any dose reduction of selinexor and 31.7% discontinued treatment due to an adverse event.</w:t>
      </w:r>
    </w:p>
    <w:p w14:paraId="2EC9DC42" w14:textId="77777777" w:rsidR="007F4B9B" w:rsidRPr="00BE6650" w:rsidRDefault="00FF5B47" w:rsidP="00B137BE">
      <w:pPr>
        <w:pStyle w:val="3-BodyText"/>
      </w:pPr>
      <w:r w:rsidRPr="00BE6650">
        <w:rPr>
          <w:iCs/>
        </w:rPr>
        <w:t xml:space="preserve">The safety profile of </w:t>
      </w:r>
      <w:r w:rsidR="008C7E3D" w:rsidRPr="00BE6650">
        <w:rPr>
          <w:iCs/>
        </w:rPr>
        <w:t xml:space="preserve">the </w:t>
      </w:r>
      <w:r w:rsidRPr="00BE6650">
        <w:rPr>
          <w:iCs/>
        </w:rPr>
        <w:t>TCR/PR MM subgroup appears to be similar to the STORM mITT population.</w:t>
      </w:r>
      <w:r w:rsidRPr="00BE6650">
        <w:t xml:space="preserve"> For TCR/PR MM, nearly all patients treated on study (94.0%) had a ≥</w:t>
      </w:r>
      <w:r w:rsidR="00843E4D" w:rsidRPr="00BE6650">
        <w:t> </w:t>
      </w:r>
      <w:r w:rsidRPr="00BE6650">
        <w:t xml:space="preserve">Grade 3 </w:t>
      </w:r>
      <w:r w:rsidR="00E83334" w:rsidRPr="00BE6650">
        <w:t>TE</w:t>
      </w:r>
      <w:r w:rsidRPr="00BE6650">
        <w:t xml:space="preserve">AE. The most frequently occurring (&gt;10% of patients) severe hematologic </w:t>
      </w:r>
      <w:r w:rsidR="00766EED" w:rsidRPr="00BE6650">
        <w:t>adverse event</w:t>
      </w:r>
      <w:r w:rsidRPr="00BE6650">
        <w:t>s included thrombocytopenia (62.7%), anaemia (48.2%), neutropenia (24.1%), leukopenia (18.1%), and lymphopenia (10.8%). The most frequently occurring (&gt;</w:t>
      </w:r>
      <w:r w:rsidR="00766EED" w:rsidRPr="00BE6650">
        <w:t xml:space="preserve"> </w:t>
      </w:r>
      <w:r w:rsidRPr="00BE6650">
        <w:t xml:space="preserve">10% of patients) severe non-hematologic severe </w:t>
      </w:r>
      <w:r w:rsidR="00766EED" w:rsidRPr="00BE6650">
        <w:t>adverse events</w:t>
      </w:r>
      <w:r w:rsidRPr="00BE6650">
        <w:t xml:space="preserve"> included hyponatremia (22.9%) and fatigue (20.5%). Of the TCR/PR MM patients, 59.0% had any dose reduction. No data were reported for the number of patients who discontinued treatment due to an adverse event</w:t>
      </w:r>
      <w:r w:rsidR="00AA4878" w:rsidRPr="00BE6650">
        <w:t xml:space="preserve"> in this subgroup</w:t>
      </w:r>
      <w:r w:rsidRPr="00BE6650">
        <w:t>.</w:t>
      </w:r>
    </w:p>
    <w:p w14:paraId="111394B0" w14:textId="77777777" w:rsidR="00AA4878" w:rsidRPr="00BE6650" w:rsidRDefault="00AA4878" w:rsidP="00423604">
      <w:pPr>
        <w:pStyle w:val="3-BodyText"/>
      </w:pPr>
      <w:r w:rsidRPr="00BE6650">
        <w:rPr>
          <w:iCs/>
        </w:rPr>
        <w:t>The ESC noted that t</w:t>
      </w:r>
      <w:r w:rsidR="00423604" w:rsidRPr="00BE6650">
        <w:rPr>
          <w:iCs/>
        </w:rPr>
        <w:t xml:space="preserve">here were no comparative safety data between </w:t>
      </w:r>
      <w:r w:rsidR="00001F8A" w:rsidRPr="00BE6650">
        <w:rPr>
          <w:iCs/>
        </w:rPr>
        <w:t xml:space="preserve">Sd </w:t>
      </w:r>
      <w:r w:rsidR="00423604" w:rsidRPr="00BE6650">
        <w:rPr>
          <w:iCs/>
        </w:rPr>
        <w:t xml:space="preserve">and the proposed comparator presented in the submission. </w:t>
      </w:r>
      <w:r w:rsidRPr="00BE6650">
        <w:rPr>
          <w:iCs/>
        </w:rPr>
        <w:t xml:space="preserve">The PSCR </w:t>
      </w:r>
      <w:r w:rsidR="008C0D8E" w:rsidRPr="00BE6650">
        <w:rPr>
          <w:iCs/>
        </w:rPr>
        <w:t xml:space="preserve">and the pre-PBAC response </w:t>
      </w:r>
      <w:r w:rsidRPr="00BE6650">
        <w:rPr>
          <w:iCs/>
        </w:rPr>
        <w:t xml:space="preserve">stated that there was limited comparative safety assessment given safety data was not reported in MAMMOTH; however, the </w:t>
      </w:r>
      <w:r w:rsidR="00766EED" w:rsidRPr="00BE6650">
        <w:rPr>
          <w:iCs/>
        </w:rPr>
        <w:t>adverse event</w:t>
      </w:r>
      <w:r w:rsidRPr="00BE6650">
        <w:rPr>
          <w:iCs/>
        </w:rPr>
        <w:t xml:space="preserve">s </w:t>
      </w:r>
      <w:r w:rsidR="00766EED" w:rsidRPr="00BE6650">
        <w:rPr>
          <w:iCs/>
        </w:rPr>
        <w:t>associated with</w:t>
      </w:r>
      <w:r w:rsidRPr="00BE6650">
        <w:rPr>
          <w:iCs/>
        </w:rPr>
        <w:t xml:space="preserve"> Sd were generally manageable. </w:t>
      </w:r>
    </w:p>
    <w:p w14:paraId="373BED12" w14:textId="77777777" w:rsidR="00423604" w:rsidRPr="00BE6650" w:rsidRDefault="00AA4878" w:rsidP="00423604">
      <w:pPr>
        <w:pStyle w:val="3-BodyText"/>
      </w:pPr>
      <w:r w:rsidRPr="00BE6650">
        <w:rPr>
          <w:iCs/>
        </w:rPr>
        <w:t xml:space="preserve">The </w:t>
      </w:r>
      <w:r w:rsidR="009E0B8D" w:rsidRPr="00BE6650">
        <w:rPr>
          <w:iCs/>
        </w:rPr>
        <w:t>ESC noted that</w:t>
      </w:r>
      <w:r w:rsidRPr="00BE6650">
        <w:rPr>
          <w:iCs/>
        </w:rPr>
        <w:t xml:space="preserve"> a</w:t>
      </w:r>
      <w:r w:rsidR="00423604" w:rsidRPr="00BE6650">
        <w:rPr>
          <w:iCs/>
        </w:rPr>
        <w:t xml:space="preserve"> high proportion of </w:t>
      </w:r>
      <w:r w:rsidRPr="00BE6650">
        <w:rPr>
          <w:iCs/>
        </w:rPr>
        <w:t xml:space="preserve">Sd </w:t>
      </w:r>
      <w:r w:rsidR="00423604" w:rsidRPr="00BE6650">
        <w:rPr>
          <w:iCs/>
        </w:rPr>
        <w:t>patients experience</w:t>
      </w:r>
      <w:r w:rsidRPr="00BE6650">
        <w:rPr>
          <w:iCs/>
        </w:rPr>
        <w:t>d</w:t>
      </w:r>
      <w:r w:rsidR="00423604" w:rsidRPr="00BE6650">
        <w:rPr>
          <w:iCs/>
        </w:rPr>
        <w:t xml:space="preserve"> adverse events</w:t>
      </w:r>
      <w:r w:rsidRPr="00BE6650">
        <w:rPr>
          <w:iCs/>
        </w:rPr>
        <w:t>, particularly haematological,</w:t>
      </w:r>
      <w:r w:rsidR="00423604" w:rsidRPr="00BE6650">
        <w:rPr>
          <w:iCs/>
        </w:rPr>
        <w:t xml:space="preserve"> and </w:t>
      </w:r>
      <w:r w:rsidRPr="00BE6650">
        <w:rPr>
          <w:iCs/>
        </w:rPr>
        <w:t xml:space="preserve">dose reduction or </w:t>
      </w:r>
      <w:r w:rsidR="00423604" w:rsidRPr="00BE6650">
        <w:rPr>
          <w:iCs/>
        </w:rPr>
        <w:t>discontinuation</w:t>
      </w:r>
      <w:r w:rsidR="002E5095" w:rsidRPr="00BE6650">
        <w:rPr>
          <w:iCs/>
        </w:rPr>
        <w:t xml:space="preserve"> of treatment</w:t>
      </w:r>
      <w:r w:rsidR="00423604" w:rsidRPr="00BE6650">
        <w:rPr>
          <w:iCs/>
        </w:rPr>
        <w:t xml:space="preserve">.  </w:t>
      </w:r>
    </w:p>
    <w:p w14:paraId="110289CF" w14:textId="77777777" w:rsidR="00A25B32" w:rsidRPr="00BE6650" w:rsidRDefault="00A25B32" w:rsidP="00A25B32">
      <w:pPr>
        <w:pStyle w:val="4-SubsectionHeading"/>
      </w:pPr>
      <w:bookmarkStart w:id="18" w:name="_Toc22897643"/>
      <w:bookmarkStart w:id="19" w:name="_Toc72323739"/>
      <w:r w:rsidRPr="00BE6650">
        <w:t>Benefits/harms</w:t>
      </w:r>
      <w:bookmarkEnd w:id="18"/>
      <w:bookmarkEnd w:id="19"/>
    </w:p>
    <w:p w14:paraId="296D7B81" w14:textId="77777777" w:rsidR="00A25B32" w:rsidRPr="00BE6650" w:rsidRDefault="00A25B32" w:rsidP="00A25B32">
      <w:pPr>
        <w:pStyle w:val="3-BodyText"/>
      </w:pPr>
      <w:r w:rsidRPr="00BE6650">
        <w:rPr>
          <w:snapToGrid/>
        </w:rPr>
        <w:t xml:space="preserve">The naïve comparisons presented in the submission did not allow for a quantitative comparison of the benefits and harms of </w:t>
      </w:r>
      <w:r w:rsidR="00B75712" w:rsidRPr="00BE6650">
        <w:rPr>
          <w:snapToGrid/>
        </w:rPr>
        <w:t xml:space="preserve">Sd </w:t>
      </w:r>
      <w:r w:rsidRPr="00BE6650">
        <w:rPr>
          <w:snapToGrid/>
        </w:rPr>
        <w:t>and DCEP. Accordingly, a benefits/harms table has not been presented.</w:t>
      </w:r>
    </w:p>
    <w:p w14:paraId="6827CB45" w14:textId="77777777" w:rsidR="00A25B32" w:rsidRPr="00BE6650" w:rsidRDefault="00A25B32" w:rsidP="00A25B32">
      <w:pPr>
        <w:pStyle w:val="4-SubsectionHeading"/>
      </w:pPr>
      <w:bookmarkStart w:id="20" w:name="_Toc22897644"/>
      <w:bookmarkStart w:id="21" w:name="_Toc72323740"/>
      <w:r w:rsidRPr="00BE6650">
        <w:t>Clinical claim</w:t>
      </w:r>
      <w:bookmarkEnd w:id="20"/>
      <w:bookmarkEnd w:id="21"/>
    </w:p>
    <w:p w14:paraId="59ADF3E0" w14:textId="77777777" w:rsidR="00BA4826" w:rsidRPr="00BE6650" w:rsidRDefault="00A25B32" w:rsidP="006C75BA">
      <w:pPr>
        <w:pStyle w:val="3-BodyText"/>
        <w:rPr>
          <w:rFonts w:eastAsia="Calibri"/>
        </w:rPr>
      </w:pPr>
      <w:r w:rsidRPr="00BE6650">
        <w:rPr>
          <w:rFonts w:eastAsia="Calibri"/>
        </w:rPr>
        <w:t xml:space="preserve">The submission described </w:t>
      </w:r>
      <w:r w:rsidR="00F64278" w:rsidRPr="00BE6650">
        <w:rPr>
          <w:rFonts w:eastAsia="Calibri"/>
        </w:rPr>
        <w:t>S</w:t>
      </w:r>
      <w:r w:rsidR="00A4729A" w:rsidRPr="00BE6650">
        <w:rPr>
          <w:rFonts w:eastAsia="Calibri"/>
        </w:rPr>
        <w:t>d</w:t>
      </w:r>
      <w:r w:rsidRPr="00BE6650">
        <w:rPr>
          <w:rFonts w:eastAsia="Calibri"/>
        </w:rPr>
        <w:t xml:space="preserve"> as superior in terms of effectiveness </w:t>
      </w:r>
      <w:r w:rsidR="000A6390" w:rsidRPr="00BE6650">
        <w:rPr>
          <w:rFonts w:eastAsia="Calibri"/>
        </w:rPr>
        <w:t xml:space="preserve">when </w:t>
      </w:r>
      <w:r w:rsidRPr="00BE6650">
        <w:rPr>
          <w:rFonts w:eastAsia="Calibri"/>
        </w:rPr>
        <w:t xml:space="preserve">compared to </w:t>
      </w:r>
      <w:r w:rsidR="00A6354F" w:rsidRPr="00BE6650">
        <w:rPr>
          <w:rFonts w:eastAsia="Calibri"/>
        </w:rPr>
        <w:t>current standard care</w:t>
      </w:r>
      <w:r w:rsidR="009E0B8D" w:rsidRPr="00BE6650">
        <w:rPr>
          <w:rFonts w:eastAsia="Calibri"/>
        </w:rPr>
        <w:t>, with the PSCR stating that the effectiveness claim was supported by the clinical evidence presented in the STORM study including a 25.3% ORR and a rapid time to response (4 weeks for the responders).</w:t>
      </w:r>
      <w:r w:rsidRPr="00BE6650">
        <w:rPr>
          <w:rFonts w:eastAsia="Calibri"/>
        </w:rPr>
        <w:t xml:space="preserve"> </w:t>
      </w:r>
      <w:r w:rsidR="006C75BA" w:rsidRPr="00BE6650">
        <w:rPr>
          <w:rFonts w:eastAsia="Calibri"/>
        </w:rPr>
        <w:t xml:space="preserve">The </w:t>
      </w:r>
      <w:r w:rsidR="00AA4878" w:rsidRPr="00BE6650">
        <w:rPr>
          <w:rFonts w:eastAsia="Calibri"/>
        </w:rPr>
        <w:t xml:space="preserve">ESC </w:t>
      </w:r>
      <w:r w:rsidR="006C75BA" w:rsidRPr="00BE6650">
        <w:rPr>
          <w:rFonts w:eastAsia="Calibri"/>
        </w:rPr>
        <w:t>considered that</w:t>
      </w:r>
      <w:r w:rsidR="006C75BA" w:rsidRPr="00BE6650">
        <w:rPr>
          <w:rFonts w:eastAsia="Calibri"/>
          <w:i/>
        </w:rPr>
        <w:t xml:space="preserve"> </w:t>
      </w:r>
      <w:r w:rsidR="006C75BA" w:rsidRPr="00BE6650">
        <w:rPr>
          <w:rFonts w:eastAsia="Calibri"/>
          <w:iCs/>
        </w:rPr>
        <w:t>t</w:t>
      </w:r>
      <w:r w:rsidRPr="00BE6650">
        <w:rPr>
          <w:rFonts w:eastAsia="Calibri"/>
          <w:iCs/>
        </w:rPr>
        <w:t>his claim was</w:t>
      </w:r>
      <w:r w:rsidRPr="00BE6650">
        <w:rPr>
          <w:rFonts w:eastAsia="Calibri"/>
        </w:rPr>
        <w:t xml:space="preserve"> not adequately supported. The key </w:t>
      </w:r>
      <w:r w:rsidR="00CB5C9C" w:rsidRPr="00BE6650">
        <w:rPr>
          <w:rFonts w:eastAsia="Calibri"/>
        </w:rPr>
        <w:t xml:space="preserve">transitivity and applicability </w:t>
      </w:r>
      <w:r w:rsidRPr="00BE6650">
        <w:rPr>
          <w:rFonts w:eastAsia="Calibri"/>
        </w:rPr>
        <w:t xml:space="preserve">issues were: </w:t>
      </w:r>
      <w:r w:rsidR="00CB5C9C" w:rsidRPr="00BE6650">
        <w:rPr>
          <w:rFonts w:eastAsia="Calibri"/>
        </w:rPr>
        <w:t xml:space="preserve">(i) </w:t>
      </w:r>
      <w:r w:rsidR="001856E8" w:rsidRPr="00BE6650">
        <w:rPr>
          <w:rFonts w:eastAsia="Calibri"/>
        </w:rPr>
        <w:t>the high risk of bias</w:t>
      </w:r>
      <w:r w:rsidR="00846FA3" w:rsidRPr="00BE6650">
        <w:rPr>
          <w:rFonts w:eastAsia="Calibri"/>
        </w:rPr>
        <w:t xml:space="preserve"> in </w:t>
      </w:r>
      <w:r w:rsidR="00594360" w:rsidRPr="00BE6650">
        <w:rPr>
          <w:rFonts w:eastAsia="Calibri"/>
        </w:rPr>
        <w:t>STORM</w:t>
      </w:r>
      <w:r w:rsidR="00851173" w:rsidRPr="00BE6650">
        <w:rPr>
          <w:rFonts w:eastAsia="Calibri"/>
        </w:rPr>
        <w:t xml:space="preserve"> given</w:t>
      </w:r>
      <w:r w:rsidR="00594360" w:rsidRPr="00BE6650">
        <w:rPr>
          <w:rFonts w:eastAsia="Calibri"/>
        </w:rPr>
        <w:t xml:space="preserve"> it is a non-randomised, single arm, open-label study</w:t>
      </w:r>
      <w:r w:rsidR="00846FA3" w:rsidRPr="00BE6650">
        <w:rPr>
          <w:rFonts w:eastAsia="Calibri"/>
        </w:rPr>
        <w:t xml:space="preserve">; </w:t>
      </w:r>
      <w:r w:rsidR="00CB5C9C" w:rsidRPr="00BE6650">
        <w:rPr>
          <w:rFonts w:eastAsia="Calibri"/>
        </w:rPr>
        <w:t xml:space="preserve">(ii) </w:t>
      </w:r>
      <w:r w:rsidR="008A26AE" w:rsidRPr="00BE6650">
        <w:rPr>
          <w:rFonts w:eastAsia="Calibri"/>
        </w:rPr>
        <w:t>the naïve comparison appear</w:t>
      </w:r>
      <w:r w:rsidR="00931868" w:rsidRPr="00BE6650">
        <w:rPr>
          <w:rFonts w:eastAsia="Calibri"/>
        </w:rPr>
        <w:t>ed</w:t>
      </w:r>
      <w:r w:rsidR="001858BD" w:rsidRPr="00BE6650">
        <w:rPr>
          <w:rFonts w:eastAsia="Calibri"/>
        </w:rPr>
        <w:t xml:space="preserve"> to be based on </w:t>
      </w:r>
      <w:r w:rsidR="00931868" w:rsidRPr="00BE6650">
        <w:rPr>
          <w:rFonts w:eastAsia="Calibri"/>
        </w:rPr>
        <w:t>patient</w:t>
      </w:r>
      <w:r w:rsidR="00CF0A1C" w:rsidRPr="00BE6650">
        <w:rPr>
          <w:rFonts w:eastAsia="Calibri"/>
        </w:rPr>
        <w:t>s with</w:t>
      </w:r>
      <w:r w:rsidR="00931868" w:rsidRPr="00BE6650">
        <w:rPr>
          <w:rFonts w:eastAsia="Calibri"/>
        </w:rPr>
        <w:t xml:space="preserve"> </w:t>
      </w:r>
      <w:r w:rsidR="009F7580" w:rsidRPr="00BE6650">
        <w:rPr>
          <w:rFonts w:eastAsia="Calibri"/>
        </w:rPr>
        <w:t xml:space="preserve">characteristics </w:t>
      </w:r>
      <w:r w:rsidR="00931868" w:rsidRPr="00BE6650">
        <w:rPr>
          <w:rFonts w:eastAsia="Calibri"/>
        </w:rPr>
        <w:t xml:space="preserve">which differed </w:t>
      </w:r>
      <w:r w:rsidR="009F7580" w:rsidRPr="00BE6650">
        <w:rPr>
          <w:rFonts w:eastAsia="Calibri"/>
        </w:rPr>
        <w:t xml:space="preserve">across studies </w:t>
      </w:r>
      <w:r w:rsidR="00931868" w:rsidRPr="00BE6650">
        <w:rPr>
          <w:rFonts w:eastAsia="Calibri"/>
        </w:rPr>
        <w:t xml:space="preserve">which may favour </w:t>
      </w:r>
      <w:r w:rsidR="00F64278" w:rsidRPr="00BE6650">
        <w:rPr>
          <w:rFonts w:eastAsia="Calibri"/>
        </w:rPr>
        <w:t>S</w:t>
      </w:r>
      <w:r w:rsidR="00B00E8C" w:rsidRPr="00BE6650">
        <w:rPr>
          <w:rFonts w:eastAsia="Calibri"/>
        </w:rPr>
        <w:t>d</w:t>
      </w:r>
      <w:r w:rsidR="00503444" w:rsidRPr="00BE6650">
        <w:rPr>
          <w:rFonts w:eastAsia="Calibri"/>
        </w:rPr>
        <w:t xml:space="preserve"> </w:t>
      </w:r>
      <w:r w:rsidR="00A75F61" w:rsidRPr="00BE6650">
        <w:rPr>
          <w:rFonts w:eastAsia="Calibri"/>
        </w:rPr>
        <w:t>(</w:t>
      </w:r>
      <w:r w:rsidR="00503444" w:rsidRPr="00BE6650">
        <w:rPr>
          <w:rFonts w:eastAsia="Calibri"/>
        </w:rPr>
        <w:t>in particular</w:t>
      </w:r>
      <w:r w:rsidR="00931868" w:rsidRPr="00BE6650">
        <w:rPr>
          <w:rFonts w:eastAsia="Calibri"/>
        </w:rPr>
        <w:t>, patients were more</w:t>
      </w:r>
      <w:r w:rsidR="00503444" w:rsidRPr="00BE6650">
        <w:rPr>
          <w:rFonts w:eastAsia="Calibri"/>
        </w:rPr>
        <w:t xml:space="preserve"> </w:t>
      </w:r>
      <w:r w:rsidR="00514ED9" w:rsidRPr="00BE6650">
        <w:rPr>
          <w:rFonts w:eastAsia="Calibri"/>
        </w:rPr>
        <w:t>likely</w:t>
      </w:r>
      <w:r w:rsidR="00931868" w:rsidRPr="00BE6650">
        <w:rPr>
          <w:rFonts w:eastAsia="Calibri"/>
        </w:rPr>
        <w:t xml:space="preserve"> to be</w:t>
      </w:r>
      <w:r w:rsidR="00514ED9" w:rsidRPr="00BE6650">
        <w:rPr>
          <w:rFonts w:eastAsia="Calibri"/>
        </w:rPr>
        <w:t xml:space="preserve"> healthier and/or </w:t>
      </w:r>
      <w:r w:rsidR="00931868" w:rsidRPr="00BE6650">
        <w:rPr>
          <w:rFonts w:eastAsia="Calibri"/>
        </w:rPr>
        <w:t xml:space="preserve">had </w:t>
      </w:r>
      <w:r w:rsidR="00514ED9" w:rsidRPr="00BE6650">
        <w:rPr>
          <w:rFonts w:eastAsia="Calibri"/>
        </w:rPr>
        <w:t xml:space="preserve">less advanced diseased </w:t>
      </w:r>
      <w:r w:rsidR="004F3A19" w:rsidRPr="00BE6650">
        <w:rPr>
          <w:rFonts w:eastAsia="Calibri"/>
        </w:rPr>
        <w:t>and a high proportion of patients receiv</w:t>
      </w:r>
      <w:r w:rsidR="00931868" w:rsidRPr="00BE6650">
        <w:rPr>
          <w:rFonts w:eastAsia="Calibri"/>
        </w:rPr>
        <w:t>ed</w:t>
      </w:r>
      <w:r w:rsidR="004F3A19" w:rsidRPr="00BE6650">
        <w:rPr>
          <w:rFonts w:eastAsia="Calibri"/>
        </w:rPr>
        <w:t xml:space="preserve"> subsequent </w:t>
      </w:r>
      <w:r w:rsidR="00931868" w:rsidRPr="00BE6650">
        <w:rPr>
          <w:rFonts w:eastAsia="Calibri"/>
        </w:rPr>
        <w:t xml:space="preserve">treatment after Sd </w:t>
      </w:r>
      <w:r w:rsidR="00514ED9" w:rsidRPr="00BE6650">
        <w:rPr>
          <w:rFonts w:eastAsia="Calibri"/>
        </w:rPr>
        <w:t>in STORM</w:t>
      </w:r>
      <w:r w:rsidR="00A75F61" w:rsidRPr="00BE6650">
        <w:rPr>
          <w:rFonts w:eastAsia="Calibri"/>
        </w:rPr>
        <w:t>)</w:t>
      </w:r>
      <w:r w:rsidR="00B00E8C" w:rsidRPr="00BE6650">
        <w:rPr>
          <w:rFonts w:eastAsia="Calibri"/>
        </w:rPr>
        <w:t>;</w:t>
      </w:r>
      <w:r w:rsidR="00B93884" w:rsidRPr="00BE6650">
        <w:rPr>
          <w:rFonts w:eastAsia="Calibri"/>
        </w:rPr>
        <w:t xml:space="preserve"> </w:t>
      </w:r>
      <w:r w:rsidR="00CB5C9C" w:rsidRPr="00BE6650">
        <w:rPr>
          <w:rFonts w:eastAsia="Calibri"/>
        </w:rPr>
        <w:t xml:space="preserve">(iii) </w:t>
      </w:r>
      <w:r w:rsidR="00B93884" w:rsidRPr="00BE6650">
        <w:rPr>
          <w:rFonts w:eastAsia="Calibri"/>
        </w:rPr>
        <w:t>the naïve comparison was based on population</w:t>
      </w:r>
      <w:r w:rsidR="00284C90" w:rsidRPr="00BE6650">
        <w:rPr>
          <w:rFonts w:eastAsia="Calibri"/>
        </w:rPr>
        <w:t>s</w:t>
      </w:r>
      <w:r w:rsidR="00B93884" w:rsidRPr="00BE6650">
        <w:rPr>
          <w:rFonts w:eastAsia="Calibri"/>
        </w:rPr>
        <w:t xml:space="preserve"> that </w:t>
      </w:r>
      <w:r w:rsidR="00284C90" w:rsidRPr="00BE6650">
        <w:rPr>
          <w:rFonts w:eastAsia="Calibri"/>
        </w:rPr>
        <w:t>were</w:t>
      </w:r>
      <w:r w:rsidR="00B93884" w:rsidRPr="00BE6650">
        <w:rPr>
          <w:rFonts w:eastAsia="Calibri"/>
        </w:rPr>
        <w:t xml:space="preserve"> not </w:t>
      </w:r>
      <w:r w:rsidR="000A6390" w:rsidRPr="00BE6650">
        <w:rPr>
          <w:rFonts w:eastAsia="Calibri"/>
        </w:rPr>
        <w:t>applicable</w:t>
      </w:r>
      <w:r w:rsidR="00284C90" w:rsidRPr="00BE6650">
        <w:rPr>
          <w:rFonts w:eastAsia="Calibri"/>
        </w:rPr>
        <w:t xml:space="preserve"> to the requested listing</w:t>
      </w:r>
      <w:r w:rsidR="00AE17E3" w:rsidRPr="00BE6650">
        <w:rPr>
          <w:rFonts w:eastAsia="Calibri"/>
        </w:rPr>
        <w:t>;</w:t>
      </w:r>
      <w:r w:rsidR="00B00E8C" w:rsidRPr="00BE6650">
        <w:rPr>
          <w:rFonts w:eastAsia="Calibri"/>
        </w:rPr>
        <w:t xml:space="preserve"> </w:t>
      </w:r>
      <w:r w:rsidR="00FD22C5" w:rsidRPr="00BE6650">
        <w:rPr>
          <w:rFonts w:eastAsia="Calibri"/>
        </w:rPr>
        <w:t xml:space="preserve">and </w:t>
      </w:r>
      <w:r w:rsidR="00617453" w:rsidRPr="00BE6650">
        <w:rPr>
          <w:rFonts w:eastAsia="Calibri"/>
        </w:rPr>
        <w:t xml:space="preserve">(iv) </w:t>
      </w:r>
      <w:r w:rsidR="00363F42" w:rsidRPr="00BE6650">
        <w:rPr>
          <w:rFonts w:eastAsia="Calibri"/>
        </w:rPr>
        <w:t>no comparative PFS data were provided</w:t>
      </w:r>
      <w:r w:rsidR="00682EC0" w:rsidRPr="00BE6650">
        <w:rPr>
          <w:rFonts w:eastAsia="Calibri"/>
        </w:rPr>
        <w:t>.</w:t>
      </w:r>
      <w:r w:rsidR="00363F42" w:rsidRPr="00BE6650">
        <w:rPr>
          <w:rFonts w:eastAsia="Calibri"/>
        </w:rPr>
        <w:t xml:space="preserve"> </w:t>
      </w:r>
    </w:p>
    <w:p w14:paraId="0171C21A" w14:textId="77777777" w:rsidR="00580A49" w:rsidRPr="00BE6650" w:rsidRDefault="00580A49" w:rsidP="00580A49">
      <w:pPr>
        <w:widowControl w:val="0"/>
        <w:numPr>
          <w:ilvl w:val="1"/>
          <w:numId w:val="1"/>
        </w:numPr>
        <w:spacing w:after="120"/>
        <w:ind w:left="720"/>
        <w:rPr>
          <w:rFonts w:asciiTheme="minorHAnsi" w:hAnsiTheme="minorHAnsi"/>
          <w:snapToGrid w:val="0"/>
          <w:szCs w:val="20"/>
        </w:rPr>
      </w:pPr>
      <w:r w:rsidRPr="00BE6650">
        <w:rPr>
          <w:rFonts w:asciiTheme="minorHAnsi" w:hAnsiTheme="minorHAnsi"/>
          <w:iCs/>
          <w:snapToGrid w:val="0"/>
        </w:rPr>
        <w:t>The</w:t>
      </w:r>
      <w:r w:rsidRPr="00BE6650">
        <w:rPr>
          <w:rFonts w:asciiTheme="minorHAnsi" w:hAnsiTheme="minorHAnsi"/>
          <w:snapToGrid w:val="0"/>
          <w:szCs w:val="20"/>
        </w:rPr>
        <w:t xml:space="preserve"> PBAC considered that the claim of superior comparative effectiveness was not adequately supported by the data.</w:t>
      </w:r>
    </w:p>
    <w:p w14:paraId="04301E3D" w14:textId="77777777" w:rsidR="00593321" w:rsidRPr="00BE6650" w:rsidRDefault="00A25B32" w:rsidP="002601CD">
      <w:pPr>
        <w:pStyle w:val="3-BodyText"/>
        <w:rPr>
          <w:rFonts w:eastAsia="Calibri"/>
        </w:rPr>
      </w:pPr>
      <w:r w:rsidRPr="00BE6650">
        <w:rPr>
          <w:rFonts w:eastAsia="Calibri"/>
        </w:rPr>
        <w:t xml:space="preserve">The submission described </w:t>
      </w:r>
      <w:r w:rsidR="00BC6D29" w:rsidRPr="00BE6650">
        <w:rPr>
          <w:rFonts w:eastAsia="Calibri"/>
        </w:rPr>
        <w:t xml:space="preserve">Sd </w:t>
      </w:r>
      <w:r w:rsidRPr="00BE6650">
        <w:rPr>
          <w:rFonts w:eastAsia="Calibri"/>
        </w:rPr>
        <w:t xml:space="preserve">as superior in terms of safety compared to </w:t>
      </w:r>
      <w:r w:rsidR="00B70C59" w:rsidRPr="00BE6650">
        <w:rPr>
          <w:rFonts w:eastAsia="Calibri"/>
        </w:rPr>
        <w:t>salvage chemotherapy</w:t>
      </w:r>
      <w:r w:rsidRPr="00BE6650">
        <w:rPr>
          <w:rFonts w:eastAsia="Calibri"/>
        </w:rPr>
        <w:t xml:space="preserve">. </w:t>
      </w:r>
      <w:r w:rsidR="002D18A2" w:rsidRPr="00BE6650">
        <w:rPr>
          <w:rFonts w:eastAsia="Calibri"/>
        </w:rPr>
        <w:t xml:space="preserve">The </w:t>
      </w:r>
      <w:r w:rsidR="00AA4878" w:rsidRPr="00BE6650">
        <w:rPr>
          <w:rFonts w:eastAsia="Calibri"/>
        </w:rPr>
        <w:t xml:space="preserve">ESC </w:t>
      </w:r>
      <w:r w:rsidR="002D18A2" w:rsidRPr="00BE6650">
        <w:rPr>
          <w:rFonts w:eastAsia="Calibri"/>
        </w:rPr>
        <w:t xml:space="preserve">considered </w:t>
      </w:r>
      <w:r w:rsidR="00AA4878" w:rsidRPr="00BE6650">
        <w:rPr>
          <w:rFonts w:eastAsia="Calibri"/>
        </w:rPr>
        <w:t>that</w:t>
      </w:r>
      <w:r w:rsidR="00AA4878" w:rsidRPr="00BE6650">
        <w:rPr>
          <w:rFonts w:eastAsia="Calibri"/>
          <w:i/>
        </w:rPr>
        <w:t xml:space="preserve"> </w:t>
      </w:r>
      <w:r w:rsidR="002D18A2" w:rsidRPr="00BE6650">
        <w:rPr>
          <w:rFonts w:eastAsia="Calibri"/>
        </w:rPr>
        <w:t>t</w:t>
      </w:r>
      <w:r w:rsidRPr="00BE6650">
        <w:rPr>
          <w:rFonts w:eastAsia="Calibri"/>
        </w:rPr>
        <w:t>his claim was not</w:t>
      </w:r>
      <w:r w:rsidR="00BC1D48" w:rsidRPr="00BE6650">
        <w:rPr>
          <w:rFonts w:eastAsia="Calibri"/>
        </w:rPr>
        <w:t xml:space="preserve"> </w:t>
      </w:r>
      <w:r w:rsidRPr="00BE6650">
        <w:rPr>
          <w:rFonts w:eastAsia="Calibri"/>
        </w:rPr>
        <w:t>adequately supported</w:t>
      </w:r>
      <w:r w:rsidR="002D18A2" w:rsidRPr="00BE6650">
        <w:rPr>
          <w:rFonts w:eastAsia="Calibri"/>
        </w:rPr>
        <w:t xml:space="preserve"> </w:t>
      </w:r>
      <w:r w:rsidR="002D18A2" w:rsidRPr="00BE6650">
        <w:rPr>
          <w:rFonts w:eastAsia="Calibri"/>
          <w:iCs/>
        </w:rPr>
        <w:t>as</w:t>
      </w:r>
      <w:r w:rsidR="002D18A2" w:rsidRPr="00BE6650">
        <w:rPr>
          <w:iCs/>
        </w:rPr>
        <w:t xml:space="preserve"> t</w:t>
      </w:r>
      <w:r w:rsidR="00BC1D48" w:rsidRPr="00BE6650">
        <w:rPr>
          <w:iCs/>
        </w:rPr>
        <w:t xml:space="preserve">here were no comparative safety data between </w:t>
      </w:r>
      <w:r w:rsidR="00BC6D29" w:rsidRPr="00BE6650">
        <w:rPr>
          <w:iCs/>
        </w:rPr>
        <w:t xml:space="preserve">Sd </w:t>
      </w:r>
      <w:r w:rsidR="00BC1D48" w:rsidRPr="00BE6650">
        <w:rPr>
          <w:iCs/>
        </w:rPr>
        <w:t>and the proposed comparator presented in the submission.</w:t>
      </w:r>
      <w:r w:rsidR="00576989" w:rsidRPr="00BE6650">
        <w:rPr>
          <w:i/>
          <w:iCs/>
        </w:rPr>
        <w:t xml:space="preserve"> </w:t>
      </w:r>
      <w:r w:rsidR="00AA4878" w:rsidRPr="00BE6650">
        <w:t>The ESC noted that</w:t>
      </w:r>
      <w:r w:rsidR="00AA4878" w:rsidRPr="00BE6650">
        <w:rPr>
          <w:i/>
          <w:iCs/>
        </w:rPr>
        <w:t xml:space="preserve"> </w:t>
      </w:r>
      <w:r w:rsidR="00576989" w:rsidRPr="00BE6650">
        <w:rPr>
          <w:iCs/>
        </w:rPr>
        <w:t xml:space="preserve">a high proportion of </w:t>
      </w:r>
      <w:r w:rsidR="00AA4878" w:rsidRPr="00BE6650">
        <w:rPr>
          <w:iCs/>
        </w:rPr>
        <w:t xml:space="preserve">Sd </w:t>
      </w:r>
      <w:r w:rsidR="00576989" w:rsidRPr="00BE6650">
        <w:rPr>
          <w:iCs/>
        </w:rPr>
        <w:t>patients experience</w:t>
      </w:r>
      <w:r w:rsidR="00AA4878" w:rsidRPr="00BE6650">
        <w:rPr>
          <w:iCs/>
        </w:rPr>
        <w:t>d</w:t>
      </w:r>
      <w:r w:rsidR="00576989" w:rsidRPr="00BE6650">
        <w:rPr>
          <w:iCs/>
        </w:rPr>
        <w:t xml:space="preserve"> adverse events</w:t>
      </w:r>
      <w:r w:rsidR="00AA4878" w:rsidRPr="00BE6650">
        <w:rPr>
          <w:iCs/>
        </w:rPr>
        <w:t>, particularly haematological,</w:t>
      </w:r>
      <w:r w:rsidR="00576989" w:rsidRPr="00BE6650">
        <w:rPr>
          <w:iCs/>
        </w:rPr>
        <w:t xml:space="preserve"> and </w:t>
      </w:r>
      <w:r w:rsidR="00AA4878" w:rsidRPr="00BE6650">
        <w:rPr>
          <w:iCs/>
        </w:rPr>
        <w:t xml:space="preserve">dose reduction or </w:t>
      </w:r>
      <w:r w:rsidR="00576989" w:rsidRPr="00BE6650">
        <w:rPr>
          <w:iCs/>
        </w:rPr>
        <w:t xml:space="preserve">treatment discontinuation </w:t>
      </w:r>
      <w:r w:rsidR="00EB2730" w:rsidRPr="00BE6650">
        <w:rPr>
          <w:iCs/>
        </w:rPr>
        <w:t xml:space="preserve">when </w:t>
      </w:r>
      <w:r w:rsidR="00576989" w:rsidRPr="00BE6650">
        <w:rPr>
          <w:iCs/>
        </w:rPr>
        <w:t xml:space="preserve">receiving </w:t>
      </w:r>
      <w:r w:rsidR="00963275" w:rsidRPr="00BE6650">
        <w:rPr>
          <w:iCs/>
        </w:rPr>
        <w:t>S</w:t>
      </w:r>
      <w:r w:rsidR="00576989" w:rsidRPr="00BE6650">
        <w:rPr>
          <w:iCs/>
        </w:rPr>
        <w:t>d</w:t>
      </w:r>
      <w:r w:rsidR="00963275" w:rsidRPr="00BE6650">
        <w:rPr>
          <w:iCs/>
        </w:rPr>
        <w:t>.</w:t>
      </w:r>
      <w:r w:rsidR="001C5009" w:rsidRPr="00BE6650">
        <w:rPr>
          <w:iCs/>
        </w:rPr>
        <w:t xml:space="preserve"> </w:t>
      </w:r>
      <w:r w:rsidR="00593321" w:rsidRPr="00BE6650">
        <w:t xml:space="preserve">Overall, the ESC considered the comparative benefit of Sd </w:t>
      </w:r>
      <w:r w:rsidR="009E0B8D" w:rsidRPr="00BE6650">
        <w:t xml:space="preserve">compared </w:t>
      </w:r>
      <w:r w:rsidR="00593321" w:rsidRPr="00BE6650">
        <w:t>to conventional therapy was</w:t>
      </w:r>
      <w:r w:rsidR="002E5095" w:rsidRPr="00BE6650">
        <w:t xml:space="preserve"> uncertain and</w:t>
      </w:r>
      <w:r w:rsidR="00593321" w:rsidRPr="00BE6650">
        <w:t xml:space="preserve"> </w:t>
      </w:r>
      <w:r w:rsidR="002E5095" w:rsidRPr="00BE6650">
        <w:t>Sd was associated with</w:t>
      </w:r>
      <w:r w:rsidR="00593321" w:rsidRPr="00BE6650">
        <w:t xml:space="preserve"> significant toxicity.</w:t>
      </w:r>
    </w:p>
    <w:p w14:paraId="4504C5E1" w14:textId="77777777" w:rsidR="004E4B07" w:rsidRPr="00BE6650" w:rsidRDefault="004E4B07" w:rsidP="004E4B07">
      <w:pPr>
        <w:pStyle w:val="3-BodyText"/>
        <w:rPr>
          <w:rFonts w:eastAsia="Calibri"/>
        </w:rPr>
      </w:pPr>
      <w:r w:rsidRPr="00BE6650">
        <w:rPr>
          <w:szCs w:val="20"/>
        </w:rPr>
        <w:t>The PBAC considered that the claim of superior comparative safety was not adequately supported by the data.</w:t>
      </w:r>
    </w:p>
    <w:p w14:paraId="63282528" w14:textId="77777777" w:rsidR="00A25B32" w:rsidRPr="00BE6650" w:rsidRDefault="00A25B32" w:rsidP="00A25B32">
      <w:pPr>
        <w:pStyle w:val="4-SubsectionHeading"/>
      </w:pPr>
      <w:bookmarkStart w:id="22" w:name="_Toc22897645"/>
      <w:bookmarkStart w:id="23" w:name="_Toc72323741"/>
      <w:r w:rsidRPr="00BE6650">
        <w:t>Economic analysis</w:t>
      </w:r>
      <w:bookmarkEnd w:id="22"/>
      <w:bookmarkEnd w:id="23"/>
      <w:r w:rsidRPr="00BE6650">
        <w:t xml:space="preserve"> </w:t>
      </w:r>
    </w:p>
    <w:p w14:paraId="16265703" w14:textId="77777777" w:rsidR="00A25B32" w:rsidRPr="00BE6650" w:rsidRDefault="00A25B32" w:rsidP="00A25B32">
      <w:pPr>
        <w:pStyle w:val="3-BodyText"/>
        <w:rPr>
          <w:b/>
          <w:bCs/>
        </w:rPr>
      </w:pPr>
      <w:r w:rsidRPr="00BE6650">
        <w:t xml:space="preserve">The submission presented a modelled economic evaluation based on a naïve comparison of two non-randomised studies (STORM vs MAMMOTH). The type of economic evaluation presented was a CUA. </w:t>
      </w:r>
      <w:r w:rsidRPr="00BE6650">
        <w:rPr>
          <w:iCs/>
        </w:rPr>
        <w:t xml:space="preserve">Given that the evidence presented in the clinical section did not support the claim of superior clinical efficacy the use of a CUA was not appropriate. </w:t>
      </w:r>
      <w:r w:rsidRPr="00BE6650">
        <w:t>A summary of key components of the economic ev</w:t>
      </w:r>
      <w:r w:rsidR="00B24A5D" w:rsidRPr="00BE6650">
        <w:t>aluation is presented in Table 9</w:t>
      </w:r>
      <w:r w:rsidRPr="00BE6650">
        <w:t>.</w:t>
      </w:r>
      <w:r w:rsidRPr="00BE6650">
        <w:rPr>
          <w:iCs/>
        </w:rPr>
        <w:t xml:space="preserve"> </w:t>
      </w:r>
      <w:r w:rsidRPr="00BE6650">
        <w:t xml:space="preserve"> </w:t>
      </w:r>
    </w:p>
    <w:p w14:paraId="57E4BBA5" w14:textId="77777777" w:rsidR="00E86087" w:rsidRPr="00BE6650" w:rsidRDefault="00E86087">
      <w:pPr>
        <w:jc w:val="left"/>
        <w:rPr>
          <w:rStyle w:val="CommentReference"/>
          <w:rFonts w:eastAsiaTheme="majorEastAsia" w:cstheme="majorBidi"/>
          <w:bCs/>
          <w:szCs w:val="24"/>
        </w:rPr>
      </w:pPr>
      <w:r w:rsidRPr="00BE6650">
        <w:rPr>
          <w:rStyle w:val="CommentReference"/>
          <w:b w:val="0"/>
          <w:szCs w:val="24"/>
        </w:rPr>
        <w:br w:type="page"/>
      </w:r>
    </w:p>
    <w:p w14:paraId="7CFF9390" w14:textId="77777777" w:rsidR="00A25B32" w:rsidRPr="00BE6650" w:rsidRDefault="00A25B32" w:rsidP="00A25B32">
      <w:pPr>
        <w:pStyle w:val="TableFigureHeading"/>
        <w:rPr>
          <w:rStyle w:val="CommentReference"/>
          <w:b/>
          <w:szCs w:val="24"/>
        </w:rPr>
      </w:pPr>
      <w:r w:rsidRPr="00BE6650">
        <w:rPr>
          <w:rStyle w:val="CommentReference"/>
          <w:b/>
          <w:szCs w:val="24"/>
        </w:rPr>
        <w:t xml:space="preserve">Table </w:t>
      </w:r>
      <w:r w:rsidR="00B24A5D" w:rsidRPr="00BE6650">
        <w:rPr>
          <w:rStyle w:val="CommentReference"/>
          <w:b/>
          <w:szCs w:val="24"/>
        </w:rPr>
        <w:t>9</w:t>
      </w:r>
      <w:r w:rsidRPr="00BE6650">
        <w:rPr>
          <w:rStyle w:val="CommentReference"/>
          <w:b/>
          <w:szCs w:val="24"/>
        </w:rPr>
        <w:t>: Key components of the economic evaluation</w:t>
      </w:r>
    </w:p>
    <w:tbl>
      <w:tblPr>
        <w:tblStyle w:val="HTATableshaded"/>
        <w:tblW w:w="9067" w:type="dxa"/>
        <w:tblLook w:val="04A0" w:firstRow="1" w:lastRow="0" w:firstColumn="1" w:lastColumn="0" w:noHBand="0" w:noVBand="1"/>
        <w:tblCaption w:val="Table 9: Key components of the economic evaluation"/>
      </w:tblPr>
      <w:tblGrid>
        <w:gridCol w:w="1413"/>
        <w:gridCol w:w="3402"/>
        <w:gridCol w:w="4252"/>
      </w:tblGrid>
      <w:tr w:rsidR="00A25B32" w:rsidRPr="00BE6650" w14:paraId="20D8B24A" w14:textId="77777777" w:rsidTr="00FD22C5">
        <w:trPr>
          <w:cnfStyle w:val="100000000000" w:firstRow="1" w:lastRow="0" w:firstColumn="0" w:lastColumn="0" w:oddVBand="0" w:evenVBand="0" w:oddHBand="0" w:evenHBand="0" w:firstRowFirstColumn="0" w:firstRowLastColumn="0" w:lastRowFirstColumn="0" w:lastRowLastColumn="0"/>
          <w:tblHeader/>
        </w:trPr>
        <w:tc>
          <w:tcPr>
            <w:tcW w:w="1413" w:type="dxa"/>
          </w:tcPr>
          <w:p w14:paraId="73CCE75B" w14:textId="77777777" w:rsidR="00A25B32" w:rsidRPr="00BE6650" w:rsidRDefault="00A25B32" w:rsidP="00FD22C5">
            <w:pPr>
              <w:spacing w:before="0" w:after="0"/>
              <w:jc w:val="left"/>
              <w:rPr>
                <w:rFonts w:ascii="Arial Narrow" w:hAnsi="Arial Narrow"/>
                <w:b/>
                <w:bCs/>
                <w:sz w:val="20"/>
                <w:szCs w:val="20"/>
              </w:rPr>
            </w:pPr>
            <w:r w:rsidRPr="00BE6650">
              <w:rPr>
                <w:rFonts w:ascii="Arial Narrow" w:hAnsi="Arial Narrow"/>
                <w:b/>
                <w:bCs/>
                <w:sz w:val="20"/>
                <w:szCs w:val="20"/>
              </w:rPr>
              <w:t>Component</w:t>
            </w:r>
          </w:p>
        </w:tc>
        <w:tc>
          <w:tcPr>
            <w:tcW w:w="3402" w:type="dxa"/>
          </w:tcPr>
          <w:p w14:paraId="16D48B91" w14:textId="77777777" w:rsidR="00A25B32" w:rsidRPr="00BE6650" w:rsidRDefault="00A25B32" w:rsidP="00FD22C5">
            <w:pPr>
              <w:spacing w:before="0" w:after="0"/>
              <w:jc w:val="left"/>
              <w:rPr>
                <w:rFonts w:ascii="Arial Narrow" w:hAnsi="Arial Narrow"/>
                <w:b/>
                <w:bCs/>
                <w:sz w:val="20"/>
                <w:szCs w:val="20"/>
              </w:rPr>
            </w:pPr>
            <w:r w:rsidRPr="00BE6650">
              <w:rPr>
                <w:rFonts w:ascii="Arial Narrow" w:hAnsi="Arial Narrow"/>
                <w:b/>
                <w:bCs/>
                <w:sz w:val="20"/>
                <w:szCs w:val="20"/>
              </w:rPr>
              <w:t>Description</w:t>
            </w:r>
          </w:p>
        </w:tc>
        <w:tc>
          <w:tcPr>
            <w:tcW w:w="4252" w:type="dxa"/>
          </w:tcPr>
          <w:p w14:paraId="72FAF6BD" w14:textId="77777777" w:rsidR="00A25B32" w:rsidRPr="00BE6650" w:rsidRDefault="00A25B32" w:rsidP="00FD22C5">
            <w:pPr>
              <w:spacing w:before="0" w:after="0"/>
              <w:jc w:val="left"/>
              <w:rPr>
                <w:rFonts w:ascii="Arial Narrow" w:hAnsi="Arial Narrow"/>
                <w:b/>
                <w:bCs/>
                <w:sz w:val="20"/>
                <w:szCs w:val="20"/>
              </w:rPr>
            </w:pPr>
            <w:r w:rsidRPr="00BE6650">
              <w:rPr>
                <w:rFonts w:ascii="Arial Narrow" w:hAnsi="Arial Narrow"/>
                <w:b/>
                <w:bCs/>
                <w:sz w:val="20"/>
                <w:szCs w:val="20"/>
              </w:rPr>
              <w:t>Justification/comments</w:t>
            </w:r>
          </w:p>
        </w:tc>
      </w:tr>
      <w:tr w:rsidR="005A6FBF" w:rsidRPr="00BE6650" w14:paraId="670E3A8A" w14:textId="77777777" w:rsidTr="00FD22C5">
        <w:tc>
          <w:tcPr>
            <w:tcW w:w="1413" w:type="dxa"/>
          </w:tcPr>
          <w:p w14:paraId="343C7DA7"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Type of model</w:t>
            </w:r>
          </w:p>
        </w:tc>
        <w:tc>
          <w:tcPr>
            <w:tcW w:w="3402" w:type="dxa"/>
          </w:tcPr>
          <w:p w14:paraId="0FAD2F10"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Cost-utility analysis</w:t>
            </w:r>
          </w:p>
        </w:tc>
        <w:tc>
          <w:tcPr>
            <w:tcW w:w="4252" w:type="dxa"/>
          </w:tcPr>
          <w:p w14:paraId="01F31F8E"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Not appropriate; claim of clinical superiority was not supported by the clinical evidence.</w:t>
            </w:r>
          </w:p>
        </w:tc>
      </w:tr>
      <w:tr w:rsidR="005A6FBF" w:rsidRPr="00BE6650" w14:paraId="4ED6DBDA" w14:textId="77777777" w:rsidTr="00FD22C5">
        <w:tc>
          <w:tcPr>
            <w:tcW w:w="1413" w:type="dxa"/>
          </w:tcPr>
          <w:p w14:paraId="27E8A391"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Outcomes</w:t>
            </w:r>
          </w:p>
        </w:tc>
        <w:tc>
          <w:tcPr>
            <w:tcW w:w="3402" w:type="dxa"/>
          </w:tcPr>
          <w:p w14:paraId="22D7BD95"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QALY</w:t>
            </w:r>
            <w:r w:rsidR="00864B58" w:rsidRPr="00BE6650">
              <w:rPr>
                <w:rFonts w:ascii="Arial Narrow" w:hAnsi="Arial Narrow"/>
                <w:sz w:val="20"/>
                <w:szCs w:val="20"/>
              </w:rPr>
              <w:t>s</w:t>
            </w:r>
            <w:r w:rsidRPr="00BE6650">
              <w:rPr>
                <w:rFonts w:ascii="Arial Narrow" w:hAnsi="Arial Narrow"/>
                <w:sz w:val="20"/>
                <w:szCs w:val="20"/>
              </w:rPr>
              <w:t xml:space="preserve"> gained</w:t>
            </w:r>
          </w:p>
        </w:tc>
        <w:tc>
          <w:tcPr>
            <w:tcW w:w="4252" w:type="dxa"/>
          </w:tcPr>
          <w:p w14:paraId="4990B0AE"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Appropriate</w:t>
            </w:r>
          </w:p>
        </w:tc>
      </w:tr>
      <w:tr w:rsidR="005A6FBF" w:rsidRPr="00BE6650" w14:paraId="66C18B68" w14:textId="77777777" w:rsidTr="00FD22C5">
        <w:tc>
          <w:tcPr>
            <w:tcW w:w="1413" w:type="dxa"/>
          </w:tcPr>
          <w:p w14:paraId="23BD0F77"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Time horizon</w:t>
            </w:r>
          </w:p>
        </w:tc>
        <w:tc>
          <w:tcPr>
            <w:tcW w:w="3402" w:type="dxa"/>
          </w:tcPr>
          <w:p w14:paraId="270716D5"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7 years</w:t>
            </w:r>
          </w:p>
        </w:tc>
        <w:tc>
          <w:tcPr>
            <w:tcW w:w="4252" w:type="dxa"/>
          </w:tcPr>
          <w:p w14:paraId="5603B19C"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 xml:space="preserve">Inadequately justified. Shorter time horizon (5 years) was </w:t>
            </w:r>
            <w:r w:rsidR="00CF0A1C" w:rsidRPr="00BE6650">
              <w:rPr>
                <w:rFonts w:ascii="Arial Narrow" w:hAnsi="Arial Narrow"/>
                <w:iCs/>
                <w:sz w:val="20"/>
                <w:szCs w:val="20"/>
              </w:rPr>
              <w:t xml:space="preserve">previously </w:t>
            </w:r>
            <w:r w:rsidRPr="00BE6650">
              <w:rPr>
                <w:rFonts w:ascii="Arial Narrow" w:hAnsi="Arial Narrow"/>
                <w:iCs/>
                <w:sz w:val="20"/>
                <w:szCs w:val="20"/>
              </w:rPr>
              <w:t xml:space="preserve">suggested by the PBAC for RRMM patients (6.46, plitidepsin, PSD, July 2019 PBAC meeting). </w:t>
            </w:r>
          </w:p>
        </w:tc>
      </w:tr>
      <w:tr w:rsidR="005A6FBF" w:rsidRPr="00BE6650" w14:paraId="346564D6" w14:textId="77777777" w:rsidTr="00FD22C5">
        <w:tc>
          <w:tcPr>
            <w:tcW w:w="1413" w:type="dxa"/>
          </w:tcPr>
          <w:p w14:paraId="2A0DF78A"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Method used to generate results</w:t>
            </w:r>
          </w:p>
        </w:tc>
        <w:tc>
          <w:tcPr>
            <w:tcW w:w="3402" w:type="dxa"/>
          </w:tcPr>
          <w:p w14:paraId="74DE2C0A" w14:textId="77777777" w:rsidR="005A6FBF" w:rsidRPr="00BE6650" w:rsidRDefault="006C152E" w:rsidP="0002349F">
            <w:pPr>
              <w:spacing w:before="0" w:after="0"/>
              <w:jc w:val="left"/>
              <w:rPr>
                <w:rFonts w:ascii="Arial Narrow" w:hAnsi="Arial Narrow"/>
                <w:sz w:val="20"/>
                <w:szCs w:val="20"/>
              </w:rPr>
            </w:pPr>
            <w:r w:rsidRPr="00BE6650">
              <w:rPr>
                <w:rFonts w:ascii="Arial Narrow" w:hAnsi="Arial Narrow"/>
                <w:sz w:val="20"/>
                <w:szCs w:val="20"/>
              </w:rPr>
              <w:t xml:space="preserve">PSA </w:t>
            </w:r>
            <w:r w:rsidR="005A6FBF" w:rsidRPr="00BE6650">
              <w:rPr>
                <w:rFonts w:ascii="Arial Narrow" w:hAnsi="Arial Narrow"/>
                <w:sz w:val="20"/>
                <w:szCs w:val="20"/>
              </w:rPr>
              <w:t>incorporating a cohort expected value analysis</w:t>
            </w:r>
          </w:p>
        </w:tc>
        <w:tc>
          <w:tcPr>
            <w:tcW w:w="4252" w:type="dxa"/>
          </w:tcPr>
          <w:p w14:paraId="0A4C83B5" w14:textId="77777777" w:rsidR="005A6FBF" w:rsidRPr="00BE6650" w:rsidRDefault="007A7064" w:rsidP="002E5095">
            <w:pPr>
              <w:spacing w:before="0" w:after="0"/>
              <w:jc w:val="left"/>
              <w:rPr>
                <w:rFonts w:ascii="Arial Narrow" w:hAnsi="Arial Narrow"/>
                <w:iCs/>
                <w:sz w:val="20"/>
                <w:szCs w:val="20"/>
              </w:rPr>
            </w:pPr>
            <w:r w:rsidRPr="00BE6650">
              <w:rPr>
                <w:rFonts w:ascii="Arial Narrow" w:hAnsi="Arial Narrow"/>
                <w:iCs/>
                <w:sz w:val="20"/>
                <w:szCs w:val="20"/>
              </w:rPr>
              <w:t>PSAs rel</w:t>
            </w:r>
            <w:r w:rsidR="0002349F" w:rsidRPr="00BE6650">
              <w:rPr>
                <w:rFonts w:ascii="Arial Narrow" w:hAnsi="Arial Narrow"/>
                <w:iCs/>
                <w:sz w:val="20"/>
                <w:szCs w:val="20"/>
              </w:rPr>
              <w:t>y on the within-trial relationship between non-mutually exclusive survival curves to determine health state membership. The use of different sources to derive the OS and PFS curves for the Sd and DCEP arms</w:t>
            </w:r>
            <w:r w:rsidR="00E47090" w:rsidRPr="00BE6650">
              <w:rPr>
                <w:rFonts w:ascii="Arial Narrow" w:hAnsi="Arial Narrow"/>
                <w:iCs/>
                <w:sz w:val="20"/>
                <w:szCs w:val="20"/>
              </w:rPr>
              <w:t xml:space="preserve"> means that the relationship between the OS and PFS curves may be due to differences between the different studies. Thus, the use of this model structure was inherently uncertain.</w:t>
            </w:r>
            <w:r w:rsidR="007B2261" w:rsidRPr="00BE6650">
              <w:rPr>
                <w:rFonts w:ascii="Arial Narrow" w:hAnsi="Arial Narrow"/>
                <w:iCs/>
                <w:sz w:val="20"/>
                <w:szCs w:val="20"/>
              </w:rPr>
              <w:t xml:space="preserve"> </w:t>
            </w:r>
            <w:r w:rsidR="00617453" w:rsidRPr="00BE6650">
              <w:rPr>
                <w:rFonts w:ascii="Arial Narrow" w:hAnsi="Arial Narrow"/>
                <w:iCs/>
                <w:sz w:val="20"/>
                <w:szCs w:val="20"/>
              </w:rPr>
              <w:t>The PSCR stated that based on the baseline characteristics of patients in the TCR/PR subgroups of</w:t>
            </w:r>
            <w:r w:rsidR="007B2261" w:rsidRPr="00BE6650">
              <w:rPr>
                <w:rFonts w:ascii="Arial Narrow" w:hAnsi="Arial Narrow"/>
                <w:iCs/>
                <w:sz w:val="20"/>
                <w:szCs w:val="20"/>
              </w:rPr>
              <w:t xml:space="preserve"> STORM and MAMMOTH</w:t>
            </w:r>
            <w:r w:rsidR="00617453" w:rsidRPr="00BE6650">
              <w:rPr>
                <w:rFonts w:ascii="Arial Narrow" w:hAnsi="Arial Narrow"/>
                <w:iCs/>
                <w:sz w:val="20"/>
                <w:szCs w:val="20"/>
              </w:rPr>
              <w:t xml:space="preserve">, the overall direction of bias of clinical outcomes used in the economic model was </w:t>
            </w:r>
            <w:r w:rsidR="005B3870" w:rsidRPr="00BE6650">
              <w:rPr>
                <w:rFonts w:ascii="Arial Narrow" w:hAnsi="Arial Narrow"/>
                <w:iCs/>
                <w:sz w:val="20"/>
                <w:szCs w:val="20"/>
              </w:rPr>
              <w:t>against Sd</w:t>
            </w:r>
            <w:r w:rsidR="00617453" w:rsidRPr="00BE6650">
              <w:rPr>
                <w:rFonts w:ascii="Arial Narrow" w:hAnsi="Arial Narrow"/>
                <w:iCs/>
                <w:sz w:val="20"/>
                <w:szCs w:val="20"/>
              </w:rPr>
              <w:t xml:space="preserve">. The PSCR stated that </w:t>
            </w:r>
            <w:r w:rsidR="005B3870" w:rsidRPr="00BE6650">
              <w:rPr>
                <w:rFonts w:ascii="Arial Narrow" w:hAnsi="Arial Narrow"/>
                <w:iCs/>
                <w:sz w:val="20"/>
                <w:szCs w:val="20"/>
              </w:rPr>
              <w:t xml:space="preserve">this suggested that the use of a </w:t>
            </w:r>
            <w:r w:rsidR="007B2261" w:rsidRPr="00BE6650">
              <w:rPr>
                <w:rFonts w:ascii="Arial Narrow" w:hAnsi="Arial Narrow"/>
                <w:iCs/>
                <w:sz w:val="20"/>
                <w:szCs w:val="20"/>
              </w:rPr>
              <w:t xml:space="preserve">PSA would be conservative. </w:t>
            </w:r>
            <w:r w:rsidR="005B3870" w:rsidRPr="00BE6650">
              <w:rPr>
                <w:rFonts w:ascii="Arial Narrow" w:hAnsi="Arial Narrow"/>
                <w:iCs/>
                <w:sz w:val="20"/>
                <w:szCs w:val="20"/>
              </w:rPr>
              <w:t xml:space="preserve">The ESC </w:t>
            </w:r>
            <w:r w:rsidR="007B2261" w:rsidRPr="00BE6650">
              <w:rPr>
                <w:rFonts w:ascii="Arial Narrow" w:hAnsi="Arial Narrow"/>
                <w:iCs/>
                <w:sz w:val="20"/>
                <w:szCs w:val="20"/>
              </w:rPr>
              <w:t xml:space="preserve">considered that </w:t>
            </w:r>
            <w:r w:rsidR="005B3870" w:rsidRPr="00BE6650">
              <w:rPr>
                <w:rFonts w:ascii="Arial Narrow" w:hAnsi="Arial Narrow"/>
                <w:iCs/>
                <w:sz w:val="20"/>
                <w:szCs w:val="20"/>
              </w:rPr>
              <w:t>it was likely that the patients in STORM were fitter and had a better disease prognosis and that the direction of bias likely favoured Sd</w:t>
            </w:r>
            <w:r w:rsidR="007B2261" w:rsidRPr="00BE6650">
              <w:rPr>
                <w:rFonts w:ascii="Arial Narrow" w:hAnsi="Arial Narrow"/>
                <w:iCs/>
                <w:sz w:val="20"/>
                <w:szCs w:val="20"/>
              </w:rPr>
              <w:t>.</w:t>
            </w:r>
          </w:p>
        </w:tc>
      </w:tr>
      <w:tr w:rsidR="005A6FBF" w:rsidRPr="00BE6650" w14:paraId="4481334C" w14:textId="77777777" w:rsidTr="00FD22C5">
        <w:tc>
          <w:tcPr>
            <w:tcW w:w="1413" w:type="dxa"/>
          </w:tcPr>
          <w:p w14:paraId="30DA346B"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Health states</w:t>
            </w:r>
          </w:p>
        </w:tc>
        <w:tc>
          <w:tcPr>
            <w:tcW w:w="3402" w:type="dxa"/>
          </w:tcPr>
          <w:p w14:paraId="3E19BC12"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Progression free, progressive disease, and death</w:t>
            </w:r>
          </w:p>
        </w:tc>
        <w:tc>
          <w:tcPr>
            <w:tcW w:w="4252" w:type="dxa"/>
          </w:tcPr>
          <w:p w14:paraId="7C50D826"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Appropriate</w:t>
            </w:r>
          </w:p>
        </w:tc>
      </w:tr>
      <w:tr w:rsidR="005A6FBF" w:rsidRPr="00BE6650" w14:paraId="30230A4A" w14:textId="77777777" w:rsidTr="00FD22C5">
        <w:tc>
          <w:tcPr>
            <w:tcW w:w="1413" w:type="dxa"/>
          </w:tcPr>
          <w:p w14:paraId="2B99D070"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Cycle length</w:t>
            </w:r>
          </w:p>
        </w:tc>
        <w:tc>
          <w:tcPr>
            <w:tcW w:w="3402" w:type="dxa"/>
          </w:tcPr>
          <w:p w14:paraId="46DE2CC2"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1 week</w:t>
            </w:r>
          </w:p>
        </w:tc>
        <w:tc>
          <w:tcPr>
            <w:tcW w:w="4252" w:type="dxa"/>
          </w:tcPr>
          <w:p w14:paraId="5467E0AC"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Appropriate</w:t>
            </w:r>
          </w:p>
        </w:tc>
      </w:tr>
      <w:tr w:rsidR="005A6FBF" w:rsidRPr="00BE6650" w14:paraId="106854F9" w14:textId="77777777" w:rsidTr="00FD22C5">
        <w:tc>
          <w:tcPr>
            <w:tcW w:w="1413" w:type="dxa"/>
          </w:tcPr>
          <w:p w14:paraId="4B4E90A0" w14:textId="77777777" w:rsidR="005A6FBF" w:rsidRPr="00BE6650" w:rsidRDefault="007E4CB0" w:rsidP="00FD22C5">
            <w:pPr>
              <w:spacing w:before="0" w:after="0"/>
              <w:jc w:val="left"/>
              <w:rPr>
                <w:rFonts w:ascii="Arial Narrow" w:hAnsi="Arial Narrow"/>
                <w:sz w:val="20"/>
                <w:szCs w:val="20"/>
              </w:rPr>
            </w:pPr>
            <w:r w:rsidRPr="00BE6650">
              <w:rPr>
                <w:rFonts w:ascii="Arial Narrow" w:hAnsi="Arial Narrow"/>
                <w:sz w:val="20"/>
                <w:szCs w:val="20"/>
              </w:rPr>
              <w:t>Allocation to health states</w:t>
            </w:r>
          </w:p>
        </w:tc>
        <w:tc>
          <w:tcPr>
            <w:tcW w:w="3402" w:type="dxa"/>
          </w:tcPr>
          <w:p w14:paraId="200F1881"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Based on KM curves from STORM and MAMMOTH and extrapolation.</w:t>
            </w:r>
          </w:p>
          <w:p w14:paraId="7E2BC030"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 xml:space="preserve">Data from KM curves were used up to the time point at which 20% of patients remained at risk. After that the results from extrapolation were applied. </w:t>
            </w:r>
          </w:p>
          <w:p w14:paraId="6F78DB89"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 xml:space="preserve">Log-normal distribution was chosen for OS of </w:t>
            </w:r>
            <w:r w:rsidR="003D5B00" w:rsidRPr="00BE6650">
              <w:rPr>
                <w:rFonts w:ascii="Arial Narrow" w:hAnsi="Arial Narrow"/>
                <w:iCs/>
                <w:sz w:val="20"/>
                <w:szCs w:val="20"/>
              </w:rPr>
              <w:t xml:space="preserve">Sd </w:t>
            </w:r>
            <w:r w:rsidRPr="00BE6650">
              <w:rPr>
                <w:rFonts w:ascii="Arial Narrow" w:hAnsi="Arial Narrow"/>
                <w:iCs/>
                <w:sz w:val="20"/>
                <w:szCs w:val="20"/>
              </w:rPr>
              <w:t xml:space="preserve">and DCEP, PFS of </w:t>
            </w:r>
            <w:r w:rsidR="009931F3" w:rsidRPr="00BE6650">
              <w:rPr>
                <w:rFonts w:ascii="Arial Narrow" w:hAnsi="Arial Narrow"/>
                <w:iCs/>
                <w:sz w:val="20"/>
                <w:szCs w:val="20"/>
              </w:rPr>
              <w:t>S</w:t>
            </w:r>
            <w:r w:rsidRPr="00BE6650">
              <w:rPr>
                <w:rFonts w:ascii="Arial Narrow" w:hAnsi="Arial Narrow"/>
                <w:iCs/>
                <w:sz w:val="20"/>
                <w:szCs w:val="20"/>
              </w:rPr>
              <w:t xml:space="preserve">d and TTD of </w:t>
            </w:r>
            <w:r w:rsidR="003D5B00" w:rsidRPr="00BE6650">
              <w:rPr>
                <w:rFonts w:ascii="Arial Narrow" w:hAnsi="Arial Narrow"/>
                <w:iCs/>
                <w:sz w:val="20"/>
                <w:szCs w:val="20"/>
              </w:rPr>
              <w:t>Sd</w:t>
            </w:r>
            <w:r w:rsidRPr="00BE6650">
              <w:rPr>
                <w:rFonts w:ascii="Arial Narrow" w:hAnsi="Arial Narrow"/>
                <w:iCs/>
                <w:sz w:val="20"/>
                <w:szCs w:val="20"/>
              </w:rPr>
              <w:t xml:space="preserve">. DCEP was fixed for 2 cycles of treatment. </w:t>
            </w:r>
          </w:p>
        </w:tc>
        <w:tc>
          <w:tcPr>
            <w:tcW w:w="4252" w:type="dxa"/>
          </w:tcPr>
          <w:p w14:paraId="0A8AF868" w14:textId="77777777" w:rsidR="005A6FBF" w:rsidRPr="00BE6650" w:rsidRDefault="005A6FBF" w:rsidP="000320CA">
            <w:pPr>
              <w:spacing w:before="0" w:after="0"/>
              <w:jc w:val="left"/>
              <w:rPr>
                <w:rFonts w:ascii="Arial Narrow" w:hAnsi="Arial Narrow"/>
                <w:iCs/>
                <w:sz w:val="20"/>
                <w:szCs w:val="20"/>
                <w:highlight w:val="yellow"/>
              </w:rPr>
            </w:pPr>
            <w:r w:rsidRPr="00BE6650">
              <w:rPr>
                <w:rFonts w:ascii="Arial Narrow" w:hAnsi="Arial Narrow"/>
                <w:iCs/>
                <w:sz w:val="20"/>
                <w:szCs w:val="20"/>
              </w:rPr>
              <w:t xml:space="preserve">The use of KM curves appears appropriate. Approaches for the extrapolation were inadequately justified </w:t>
            </w:r>
            <w:r w:rsidR="000320CA" w:rsidRPr="00BE6650">
              <w:rPr>
                <w:rFonts w:ascii="Arial Narrow" w:hAnsi="Arial Narrow"/>
                <w:iCs/>
                <w:sz w:val="20"/>
                <w:szCs w:val="20"/>
              </w:rPr>
              <w:t>and the</w:t>
            </w:r>
            <w:r w:rsidRPr="00BE6650">
              <w:rPr>
                <w:rFonts w:ascii="Arial Narrow" w:hAnsi="Arial Narrow"/>
                <w:iCs/>
                <w:sz w:val="20"/>
                <w:szCs w:val="20"/>
              </w:rPr>
              <w:t xml:space="preserve"> proportion of patients alive at the end of time horizon</w:t>
            </w:r>
            <w:r w:rsidR="000320CA" w:rsidRPr="00BE6650">
              <w:rPr>
                <w:rFonts w:ascii="Arial Narrow" w:hAnsi="Arial Narrow"/>
                <w:iCs/>
                <w:sz w:val="20"/>
                <w:szCs w:val="20"/>
              </w:rPr>
              <w:t xml:space="preserve"> appears to be overestimated</w:t>
            </w:r>
            <w:r w:rsidRPr="00BE6650">
              <w:rPr>
                <w:rFonts w:ascii="Arial Narrow" w:hAnsi="Arial Narrow"/>
                <w:iCs/>
                <w:sz w:val="20"/>
                <w:szCs w:val="20"/>
              </w:rPr>
              <w:t xml:space="preserve">.  </w:t>
            </w:r>
          </w:p>
        </w:tc>
      </w:tr>
      <w:tr w:rsidR="005A6FBF" w:rsidRPr="00BE6650" w14:paraId="3EE34B11" w14:textId="77777777" w:rsidTr="00FD22C5">
        <w:tc>
          <w:tcPr>
            <w:tcW w:w="1413" w:type="dxa"/>
          </w:tcPr>
          <w:p w14:paraId="0D9087DC"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Health utility values</w:t>
            </w:r>
          </w:p>
        </w:tc>
        <w:tc>
          <w:tcPr>
            <w:tcW w:w="3402" w:type="dxa"/>
          </w:tcPr>
          <w:p w14:paraId="7CB8CD9F" w14:textId="77777777" w:rsidR="005A6FBF" w:rsidRPr="00BE6650" w:rsidRDefault="005A6FBF" w:rsidP="00FD22C5">
            <w:pPr>
              <w:spacing w:before="0" w:after="0"/>
              <w:jc w:val="left"/>
              <w:rPr>
                <w:rFonts w:ascii="Arial Narrow" w:hAnsi="Arial Narrow"/>
                <w:iCs/>
                <w:sz w:val="20"/>
                <w:szCs w:val="20"/>
              </w:rPr>
            </w:pPr>
            <w:r w:rsidRPr="00BE6650">
              <w:rPr>
                <w:rFonts w:ascii="Arial Narrow" w:hAnsi="Arial Narrow"/>
                <w:iCs/>
                <w:sz w:val="20"/>
                <w:szCs w:val="20"/>
              </w:rPr>
              <w:t xml:space="preserve">Derived using an existing regression equation estimating utility values of RRMM patients based on the NIMBUS trial. Data from STORM and MAMMOTH (and an external study Yuen et al., 2018) were applied to obtain treatment-specific utility values. </w:t>
            </w:r>
          </w:p>
        </w:tc>
        <w:tc>
          <w:tcPr>
            <w:tcW w:w="4252" w:type="dxa"/>
          </w:tcPr>
          <w:p w14:paraId="58B550A2" w14:textId="77777777" w:rsidR="005A6FBF" w:rsidRPr="00BE6650" w:rsidRDefault="005A6FBF" w:rsidP="00503485">
            <w:pPr>
              <w:spacing w:before="0" w:after="0"/>
              <w:jc w:val="left"/>
              <w:rPr>
                <w:rFonts w:ascii="Arial Narrow" w:hAnsi="Arial Narrow"/>
                <w:iCs/>
                <w:sz w:val="20"/>
                <w:szCs w:val="20"/>
              </w:rPr>
            </w:pPr>
            <w:r w:rsidRPr="00BE6650">
              <w:rPr>
                <w:rFonts w:ascii="Arial Narrow" w:hAnsi="Arial Narrow"/>
                <w:iCs/>
                <w:sz w:val="20"/>
                <w:szCs w:val="20"/>
              </w:rPr>
              <w:t>The equation was developed based on patients that had less advanced disease (have had at least two prior treatment regiments in NIMBUS) compared to the proposed population</w:t>
            </w:r>
            <w:r w:rsidR="000D257C" w:rsidRPr="00BE6650">
              <w:rPr>
                <w:rFonts w:ascii="Arial Narrow" w:hAnsi="Arial Narrow"/>
                <w:iCs/>
                <w:sz w:val="20"/>
                <w:szCs w:val="20"/>
              </w:rPr>
              <w:t xml:space="preserve"> which requires at least four prior treatment regimens</w:t>
            </w:r>
            <w:r w:rsidRPr="00BE6650">
              <w:rPr>
                <w:rFonts w:ascii="Arial Narrow" w:hAnsi="Arial Narrow"/>
                <w:iCs/>
                <w:sz w:val="20"/>
                <w:szCs w:val="20"/>
              </w:rPr>
              <w:t xml:space="preserve">. This equation has been considered by the PBAC before (July 2019 plitidepsin submission). </w:t>
            </w:r>
          </w:p>
        </w:tc>
      </w:tr>
      <w:tr w:rsidR="005A6FBF" w:rsidRPr="00BE6650" w14:paraId="042E6818" w14:textId="77777777" w:rsidTr="00FD22C5">
        <w:tc>
          <w:tcPr>
            <w:tcW w:w="1413" w:type="dxa"/>
          </w:tcPr>
          <w:p w14:paraId="30C39A73"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Software</w:t>
            </w:r>
          </w:p>
        </w:tc>
        <w:tc>
          <w:tcPr>
            <w:tcW w:w="3402" w:type="dxa"/>
          </w:tcPr>
          <w:p w14:paraId="5B090E5C" w14:textId="77777777" w:rsidR="005A6FBF" w:rsidRPr="00BE6650" w:rsidRDefault="005A6FBF" w:rsidP="00FD22C5">
            <w:pPr>
              <w:spacing w:before="0" w:after="0"/>
              <w:jc w:val="left"/>
              <w:rPr>
                <w:rFonts w:ascii="Arial Narrow" w:hAnsi="Arial Narrow"/>
                <w:sz w:val="20"/>
                <w:szCs w:val="20"/>
              </w:rPr>
            </w:pPr>
            <w:r w:rsidRPr="00BE6650">
              <w:rPr>
                <w:rFonts w:ascii="Arial Narrow" w:hAnsi="Arial Narrow"/>
                <w:sz w:val="20"/>
                <w:szCs w:val="20"/>
              </w:rPr>
              <w:t>Excel 2010</w:t>
            </w:r>
          </w:p>
        </w:tc>
        <w:tc>
          <w:tcPr>
            <w:tcW w:w="4252" w:type="dxa"/>
          </w:tcPr>
          <w:p w14:paraId="0578BE6F" w14:textId="77777777" w:rsidR="005A6FBF" w:rsidRPr="00BE6650" w:rsidRDefault="00773C6E" w:rsidP="00FD22C5">
            <w:pPr>
              <w:spacing w:before="0" w:after="0"/>
              <w:jc w:val="left"/>
              <w:rPr>
                <w:rFonts w:ascii="Arial Narrow" w:hAnsi="Arial Narrow"/>
                <w:iCs/>
                <w:sz w:val="20"/>
                <w:szCs w:val="20"/>
              </w:rPr>
            </w:pPr>
            <w:r w:rsidRPr="00BE6650">
              <w:rPr>
                <w:rFonts w:ascii="Arial Narrow" w:hAnsi="Arial Narrow"/>
                <w:iCs/>
                <w:sz w:val="20"/>
                <w:szCs w:val="20"/>
              </w:rPr>
              <w:t>-</w:t>
            </w:r>
          </w:p>
        </w:tc>
      </w:tr>
    </w:tbl>
    <w:p w14:paraId="035C03F0" w14:textId="77777777" w:rsidR="00A25B32" w:rsidRPr="00BE6650" w:rsidRDefault="00A25B32" w:rsidP="00A25B32">
      <w:pPr>
        <w:rPr>
          <w:rStyle w:val="FontBold"/>
          <w:rFonts w:ascii="Arial Narrow" w:hAnsi="Arial Narrow"/>
          <w:b w:val="0"/>
          <w:sz w:val="18"/>
          <w:szCs w:val="18"/>
        </w:rPr>
      </w:pPr>
      <w:r w:rsidRPr="00BE6650">
        <w:rPr>
          <w:rStyle w:val="FontBold"/>
          <w:rFonts w:ascii="Arial Narrow" w:hAnsi="Arial Narrow"/>
          <w:b w:val="0"/>
          <w:sz w:val="18"/>
          <w:szCs w:val="18"/>
        </w:rPr>
        <w:t xml:space="preserve">Source: Table 3-1, p108-109 of the submission. </w:t>
      </w:r>
    </w:p>
    <w:p w14:paraId="7C0FCFE5" w14:textId="77777777" w:rsidR="00864B58" w:rsidRPr="00BE6650" w:rsidRDefault="00A25B32" w:rsidP="00864B58">
      <w:pPr>
        <w:rPr>
          <w:rStyle w:val="FontBold"/>
          <w:rFonts w:ascii="Arial Narrow" w:hAnsi="Arial Narrow"/>
          <w:b w:val="0"/>
          <w:sz w:val="18"/>
          <w:szCs w:val="18"/>
        </w:rPr>
      </w:pPr>
      <w:r w:rsidRPr="00BE6650">
        <w:rPr>
          <w:rStyle w:val="FontBold"/>
          <w:rFonts w:ascii="Arial Narrow" w:hAnsi="Arial Narrow"/>
          <w:b w:val="0"/>
          <w:sz w:val="18"/>
          <w:szCs w:val="18"/>
        </w:rPr>
        <w:t>DCEP = dexamethasone, cyclophosphamide, etoposide, and cisplatin; HR = hazard ratio; KM = Kaplan-Meier; OS = overall survival</w:t>
      </w:r>
      <w:r w:rsidR="00924052" w:rsidRPr="00BE6650">
        <w:rPr>
          <w:rStyle w:val="FontBold"/>
          <w:rFonts w:ascii="Arial Narrow" w:hAnsi="Arial Narrow"/>
          <w:b w:val="0"/>
          <w:sz w:val="18"/>
          <w:szCs w:val="18"/>
        </w:rPr>
        <w:t>; PBAC</w:t>
      </w:r>
      <w:r w:rsidRPr="00BE6650">
        <w:rPr>
          <w:rStyle w:val="FontBold"/>
          <w:rFonts w:ascii="Arial Narrow" w:hAnsi="Arial Narrow"/>
          <w:b w:val="0"/>
          <w:sz w:val="18"/>
          <w:szCs w:val="18"/>
        </w:rPr>
        <w:t xml:space="preserve"> = Pharmaceutical Benefits Advisory Committee; PFS = progression free survival;</w:t>
      </w:r>
      <w:r w:rsidR="00864B58" w:rsidRPr="00BE6650">
        <w:rPr>
          <w:rStyle w:val="FontBold"/>
          <w:rFonts w:ascii="Arial Narrow" w:hAnsi="Arial Narrow"/>
          <w:b w:val="0"/>
          <w:sz w:val="18"/>
          <w:szCs w:val="18"/>
        </w:rPr>
        <w:t xml:space="preserve"> PSA = partitioned survival analysis;</w:t>
      </w:r>
      <w:r w:rsidRPr="00BE6650">
        <w:rPr>
          <w:rStyle w:val="FontBold"/>
          <w:rFonts w:ascii="Arial Narrow" w:hAnsi="Arial Narrow"/>
          <w:b w:val="0"/>
          <w:sz w:val="18"/>
          <w:szCs w:val="18"/>
        </w:rPr>
        <w:t xml:space="preserve"> </w:t>
      </w:r>
      <w:r w:rsidR="00864B58" w:rsidRPr="00BE6650">
        <w:rPr>
          <w:rStyle w:val="FontBold"/>
          <w:rFonts w:ascii="Arial Narrow" w:hAnsi="Arial Narrow"/>
          <w:b w:val="0"/>
          <w:sz w:val="18"/>
          <w:szCs w:val="18"/>
        </w:rPr>
        <w:t xml:space="preserve">PSCR = pre-Subcommittee Response; </w:t>
      </w:r>
      <w:r w:rsidRPr="00BE6650">
        <w:rPr>
          <w:rStyle w:val="FontBold"/>
          <w:rFonts w:ascii="Arial Narrow" w:hAnsi="Arial Narrow"/>
          <w:b w:val="0"/>
          <w:sz w:val="18"/>
          <w:szCs w:val="18"/>
        </w:rPr>
        <w:t>PSD = public document summary; QALY = quality-adjusted life year; RRMM = relapsed</w:t>
      </w:r>
      <w:r w:rsidR="00864B58" w:rsidRPr="00BE6650">
        <w:rPr>
          <w:rStyle w:val="FontBold"/>
          <w:rFonts w:ascii="Arial Narrow" w:hAnsi="Arial Narrow"/>
          <w:b w:val="0"/>
          <w:sz w:val="18"/>
          <w:szCs w:val="18"/>
        </w:rPr>
        <w:t xml:space="preserve"> and/or </w:t>
      </w:r>
      <w:r w:rsidRPr="00BE6650">
        <w:rPr>
          <w:rStyle w:val="FontBold"/>
          <w:rFonts w:ascii="Arial Narrow" w:hAnsi="Arial Narrow"/>
          <w:b w:val="0"/>
          <w:sz w:val="18"/>
          <w:szCs w:val="18"/>
        </w:rPr>
        <w:t xml:space="preserve">refractory multiple myeloma; </w:t>
      </w:r>
      <w:r w:rsidR="00864B58" w:rsidRPr="00BE6650">
        <w:rPr>
          <w:rStyle w:val="FontBold"/>
          <w:rFonts w:ascii="Arial Narrow" w:hAnsi="Arial Narrow"/>
          <w:b w:val="0"/>
          <w:sz w:val="18"/>
          <w:szCs w:val="18"/>
        </w:rPr>
        <w:t xml:space="preserve">Sd = selinexor plus dexamethasone; </w:t>
      </w:r>
      <w:r w:rsidR="00864B58" w:rsidRPr="00BE6650">
        <w:rPr>
          <w:rFonts w:ascii="Arial Narrow" w:hAnsi="Arial Narrow"/>
          <w:sz w:val="18"/>
          <w:szCs w:val="28"/>
        </w:rPr>
        <w:t>TCR/PR MM = triple class refractory and penta-refractory multiple myeloma;</w:t>
      </w:r>
      <w:r w:rsidR="00864B58" w:rsidRPr="00BE6650">
        <w:rPr>
          <w:rStyle w:val="FontBold"/>
          <w:rFonts w:ascii="Arial Narrow" w:hAnsi="Arial Narrow"/>
          <w:b w:val="0"/>
          <w:sz w:val="18"/>
          <w:szCs w:val="18"/>
        </w:rPr>
        <w:t xml:space="preserve"> </w:t>
      </w:r>
      <w:r w:rsidRPr="00BE6650">
        <w:rPr>
          <w:rStyle w:val="FontBold"/>
          <w:rFonts w:ascii="Arial Narrow" w:hAnsi="Arial Narrow"/>
          <w:b w:val="0"/>
          <w:sz w:val="18"/>
          <w:szCs w:val="18"/>
        </w:rPr>
        <w:t xml:space="preserve">TTD = time to treatment discontinuation </w:t>
      </w:r>
    </w:p>
    <w:p w14:paraId="05A78FDD" w14:textId="77777777" w:rsidR="00607A82" w:rsidRPr="00BE6650" w:rsidRDefault="00607A82" w:rsidP="00864B58">
      <w:pPr>
        <w:spacing w:after="240"/>
      </w:pPr>
    </w:p>
    <w:p w14:paraId="0846B495" w14:textId="77777777" w:rsidR="001A0E9A" w:rsidRPr="00BE6650" w:rsidRDefault="001A0E9A" w:rsidP="00793B26">
      <w:pPr>
        <w:pStyle w:val="3-BodyText"/>
        <w:rPr>
          <w:i/>
          <w:iCs/>
        </w:rPr>
      </w:pPr>
      <w:r w:rsidRPr="00BE6650">
        <w:t>The clinical outcomes used in the economic model were based on TCR/PR MM from STORM (PFS, OS and time-to-treatment discontinuation; TTD) and MAMMOTH (OS).</w:t>
      </w:r>
      <w:r w:rsidRPr="00BE6650">
        <w:rPr>
          <w:iCs/>
        </w:rPr>
        <w:t xml:space="preserve"> This was consistent with the proposed population. However, these clinical data were not the same data used in the naïve comparison (that were based on TCR/PE MM) but were based on different subgroups of STORM and MAMMOTH (STORM TCR/PR MM for Sd, n = 83 and MAMMOTH TCR/PR MM; n = 70, Gandhi et al., 2019; see Table 2 for a detailed comparison of the different subgroups from STORM). </w:t>
      </w:r>
    </w:p>
    <w:p w14:paraId="1B8A5A73" w14:textId="77777777" w:rsidR="00A25B32" w:rsidRPr="00BE6650" w:rsidRDefault="001A0E9A" w:rsidP="00713E55">
      <w:pPr>
        <w:pStyle w:val="3-BodyText"/>
        <w:rPr>
          <w:i/>
          <w:iCs/>
        </w:rPr>
      </w:pPr>
      <w:r w:rsidRPr="00BE6650">
        <w:t xml:space="preserve">The submission used a 7-year time horizon in the base case. The PBAC had previously considered that a 7-year time horizon for plitidepsin when used as a fourth line MM treatment was not appropriate and suggested that a 5-year time horizon might be more reasonable (paragraph 6.46, plitidepsin </w:t>
      </w:r>
      <w:r w:rsidR="005A08EA">
        <w:t>PSD</w:t>
      </w:r>
      <w:r w:rsidRPr="00BE6650">
        <w:t xml:space="preserve">, July 2019). In addition, the proposed patients in this submission appeared to be more heavily pre-treated than those requested for plitidepsin. The PSCR argued that a 7-year time horizon was appropriate given the median OS had not yet been reached. The ESC considered this was not justified given the study had limited follow-up time and no long-term data for OS outcomes. </w:t>
      </w:r>
      <w:r w:rsidRPr="00BE6650">
        <w:rPr>
          <w:iCs/>
        </w:rPr>
        <w:t xml:space="preserve">Decreasing the time horizon from 7 years to 5 years increased the incremental cost effectiveness ratio (ICER) from </w:t>
      </w:r>
      <w:r w:rsidR="00713E55" w:rsidRPr="00713E55">
        <w:rPr>
          <w:iCs/>
        </w:rPr>
        <w:t xml:space="preserve">$55,000 to &lt; $75,000 </w:t>
      </w:r>
      <w:r w:rsidRPr="00BE6650">
        <w:rPr>
          <w:iCs/>
        </w:rPr>
        <w:t xml:space="preserve">per quality-adjusted life year (QALY) gained in the base case to </w:t>
      </w:r>
      <w:r w:rsidR="00713E55" w:rsidRPr="00713E55">
        <w:rPr>
          <w:iCs/>
        </w:rPr>
        <w:t>$75,000 to &lt; $95,000</w:t>
      </w:r>
      <w:r w:rsidR="00713E55">
        <w:rPr>
          <w:iCs/>
        </w:rPr>
        <w:t xml:space="preserve"> </w:t>
      </w:r>
      <w:r w:rsidRPr="00BE6650">
        <w:rPr>
          <w:iCs/>
        </w:rPr>
        <w:t>per QALY gained.</w:t>
      </w:r>
    </w:p>
    <w:p w14:paraId="25BCA899" w14:textId="77777777" w:rsidR="00C744ED" w:rsidRPr="00BE6650" w:rsidRDefault="0044030A" w:rsidP="00552A66">
      <w:pPr>
        <w:pStyle w:val="3-BodyText"/>
        <w:rPr>
          <w:rFonts w:ascii="Arial Narrow" w:hAnsi="Arial Narrow"/>
          <w:b/>
          <w:bCs/>
          <w:sz w:val="20"/>
          <w:szCs w:val="20"/>
        </w:rPr>
      </w:pPr>
      <w:r w:rsidRPr="00BE6650">
        <w:t xml:space="preserve">The log-normal distribution for OS of </w:t>
      </w:r>
      <w:r w:rsidR="00C5229E" w:rsidRPr="00BE6650">
        <w:t>S</w:t>
      </w:r>
      <w:r w:rsidRPr="00BE6650">
        <w:t xml:space="preserve">d </w:t>
      </w:r>
      <w:r w:rsidR="001274A4" w:rsidRPr="00BE6650">
        <w:t>was</w:t>
      </w:r>
      <w:r w:rsidRPr="00BE6650">
        <w:t xml:space="preserve"> chosen for the base case analysis of the model.</w:t>
      </w:r>
      <w:r w:rsidRPr="00BE6650">
        <w:rPr>
          <w:iCs/>
        </w:rPr>
        <w:t xml:space="preserve"> </w:t>
      </w:r>
      <w:r w:rsidR="005124A4" w:rsidRPr="00BE6650">
        <w:t>The choice of the log-normal</w:t>
      </w:r>
      <w:r w:rsidR="001274A4" w:rsidRPr="00BE6650">
        <w:t xml:space="preserve"> distribution</w:t>
      </w:r>
      <w:r w:rsidR="005124A4" w:rsidRPr="00BE6650">
        <w:t xml:space="preserve"> </w:t>
      </w:r>
      <w:r w:rsidR="00502086" w:rsidRPr="00BE6650">
        <w:t>was</w:t>
      </w:r>
      <w:r w:rsidR="005124A4" w:rsidRPr="00BE6650">
        <w:t xml:space="preserve"> supported by </w:t>
      </w:r>
      <w:r w:rsidR="00A857A6" w:rsidRPr="00BE6650">
        <w:t>the goodness-of-fit statistics (</w:t>
      </w:r>
      <w:r w:rsidR="00B5765D" w:rsidRPr="00BE6650">
        <w:t xml:space="preserve">as it had the lowest </w:t>
      </w:r>
      <w:r w:rsidR="00A857A6" w:rsidRPr="00BE6650">
        <w:t>Akaike information criteria</w:t>
      </w:r>
      <w:r w:rsidR="00E47090" w:rsidRPr="00BE6650">
        <w:t xml:space="preserve"> (</w:t>
      </w:r>
      <w:r w:rsidR="00A857A6" w:rsidRPr="00BE6650">
        <w:t>AIC</w:t>
      </w:r>
      <w:r w:rsidR="00E47090" w:rsidRPr="00BE6650">
        <w:t>)</w:t>
      </w:r>
      <w:r w:rsidR="00A857A6" w:rsidRPr="00BE6650">
        <w:t xml:space="preserve"> an</w:t>
      </w:r>
      <w:r w:rsidR="00E47090" w:rsidRPr="00BE6650">
        <w:t>d Bayesian information criteria (</w:t>
      </w:r>
      <w:r w:rsidR="00A857A6" w:rsidRPr="00BE6650">
        <w:t>BIC</w:t>
      </w:r>
      <w:r w:rsidR="00E47090" w:rsidRPr="00BE6650">
        <w:t>)</w:t>
      </w:r>
      <w:r w:rsidR="00A857A6" w:rsidRPr="00BE6650">
        <w:t>)</w:t>
      </w:r>
      <w:r w:rsidR="00E47090" w:rsidRPr="00BE6650">
        <w:t>; see Figure 5</w:t>
      </w:r>
      <w:r w:rsidR="00502086" w:rsidRPr="00BE6650">
        <w:t>.</w:t>
      </w:r>
      <w:r w:rsidR="00B5765D" w:rsidRPr="00BE6650">
        <w:t xml:space="preserve"> </w:t>
      </w:r>
      <w:r w:rsidR="001274A4" w:rsidRPr="00BE6650">
        <w:rPr>
          <w:iCs/>
        </w:rPr>
        <w:t>The</w:t>
      </w:r>
      <w:r w:rsidR="00F15D0F" w:rsidRPr="00BE6650">
        <w:rPr>
          <w:iCs/>
        </w:rPr>
        <w:t xml:space="preserve"> log-normal </w:t>
      </w:r>
      <w:r w:rsidR="001274A4" w:rsidRPr="00BE6650">
        <w:rPr>
          <w:iCs/>
        </w:rPr>
        <w:t xml:space="preserve">distribution </w:t>
      </w:r>
      <w:r w:rsidR="008E31CB" w:rsidRPr="00BE6650">
        <w:rPr>
          <w:iCs/>
        </w:rPr>
        <w:t xml:space="preserve">had </w:t>
      </w:r>
      <w:r w:rsidR="00BA4962" w:rsidRPr="00BE6650">
        <w:rPr>
          <w:iCs/>
        </w:rPr>
        <w:t>a slow death rate at the late</w:t>
      </w:r>
      <w:r w:rsidR="008E31CB" w:rsidRPr="00BE6650">
        <w:rPr>
          <w:iCs/>
        </w:rPr>
        <w:t>r</w:t>
      </w:r>
      <w:r w:rsidR="00BA4962" w:rsidRPr="00BE6650">
        <w:rPr>
          <w:iCs/>
        </w:rPr>
        <w:t xml:space="preserve"> time points in the model</w:t>
      </w:r>
      <w:r w:rsidR="008E31CB" w:rsidRPr="00BE6650">
        <w:rPr>
          <w:iCs/>
        </w:rPr>
        <w:t xml:space="preserve">, such </w:t>
      </w:r>
      <w:r w:rsidR="00325D93" w:rsidRPr="00BE6650">
        <w:rPr>
          <w:iCs/>
        </w:rPr>
        <w:t>that a small proportion of patients</w:t>
      </w:r>
      <w:r w:rsidR="003059BC" w:rsidRPr="00BE6650">
        <w:rPr>
          <w:iCs/>
        </w:rPr>
        <w:t xml:space="preserve"> (3.2%)</w:t>
      </w:r>
      <w:r w:rsidR="00325D93" w:rsidRPr="00BE6650">
        <w:rPr>
          <w:iCs/>
        </w:rPr>
        <w:t xml:space="preserve"> remained </w:t>
      </w:r>
      <w:r w:rsidR="00E47090" w:rsidRPr="00BE6650">
        <w:rPr>
          <w:iCs/>
        </w:rPr>
        <w:t xml:space="preserve">alive </w:t>
      </w:r>
      <w:r w:rsidR="00325D93" w:rsidRPr="00BE6650">
        <w:rPr>
          <w:iCs/>
        </w:rPr>
        <w:t xml:space="preserve">at the end of </w:t>
      </w:r>
      <w:r w:rsidR="00E47090" w:rsidRPr="00BE6650">
        <w:rPr>
          <w:iCs/>
        </w:rPr>
        <w:t xml:space="preserve">the </w:t>
      </w:r>
      <w:r w:rsidR="00325D93" w:rsidRPr="00BE6650">
        <w:rPr>
          <w:iCs/>
        </w:rPr>
        <w:t>time horizon (</w:t>
      </w:r>
      <w:r w:rsidR="003059BC" w:rsidRPr="00BE6650">
        <w:rPr>
          <w:iCs/>
        </w:rPr>
        <w:t>7 years</w:t>
      </w:r>
      <w:r w:rsidR="00325D93" w:rsidRPr="00BE6650">
        <w:rPr>
          <w:iCs/>
        </w:rPr>
        <w:t>)</w:t>
      </w:r>
      <w:r w:rsidR="00D36615" w:rsidRPr="00BE6650">
        <w:rPr>
          <w:iCs/>
        </w:rPr>
        <w:t>.</w:t>
      </w:r>
      <w:r w:rsidR="005D77B9" w:rsidRPr="00BE6650">
        <w:rPr>
          <w:iCs/>
        </w:rPr>
        <w:t xml:space="preserve"> </w:t>
      </w:r>
      <w:r w:rsidR="00434CDB" w:rsidRPr="00BE6650">
        <w:rPr>
          <w:iCs/>
        </w:rPr>
        <w:t xml:space="preserve">The ESC considered that a modelled survival benefit was not reasonable given the clinical claim of superior efficacy was not adequately supported. </w:t>
      </w:r>
      <w:r w:rsidR="00583A15" w:rsidRPr="00BE6650">
        <w:rPr>
          <w:iCs/>
        </w:rPr>
        <w:t xml:space="preserve">In STORM, only 4 patients remained at risk at </w:t>
      </w:r>
      <w:r w:rsidR="00E47090" w:rsidRPr="00BE6650">
        <w:rPr>
          <w:iCs/>
        </w:rPr>
        <w:t>M</w:t>
      </w:r>
      <w:r w:rsidR="00583A15" w:rsidRPr="00BE6650">
        <w:rPr>
          <w:iCs/>
        </w:rPr>
        <w:t xml:space="preserve">onth 18 and 1 patient remained at risk at </w:t>
      </w:r>
      <w:r w:rsidR="00E47090" w:rsidRPr="00BE6650">
        <w:rPr>
          <w:iCs/>
        </w:rPr>
        <w:t>M</w:t>
      </w:r>
      <w:r w:rsidR="00583A15" w:rsidRPr="00BE6650">
        <w:rPr>
          <w:iCs/>
        </w:rPr>
        <w:t xml:space="preserve">onth 24. </w:t>
      </w:r>
      <w:r w:rsidR="00C744ED" w:rsidRPr="00BE6650">
        <w:rPr>
          <w:iCs/>
        </w:rPr>
        <w:t xml:space="preserve">The ESC noted that the magnitude of OS gain estimated by the economic model was a significant driver of the model with 81% of </w:t>
      </w:r>
      <w:r w:rsidR="007A0778" w:rsidRPr="00BE6650">
        <w:rPr>
          <w:iCs/>
        </w:rPr>
        <w:t xml:space="preserve">the </w:t>
      </w:r>
      <w:r w:rsidR="00C744ED" w:rsidRPr="00BE6650">
        <w:rPr>
          <w:iCs/>
        </w:rPr>
        <w:t>life years gained in the progressive disease state.</w:t>
      </w:r>
    </w:p>
    <w:p w14:paraId="519CBF9C" w14:textId="77777777" w:rsidR="00E47090" w:rsidRPr="00BE6650" w:rsidRDefault="00AF58F7" w:rsidP="00713E55">
      <w:pPr>
        <w:pStyle w:val="3-BodyText"/>
        <w:rPr>
          <w:rFonts w:ascii="Arial Narrow" w:hAnsi="Arial Narrow"/>
          <w:b/>
          <w:bCs/>
          <w:sz w:val="20"/>
          <w:szCs w:val="20"/>
        </w:rPr>
      </w:pPr>
      <w:r w:rsidRPr="00BE6650">
        <w:t xml:space="preserve">The </w:t>
      </w:r>
      <w:r w:rsidR="00403F23" w:rsidRPr="00BE6650">
        <w:t>Weibull</w:t>
      </w:r>
      <w:r w:rsidR="00123AE8" w:rsidRPr="00BE6650">
        <w:t xml:space="preserve"> and</w:t>
      </w:r>
      <w:r w:rsidR="006307C1" w:rsidRPr="00BE6650">
        <w:t xml:space="preserve"> Gamma</w:t>
      </w:r>
      <w:r w:rsidR="007A0778" w:rsidRPr="00BE6650">
        <w:t xml:space="preserve"> distributions </w:t>
      </w:r>
      <w:r w:rsidR="00E47090" w:rsidRPr="00BE6650">
        <w:t>did not result in a survival advantage for Sd</w:t>
      </w:r>
      <w:r w:rsidR="00DB28FB" w:rsidRPr="00BE6650">
        <w:t xml:space="preserve">. </w:t>
      </w:r>
      <w:r w:rsidR="00CD4EF1" w:rsidRPr="00BE6650">
        <w:t xml:space="preserve">Applying a Weibull distribution </w:t>
      </w:r>
      <w:r w:rsidR="007E4CB0" w:rsidRPr="00BE6650">
        <w:t xml:space="preserve">to both arms </w:t>
      </w:r>
      <w:r w:rsidR="00CD4EF1" w:rsidRPr="00BE6650">
        <w:t xml:space="preserve">increased the ICER from </w:t>
      </w:r>
      <w:r w:rsidR="00713E55" w:rsidRPr="00713E55">
        <w:rPr>
          <w:iCs/>
        </w:rPr>
        <w:t xml:space="preserve">$55,000 to &lt; $75,000 </w:t>
      </w:r>
      <w:r w:rsidR="00942086" w:rsidRPr="00BE6650">
        <w:t xml:space="preserve">per </w:t>
      </w:r>
      <w:r w:rsidR="00CD4EF1" w:rsidRPr="00BE6650">
        <w:t xml:space="preserve">QALY in the base case to </w:t>
      </w:r>
      <w:r w:rsidR="00713E55" w:rsidRPr="00713E55">
        <w:t xml:space="preserve">$95,000 to &lt; $115,000 </w:t>
      </w:r>
      <w:r w:rsidR="00942086" w:rsidRPr="00BE6650">
        <w:t xml:space="preserve">per </w:t>
      </w:r>
      <w:r w:rsidR="00CD4EF1" w:rsidRPr="00BE6650">
        <w:t xml:space="preserve">QALY. </w:t>
      </w:r>
    </w:p>
    <w:p w14:paraId="056FAF33" w14:textId="77777777" w:rsidR="00466488" w:rsidRPr="00BE6650" w:rsidRDefault="00466488" w:rsidP="00E47090">
      <w:pPr>
        <w:pStyle w:val="3-BodyText"/>
        <w:keepNext/>
        <w:numPr>
          <w:ilvl w:val="0"/>
          <w:numId w:val="0"/>
        </w:numPr>
        <w:rPr>
          <w:rFonts w:ascii="Arial Narrow" w:hAnsi="Arial Narrow"/>
          <w:b/>
          <w:bCs/>
          <w:sz w:val="20"/>
          <w:szCs w:val="20"/>
        </w:rPr>
      </w:pPr>
      <w:r w:rsidRPr="00BE6650">
        <w:rPr>
          <w:rFonts w:ascii="Arial Narrow" w:hAnsi="Arial Narrow"/>
          <w:b/>
          <w:bCs/>
          <w:sz w:val="20"/>
          <w:szCs w:val="20"/>
        </w:rPr>
        <w:t>Figure 5: Base case OS, PFS, and TTD estimated in the economic model</w:t>
      </w:r>
    </w:p>
    <w:p w14:paraId="28A0DDBE" w14:textId="77777777" w:rsidR="00466488" w:rsidRPr="00BE6650" w:rsidRDefault="00466488" w:rsidP="00E47090">
      <w:pPr>
        <w:keepNext/>
        <w:jc w:val="center"/>
        <w:rPr>
          <w:color w:val="3366FF"/>
        </w:rPr>
      </w:pPr>
      <w:r w:rsidRPr="00BE6650">
        <w:rPr>
          <w:noProof/>
        </w:rPr>
        <w:drawing>
          <wp:inline distT="0" distB="0" distL="0" distR="0" wp14:anchorId="25A80464" wp14:editId="39BD2D05">
            <wp:extent cx="4866199" cy="3450468"/>
            <wp:effectExtent l="0" t="0" r="0" b="0"/>
            <wp:docPr id="12" name="Picture 12"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stogram&#10;&#10;Description automatically generated"/>
                    <pic:cNvPicPr/>
                  </pic:nvPicPr>
                  <pic:blipFill>
                    <a:blip r:embed="rId12"/>
                    <a:stretch>
                      <a:fillRect/>
                    </a:stretch>
                  </pic:blipFill>
                  <pic:spPr>
                    <a:xfrm>
                      <a:off x="0" y="0"/>
                      <a:ext cx="4883234" cy="3462547"/>
                    </a:xfrm>
                    <a:prstGeom prst="rect">
                      <a:avLst/>
                    </a:prstGeom>
                  </pic:spPr>
                </pic:pic>
              </a:graphicData>
            </a:graphic>
          </wp:inline>
        </w:drawing>
      </w:r>
    </w:p>
    <w:p w14:paraId="3E678DED" w14:textId="77777777" w:rsidR="00466488" w:rsidRPr="00BE6650" w:rsidRDefault="00466488" w:rsidP="00E47090">
      <w:pPr>
        <w:keepNext/>
        <w:rPr>
          <w:rFonts w:ascii="Arial Narrow" w:hAnsi="Arial Narrow"/>
          <w:color w:val="000000" w:themeColor="text1"/>
          <w:sz w:val="18"/>
          <w:szCs w:val="18"/>
        </w:rPr>
      </w:pPr>
      <w:r w:rsidRPr="00BE6650">
        <w:rPr>
          <w:rFonts w:ascii="Arial Narrow" w:hAnsi="Arial Narrow"/>
          <w:color w:val="000000" w:themeColor="text1"/>
          <w:sz w:val="18"/>
          <w:szCs w:val="18"/>
        </w:rPr>
        <w:t>Source: Developed during the evaluation based on the economic Excel model.</w:t>
      </w:r>
    </w:p>
    <w:p w14:paraId="25BC9703" w14:textId="77777777" w:rsidR="00466488" w:rsidRPr="00BE6650" w:rsidRDefault="00466488" w:rsidP="00E47090">
      <w:pPr>
        <w:keepNext/>
        <w:rPr>
          <w:rFonts w:ascii="Arial Narrow" w:hAnsi="Arial Narrow"/>
          <w:color w:val="000000" w:themeColor="text1"/>
          <w:sz w:val="18"/>
          <w:szCs w:val="18"/>
        </w:rPr>
      </w:pPr>
      <w:r w:rsidRPr="00BE6650">
        <w:rPr>
          <w:rStyle w:val="FontBold"/>
          <w:rFonts w:ascii="Arial Narrow" w:hAnsi="Arial Narrow"/>
          <w:b w:val="0"/>
          <w:sz w:val="18"/>
          <w:szCs w:val="18"/>
        </w:rPr>
        <w:t xml:space="preserve">DCEP = dexamethasone, cyclophosphamide, etoposide, and cisplatin; KM = Kaplan Meier; OS = overall survival; </w:t>
      </w:r>
      <w:r w:rsidR="001A0E9A" w:rsidRPr="00BE6650">
        <w:rPr>
          <w:rStyle w:val="FontBold"/>
          <w:rFonts w:ascii="Arial Narrow" w:hAnsi="Arial Narrow"/>
          <w:b w:val="0"/>
          <w:sz w:val="18"/>
          <w:szCs w:val="18"/>
        </w:rPr>
        <w:t xml:space="preserve">PFS = progression free survival; </w:t>
      </w:r>
      <w:r w:rsidRPr="00BE6650">
        <w:rPr>
          <w:rStyle w:val="FontBold"/>
          <w:rFonts w:ascii="Arial Narrow" w:hAnsi="Arial Narrow"/>
          <w:b w:val="0"/>
          <w:sz w:val="18"/>
          <w:szCs w:val="18"/>
        </w:rPr>
        <w:t>TTD = time to treatment discontinuation</w:t>
      </w:r>
      <w:r w:rsidR="001A0E9A" w:rsidRPr="00BE6650">
        <w:rPr>
          <w:rStyle w:val="FontBold"/>
          <w:rFonts w:ascii="Arial Narrow" w:hAnsi="Arial Narrow"/>
          <w:b w:val="0"/>
          <w:sz w:val="18"/>
          <w:szCs w:val="18"/>
        </w:rPr>
        <w:t>; Xd = selinexor plus dexamethasone</w:t>
      </w:r>
      <w:r w:rsidRPr="00BE6650">
        <w:rPr>
          <w:rStyle w:val="FontBold"/>
          <w:rFonts w:ascii="Arial Narrow" w:hAnsi="Arial Narrow"/>
          <w:b w:val="0"/>
          <w:sz w:val="18"/>
          <w:szCs w:val="18"/>
        </w:rPr>
        <w:t xml:space="preserve"> </w:t>
      </w:r>
    </w:p>
    <w:p w14:paraId="4EFA26BB" w14:textId="77777777" w:rsidR="00466488" w:rsidRPr="00BE6650" w:rsidRDefault="00466488" w:rsidP="00466488">
      <w:pPr>
        <w:spacing w:after="240"/>
        <w:rPr>
          <w:rFonts w:ascii="Arial Narrow" w:hAnsi="Arial Narrow"/>
          <w:color w:val="000000" w:themeColor="text1"/>
          <w:sz w:val="18"/>
          <w:szCs w:val="18"/>
        </w:rPr>
      </w:pPr>
      <w:r w:rsidRPr="00BE6650">
        <w:rPr>
          <w:rFonts w:ascii="Arial Narrow" w:hAnsi="Arial Narrow"/>
          <w:color w:val="000000" w:themeColor="text1"/>
          <w:sz w:val="18"/>
          <w:szCs w:val="18"/>
        </w:rPr>
        <w:t>Note: KM curve of PFS and TTD were excluded in this chart due to visibility reason.</w:t>
      </w:r>
    </w:p>
    <w:p w14:paraId="6DACA933" w14:textId="77777777" w:rsidR="00C744ED" w:rsidRPr="00BE6650" w:rsidRDefault="00434CDB" w:rsidP="002E5095">
      <w:pPr>
        <w:pStyle w:val="3-BodyText"/>
      </w:pPr>
      <w:r w:rsidRPr="00BE6650">
        <w:t>The ESC noted that the model</w:t>
      </w:r>
      <w:r w:rsidR="00C744ED" w:rsidRPr="00BE6650">
        <w:t>led benefit in PFS was not supported by the presented clinical evidence.</w:t>
      </w:r>
      <w:r w:rsidR="008C0D8E" w:rsidRPr="00BE6650">
        <w:t xml:space="preserve"> The pre-PBAC response noted that although PFS was not reported for the MAMMOTH population, it was derived in the base case by assuming that the relationship between OS and PFS was equivalent between the treatment arms. The pre-PBAC response stated that as the impact of the assumed PFS benefit was minimal in sensitivity analyses the uncertainty</w:t>
      </w:r>
      <w:r w:rsidR="00636E2B" w:rsidRPr="00BE6650">
        <w:t xml:space="preserve"> associated with the </w:t>
      </w:r>
      <w:r w:rsidR="008C0D8E" w:rsidRPr="00BE6650">
        <w:t xml:space="preserve">use of a partitioned survival analysis </w:t>
      </w:r>
      <w:r w:rsidR="00636E2B" w:rsidRPr="00BE6650">
        <w:t>was also minimal.</w:t>
      </w:r>
      <w:r w:rsidR="008C0D8E" w:rsidRPr="00BE6650">
        <w:t xml:space="preserve"> </w:t>
      </w:r>
    </w:p>
    <w:p w14:paraId="13E3FE7E" w14:textId="77777777" w:rsidR="00A25B32" w:rsidRPr="00BE6650" w:rsidRDefault="0009057F" w:rsidP="002E5095">
      <w:pPr>
        <w:pStyle w:val="3-BodyText"/>
        <w:rPr>
          <w:color w:val="0066FF"/>
        </w:rPr>
      </w:pPr>
      <w:r w:rsidRPr="00BE6650">
        <w:rPr>
          <w:rFonts w:ascii="Calibri" w:hAnsi="Calibri"/>
          <w:iCs/>
        </w:rPr>
        <w:t xml:space="preserve">The submission did not account for post-progression </w:t>
      </w:r>
      <w:r w:rsidR="005139CF" w:rsidRPr="00BE6650">
        <w:rPr>
          <w:rFonts w:ascii="Calibri" w:hAnsi="Calibri"/>
          <w:iCs/>
        </w:rPr>
        <w:t xml:space="preserve">costs </w:t>
      </w:r>
      <w:r w:rsidR="00172313" w:rsidRPr="00BE6650">
        <w:rPr>
          <w:rFonts w:ascii="Calibri" w:hAnsi="Calibri"/>
          <w:iCs/>
        </w:rPr>
        <w:t>in the economic mode</w:t>
      </w:r>
      <w:r w:rsidR="005139CF" w:rsidRPr="00BE6650">
        <w:rPr>
          <w:rFonts w:ascii="Calibri" w:hAnsi="Calibri"/>
          <w:iCs/>
        </w:rPr>
        <w:t>l</w:t>
      </w:r>
      <w:r w:rsidR="00172313" w:rsidRPr="00BE6650">
        <w:rPr>
          <w:rFonts w:ascii="Calibri" w:hAnsi="Calibri"/>
          <w:iCs/>
        </w:rPr>
        <w:t>.</w:t>
      </w:r>
      <w:r w:rsidR="00096494" w:rsidRPr="00BE6650">
        <w:rPr>
          <w:rFonts w:ascii="Calibri" w:hAnsi="Calibri"/>
          <w:iCs/>
        </w:rPr>
        <w:t xml:space="preserve"> </w:t>
      </w:r>
      <w:r w:rsidR="00172313" w:rsidRPr="00BE6650">
        <w:rPr>
          <w:rFonts w:ascii="Calibri" w:hAnsi="Calibri"/>
          <w:iCs/>
        </w:rPr>
        <w:t xml:space="preserve">This was inappropriate given that </w:t>
      </w:r>
      <w:r w:rsidR="00466488" w:rsidRPr="00BE6650">
        <w:rPr>
          <w:rFonts w:ascii="Calibri" w:hAnsi="Calibri"/>
          <w:iCs/>
        </w:rPr>
        <w:t xml:space="preserve">half </w:t>
      </w:r>
      <w:r w:rsidR="00172313" w:rsidRPr="00BE6650">
        <w:rPr>
          <w:rFonts w:ascii="Calibri" w:hAnsi="Calibri"/>
          <w:iCs/>
        </w:rPr>
        <w:t xml:space="preserve">of </w:t>
      </w:r>
      <w:r w:rsidR="00466488" w:rsidRPr="00BE6650">
        <w:rPr>
          <w:rFonts w:ascii="Calibri" w:hAnsi="Calibri"/>
          <w:iCs/>
        </w:rPr>
        <w:t xml:space="preserve">the </w:t>
      </w:r>
      <w:r w:rsidR="00172313" w:rsidRPr="00BE6650">
        <w:rPr>
          <w:rFonts w:ascii="Calibri" w:hAnsi="Calibri"/>
          <w:iCs/>
        </w:rPr>
        <w:t xml:space="preserve">patients in STORM </w:t>
      </w:r>
      <w:r w:rsidR="006D2345" w:rsidRPr="00BE6650">
        <w:rPr>
          <w:rFonts w:ascii="Calibri" w:hAnsi="Calibri"/>
          <w:iCs/>
        </w:rPr>
        <w:t>(</w:t>
      </w:r>
      <w:r w:rsidR="00171285" w:rsidRPr="00BE6650">
        <w:rPr>
          <w:rFonts w:ascii="Calibri" w:hAnsi="Calibri"/>
          <w:iCs/>
        </w:rPr>
        <w:t>61/122; 50%</w:t>
      </w:r>
      <w:r w:rsidR="006D2345" w:rsidRPr="00BE6650">
        <w:rPr>
          <w:rFonts w:ascii="Calibri" w:hAnsi="Calibri"/>
          <w:iCs/>
        </w:rPr>
        <w:t xml:space="preserve">) </w:t>
      </w:r>
      <w:r w:rsidR="005139CF" w:rsidRPr="00BE6650">
        <w:rPr>
          <w:rFonts w:ascii="Calibri" w:hAnsi="Calibri"/>
          <w:iCs/>
        </w:rPr>
        <w:t xml:space="preserve">received </w:t>
      </w:r>
      <w:r w:rsidR="00DF74C6" w:rsidRPr="00BE6650">
        <w:rPr>
          <w:rFonts w:ascii="Calibri" w:hAnsi="Calibri"/>
          <w:iCs/>
        </w:rPr>
        <w:t xml:space="preserve">subsequent treatments </w:t>
      </w:r>
      <w:r w:rsidR="00503485" w:rsidRPr="00BE6650">
        <w:rPr>
          <w:rFonts w:ascii="Calibri" w:hAnsi="Calibri"/>
          <w:iCs/>
        </w:rPr>
        <w:t xml:space="preserve">following </w:t>
      </w:r>
      <w:r w:rsidR="00E954ED" w:rsidRPr="00BE6650">
        <w:rPr>
          <w:rFonts w:ascii="Calibri" w:hAnsi="Calibri"/>
          <w:iCs/>
        </w:rPr>
        <w:t>Sd</w:t>
      </w:r>
      <w:r w:rsidR="00DF74C6" w:rsidRPr="00BE6650">
        <w:rPr>
          <w:rFonts w:ascii="Calibri" w:hAnsi="Calibri"/>
          <w:iCs/>
        </w:rPr>
        <w:t xml:space="preserve">. </w:t>
      </w:r>
      <w:r w:rsidR="00636E2B" w:rsidRPr="00BE6650">
        <w:rPr>
          <w:rFonts w:ascii="Calibri" w:hAnsi="Calibri"/>
          <w:iCs/>
        </w:rPr>
        <w:t>The pre-PBAC response explored the impact of the inclusion of post-progression treatment costs (see paragraph 6.</w:t>
      </w:r>
      <w:r w:rsidR="00D81ACC" w:rsidRPr="00BE6650">
        <w:rPr>
          <w:rFonts w:ascii="Calibri" w:hAnsi="Calibri"/>
          <w:iCs/>
        </w:rPr>
        <w:t>48</w:t>
      </w:r>
      <w:r w:rsidR="00636E2B" w:rsidRPr="00BE6650">
        <w:rPr>
          <w:rFonts w:ascii="Calibri" w:hAnsi="Calibri"/>
          <w:iCs/>
        </w:rPr>
        <w:t>).</w:t>
      </w:r>
    </w:p>
    <w:p w14:paraId="2CA6F015" w14:textId="77777777" w:rsidR="00AB2E22" w:rsidRPr="00BE6650" w:rsidRDefault="00D529CE" w:rsidP="003D708D">
      <w:pPr>
        <w:pStyle w:val="3-BodyText"/>
      </w:pPr>
      <w:r w:rsidRPr="00BE6650">
        <w:t xml:space="preserve">The submission calculated </w:t>
      </w:r>
      <w:r w:rsidR="005139CF" w:rsidRPr="00BE6650">
        <w:t xml:space="preserve">treatment specific </w:t>
      </w:r>
      <w:r w:rsidRPr="00BE6650">
        <w:t xml:space="preserve">utility values using a regression equation from the submission of pomalidomide for RRMM previously treated with lenalidomide and bortezomib submitted to NICE in 2016 (TA427; pomalidomide with dexamethasone versus high-dose dexamethasone for treatment of RRMM). </w:t>
      </w:r>
      <w:r w:rsidRPr="00BE6650">
        <w:rPr>
          <w:iCs/>
        </w:rPr>
        <w:t>The PBAC has previously considered the use of this regression equation in calculating utility values for RRMM to be appropriate in its consideration of plitidepsin (para</w:t>
      </w:r>
      <w:r w:rsidR="009F50E0" w:rsidRPr="00BE6650">
        <w:rPr>
          <w:iCs/>
        </w:rPr>
        <w:t>graph</w:t>
      </w:r>
      <w:r w:rsidRPr="00BE6650">
        <w:rPr>
          <w:iCs/>
        </w:rPr>
        <w:t xml:space="preserve"> 6.42, plitidepsin </w:t>
      </w:r>
      <w:r w:rsidR="005A08EA">
        <w:rPr>
          <w:iCs/>
        </w:rPr>
        <w:t>PSD</w:t>
      </w:r>
      <w:r w:rsidRPr="00BE6650">
        <w:rPr>
          <w:iCs/>
        </w:rPr>
        <w:t xml:space="preserve">, July 2019). </w:t>
      </w:r>
      <w:r w:rsidR="00D94713" w:rsidRPr="00BE6650">
        <w:t xml:space="preserve">The submission provided a comparison of the utility values used in this submission with the plitidepsin </w:t>
      </w:r>
      <w:r w:rsidR="0052133E" w:rsidRPr="00BE6650">
        <w:t xml:space="preserve">submission from July </w:t>
      </w:r>
      <w:r w:rsidR="00D94713" w:rsidRPr="00BE6650">
        <w:t xml:space="preserve">2019 as presented in Table </w:t>
      </w:r>
      <w:r w:rsidR="00B24A5D" w:rsidRPr="00BE6650">
        <w:t>10</w:t>
      </w:r>
      <w:r w:rsidR="00D94713" w:rsidRPr="00BE6650">
        <w:t xml:space="preserve">. </w:t>
      </w:r>
      <w:r w:rsidR="00D94713" w:rsidRPr="00BE6650">
        <w:rPr>
          <w:iCs/>
        </w:rPr>
        <w:t>The utility values used in this submission are slightly lower than those used in</w:t>
      </w:r>
      <w:r w:rsidR="00466488" w:rsidRPr="00BE6650">
        <w:rPr>
          <w:iCs/>
        </w:rPr>
        <w:t xml:space="preserve"> the</w:t>
      </w:r>
      <w:r w:rsidR="00D94713" w:rsidRPr="00BE6650">
        <w:rPr>
          <w:iCs/>
        </w:rPr>
        <w:t xml:space="preserve"> plitidepsin submission. This may be reasonable</w:t>
      </w:r>
      <w:r w:rsidR="00515980" w:rsidRPr="00BE6650">
        <w:rPr>
          <w:iCs/>
        </w:rPr>
        <w:t xml:space="preserve"> given that Sd patients had more previous treatments than </w:t>
      </w:r>
      <w:r w:rsidR="00477445" w:rsidRPr="00BE6650">
        <w:rPr>
          <w:iCs/>
        </w:rPr>
        <w:t>patients in the plitidepsin submission (3 to 4 previous treatments)</w:t>
      </w:r>
      <w:r w:rsidR="00D94713" w:rsidRPr="00BE6650">
        <w:rPr>
          <w:iCs/>
        </w:rPr>
        <w:t>.</w:t>
      </w:r>
      <w:r w:rsidRPr="00BE6650">
        <w:rPr>
          <w:iCs/>
        </w:rPr>
        <w:t xml:space="preserve"> </w:t>
      </w:r>
    </w:p>
    <w:p w14:paraId="1B5513F9" w14:textId="77777777" w:rsidR="00A90C5E" w:rsidRPr="00BE6650" w:rsidRDefault="00A90C5E" w:rsidP="00B41647">
      <w:pPr>
        <w:pStyle w:val="TableFigureHeading"/>
        <w:rPr>
          <w:rStyle w:val="CommentReference"/>
          <w:b/>
          <w:bCs w:val="0"/>
          <w:szCs w:val="24"/>
        </w:rPr>
      </w:pPr>
      <w:r w:rsidRPr="00BE6650">
        <w:rPr>
          <w:rStyle w:val="CommentReference"/>
          <w:b/>
          <w:bCs w:val="0"/>
          <w:szCs w:val="24"/>
        </w:rPr>
        <w:t xml:space="preserve">Table </w:t>
      </w:r>
      <w:r w:rsidR="00B24A5D" w:rsidRPr="00BE6650">
        <w:rPr>
          <w:rStyle w:val="CommentReference"/>
          <w:b/>
          <w:bCs w:val="0"/>
          <w:szCs w:val="24"/>
        </w:rPr>
        <w:t>10</w:t>
      </w:r>
      <w:r w:rsidRPr="00BE6650">
        <w:rPr>
          <w:rStyle w:val="CommentReference"/>
          <w:b/>
          <w:bCs w:val="0"/>
          <w:szCs w:val="24"/>
        </w:rPr>
        <w:t>: Comparison of utility values calculated for STORM, MAMMOTH and ADMYRE</w:t>
      </w:r>
    </w:p>
    <w:tbl>
      <w:tblPr>
        <w:tblStyle w:val="HTATableshaded"/>
        <w:tblW w:w="0" w:type="auto"/>
        <w:tblLook w:val="04A0" w:firstRow="1" w:lastRow="0" w:firstColumn="1" w:lastColumn="0" w:noHBand="0" w:noVBand="1"/>
        <w:tblCaption w:val="Table 10: Comparison of utility values calculated for STORM, MAMMOTH and ADMYRE"/>
      </w:tblPr>
      <w:tblGrid>
        <w:gridCol w:w="4248"/>
        <w:gridCol w:w="1589"/>
        <w:gridCol w:w="1589"/>
        <w:gridCol w:w="1590"/>
      </w:tblGrid>
      <w:tr w:rsidR="00022180" w:rsidRPr="00BE6650" w14:paraId="2B0B1C70" w14:textId="77777777" w:rsidTr="00E517B9">
        <w:trPr>
          <w:cnfStyle w:val="100000000000" w:firstRow="1" w:lastRow="0" w:firstColumn="0" w:lastColumn="0" w:oddVBand="0" w:evenVBand="0" w:oddHBand="0" w:evenHBand="0" w:firstRowFirstColumn="0" w:firstRowLastColumn="0" w:lastRowFirstColumn="0" w:lastRowLastColumn="0"/>
          <w:tblHeader/>
        </w:trPr>
        <w:tc>
          <w:tcPr>
            <w:tcW w:w="4248" w:type="dxa"/>
          </w:tcPr>
          <w:p w14:paraId="29EBEFBB" w14:textId="77777777" w:rsidR="00022180" w:rsidRPr="00BE6650" w:rsidRDefault="00022180" w:rsidP="00B41647">
            <w:pPr>
              <w:keepNext/>
              <w:spacing w:before="0" w:after="0"/>
              <w:rPr>
                <w:rFonts w:ascii="Arial Narrow" w:hAnsi="Arial Narrow"/>
                <w:b/>
                <w:bCs/>
                <w:sz w:val="20"/>
                <w:szCs w:val="20"/>
              </w:rPr>
            </w:pPr>
            <w:r w:rsidRPr="00BE6650">
              <w:rPr>
                <w:rFonts w:ascii="Arial Narrow" w:hAnsi="Arial Narrow"/>
                <w:b/>
                <w:bCs/>
                <w:sz w:val="20"/>
                <w:szCs w:val="20"/>
              </w:rPr>
              <w:t>Calculated utility sources</w:t>
            </w:r>
          </w:p>
        </w:tc>
        <w:tc>
          <w:tcPr>
            <w:tcW w:w="1589" w:type="dxa"/>
          </w:tcPr>
          <w:p w14:paraId="5B589C38" w14:textId="77777777" w:rsidR="00022180" w:rsidRPr="00BE6650" w:rsidRDefault="00022180" w:rsidP="00B41647">
            <w:pPr>
              <w:keepNext/>
              <w:spacing w:before="0" w:after="0"/>
              <w:jc w:val="center"/>
              <w:rPr>
                <w:rFonts w:ascii="Arial Narrow" w:hAnsi="Arial Narrow"/>
                <w:b/>
                <w:bCs/>
                <w:sz w:val="20"/>
                <w:szCs w:val="20"/>
              </w:rPr>
            </w:pPr>
            <w:r w:rsidRPr="00BE6650">
              <w:rPr>
                <w:rFonts w:ascii="Arial Narrow" w:hAnsi="Arial Narrow"/>
                <w:b/>
                <w:bCs/>
                <w:sz w:val="20"/>
                <w:szCs w:val="20"/>
              </w:rPr>
              <w:t>Progression-free survival</w:t>
            </w:r>
          </w:p>
        </w:tc>
        <w:tc>
          <w:tcPr>
            <w:tcW w:w="1589" w:type="dxa"/>
          </w:tcPr>
          <w:p w14:paraId="716DEE87" w14:textId="77777777" w:rsidR="00022180" w:rsidRPr="00BE6650" w:rsidRDefault="00022180" w:rsidP="00B41647">
            <w:pPr>
              <w:keepNext/>
              <w:spacing w:before="0" w:after="0"/>
              <w:jc w:val="center"/>
              <w:rPr>
                <w:rFonts w:ascii="Arial Narrow" w:hAnsi="Arial Narrow"/>
                <w:b/>
                <w:bCs/>
                <w:sz w:val="20"/>
                <w:szCs w:val="20"/>
              </w:rPr>
            </w:pPr>
            <w:r w:rsidRPr="00BE6650">
              <w:rPr>
                <w:rFonts w:ascii="Arial Narrow" w:hAnsi="Arial Narrow"/>
                <w:b/>
                <w:bCs/>
                <w:sz w:val="20"/>
                <w:szCs w:val="20"/>
              </w:rPr>
              <w:t>Progressive disease</w:t>
            </w:r>
          </w:p>
        </w:tc>
        <w:tc>
          <w:tcPr>
            <w:tcW w:w="1590" w:type="dxa"/>
          </w:tcPr>
          <w:p w14:paraId="2164973F" w14:textId="77777777" w:rsidR="00022180" w:rsidRPr="00BE6650" w:rsidRDefault="00022180" w:rsidP="00B41647">
            <w:pPr>
              <w:keepNext/>
              <w:spacing w:before="0" w:after="0"/>
              <w:jc w:val="center"/>
              <w:rPr>
                <w:rFonts w:ascii="Arial Narrow" w:hAnsi="Arial Narrow"/>
                <w:b/>
                <w:bCs/>
                <w:sz w:val="20"/>
                <w:szCs w:val="20"/>
              </w:rPr>
            </w:pPr>
            <w:r w:rsidRPr="00BE6650">
              <w:rPr>
                <w:rFonts w:ascii="Arial Narrow" w:hAnsi="Arial Narrow"/>
                <w:b/>
                <w:bCs/>
                <w:sz w:val="20"/>
                <w:szCs w:val="20"/>
              </w:rPr>
              <w:t>Decrement</w:t>
            </w:r>
          </w:p>
        </w:tc>
      </w:tr>
      <w:tr w:rsidR="00022180" w:rsidRPr="00BE6650" w14:paraId="334611CD" w14:textId="77777777" w:rsidTr="00D95C86">
        <w:tc>
          <w:tcPr>
            <w:tcW w:w="4248" w:type="dxa"/>
          </w:tcPr>
          <w:p w14:paraId="644EB247" w14:textId="77777777" w:rsidR="00022180" w:rsidRPr="00BE6650" w:rsidRDefault="00022180" w:rsidP="00B41647">
            <w:pPr>
              <w:keepNext/>
              <w:spacing w:before="0" w:after="0"/>
              <w:rPr>
                <w:rFonts w:ascii="Arial Narrow" w:hAnsi="Arial Narrow"/>
                <w:sz w:val="20"/>
                <w:szCs w:val="20"/>
              </w:rPr>
            </w:pPr>
            <w:r w:rsidRPr="00BE6650">
              <w:rPr>
                <w:rFonts w:ascii="Arial Narrow" w:hAnsi="Arial Narrow"/>
                <w:sz w:val="20"/>
                <w:szCs w:val="20"/>
              </w:rPr>
              <w:t>Plitidepsin (ADMYRE) PBAC evaluation (PBAC, 2019)</w:t>
            </w:r>
          </w:p>
        </w:tc>
        <w:tc>
          <w:tcPr>
            <w:tcW w:w="1589" w:type="dxa"/>
          </w:tcPr>
          <w:p w14:paraId="3A1A3379"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0.7051</w:t>
            </w:r>
          </w:p>
        </w:tc>
        <w:tc>
          <w:tcPr>
            <w:tcW w:w="1589" w:type="dxa"/>
          </w:tcPr>
          <w:p w14:paraId="1A356F18"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0.6241</w:t>
            </w:r>
          </w:p>
        </w:tc>
        <w:tc>
          <w:tcPr>
            <w:tcW w:w="1590" w:type="dxa"/>
          </w:tcPr>
          <w:p w14:paraId="0EF39FCC"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0.081</w:t>
            </w:r>
          </w:p>
        </w:tc>
      </w:tr>
      <w:tr w:rsidR="00022180" w:rsidRPr="00BE6650" w14:paraId="7896355C" w14:textId="77777777" w:rsidTr="00D95C86">
        <w:tc>
          <w:tcPr>
            <w:tcW w:w="4248" w:type="dxa"/>
          </w:tcPr>
          <w:p w14:paraId="2225C442" w14:textId="77777777" w:rsidR="00022180" w:rsidRPr="00BE6650" w:rsidRDefault="006345B5" w:rsidP="00B41647">
            <w:pPr>
              <w:keepNext/>
              <w:spacing w:before="0" w:after="0"/>
              <w:rPr>
                <w:rFonts w:ascii="Arial Narrow" w:hAnsi="Arial Narrow"/>
                <w:sz w:val="20"/>
                <w:szCs w:val="20"/>
              </w:rPr>
            </w:pPr>
            <w:r w:rsidRPr="00BE6650">
              <w:rPr>
                <w:rFonts w:ascii="Arial Narrow" w:hAnsi="Arial Narrow"/>
                <w:sz w:val="20"/>
                <w:szCs w:val="20"/>
              </w:rPr>
              <w:t>Sd</w:t>
            </w:r>
            <w:r w:rsidR="00022180" w:rsidRPr="00BE6650">
              <w:rPr>
                <w:rFonts w:ascii="Arial Narrow" w:hAnsi="Arial Narrow"/>
                <w:sz w:val="20"/>
                <w:szCs w:val="20"/>
              </w:rPr>
              <w:t>:</w:t>
            </w:r>
            <w:r w:rsidR="00DB0CDB" w:rsidRPr="00BE6650">
              <w:rPr>
                <w:rFonts w:ascii="Arial Narrow" w:hAnsi="Arial Narrow"/>
                <w:sz w:val="20"/>
                <w:szCs w:val="20"/>
              </w:rPr>
              <w:t xml:space="preserve"> </w:t>
            </w:r>
            <w:r w:rsidR="00022180" w:rsidRPr="00BE6650">
              <w:rPr>
                <w:rFonts w:ascii="Arial Narrow" w:hAnsi="Arial Narrow"/>
                <w:sz w:val="20"/>
                <w:szCs w:val="20"/>
              </w:rPr>
              <w:t xml:space="preserve">STORM </w:t>
            </w:r>
          </w:p>
        </w:tc>
        <w:tc>
          <w:tcPr>
            <w:tcW w:w="1589" w:type="dxa"/>
          </w:tcPr>
          <w:p w14:paraId="1DE6E934"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0.677</w:t>
            </w:r>
          </w:p>
        </w:tc>
        <w:tc>
          <w:tcPr>
            <w:tcW w:w="1589" w:type="dxa"/>
          </w:tcPr>
          <w:p w14:paraId="3E8D1F78"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0.588</w:t>
            </w:r>
          </w:p>
        </w:tc>
        <w:tc>
          <w:tcPr>
            <w:tcW w:w="1590" w:type="dxa"/>
          </w:tcPr>
          <w:p w14:paraId="46FD258C"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0.089</w:t>
            </w:r>
          </w:p>
        </w:tc>
      </w:tr>
      <w:tr w:rsidR="00022180" w:rsidRPr="00BE6650" w14:paraId="073EF61F" w14:textId="77777777" w:rsidTr="00D95C86">
        <w:tc>
          <w:tcPr>
            <w:tcW w:w="4248" w:type="dxa"/>
          </w:tcPr>
          <w:p w14:paraId="358A11E5" w14:textId="77777777" w:rsidR="00022180" w:rsidRPr="00BE6650" w:rsidRDefault="00022180" w:rsidP="00B41647">
            <w:pPr>
              <w:keepNext/>
              <w:spacing w:before="0" w:after="0"/>
              <w:rPr>
                <w:rFonts w:ascii="Arial Narrow" w:hAnsi="Arial Narrow"/>
                <w:sz w:val="20"/>
                <w:szCs w:val="20"/>
              </w:rPr>
            </w:pPr>
            <w:r w:rsidRPr="00BE6650">
              <w:rPr>
                <w:rFonts w:ascii="Arial Narrow" w:hAnsi="Arial Narrow"/>
                <w:sz w:val="20"/>
                <w:szCs w:val="20"/>
              </w:rPr>
              <w:t xml:space="preserve">DCEP: MAMMOTH </w:t>
            </w:r>
            <w:r w:rsidR="00DB0CDB" w:rsidRPr="00BE6650">
              <w:rPr>
                <w:rFonts w:ascii="Arial Narrow" w:hAnsi="Arial Narrow"/>
                <w:sz w:val="20"/>
                <w:szCs w:val="20"/>
              </w:rPr>
              <w:t>and Yuen et al., 2018</w:t>
            </w:r>
          </w:p>
        </w:tc>
        <w:tc>
          <w:tcPr>
            <w:tcW w:w="1589" w:type="dxa"/>
          </w:tcPr>
          <w:p w14:paraId="0CDD4141"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0.651</w:t>
            </w:r>
          </w:p>
        </w:tc>
        <w:tc>
          <w:tcPr>
            <w:tcW w:w="1589" w:type="dxa"/>
          </w:tcPr>
          <w:p w14:paraId="1F1D23E5"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0.569</w:t>
            </w:r>
          </w:p>
        </w:tc>
        <w:tc>
          <w:tcPr>
            <w:tcW w:w="1590" w:type="dxa"/>
          </w:tcPr>
          <w:p w14:paraId="3BF6D465" w14:textId="77777777" w:rsidR="00022180" w:rsidRPr="00BE6650" w:rsidRDefault="00022180" w:rsidP="00B41647">
            <w:pPr>
              <w:keepNext/>
              <w:spacing w:before="0" w:after="0"/>
              <w:jc w:val="center"/>
              <w:rPr>
                <w:rFonts w:ascii="Arial Narrow" w:hAnsi="Arial Narrow"/>
                <w:sz w:val="20"/>
                <w:szCs w:val="20"/>
              </w:rPr>
            </w:pPr>
            <w:r w:rsidRPr="00BE6650">
              <w:rPr>
                <w:rFonts w:ascii="Arial Narrow" w:hAnsi="Arial Narrow"/>
                <w:sz w:val="20"/>
                <w:szCs w:val="20"/>
              </w:rPr>
              <w:t>0.082</w:t>
            </w:r>
          </w:p>
        </w:tc>
      </w:tr>
    </w:tbl>
    <w:p w14:paraId="1574A50F" w14:textId="77777777" w:rsidR="00117D49" w:rsidRPr="00BE6650" w:rsidRDefault="00117D49" w:rsidP="00B41647">
      <w:pPr>
        <w:keepNext/>
        <w:rPr>
          <w:rStyle w:val="FontBold"/>
          <w:rFonts w:ascii="Arial Narrow" w:hAnsi="Arial Narrow"/>
          <w:b w:val="0"/>
          <w:sz w:val="18"/>
          <w:szCs w:val="18"/>
        </w:rPr>
      </w:pPr>
      <w:r w:rsidRPr="00BE6650">
        <w:rPr>
          <w:rStyle w:val="FontBold"/>
          <w:rFonts w:ascii="Arial Narrow" w:hAnsi="Arial Narrow"/>
          <w:b w:val="0"/>
          <w:sz w:val="18"/>
          <w:szCs w:val="18"/>
        </w:rPr>
        <w:t>Source: Table 3-14, p149-150 of the submission.</w:t>
      </w:r>
    </w:p>
    <w:p w14:paraId="36ECE0DB" w14:textId="77777777" w:rsidR="00117D49" w:rsidRPr="00BE6650" w:rsidRDefault="00117D49" w:rsidP="00B41647">
      <w:pPr>
        <w:keepNext/>
        <w:spacing w:after="240"/>
        <w:rPr>
          <w:rStyle w:val="FontBold"/>
          <w:rFonts w:ascii="Arial Narrow" w:hAnsi="Arial Narrow"/>
          <w:b w:val="0"/>
          <w:sz w:val="18"/>
          <w:szCs w:val="18"/>
        </w:rPr>
      </w:pPr>
      <w:r w:rsidRPr="00BE6650">
        <w:rPr>
          <w:rStyle w:val="FontBold"/>
          <w:rFonts w:ascii="Arial Narrow" w:hAnsi="Arial Narrow"/>
          <w:b w:val="0"/>
          <w:sz w:val="18"/>
          <w:szCs w:val="18"/>
        </w:rPr>
        <w:t>DCEP = dexamethasone, cyclophosphamide, etoposide, and cisplatin; PBAC = Pharmaceutical Benefits Advisory Committee</w:t>
      </w:r>
      <w:r w:rsidR="001A0E9A" w:rsidRPr="00BE6650">
        <w:rPr>
          <w:rStyle w:val="FontBold"/>
          <w:rFonts w:ascii="Arial Narrow" w:hAnsi="Arial Narrow"/>
          <w:b w:val="0"/>
          <w:sz w:val="18"/>
          <w:szCs w:val="18"/>
        </w:rPr>
        <w:t>; Sd = selinexor plus dexamethasone</w:t>
      </w:r>
    </w:p>
    <w:p w14:paraId="387AF213" w14:textId="77777777" w:rsidR="00A25B32" w:rsidRPr="00BE6650" w:rsidRDefault="00A25B32" w:rsidP="00A25B32">
      <w:pPr>
        <w:pStyle w:val="3-BodyText"/>
      </w:pPr>
      <w:r w:rsidRPr="00BE6650">
        <w:t xml:space="preserve">A summary of the key drivers of the model as per the Table </w:t>
      </w:r>
      <w:r w:rsidR="00794D20" w:rsidRPr="00BE6650">
        <w:t>1</w:t>
      </w:r>
      <w:r w:rsidR="00B24A5D" w:rsidRPr="00BE6650">
        <w:t>1</w:t>
      </w:r>
      <w:r w:rsidRPr="00BE6650">
        <w:t xml:space="preserve">. </w:t>
      </w:r>
    </w:p>
    <w:p w14:paraId="5FA58570" w14:textId="77777777" w:rsidR="00A25B32" w:rsidRPr="00BE6650" w:rsidRDefault="00A25B32" w:rsidP="00A25B32">
      <w:pPr>
        <w:pStyle w:val="TableFigureHeading"/>
        <w:rPr>
          <w:rStyle w:val="CommentReference"/>
          <w:b/>
          <w:szCs w:val="24"/>
        </w:rPr>
      </w:pPr>
      <w:r w:rsidRPr="00BE6650">
        <w:rPr>
          <w:rStyle w:val="CommentReference"/>
          <w:b/>
          <w:szCs w:val="24"/>
        </w:rPr>
        <w:t xml:space="preserve">Table </w:t>
      </w:r>
      <w:r w:rsidR="00794D20" w:rsidRPr="00BE6650">
        <w:rPr>
          <w:rStyle w:val="CommentReference"/>
          <w:b/>
          <w:szCs w:val="24"/>
        </w:rPr>
        <w:t>1</w:t>
      </w:r>
      <w:r w:rsidR="00B24A5D" w:rsidRPr="00BE6650">
        <w:rPr>
          <w:rStyle w:val="CommentReference"/>
          <w:b/>
          <w:szCs w:val="24"/>
        </w:rPr>
        <w:t>1</w:t>
      </w:r>
      <w:r w:rsidRPr="00BE6650">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644"/>
        <w:gridCol w:w="4243"/>
      </w:tblGrid>
      <w:tr w:rsidR="00A25B32" w:rsidRPr="00BE6650" w14:paraId="383F24C8" w14:textId="77777777" w:rsidTr="00B137BE">
        <w:trPr>
          <w:tblHeader/>
        </w:trPr>
        <w:tc>
          <w:tcPr>
            <w:tcW w:w="626" w:type="pct"/>
            <w:shd w:val="clear" w:color="auto" w:fill="auto"/>
            <w:vAlign w:val="center"/>
          </w:tcPr>
          <w:p w14:paraId="6BFCFEEA" w14:textId="77777777" w:rsidR="00A25B32" w:rsidRPr="00BE6650" w:rsidRDefault="00A25B32" w:rsidP="00B137BE">
            <w:pPr>
              <w:pStyle w:val="In-tableHeading"/>
              <w:jc w:val="center"/>
              <w:rPr>
                <w:lang w:val="en-AU"/>
              </w:rPr>
            </w:pPr>
            <w:r w:rsidRPr="00BE6650">
              <w:rPr>
                <w:lang w:val="en-AU"/>
              </w:rPr>
              <w:t>Description</w:t>
            </w:r>
          </w:p>
        </w:tc>
        <w:tc>
          <w:tcPr>
            <w:tcW w:w="2021" w:type="pct"/>
            <w:shd w:val="clear" w:color="auto" w:fill="auto"/>
            <w:vAlign w:val="center"/>
          </w:tcPr>
          <w:p w14:paraId="63CC400E" w14:textId="77777777" w:rsidR="00A25B32" w:rsidRPr="00BE6650" w:rsidRDefault="00A25B32" w:rsidP="00B137BE">
            <w:pPr>
              <w:pStyle w:val="In-tableHeading"/>
              <w:jc w:val="center"/>
              <w:rPr>
                <w:lang w:val="en-AU"/>
              </w:rPr>
            </w:pPr>
            <w:r w:rsidRPr="00BE6650">
              <w:rPr>
                <w:lang w:val="en-AU"/>
              </w:rPr>
              <w:t>Method/Value</w:t>
            </w:r>
          </w:p>
        </w:tc>
        <w:tc>
          <w:tcPr>
            <w:tcW w:w="2353" w:type="pct"/>
            <w:shd w:val="clear" w:color="auto" w:fill="auto"/>
            <w:vAlign w:val="center"/>
          </w:tcPr>
          <w:p w14:paraId="2DC24C67" w14:textId="77777777" w:rsidR="00A25B32" w:rsidRPr="00BE6650" w:rsidRDefault="00A25B32" w:rsidP="00B137BE">
            <w:pPr>
              <w:pStyle w:val="In-tableHeading"/>
              <w:jc w:val="center"/>
              <w:rPr>
                <w:lang w:val="en-AU"/>
              </w:rPr>
            </w:pPr>
            <w:r w:rsidRPr="00BE6650">
              <w:rPr>
                <w:lang w:val="en-AU"/>
              </w:rPr>
              <w:t>Impact</w:t>
            </w:r>
          </w:p>
          <w:p w14:paraId="11F9D3CD" w14:textId="77777777" w:rsidR="00A25B32" w:rsidRPr="00BE6650" w:rsidRDefault="00A25B32" w:rsidP="00B137BE">
            <w:pPr>
              <w:pStyle w:val="In-tableHeading"/>
              <w:jc w:val="center"/>
              <w:rPr>
                <w:lang w:val="en-AU"/>
              </w:rPr>
            </w:pPr>
            <w:r w:rsidRPr="00BE6650">
              <w:rPr>
                <w:rFonts w:cs="Arial"/>
                <w:szCs w:val="20"/>
                <w:lang w:val="en-AU"/>
              </w:rPr>
              <w:t>Base case: $</w:t>
            </w:r>
            <w:r w:rsidR="00D66DBB">
              <w:rPr>
                <w:rFonts w:cs="Arial"/>
                <w:noProof/>
                <w:color w:val="000000"/>
                <w:szCs w:val="20"/>
                <w:highlight w:val="black"/>
                <w:lang w:val="en-AU"/>
              </w:rPr>
              <w:t>''''''''''''</w:t>
            </w:r>
            <w:r w:rsidR="00713E55">
              <w:rPr>
                <w:vertAlign w:val="superscript"/>
              </w:rPr>
              <w:t>1</w:t>
            </w:r>
            <w:r w:rsidR="001A0E9A" w:rsidRPr="00BE6650">
              <w:rPr>
                <w:rFonts w:cs="Arial"/>
                <w:szCs w:val="20"/>
                <w:lang w:val="en-AU"/>
              </w:rPr>
              <w:t xml:space="preserve"> per </w:t>
            </w:r>
            <w:r w:rsidRPr="00BE6650">
              <w:rPr>
                <w:rFonts w:cs="Arial"/>
                <w:szCs w:val="20"/>
                <w:lang w:val="en-AU"/>
              </w:rPr>
              <w:t xml:space="preserve">QALY </w:t>
            </w:r>
          </w:p>
        </w:tc>
      </w:tr>
      <w:tr w:rsidR="00E672EF" w:rsidRPr="00BE6650" w14:paraId="24ECE772" w14:textId="77777777" w:rsidTr="00B137BE">
        <w:tc>
          <w:tcPr>
            <w:tcW w:w="626" w:type="pct"/>
            <w:shd w:val="clear" w:color="auto" w:fill="auto"/>
            <w:vAlign w:val="center"/>
          </w:tcPr>
          <w:p w14:paraId="6972E72B" w14:textId="77777777" w:rsidR="00E672EF" w:rsidRPr="00BE6650" w:rsidRDefault="00210EB6" w:rsidP="005B3870">
            <w:pPr>
              <w:pStyle w:val="TableText0"/>
            </w:pPr>
            <w:r w:rsidRPr="00BE6650">
              <w:t>Extrapolation of OS</w:t>
            </w:r>
            <w:r w:rsidR="00CA5EC3" w:rsidRPr="00BE6650">
              <w:t xml:space="preserve"> (Sd)</w:t>
            </w:r>
          </w:p>
        </w:tc>
        <w:tc>
          <w:tcPr>
            <w:tcW w:w="2021" w:type="pct"/>
            <w:shd w:val="clear" w:color="auto" w:fill="auto"/>
            <w:vAlign w:val="center"/>
          </w:tcPr>
          <w:p w14:paraId="781B46A4" w14:textId="77777777" w:rsidR="00E672EF" w:rsidRPr="00BE6650" w:rsidRDefault="00927658" w:rsidP="00E47090">
            <w:pPr>
              <w:pStyle w:val="TableText0"/>
              <w:rPr>
                <w:iCs/>
              </w:rPr>
            </w:pPr>
            <w:r w:rsidRPr="00BE6650">
              <w:t xml:space="preserve">Log-normal </w:t>
            </w:r>
            <w:r w:rsidR="0001307D" w:rsidRPr="00BE6650">
              <w:t xml:space="preserve">distribution </w:t>
            </w:r>
            <w:r w:rsidR="00F32BFF" w:rsidRPr="00BE6650">
              <w:rPr>
                <w:iCs/>
              </w:rPr>
              <w:t>(appropriate based on AIC and BIC criteria</w:t>
            </w:r>
            <w:r w:rsidR="00E47090" w:rsidRPr="00BE6650">
              <w:rPr>
                <w:iCs/>
              </w:rPr>
              <w:t>; h</w:t>
            </w:r>
            <w:r w:rsidR="00F32BFF" w:rsidRPr="00BE6650">
              <w:rPr>
                <w:iCs/>
              </w:rPr>
              <w:t>owever</w:t>
            </w:r>
            <w:r w:rsidR="00E47090" w:rsidRPr="00BE6650">
              <w:rPr>
                <w:iCs/>
              </w:rPr>
              <w:t>,</w:t>
            </w:r>
            <w:r w:rsidR="00F32BFF" w:rsidRPr="00BE6650">
              <w:rPr>
                <w:iCs/>
              </w:rPr>
              <w:t xml:space="preserve"> </w:t>
            </w:r>
            <w:r w:rsidR="00E47090" w:rsidRPr="00BE6650">
              <w:rPr>
                <w:iCs/>
              </w:rPr>
              <w:t>data were immature)</w:t>
            </w:r>
          </w:p>
        </w:tc>
        <w:tc>
          <w:tcPr>
            <w:tcW w:w="2353" w:type="pct"/>
            <w:shd w:val="clear" w:color="auto" w:fill="auto"/>
            <w:vAlign w:val="center"/>
          </w:tcPr>
          <w:p w14:paraId="4972029B" w14:textId="77777777" w:rsidR="00E672EF" w:rsidRPr="00713E55" w:rsidRDefault="00F32BFF" w:rsidP="00B137BE">
            <w:pPr>
              <w:pStyle w:val="TableText0"/>
              <w:rPr>
                <w:vertAlign w:val="superscript"/>
              </w:rPr>
            </w:pPr>
            <w:r w:rsidRPr="00BE6650">
              <w:t>High; favours Sd</w:t>
            </w:r>
          </w:p>
          <w:p w14:paraId="35DAC60E" w14:textId="77777777" w:rsidR="00F32BFF" w:rsidRPr="00BE6650" w:rsidRDefault="00F32BFF" w:rsidP="00B137BE">
            <w:pPr>
              <w:pStyle w:val="TableText0"/>
            </w:pPr>
            <w:r w:rsidRPr="00BE6650">
              <w:t>Use of the Weibull distribution increased the ICER to $</w:t>
            </w:r>
            <w:r w:rsidR="00D66DBB">
              <w:rPr>
                <w:noProof/>
                <w:color w:val="000000"/>
                <w:highlight w:val="black"/>
              </w:rPr>
              <w:t>'''''''''''''''''''</w:t>
            </w:r>
            <w:r w:rsidR="00713E55">
              <w:rPr>
                <w:vertAlign w:val="superscript"/>
              </w:rPr>
              <w:t>2</w:t>
            </w:r>
            <w:r w:rsidR="001A0E9A" w:rsidRPr="00BE6650">
              <w:t xml:space="preserve"> per QALY</w:t>
            </w:r>
            <w:r w:rsidRPr="00BE6650">
              <w:t>.</w:t>
            </w:r>
          </w:p>
        </w:tc>
      </w:tr>
      <w:tr w:rsidR="00A224D8" w:rsidRPr="00BE6650" w14:paraId="2AACF947" w14:textId="77777777" w:rsidTr="00132867">
        <w:tc>
          <w:tcPr>
            <w:tcW w:w="626" w:type="pct"/>
            <w:shd w:val="clear" w:color="auto" w:fill="auto"/>
            <w:vAlign w:val="center"/>
          </w:tcPr>
          <w:p w14:paraId="2F77CA85" w14:textId="77777777" w:rsidR="00A224D8" w:rsidRPr="00BE6650" w:rsidRDefault="00A224D8" w:rsidP="005B3870">
            <w:pPr>
              <w:pStyle w:val="TableText0"/>
            </w:pPr>
            <w:r w:rsidRPr="00BE6650">
              <w:t>Convergence for OS of Sd</w:t>
            </w:r>
          </w:p>
        </w:tc>
        <w:tc>
          <w:tcPr>
            <w:tcW w:w="2021" w:type="pct"/>
            <w:shd w:val="clear" w:color="auto" w:fill="auto"/>
            <w:vAlign w:val="center"/>
          </w:tcPr>
          <w:p w14:paraId="21A11C72" w14:textId="77777777" w:rsidR="00A224D8" w:rsidRPr="00BE6650" w:rsidRDefault="00A224D8" w:rsidP="00132867">
            <w:pPr>
              <w:pStyle w:val="TableText0"/>
            </w:pPr>
            <w:r w:rsidRPr="00BE6650">
              <w:t>No convergence applied for OS of Sd</w:t>
            </w:r>
          </w:p>
        </w:tc>
        <w:tc>
          <w:tcPr>
            <w:tcW w:w="2353" w:type="pct"/>
            <w:shd w:val="clear" w:color="auto" w:fill="auto"/>
            <w:vAlign w:val="center"/>
          </w:tcPr>
          <w:p w14:paraId="3CCD09DF" w14:textId="77777777" w:rsidR="00A224D8" w:rsidRPr="00BE6650" w:rsidRDefault="00E47090" w:rsidP="00132867">
            <w:pPr>
              <w:pStyle w:val="TableText0"/>
            </w:pPr>
            <w:r w:rsidRPr="00BE6650">
              <w:t>Moderate</w:t>
            </w:r>
            <w:r w:rsidR="00A224D8" w:rsidRPr="00BE6650">
              <w:t xml:space="preserve">, favours Sd </w:t>
            </w:r>
          </w:p>
          <w:p w14:paraId="21007C4A" w14:textId="77777777" w:rsidR="00A224D8" w:rsidRPr="00BE6650" w:rsidRDefault="00A224D8" w:rsidP="00132867">
            <w:pPr>
              <w:pStyle w:val="TableText0"/>
            </w:pPr>
            <w:r w:rsidRPr="00BE6650">
              <w:rPr>
                <w:iCs/>
              </w:rPr>
              <w:t>Convergence applied from month 48</w:t>
            </w:r>
            <w:r w:rsidRPr="00BE6650">
              <w:t xml:space="preserve"> increased the ICER to $</w:t>
            </w:r>
            <w:r w:rsidR="00D66DBB">
              <w:rPr>
                <w:noProof/>
                <w:color w:val="000000"/>
                <w:highlight w:val="black"/>
              </w:rPr>
              <w:t>'''''''''''''''</w:t>
            </w:r>
            <w:r w:rsidR="00713E55">
              <w:rPr>
                <w:vertAlign w:val="superscript"/>
              </w:rPr>
              <w:t>3</w:t>
            </w:r>
            <w:r w:rsidR="001A0E9A" w:rsidRPr="00BE6650">
              <w:t xml:space="preserve"> per </w:t>
            </w:r>
            <w:r w:rsidRPr="00BE6650">
              <w:t>QALY</w:t>
            </w:r>
          </w:p>
        </w:tc>
      </w:tr>
      <w:tr w:rsidR="00A25B32" w:rsidRPr="00BE6650" w14:paraId="2577C294" w14:textId="77777777" w:rsidTr="00B137BE">
        <w:tc>
          <w:tcPr>
            <w:tcW w:w="626" w:type="pct"/>
            <w:shd w:val="clear" w:color="auto" w:fill="auto"/>
            <w:vAlign w:val="center"/>
          </w:tcPr>
          <w:p w14:paraId="48E3DCD4" w14:textId="77777777" w:rsidR="00A25B32" w:rsidRPr="00BE6650" w:rsidRDefault="00A25B32" w:rsidP="005B3870">
            <w:pPr>
              <w:pStyle w:val="TableText0"/>
            </w:pPr>
            <w:r w:rsidRPr="00BE6650">
              <w:t>Time horizon</w:t>
            </w:r>
          </w:p>
        </w:tc>
        <w:tc>
          <w:tcPr>
            <w:tcW w:w="2021" w:type="pct"/>
            <w:shd w:val="clear" w:color="auto" w:fill="auto"/>
            <w:vAlign w:val="center"/>
          </w:tcPr>
          <w:p w14:paraId="689B8828" w14:textId="77777777" w:rsidR="00A25B32" w:rsidRPr="00BE6650" w:rsidRDefault="00A25B32" w:rsidP="00B137BE">
            <w:pPr>
              <w:pStyle w:val="TableText0"/>
            </w:pPr>
            <w:r w:rsidRPr="00BE6650">
              <w:t xml:space="preserve">7 years </w:t>
            </w:r>
          </w:p>
        </w:tc>
        <w:tc>
          <w:tcPr>
            <w:tcW w:w="2353" w:type="pct"/>
            <w:shd w:val="clear" w:color="auto" w:fill="auto"/>
            <w:vAlign w:val="center"/>
          </w:tcPr>
          <w:p w14:paraId="31C349E3" w14:textId="77777777" w:rsidR="00A25B32" w:rsidRPr="00BE6650" w:rsidRDefault="00384F6D" w:rsidP="00B137BE">
            <w:pPr>
              <w:pStyle w:val="TableText0"/>
            </w:pPr>
            <w:r w:rsidRPr="00BE6650">
              <w:t>M</w:t>
            </w:r>
            <w:r w:rsidR="00A25B32" w:rsidRPr="00BE6650">
              <w:t xml:space="preserve">oderate, favours </w:t>
            </w:r>
            <w:r w:rsidR="0008512C" w:rsidRPr="00BE6650">
              <w:t>Sd</w:t>
            </w:r>
          </w:p>
          <w:p w14:paraId="2BF65DC3" w14:textId="77777777" w:rsidR="00A25B32" w:rsidRPr="00BE6650" w:rsidRDefault="00A25B32" w:rsidP="00B137BE">
            <w:pPr>
              <w:pStyle w:val="TableText0"/>
            </w:pPr>
            <w:r w:rsidRPr="00BE6650">
              <w:t>Use of 5 years for time horizon increased the ICER to $</w:t>
            </w:r>
            <w:r w:rsidR="00D66DBB">
              <w:rPr>
                <w:noProof/>
                <w:color w:val="000000"/>
                <w:highlight w:val="black"/>
              </w:rPr>
              <w:t>''''''''''''''''''</w:t>
            </w:r>
            <w:r w:rsidR="00713E55">
              <w:rPr>
                <w:vertAlign w:val="superscript"/>
              </w:rPr>
              <w:t>3</w:t>
            </w:r>
            <w:r w:rsidR="001A0E9A" w:rsidRPr="00BE6650">
              <w:t xml:space="preserve"> per </w:t>
            </w:r>
            <w:r w:rsidRPr="00BE6650">
              <w:t xml:space="preserve">QALY </w:t>
            </w:r>
          </w:p>
        </w:tc>
      </w:tr>
    </w:tbl>
    <w:p w14:paraId="7E707F34" w14:textId="77777777" w:rsidR="00A25B32" w:rsidRPr="00BE6650" w:rsidRDefault="00A25B32" w:rsidP="00A25B32">
      <w:pPr>
        <w:pStyle w:val="TableFigureFooter"/>
      </w:pPr>
      <w:r w:rsidRPr="00BE6650">
        <w:t xml:space="preserve">Source: Developed during the evaluation </w:t>
      </w:r>
    </w:p>
    <w:p w14:paraId="3CCCED1F" w14:textId="77777777" w:rsidR="00A25B32" w:rsidRDefault="001A0E9A" w:rsidP="00A25B32">
      <w:pPr>
        <w:pStyle w:val="TableFigureFooter"/>
      </w:pPr>
      <w:r w:rsidRPr="00BE6650">
        <w:t xml:space="preserve">AIC = Akaike information criterion; BIC Bayesian information criterion; </w:t>
      </w:r>
      <w:r w:rsidR="00A25B32" w:rsidRPr="00BE6650">
        <w:t xml:space="preserve">ICER = incremental cost effectiveness ratio; OS = overall survival; QALY = </w:t>
      </w:r>
      <w:r w:rsidR="00A25B32" w:rsidRPr="00BE6650">
        <w:rPr>
          <w:rStyle w:val="FontBold"/>
          <w:rFonts w:ascii="Arial Narrow" w:hAnsi="Arial Narrow"/>
          <w:b w:val="0"/>
          <w:sz w:val="18"/>
          <w:szCs w:val="18"/>
        </w:rPr>
        <w:t xml:space="preserve">quality-adjusted life year; </w:t>
      </w:r>
      <w:r w:rsidR="00B37833" w:rsidRPr="00BE6650">
        <w:t xml:space="preserve">Sd </w:t>
      </w:r>
      <w:r w:rsidR="00A25B32" w:rsidRPr="00BE6650">
        <w:t>= selinexor plus dexamethasone</w:t>
      </w:r>
    </w:p>
    <w:p w14:paraId="1CB18239" w14:textId="77777777" w:rsidR="00713E55" w:rsidRDefault="00713E55" w:rsidP="00713E55">
      <w:pPr>
        <w:pStyle w:val="TableFigureFooter"/>
        <w:spacing w:after="0"/>
        <w:contextualSpacing w:val="0"/>
        <w:rPr>
          <w:i/>
        </w:rPr>
      </w:pPr>
      <w:r w:rsidRPr="009868C4">
        <w:rPr>
          <w:i/>
        </w:rPr>
        <w:t>The redacted values correspond to the following ranges</w:t>
      </w:r>
      <w:r>
        <w:rPr>
          <w:i/>
        </w:rPr>
        <w:t xml:space="preserve">: </w:t>
      </w:r>
    </w:p>
    <w:p w14:paraId="60DD94E1" w14:textId="77777777" w:rsidR="00713E55" w:rsidRPr="00870C5D" w:rsidRDefault="00713E55" w:rsidP="00713E55">
      <w:pPr>
        <w:pStyle w:val="TableFigureFooter"/>
        <w:spacing w:after="0"/>
        <w:contextualSpacing w:val="0"/>
      </w:pPr>
      <w:r>
        <w:rPr>
          <w:i/>
          <w:vertAlign w:val="superscript"/>
        </w:rPr>
        <w:t>1</w:t>
      </w:r>
      <w:r>
        <w:rPr>
          <w:i/>
        </w:rPr>
        <w:t xml:space="preserve"> </w:t>
      </w:r>
      <w:r w:rsidRPr="00713E55">
        <w:rPr>
          <w:i/>
        </w:rPr>
        <w:t>$55,000 to &lt; $75,000</w:t>
      </w:r>
    </w:p>
    <w:p w14:paraId="2FA56337" w14:textId="77777777" w:rsidR="00713E55" w:rsidRDefault="00713E55" w:rsidP="00713E55">
      <w:pPr>
        <w:pStyle w:val="TableFigureFooter"/>
        <w:spacing w:after="0"/>
        <w:contextualSpacing w:val="0"/>
        <w:rPr>
          <w:i/>
        </w:rPr>
      </w:pPr>
      <w:r>
        <w:rPr>
          <w:i/>
          <w:vertAlign w:val="superscript"/>
        </w:rPr>
        <w:t>2</w:t>
      </w:r>
      <w:r>
        <w:rPr>
          <w:i/>
        </w:rPr>
        <w:t xml:space="preserve"> </w:t>
      </w:r>
      <w:r w:rsidRPr="00713E55">
        <w:rPr>
          <w:i/>
        </w:rPr>
        <w:t>$115,000 to &lt; $135,000</w:t>
      </w:r>
    </w:p>
    <w:p w14:paraId="76DC08E6" w14:textId="77777777" w:rsidR="00713E55" w:rsidRPr="00870C5D" w:rsidRDefault="00713E55" w:rsidP="00713E55">
      <w:pPr>
        <w:pStyle w:val="TableFigureFooter"/>
        <w:spacing w:after="0"/>
        <w:contextualSpacing w:val="0"/>
      </w:pPr>
      <w:r>
        <w:rPr>
          <w:i/>
          <w:vertAlign w:val="superscript"/>
        </w:rPr>
        <w:t>3</w:t>
      </w:r>
      <w:r>
        <w:rPr>
          <w:i/>
        </w:rPr>
        <w:t xml:space="preserve"> </w:t>
      </w:r>
      <w:r w:rsidRPr="00713E55">
        <w:rPr>
          <w:i/>
        </w:rPr>
        <w:t>$75,000 to &lt; $95,000</w:t>
      </w:r>
    </w:p>
    <w:p w14:paraId="724E4A2D" w14:textId="77777777" w:rsidR="00713E55" w:rsidRPr="00BE6650" w:rsidRDefault="00713E55" w:rsidP="00A25B32">
      <w:pPr>
        <w:pStyle w:val="TableFigureFooter"/>
      </w:pPr>
    </w:p>
    <w:p w14:paraId="40808C78" w14:textId="77777777" w:rsidR="00A25B32" w:rsidRPr="00BE6650" w:rsidRDefault="00A25B32" w:rsidP="00A25B32">
      <w:pPr>
        <w:pStyle w:val="3-BodyText"/>
      </w:pPr>
      <w:r w:rsidRPr="00BE6650">
        <w:t>A summary of the results of the economic evaluation is presented in Table 1</w:t>
      </w:r>
      <w:r w:rsidR="00B24A5D" w:rsidRPr="00BE6650">
        <w:t>2</w:t>
      </w:r>
      <w:r w:rsidRPr="00BE6650">
        <w:t>.</w:t>
      </w:r>
    </w:p>
    <w:p w14:paraId="1E99B5A2" w14:textId="77777777" w:rsidR="00A25B32" w:rsidRPr="00BE6650" w:rsidRDefault="00A25B32" w:rsidP="00A25B32">
      <w:pPr>
        <w:pStyle w:val="TableFigureHeading"/>
        <w:rPr>
          <w:rStyle w:val="CommentReference"/>
          <w:b/>
          <w:szCs w:val="24"/>
        </w:rPr>
      </w:pPr>
      <w:r w:rsidRPr="00BE6650">
        <w:rPr>
          <w:rStyle w:val="CommentReference"/>
          <w:b/>
          <w:szCs w:val="24"/>
        </w:rPr>
        <w:t>Table 1</w:t>
      </w:r>
      <w:r w:rsidR="00B24A5D" w:rsidRPr="00BE6650">
        <w:rPr>
          <w:rStyle w:val="CommentReference"/>
          <w:b/>
          <w:szCs w:val="24"/>
        </w:rPr>
        <w:t>2</w:t>
      </w:r>
      <w:r w:rsidRPr="00BE6650">
        <w:rPr>
          <w:rStyle w:val="CommentReference"/>
          <w:b/>
          <w:szCs w:val="24"/>
        </w:rPr>
        <w:t>: Results of the economic evaluation</w:t>
      </w:r>
    </w:p>
    <w:tbl>
      <w:tblPr>
        <w:tblStyle w:val="TableGrid"/>
        <w:tblW w:w="0" w:type="auto"/>
        <w:tblLook w:val="04A0" w:firstRow="1" w:lastRow="0" w:firstColumn="1" w:lastColumn="0" w:noHBand="0" w:noVBand="1"/>
        <w:tblCaption w:val="Table 12: Results of the economic evaluation"/>
      </w:tblPr>
      <w:tblGrid>
        <w:gridCol w:w="2254"/>
        <w:gridCol w:w="2263"/>
        <w:gridCol w:w="2242"/>
        <w:gridCol w:w="2257"/>
      </w:tblGrid>
      <w:tr w:rsidR="00A25B32" w:rsidRPr="00BE6650" w14:paraId="2EC36B08" w14:textId="77777777" w:rsidTr="00E517B9">
        <w:trPr>
          <w:tblHeader/>
        </w:trPr>
        <w:tc>
          <w:tcPr>
            <w:tcW w:w="2255" w:type="dxa"/>
          </w:tcPr>
          <w:p w14:paraId="09D9B9C2" w14:textId="77777777" w:rsidR="00A25B32" w:rsidRPr="00BE6650" w:rsidRDefault="00A25B32" w:rsidP="00B137BE">
            <w:pPr>
              <w:pStyle w:val="TableLeft"/>
              <w:rPr>
                <w:rStyle w:val="SmallBold"/>
                <w:rFonts w:ascii="Arial Narrow" w:hAnsi="Arial Narrow"/>
                <w:szCs w:val="20"/>
                <w:lang w:bidi="en-US"/>
              </w:rPr>
            </w:pPr>
            <w:r w:rsidRPr="00BE6650">
              <w:rPr>
                <w:rStyle w:val="SmallBold"/>
                <w:rFonts w:ascii="Arial Narrow" w:hAnsi="Arial Narrow"/>
                <w:szCs w:val="20"/>
                <w:lang w:bidi="en-US"/>
              </w:rPr>
              <w:t>Component</w:t>
            </w:r>
          </w:p>
        </w:tc>
        <w:tc>
          <w:tcPr>
            <w:tcW w:w="2263" w:type="dxa"/>
            <w:hideMark/>
          </w:tcPr>
          <w:p w14:paraId="00B7F9E8" w14:textId="77777777" w:rsidR="00A25B32" w:rsidRPr="00BE6650" w:rsidRDefault="00B37833" w:rsidP="00B137BE">
            <w:pPr>
              <w:pStyle w:val="TableLeft"/>
              <w:jc w:val="center"/>
              <w:rPr>
                <w:rStyle w:val="SmallBold"/>
                <w:rFonts w:ascii="Arial Narrow" w:hAnsi="Arial Narrow"/>
                <w:szCs w:val="20"/>
              </w:rPr>
            </w:pPr>
            <w:r w:rsidRPr="00BE6650">
              <w:rPr>
                <w:rStyle w:val="SmallBold"/>
                <w:rFonts w:ascii="Arial Narrow" w:hAnsi="Arial Narrow"/>
                <w:szCs w:val="20"/>
              </w:rPr>
              <w:t>Sd</w:t>
            </w:r>
          </w:p>
        </w:tc>
        <w:tc>
          <w:tcPr>
            <w:tcW w:w="2242" w:type="dxa"/>
            <w:hideMark/>
          </w:tcPr>
          <w:p w14:paraId="2CFAF620" w14:textId="77777777" w:rsidR="00A25B32" w:rsidRPr="00BE6650" w:rsidRDefault="00A25B32" w:rsidP="00B137BE">
            <w:pPr>
              <w:pStyle w:val="TableLeft"/>
              <w:jc w:val="center"/>
              <w:rPr>
                <w:rStyle w:val="SmallBold"/>
                <w:rFonts w:ascii="Arial Narrow" w:hAnsi="Arial Narrow"/>
                <w:szCs w:val="20"/>
              </w:rPr>
            </w:pPr>
            <w:r w:rsidRPr="00BE6650">
              <w:rPr>
                <w:rStyle w:val="SmallBold"/>
                <w:rFonts w:ascii="Arial Narrow" w:hAnsi="Arial Narrow"/>
                <w:szCs w:val="20"/>
              </w:rPr>
              <w:t>DCEP</w:t>
            </w:r>
          </w:p>
        </w:tc>
        <w:tc>
          <w:tcPr>
            <w:tcW w:w="2257" w:type="dxa"/>
            <w:hideMark/>
          </w:tcPr>
          <w:p w14:paraId="32C0EFFC" w14:textId="77777777" w:rsidR="00A25B32" w:rsidRPr="00BE6650" w:rsidRDefault="00A25B32" w:rsidP="00B137BE">
            <w:pPr>
              <w:pStyle w:val="TableLeft"/>
              <w:jc w:val="center"/>
              <w:rPr>
                <w:rStyle w:val="SmallBold"/>
                <w:rFonts w:ascii="Arial Narrow" w:hAnsi="Arial Narrow"/>
                <w:szCs w:val="20"/>
              </w:rPr>
            </w:pPr>
            <w:r w:rsidRPr="00BE6650">
              <w:rPr>
                <w:rStyle w:val="SmallBold"/>
                <w:rFonts w:ascii="Arial Narrow" w:hAnsi="Arial Narrow"/>
                <w:szCs w:val="20"/>
              </w:rPr>
              <w:t>Incremental</w:t>
            </w:r>
          </w:p>
        </w:tc>
      </w:tr>
      <w:tr w:rsidR="00A25B32" w:rsidRPr="00BE6650" w14:paraId="7C8F74C7" w14:textId="77777777" w:rsidTr="00B137BE">
        <w:tc>
          <w:tcPr>
            <w:tcW w:w="2255" w:type="dxa"/>
            <w:hideMark/>
          </w:tcPr>
          <w:p w14:paraId="19EDD0E3" w14:textId="77777777" w:rsidR="00A25B32" w:rsidRPr="00BE6650" w:rsidRDefault="00A25B32" w:rsidP="00B137BE">
            <w:pPr>
              <w:pStyle w:val="TableLeft"/>
              <w:rPr>
                <w:rFonts w:ascii="Arial Narrow" w:hAnsi="Arial Narrow"/>
                <w:szCs w:val="20"/>
              </w:rPr>
            </w:pPr>
            <w:r w:rsidRPr="00BE6650">
              <w:rPr>
                <w:rFonts w:ascii="Arial Narrow" w:hAnsi="Arial Narrow"/>
                <w:szCs w:val="20"/>
              </w:rPr>
              <w:t xml:space="preserve">Life </w:t>
            </w:r>
            <w:r w:rsidR="001A0E9A" w:rsidRPr="00BE6650">
              <w:rPr>
                <w:rFonts w:ascii="Arial Narrow" w:hAnsi="Arial Narrow"/>
                <w:szCs w:val="20"/>
              </w:rPr>
              <w:t>y</w:t>
            </w:r>
            <w:r w:rsidRPr="00BE6650">
              <w:rPr>
                <w:rFonts w:ascii="Arial Narrow" w:hAnsi="Arial Narrow"/>
                <w:szCs w:val="20"/>
              </w:rPr>
              <w:t>ears</w:t>
            </w:r>
          </w:p>
        </w:tc>
        <w:tc>
          <w:tcPr>
            <w:tcW w:w="2263" w:type="dxa"/>
          </w:tcPr>
          <w:p w14:paraId="53734E6C" w14:textId="77777777" w:rsidR="00A25B32" w:rsidRPr="00BE6650" w:rsidRDefault="00A25B32" w:rsidP="00B137BE">
            <w:pPr>
              <w:pStyle w:val="TableLeft"/>
              <w:jc w:val="center"/>
              <w:rPr>
                <w:rFonts w:ascii="Arial Narrow" w:hAnsi="Arial Narrow"/>
                <w:szCs w:val="20"/>
              </w:rPr>
            </w:pPr>
            <w:r w:rsidRPr="00BE6650">
              <w:rPr>
                <w:rFonts w:ascii="Arial Narrow" w:hAnsi="Arial Narrow"/>
                <w:szCs w:val="20"/>
              </w:rPr>
              <w:t>1.17</w:t>
            </w:r>
          </w:p>
        </w:tc>
        <w:tc>
          <w:tcPr>
            <w:tcW w:w="2242" w:type="dxa"/>
          </w:tcPr>
          <w:p w14:paraId="09945F0A" w14:textId="77777777" w:rsidR="00A25B32" w:rsidRPr="00BE6650" w:rsidRDefault="00A25B32" w:rsidP="00B137BE">
            <w:pPr>
              <w:pStyle w:val="TableLeft"/>
              <w:jc w:val="center"/>
              <w:rPr>
                <w:rFonts w:ascii="Arial Narrow" w:hAnsi="Arial Narrow"/>
                <w:szCs w:val="20"/>
              </w:rPr>
            </w:pPr>
            <w:r w:rsidRPr="00BE6650">
              <w:rPr>
                <w:rFonts w:ascii="Arial Narrow" w:hAnsi="Arial Narrow"/>
                <w:szCs w:val="20"/>
              </w:rPr>
              <w:t>0.72</w:t>
            </w:r>
          </w:p>
        </w:tc>
        <w:tc>
          <w:tcPr>
            <w:tcW w:w="2257" w:type="dxa"/>
          </w:tcPr>
          <w:p w14:paraId="1C0EBDAE" w14:textId="77777777" w:rsidR="00A25B32" w:rsidRPr="00BE6650" w:rsidRDefault="00A25B32" w:rsidP="00B137BE">
            <w:pPr>
              <w:pStyle w:val="TableLeft"/>
              <w:jc w:val="center"/>
              <w:rPr>
                <w:rFonts w:ascii="Arial Narrow" w:hAnsi="Arial Narrow"/>
                <w:szCs w:val="20"/>
                <w:vertAlign w:val="superscript"/>
              </w:rPr>
            </w:pPr>
            <w:r w:rsidRPr="00BE6650">
              <w:rPr>
                <w:rFonts w:ascii="Arial Narrow" w:hAnsi="Arial Narrow"/>
                <w:szCs w:val="20"/>
              </w:rPr>
              <w:t>0.45</w:t>
            </w:r>
            <w:r w:rsidR="00233A73" w:rsidRPr="00BE6650">
              <w:rPr>
                <w:rFonts w:ascii="Arial Narrow" w:hAnsi="Arial Narrow"/>
                <w:szCs w:val="20"/>
              </w:rPr>
              <w:t xml:space="preserve"> </w:t>
            </w:r>
            <w:r w:rsidR="00233A73" w:rsidRPr="00BE6650">
              <w:rPr>
                <w:rFonts w:ascii="Arial Narrow" w:hAnsi="Arial Narrow"/>
                <w:szCs w:val="20"/>
                <w:vertAlign w:val="superscript"/>
              </w:rPr>
              <w:t>a</w:t>
            </w:r>
          </w:p>
        </w:tc>
      </w:tr>
      <w:tr w:rsidR="00A25B32" w:rsidRPr="00BE6650" w14:paraId="5F8E00FD" w14:textId="77777777" w:rsidTr="00B137BE">
        <w:tc>
          <w:tcPr>
            <w:tcW w:w="2255" w:type="dxa"/>
            <w:hideMark/>
          </w:tcPr>
          <w:p w14:paraId="267FFBD1" w14:textId="77777777" w:rsidR="00A25B32" w:rsidRPr="00BE6650" w:rsidRDefault="00A25B32" w:rsidP="00B137BE">
            <w:pPr>
              <w:pStyle w:val="TableLeft"/>
              <w:rPr>
                <w:rFonts w:ascii="Arial Narrow" w:hAnsi="Arial Narrow"/>
                <w:szCs w:val="20"/>
              </w:rPr>
            </w:pPr>
            <w:r w:rsidRPr="00BE6650">
              <w:rPr>
                <w:rFonts w:ascii="Arial Narrow" w:hAnsi="Arial Narrow"/>
                <w:szCs w:val="20"/>
              </w:rPr>
              <w:t>QALYs</w:t>
            </w:r>
          </w:p>
        </w:tc>
        <w:tc>
          <w:tcPr>
            <w:tcW w:w="2263" w:type="dxa"/>
          </w:tcPr>
          <w:p w14:paraId="16EC4EC7" w14:textId="77777777" w:rsidR="00A25B32" w:rsidRPr="00BE6650" w:rsidRDefault="00A25B32" w:rsidP="00B137BE">
            <w:pPr>
              <w:pStyle w:val="TableLeft"/>
              <w:jc w:val="center"/>
              <w:rPr>
                <w:rFonts w:ascii="Arial Narrow" w:hAnsi="Arial Narrow"/>
                <w:szCs w:val="20"/>
              </w:rPr>
            </w:pPr>
            <w:r w:rsidRPr="00BE6650">
              <w:rPr>
                <w:rFonts w:ascii="Arial Narrow" w:hAnsi="Arial Narrow"/>
                <w:szCs w:val="20"/>
              </w:rPr>
              <w:t>0.68</w:t>
            </w:r>
          </w:p>
        </w:tc>
        <w:tc>
          <w:tcPr>
            <w:tcW w:w="2242" w:type="dxa"/>
          </w:tcPr>
          <w:p w14:paraId="0296F792" w14:textId="77777777" w:rsidR="00A25B32" w:rsidRPr="00BE6650" w:rsidRDefault="00A25B32" w:rsidP="00B137BE">
            <w:pPr>
              <w:pStyle w:val="TableLeft"/>
              <w:jc w:val="center"/>
              <w:rPr>
                <w:rFonts w:ascii="Arial Narrow" w:hAnsi="Arial Narrow"/>
                <w:szCs w:val="20"/>
              </w:rPr>
            </w:pPr>
            <w:r w:rsidRPr="00BE6650">
              <w:rPr>
                <w:rFonts w:ascii="Arial Narrow" w:hAnsi="Arial Narrow"/>
                <w:szCs w:val="20"/>
              </w:rPr>
              <w:t>0.41</w:t>
            </w:r>
          </w:p>
        </w:tc>
        <w:tc>
          <w:tcPr>
            <w:tcW w:w="2257" w:type="dxa"/>
          </w:tcPr>
          <w:p w14:paraId="74A45641" w14:textId="77777777" w:rsidR="00A25B32" w:rsidRPr="00BE6650" w:rsidRDefault="00A25B32" w:rsidP="00B137BE">
            <w:pPr>
              <w:pStyle w:val="TableLeft"/>
              <w:jc w:val="center"/>
              <w:rPr>
                <w:rFonts w:ascii="Arial Narrow" w:hAnsi="Arial Narrow"/>
                <w:szCs w:val="20"/>
              </w:rPr>
            </w:pPr>
            <w:r w:rsidRPr="00BE6650">
              <w:rPr>
                <w:rFonts w:ascii="Arial Narrow" w:hAnsi="Arial Narrow"/>
                <w:szCs w:val="20"/>
              </w:rPr>
              <w:t>0.27</w:t>
            </w:r>
          </w:p>
        </w:tc>
      </w:tr>
      <w:tr w:rsidR="00A25B32" w:rsidRPr="00BE6650" w14:paraId="4EDCB7B0" w14:textId="77777777" w:rsidTr="00B137BE">
        <w:tc>
          <w:tcPr>
            <w:tcW w:w="2255" w:type="dxa"/>
            <w:hideMark/>
          </w:tcPr>
          <w:p w14:paraId="65C8C0C0" w14:textId="77777777" w:rsidR="00A25B32" w:rsidRPr="00BE6650" w:rsidRDefault="00A25B32" w:rsidP="00B137BE">
            <w:pPr>
              <w:pStyle w:val="TableLeft"/>
              <w:rPr>
                <w:rFonts w:ascii="Arial Narrow" w:hAnsi="Arial Narrow"/>
                <w:szCs w:val="20"/>
              </w:rPr>
            </w:pPr>
            <w:r w:rsidRPr="00BE6650">
              <w:rPr>
                <w:rFonts w:ascii="Arial Narrow" w:hAnsi="Arial Narrow"/>
                <w:szCs w:val="20"/>
              </w:rPr>
              <w:t>Total Costs</w:t>
            </w:r>
          </w:p>
        </w:tc>
        <w:tc>
          <w:tcPr>
            <w:tcW w:w="2263" w:type="dxa"/>
            <w:vAlign w:val="center"/>
          </w:tcPr>
          <w:p w14:paraId="61977398" w14:textId="77777777" w:rsidR="00A25B32" w:rsidRPr="00BE6650" w:rsidRDefault="00A25B32" w:rsidP="00B137BE">
            <w:pPr>
              <w:pStyle w:val="TableLeft"/>
              <w:jc w:val="center"/>
              <w:rPr>
                <w:rFonts w:ascii="Arial Narrow" w:hAnsi="Arial Narrow"/>
                <w:szCs w:val="20"/>
              </w:rPr>
            </w:pPr>
            <w:r w:rsidRPr="00BE6650">
              <w:rPr>
                <w:rFonts w:ascii="Arial Narrow" w:hAnsi="Arial Narrow" w:cs="Calibri"/>
                <w:color w:val="000000"/>
                <w:szCs w:val="20"/>
                <w:lang w:eastAsia="en-AU"/>
              </w:rPr>
              <w:t>$</w:t>
            </w:r>
            <w:r w:rsidR="00D66DBB">
              <w:rPr>
                <w:rFonts w:ascii="Arial Narrow" w:hAnsi="Arial Narrow" w:cs="Calibri"/>
                <w:noProof/>
                <w:color w:val="000000"/>
                <w:szCs w:val="20"/>
                <w:highlight w:val="black"/>
                <w:lang w:eastAsia="en-AU"/>
              </w:rPr>
              <w:t>''''''''''''''''</w:t>
            </w:r>
          </w:p>
        </w:tc>
        <w:tc>
          <w:tcPr>
            <w:tcW w:w="2242" w:type="dxa"/>
            <w:vAlign w:val="center"/>
          </w:tcPr>
          <w:p w14:paraId="0A3A7300" w14:textId="77777777" w:rsidR="00A25B32" w:rsidRPr="00BE6650" w:rsidRDefault="00A25B32" w:rsidP="00B137BE">
            <w:pPr>
              <w:pStyle w:val="TableLeft"/>
              <w:jc w:val="center"/>
              <w:rPr>
                <w:rFonts w:ascii="Arial Narrow" w:hAnsi="Arial Narrow"/>
                <w:szCs w:val="20"/>
              </w:rPr>
            </w:pPr>
            <w:r w:rsidRPr="00BE6650">
              <w:rPr>
                <w:rFonts w:ascii="Arial Narrow" w:hAnsi="Arial Narrow" w:cs="Calibri"/>
                <w:color w:val="000000"/>
                <w:szCs w:val="20"/>
                <w:lang w:eastAsia="en-AU"/>
              </w:rPr>
              <w:t>$40,819</w:t>
            </w:r>
          </w:p>
        </w:tc>
        <w:tc>
          <w:tcPr>
            <w:tcW w:w="2257" w:type="dxa"/>
            <w:vAlign w:val="center"/>
          </w:tcPr>
          <w:p w14:paraId="7F5A863C" w14:textId="77777777" w:rsidR="00A25B32" w:rsidRPr="00BE6650" w:rsidRDefault="00A25B32" w:rsidP="00B137BE">
            <w:pPr>
              <w:pStyle w:val="TableLeft"/>
              <w:jc w:val="center"/>
              <w:rPr>
                <w:rFonts w:ascii="Arial Narrow" w:hAnsi="Arial Narrow"/>
                <w:szCs w:val="20"/>
              </w:rPr>
            </w:pPr>
            <w:r w:rsidRPr="00BE6650">
              <w:rPr>
                <w:rFonts w:ascii="Arial Narrow" w:hAnsi="Arial Narrow" w:cs="Calibri"/>
                <w:color w:val="000000"/>
                <w:szCs w:val="20"/>
                <w:lang w:eastAsia="en-AU"/>
              </w:rPr>
              <w:t>$</w:t>
            </w:r>
            <w:r w:rsidR="00D66DBB">
              <w:rPr>
                <w:rFonts w:ascii="Arial Narrow" w:hAnsi="Arial Narrow" w:cs="Calibri"/>
                <w:noProof/>
                <w:color w:val="000000"/>
                <w:szCs w:val="20"/>
                <w:highlight w:val="black"/>
                <w:lang w:eastAsia="en-AU"/>
              </w:rPr>
              <w:t>'''''''''''''''</w:t>
            </w:r>
          </w:p>
        </w:tc>
      </w:tr>
      <w:tr w:rsidR="00A25B32" w:rsidRPr="00BE6650" w14:paraId="7BA3E11E" w14:textId="77777777" w:rsidTr="00B137BE">
        <w:tc>
          <w:tcPr>
            <w:tcW w:w="6760" w:type="dxa"/>
            <w:gridSpan w:val="3"/>
            <w:hideMark/>
          </w:tcPr>
          <w:p w14:paraId="047FB993" w14:textId="77777777" w:rsidR="00A25B32" w:rsidRPr="00BE6650" w:rsidRDefault="00A25B32" w:rsidP="00B137BE">
            <w:pPr>
              <w:pStyle w:val="TableLeft"/>
              <w:rPr>
                <w:rFonts w:ascii="Arial Narrow" w:hAnsi="Arial Narrow"/>
                <w:szCs w:val="20"/>
              </w:rPr>
            </w:pPr>
            <w:r w:rsidRPr="00BE6650">
              <w:rPr>
                <w:rFonts w:ascii="Arial Narrow" w:hAnsi="Arial Narrow"/>
                <w:szCs w:val="20"/>
              </w:rPr>
              <w:t xml:space="preserve">ICER (cost per </w:t>
            </w:r>
            <w:r w:rsidR="001A0E9A" w:rsidRPr="00BE6650">
              <w:rPr>
                <w:rFonts w:ascii="Arial Narrow" w:hAnsi="Arial Narrow"/>
                <w:szCs w:val="20"/>
              </w:rPr>
              <w:t>life year gained</w:t>
            </w:r>
            <w:r w:rsidRPr="00BE6650">
              <w:rPr>
                <w:rFonts w:ascii="Arial Narrow" w:hAnsi="Arial Narrow"/>
                <w:szCs w:val="20"/>
              </w:rPr>
              <w:t>)</w:t>
            </w:r>
          </w:p>
        </w:tc>
        <w:tc>
          <w:tcPr>
            <w:tcW w:w="2257" w:type="dxa"/>
            <w:vAlign w:val="center"/>
          </w:tcPr>
          <w:p w14:paraId="32FEFFB0" w14:textId="77777777" w:rsidR="00A25B32" w:rsidRPr="00BE6650" w:rsidRDefault="00A25B32" w:rsidP="00B137BE">
            <w:pPr>
              <w:pStyle w:val="TableLeft"/>
              <w:jc w:val="center"/>
              <w:rPr>
                <w:rFonts w:ascii="Arial Narrow" w:hAnsi="Arial Narrow"/>
                <w:szCs w:val="20"/>
              </w:rPr>
            </w:pPr>
            <w:r w:rsidRPr="00BE6650">
              <w:rPr>
                <w:rFonts w:ascii="Arial Narrow" w:hAnsi="Arial Narrow" w:cs="Calibri"/>
                <w:color w:val="000000"/>
                <w:szCs w:val="20"/>
                <w:lang w:eastAsia="en-AU"/>
              </w:rPr>
              <w:t>$</w:t>
            </w:r>
            <w:r w:rsidR="00D66DBB">
              <w:rPr>
                <w:rFonts w:ascii="Arial Narrow" w:hAnsi="Arial Narrow" w:cs="Calibri"/>
                <w:noProof/>
                <w:color w:val="000000"/>
                <w:szCs w:val="20"/>
                <w:highlight w:val="black"/>
                <w:lang w:eastAsia="en-AU"/>
              </w:rPr>
              <w:t>''''''''''''''''</w:t>
            </w:r>
            <w:r w:rsidR="00713E55">
              <w:rPr>
                <w:vertAlign w:val="superscript"/>
              </w:rPr>
              <w:t>1</w:t>
            </w:r>
          </w:p>
        </w:tc>
      </w:tr>
      <w:tr w:rsidR="00A25B32" w:rsidRPr="00BE6650" w14:paraId="502B2F3F" w14:textId="77777777" w:rsidTr="00B137BE">
        <w:tc>
          <w:tcPr>
            <w:tcW w:w="6760" w:type="dxa"/>
            <w:gridSpan w:val="3"/>
            <w:hideMark/>
          </w:tcPr>
          <w:p w14:paraId="59004876" w14:textId="77777777" w:rsidR="00A25B32" w:rsidRPr="00BE6650" w:rsidRDefault="00A25B32" w:rsidP="00B137BE">
            <w:pPr>
              <w:pStyle w:val="TableLeft"/>
              <w:rPr>
                <w:rFonts w:ascii="Arial Narrow" w:hAnsi="Arial Narrow"/>
                <w:b/>
                <w:szCs w:val="20"/>
              </w:rPr>
            </w:pPr>
            <w:r w:rsidRPr="00BE6650">
              <w:rPr>
                <w:rFonts w:ascii="Arial Narrow" w:hAnsi="Arial Narrow"/>
                <w:b/>
                <w:szCs w:val="20"/>
              </w:rPr>
              <w:t>ICER (cost per QALY gained)</w:t>
            </w:r>
          </w:p>
        </w:tc>
        <w:tc>
          <w:tcPr>
            <w:tcW w:w="2257" w:type="dxa"/>
            <w:vAlign w:val="center"/>
          </w:tcPr>
          <w:p w14:paraId="7AE8CDC6" w14:textId="77777777" w:rsidR="00A25B32" w:rsidRPr="00BE6650" w:rsidRDefault="00A25B32" w:rsidP="00B137BE">
            <w:pPr>
              <w:pStyle w:val="TableLeft"/>
              <w:jc w:val="center"/>
              <w:rPr>
                <w:rFonts w:ascii="Arial Narrow" w:hAnsi="Arial Narrow"/>
                <w:b/>
                <w:szCs w:val="20"/>
              </w:rPr>
            </w:pPr>
            <w:r w:rsidRPr="00BE6650">
              <w:rPr>
                <w:rFonts w:ascii="Arial Narrow" w:hAnsi="Arial Narrow" w:cs="Calibri"/>
                <w:b/>
                <w:bCs/>
                <w:color w:val="000000"/>
                <w:szCs w:val="20"/>
                <w:lang w:eastAsia="en-AU"/>
              </w:rPr>
              <w:t>$</w:t>
            </w:r>
            <w:r w:rsidR="00D66DBB">
              <w:rPr>
                <w:rFonts w:ascii="Arial Narrow" w:hAnsi="Arial Narrow" w:cs="Calibri"/>
                <w:b/>
                <w:bCs/>
                <w:noProof/>
                <w:color w:val="000000"/>
                <w:szCs w:val="20"/>
                <w:highlight w:val="black"/>
                <w:lang w:eastAsia="en-AU"/>
              </w:rPr>
              <w:t>''''''''''''''</w:t>
            </w:r>
            <w:r w:rsidR="00713E55">
              <w:rPr>
                <w:vertAlign w:val="superscript"/>
              </w:rPr>
              <w:t>2</w:t>
            </w:r>
          </w:p>
        </w:tc>
      </w:tr>
    </w:tbl>
    <w:p w14:paraId="23C069B7" w14:textId="77777777" w:rsidR="00A25B32" w:rsidRPr="00BE6650" w:rsidRDefault="00A25B32" w:rsidP="00A25B32">
      <w:pPr>
        <w:rPr>
          <w:rStyle w:val="FontBold"/>
          <w:rFonts w:ascii="Arial Narrow" w:hAnsi="Arial Narrow"/>
          <w:b w:val="0"/>
          <w:sz w:val="18"/>
          <w:szCs w:val="18"/>
        </w:rPr>
      </w:pPr>
      <w:r w:rsidRPr="00BE6650">
        <w:rPr>
          <w:rStyle w:val="FontBold"/>
          <w:rFonts w:ascii="Arial Narrow" w:hAnsi="Arial Narrow"/>
          <w:b w:val="0"/>
          <w:sz w:val="18"/>
          <w:szCs w:val="18"/>
        </w:rPr>
        <w:t>Source: Table 3-21, p155 of the submission.</w:t>
      </w:r>
    </w:p>
    <w:p w14:paraId="27A4658D" w14:textId="77777777" w:rsidR="00A25B32" w:rsidRPr="00BE6650" w:rsidRDefault="00A25B32" w:rsidP="00233A73">
      <w:pPr>
        <w:rPr>
          <w:rStyle w:val="FontBold"/>
          <w:rFonts w:ascii="Arial Narrow" w:hAnsi="Arial Narrow"/>
          <w:b w:val="0"/>
          <w:sz w:val="18"/>
          <w:szCs w:val="18"/>
        </w:rPr>
      </w:pPr>
      <w:r w:rsidRPr="00BE6650">
        <w:rPr>
          <w:rStyle w:val="FontBold"/>
          <w:rFonts w:ascii="Arial Narrow" w:hAnsi="Arial Narrow"/>
          <w:b w:val="0"/>
          <w:sz w:val="18"/>
          <w:szCs w:val="18"/>
        </w:rPr>
        <w:t>DCEP = dexamethasone, cyclophosphamide, etoposide, and cisplatin;</w:t>
      </w:r>
      <w:r w:rsidRPr="00BE6650">
        <w:t xml:space="preserve"> </w:t>
      </w:r>
      <w:r w:rsidRPr="00BE6650">
        <w:rPr>
          <w:rStyle w:val="FontBold"/>
          <w:rFonts w:ascii="Arial Narrow" w:hAnsi="Arial Narrow"/>
          <w:b w:val="0"/>
          <w:sz w:val="18"/>
          <w:szCs w:val="18"/>
        </w:rPr>
        <w:t xml:space="preserve">ICER= incremental cost effectiveness ratio; QALY= quality adjusted life year; </w:t>
      </w:r>
      <w:r w:rsidR="00B37833" w:rsidRPr="00BE6650">
        <w:rPr>
          <w:rStyle w:val="FontBold"/>
          <w:rFonts w:ascii="Arial Narrow" w:hAnsi="Arial Narrow"/>
          <w:b w:val="0"/>
          <w:sz w:val="18"/>
          <w:szCs w:val="18"/>
        </w:rPr>
        <w:t xml:space="preserve">Sd </w:t>
      </w:r>
      <w:r w:rsidRPr="00BE6650">
        <w:rPr>
          <w:rStyle w:val="FontBold"/>
          <w:rFonts w:ascii="Arial Narrow" w:hAnsi="Arial Narrow"/>
          <w:b w:val="0"/>
          <w:sz w:val="18"/>
          <w:szCs w:val="18"/>
        </w:rPr>
        <w:t>= selinexor plus dexamethasone</w:t>
      </w:r>
    </w:p>
    <w:p w14:paraId="68D8A46B" w14:textId="77777777" w:rsidR="00233A73" w:rsidRDefault="00D13936" w:rsidP="00713E55">
      <w:pPr>
        <w:rPr>
          <w:rStyle w:val="FontBold"/>
          <w:rFonts w:ascii="Arial Narrow" w:hAnsi="Arial Narrow"/>
          <w:b w:val="0"/>
          <w:sz w:val="18"/>
          <w:szCs w:val="18"/>
        </w:rPr>
      </w:pPr>
      <w:r w:rsidRPr="00BE6650">
        <w:rPr>
          <w:rStyle w:val="FontBold"/>
          <w:rFonts w:ascii="Arial Narrow" w:hAnsi="Arial Narrow"/>
          <w:b w:val="0"/>
          <w:sz w:val="18"/>
          <w:szCs w:val="18"/>
          <w:vertAlign w:val="superscript"/>
        </w:rPr>
        <w:t xml:space="preserve">a </w:t>
      </w:r>
      <w:r w:rsidR="00233A73" w:rsidRPr="00BE6650">
        <w:rPr>
          <w:rStyle w:val="FontBold"/>
          <w:rFonts w:ascii="Arial Narrow" w:hAnsi="Arial Narrow"/>
          <w:b w:val="0"/>
          <w:sz w:val="18"/>
          <w:szCs w:val="18"/>
        </w:rPr>
        <w:t xml:space="preserve">undiscounted </w:t>
      </w:r>
      <w:r w:rsidR="00CF4D0E" w:rsidRPr="00BE6650">
        <w:rPr>
          <w:rStyle w:val="FontBold"/>
          <w:rFonts w:ascii="Arial Narrow" w:hAnsi="Arial Narrow"/>
          <w:b w:val="0"/>
          <w:sz w:val="18"/>
          <w:szCs w:val="18"/>
        </w:rPr>
        <w:t xml:space="preserve">value was </w:t>
      </w:r>
      <w:r w:rsidR="00BE4963" w:rsidRPr="00BE6650">
        <w:rPr>
          <w:rStyle w:val="FontBold"/>
          <w:rFonts w:ascii="Arial Narrow" w:hAnsi="Arial Narrow"/>
          <w:b w:val="0"/>
          <w:sz w:val="18"/>
          <w:szCs w:val="18"/>
        </w:rPr>
        <w:t>0.51</w:t>
      </w:r>
      <w:r w:rsidR="00C35C72" w:rsidRPr="00BE6650">
        <w:rPr>
          <w:rStyle w:val="FontBold"/>
          <w:rFonts w:ascii="Arial Narrow" w:hAnsi="Arial Narrow"/>
          <w:b w:val="0"/>
          <w:sz w:val="18"/>
          <w:szCs w:val="18"/>
        </w:rPr>
        <w:t xml:space="preserve"> life years.</w:t>
      </w:r>
    </w:p>
    <w:p w14:paraId="5A2880AD" w14:textId="77777777" w:rsidR="00713E55" w:rsidRDefault="00713E55" w:rsidP="00713E55">
      <w:pPr>
        <w:pStyle w:val="TableFigureFooter"/>
        <w:spacing w:after="0"/>
        <w:contextualSpacing w:val="0"/>
        <w:rPr>
          <w:i/>
        </w:rPr>
      </w:pPr>
      <w:r w:rsidRPr="009868C4">
        <w:rPr>
          <w:i/>
        </w:rPr>
        <w:t>The redacted values correspond to the following ranges</w:t>
      </w:r>
      <w:r>
        <w:rPr>
          <w:i/>
        </w:rPr>
        <w:t xml:space="preserve">: </w:t>
      </w:r>
    </w:p>
    <w:p w14:paraId="5EDD4496" w14:textId="77777777" w:rsidR="00713E55" w:rsidRPr="00870C5D" w:rsidRDefault="00713E55" w:rsidP="00713E55">
      <w:pPr>
        <w:pStyle w:val="TableFigureFooter"/>
        <w:spacing w:after="0"/>
        <w:contextualSpacing w:val="0"/>
      </w:pPr>
      <w:r>
        <w:rPr>
          <w:i/>
          <w:vertAlign w:val="superscript"/>
        </w:rPr>
        <w:t>1</w:t>
      </w:r>
      <w:r>
        <w:rPr>
          <w:i/>
        </w:rPr>
        <w:t xml:space="preserve"> </w:t>
      </w:r>
      <w:r w:rsidRPr="00713E55">
        <w:rPr>
          <w:i/>
        </w:rPr>
        <w:t>$35,000 to &lt; $45,000</w:t>
      </w:r>
    </w:p>
    <w:p w14:paraId="699D233A" w14:textId="77777777" w:rsidR="00713E55" w:rsidRDefault="00713E55" w:rsidP="00713E55">
      <w:pPr>
        <w:pStyle w:val="TableFigureFooter"/>
        <w:spacing w:after="0"/>
        <w:contextualSpacing w:val="0"/>
        <w:rPr>
          <w:i/>
        </w:rPr>
      </w:pPr>
      <w:r>
        <w:rPr>
          <w:i/>
          <w:vertAlign w:val="superscript"/>
        </w:rPr>
        <w:t>2</w:t>
      </w:r>
      <w:r>
        <w:rPr>
          <w:i/>
        </w:rPr>
        <w:t xml:space="preserve"> </w:t>
      </w:r>
      <w:r w:rsidRPr="00713E55">
        <w:rPr>
          <w:i/>
        </w:rPr>
        <w:t>$55,000 to &lt; $75,000</w:t>
      </w:r>
    </w:p>
    <w:p w14:paraId="4C5D681F" w14:textId="77777777" w:rsidR="00713E55" w:rsidRPr="00BE6650" w:rsidRDefault="00713E55" w:rsidP="00CF4D0E">
      <w:pPr>
        <w:spacing w:after="240"/>
        <w:rPr>
          <w:rStyle w:val="FontBold"/>
          <w:rFonts w:ascii="Arial Narrow" w:hAnsi="Arial Narrow"/>
          <w:b w:val="0"/>
          <w:sz w:val="18"/>
          <w:szCs w:val="18"/>
        </w:rPr>
      </w:pPr>
    </w:p>
    <w:p w14:paraId="3670575C" w14:textId="77777777" w:rsidR="00A25B32" w:rsidRPr="00BE6650" w:rsidRDefault="00A25B32" w:rsidP="00A25B32">
      <w:pPr>
        <w:pStyle w:val="3-BodyText"/>
      </w:pPr>
      <w:r w:rsidRPr="00BE6650">
        <w:t>The results of key sensitivity analyses are summarised in Table 1</w:t>
      </w:r>
      <w:r w:rsidR="00B24A5D" w:rsidRPr="00BE6650">
        <w:t>3</w:t>
      </w:r>
      <w:r w:rsidRPr="00BE6650">
        <w:t xml:space="preserve">. </w:t>
      </w:r>
    </w:p>
    <w:p w14:paraId="0ED4460F" w14:textId="77777777" w:rsidR="00E86087" w:rsidRPr="00BE6650" w:rsidRDefault="00E86087">
      <w:pPr>
        <w:jc w:val="left"/>
        <w:rPr>
          <w:rStyle w:val="CommentReference"/>
          <w:szCs w:val="24"/>
        </w:rPr>
      </w:pPr>
    </w:p>
    <w:p w14:paraId="00905491" w14:textId="77777777" w:rsidR="00A25B32" w:rsidRPr="00BE6650" w:rsidRDefault="00A25B32" w:rsidP="007A0778">
      <w:pPr>
        <w:jc w:val="left"/>
        <w:rPr>
          <w:rStyle w:val="CommentReference"/>
          <w:szCs w:val="24"/>
        </w:rPr>
      </w:pPr>
      <w:r w:rsidRPr="00BE6650">
        <w:rPr>
          <w:rStyle w:val="CommentReference"/>
          <w:szCs w:val="24"/>
        </w:rPr>
        <w:t>Table 1</w:t>
      </w:r>
      <w:r w:rsidR="00B24A5D" w:rsidRPr="00BE6650">
        <w:rPr>
          <w:rStyle w:val="CommentReference"/>
          <w:szCs w:val="24"/>
        </w:rPr>
        <w:t>3</w:t>
      </w:r>
      <w:r w:rsidRPr="00BE6650">
        <w:rPr>
          <w:rStyle w:val="CommentReference"/>
          <w:szCs w:val="24"/>
        </w:rPr>
        <w:t>: Key results of sensitivity analyses</w:t>
      </w:r>
    </w:p>
    <w:tbl>
      <w:tblPr>
        <w:tblStyle w:val="HTATableshaded"/>
        <w:tblW w:w="9190" w:type="dxa"/>
        <w:tblLayout w:type="fixed"/>
        <w:tblLook w:val="04A0" w:firstRow="1" w:lastRow="0" w:firstColumn="1" w:lastColumn="0" w:noHBand="0" w:noVBand="1"/>
        <w:tblCaption w:val="Table 13: Key results of sensitivity analyses"/>
      </w:tblPr>
      <w:tblGrid>
        <w:gridCol w:w="1413"/>
        <w:gridCol w:w="2126"/>
        <w:gridCol w:w="1985"/>
        <w:gridCol w:w="850"/>
        <w:gridCol w:w="993"/>
        <w:gridCol w:w="905"/>
        <w:gridCol w:w="918"/>
      </w:tblGrid>
      <w:tr w:rsidR="00A25B32" w:rsidRPr="00BE6650" w14:paraId="11429186" w14:textId="77777777" w:rsidTr="00E517B9">
        <w:trPr>
          <w:cnfStyle w:val="100000000000" w:firstRow="1" w:lastRow="0" w:firstColumn="0" w:lastColumn="0" w:oddVBand="0" w:evenVBand="0" w:oddHBand="0" w:evenHBand="0" w:firstRowFirstColumn="0" w:firstRowLastColumn="0" w:lastRowFirstColumn="0" w:lastRowLastColumn="0"/>
          <w:trHeight w:val="20"/>
          <w:tblHeader/>
        </w:trPr>
        <w:tc>
          <w:tcPr>
            <w:tcW w:w="1413" w:type="dxa"/>
            <w:tcMar>
              <w:left w:w="28" w:type="dxa"/>
              <w:right w:w="28" w:type="dxa"/>
            </w:tcMar>
            <w:vAlign w:val="center"/>
            <w:hideMark/>
          </w:tcPr>
          <w:p w14:paraId="3C08EB1C"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b/>
                <w:bCs/>
                <w:color w:val="000000"/>
                <w:sz w:val="20"/>
                <w:szCs w:val="20"/>
              </w:rPr>
              <w:t>Scenario</w:t>
            </w:r>
            <w:r w:rsidRPr="00BE6650">
              <w:rPr>
                <w:rFonts w:ascii="Arial Narrow" w:hAnsi="Arial Narrow" w:cs="Calibri"/>
                <w:color w:val="000000"/>
                <w:sz w:val="20"/>
                <w:szCs w:val="20"/>
              </w:rPr>
              <w:t> </w:t>
            </w:r>
          </w:p>
        </w:tc>
        <w:tc>
          <w:tcPr>
            <w:tcW w:w="2126" w:type="dxa"/>
            <w:tcMar>
              <w:left w:w="28" w:type="dxa"/>
              <w:right w:w="28" w:type="dxa"/>
            </w:tcMar>
            <w:vAlign w:val="center"/>
            <w:hideMark/>
          </w:tcPr>
          <w:p w14:paraId="3D306000"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b/>
                <w:bCs/>
                <w:color w:val="000000"/>
                <w:sz w:val="20"/>
                <w:szCs w:val="20"/>
              </w:rPr>
              <w:t>Base-case value</w:t>
            </w:r>
            <w:r w:rsidRPr="00BE6650">
              <w:rPr>
                <w:rFonts w:ascii="Arial Narrow" w:hAnsi="Arial Narrow" w:cs="Calibri"/>
                <w:color w:val="000000"/>
                <w:sz w:val="20"/>
                <w:szCs w:val="20"/>
              </w:rPr>
              <w:t> </w:t>
            </w:r>
          </w:p>
        </w:tc>
        <w:tc>
          <w:tcPr>
            <w:tcW w:w="1985" w:type="dxa"/>
            <w:tcMar>
              <w:left w:w="28" w:type="dxa"/>
              <w:right w:w="28" w:type="dxa"/>
            </w:tcMar>
            <w:vAlign w:val="center"/>
            <w:hideMark/>
          </w:tcPr>
          <w:p w14:paraId="03DFA23E"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b/>
                <w:bCs/>
                <w:color w:val="000000"/>
                <w:sz w:val="20"/>
                <w:szCs w:val="20"/>
              </w:rPr>
              <w:t>Scenario analysis value</w:t>
            </w:r>
            <w:r w:rsidRPr="00BE6650">
              <w:rPr>
                <w:rFonts w:ascii="Arial Narrow" w:hAnsi="Arial Narrow" w:cs="Calibri"/>
                <w:color w:val="000000"/>
                <w:sz w:val="20"/>
                <w:szCs w:val="20"/>
              </w:rPr>
              <w:t> </w:t>
            </w:r>
          </w:p>
        </w:tc>
        <w:tc>
          <w:tcPr>
            <w:tcW w:w="850" w:type="dxa"/>
            <w:tcMar>
              <w:left w:w="28" w:type="dxa"/>
              <w:right w:w="28" w:type="dxa"/>
            </w:tcMar>
            <w:vAlign w:val="center"/>
            <w:hideMark/>
          </w:tcPr>
          <w:p w14:paraId="355FC784"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b/>
                <w:color w:val="000000"/>
                <w:sz w:val="20"/>
                <w:szCs w:val="20"/>
              </w:rPr>
              <w:t>Inc. QALY</w:t>
            </w:r>
          </w:p>
        </w:tc>
        <w:tc>
          <w:tcPr>
            <w:tcW w:w="993" w:type="dxa"/>
            <w:tcMar>
              <w:left w:w="28" w:type="dxa"/>
              <w:right w:w="28" w:type="dxa"/>
            </w:tcMar>
            <w:vAlign w:val="center"/>
            <w:hideMark/>
          </w:tcPr>
          <w:p w14:paraId="3675E620"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b/>
                <w:color w:val="000000"/>
                <w:sz w:val="20"/>
                <w:szCs w:val="20"/>
              </w:rPr>
              <w:t>Inc. costs</w:t>
            </w:r>
          </w:p>
        </w:tc>
        <w:tc>
          <w:tcPr>
            <w:tcW w:w="905" w:type="dxa"/>
            <w:tcMar>
              <w:left w:w="28" w:type="dxa"/>
              <w:right w:w="28" w:type="dxa"/>
            </w:tcMar>
            <w:vAlign w:val="center"/>
            <w:hideMark/>
          </w:tcPr>
          <w:p w14:paraId="640A24ED"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b/>
                <w:color w:val="000000"/>
                <w:sz w:val="20"/>
                <w:szCs w:val="20"/>
              </w:rPr>
              <w:t>ICER</w:t>
            </w:r>
          </w:p>
        </w:tc>
        <w:tc>
          <w:tcPr>
            <w:tcW w:w="918" w:type="dxa"/>
            <w:tcMar>
              <w:left w:w="28" w:type="dxa"/>
              <w:right w:w="28" w:type="dxa"/>
            </w:tcMar>
            <w:vAlign w:val="center"/>
            <w:hideMark/>
          </w:tcPr>
          <w:p w14:paraId="743786FD"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b/>
                <w:color w:val="000000"/>
                <w:sz w:val="20"/>
                <w:szCs w:val="20"/>
              </w:rPr>
              <w:t xml:space="preserve"> </w:t>
            </w:r>
            <w:r w:rsidR="0028073E" w:rsidRPr="00BE6650">
              <w:rPr>
                <w:rFonts w:ascii="Arial Narrow" w:hAnsi="Arial Narrow" w:cstheme="minorHAnsi"/>
                <w:b/>
                <w:color w:val="000000"/>
                <w:sz w:val="20"/>
                <w:szCs w:val="20"/>
              </w:rPr>
              <w:t>C</w:t>
            </w:r>
            <w:r w:rsidRPr="00BE6650">
              <w:rPr>
                <w:rFonts w:ascii="Arial Narrow" w:hAnsi="Arial Narrow" w:cstheme="minorHAnsi"/>
                <w:b/>
                <w:color w:val="000000"/>
                <w:sz w:val="20"/>
                <w:szCs w:val="20"/>
              </w:rPr>
              <w:t>hange</w:t>
            </w:r>
          </w:p>
        </w:tc>
      </w:tr>
      <w:tr w:rsidR="007A0778" w:rsidRPr="00BE6650" w14:paraId="3288E9B5" w14:textId="77777777" w:rsidTr="002E5095">
        <w:trPr>
          <w:trHeight w:val="20"/>
        </w:trPr>
        <w:tc>
          <w:tcPr>
            <w:tcW w:w="1413" w:type="dxa"/>
            <w:tcMar>
              <w:left w:w="28" w:type="dxa"/>
              <w:right w:w="28" w:type="dxa"/>
            </w:tcMar>
            <w:hideMark/>
          </w:tcPr>
          <w:p w14:paraId="41D56DAA" w14:textId="77777777" w:rsidR="007A0778" w:rsidRPr="00BE6650" w:rsidRDefault="007A0778" w:rsidP="00B137BE">
            <w:pPr>
              <w:spacing w:before="0" w:after="0"/>
              <w:jc w:val="left"/>
              <w:textAlignment w:val="baseline"/>
              <w:rPr>
                <w:rFonts w:ascii="Arial Narrow" w:hAnsi="Arial Narrow" w:cs="Times New Roman"/>
                <w:sz w:val="20"/>
                <w:szCs w:val="20"/>
              </w:rPr>
            </w:pPr>
            <w:r w:rsidRPr="00BE6650">
              <w:rPr>
                <w:rFonts w:ascii="Arial Narrow" w:hAnsi="Arial Narrow" w:cs="Calibri"/>
                <w:color w:val="000000"/>
                <w:sz w:val="20"/>
                <w:szCs w:val="20"/>
              </w:rPr>
              <w:t>Base case </w:t>
            </w:r>
          </w:p>
        </w:tc>
        <w:tc>
          <w:tcPr>
            <w:tcW w:w="4111" w:type="dxa"/>
            <w:gridSpan w:val="2"/>
            <w:tcMar>
              <w:left w:w="28" w:type="dxa"/>
              <w:right w:w="28" w:type="dxa"/>
            </w:tcMar>
            <w:hideMark/>
          </w:tcPr>
          <w:p w14:paraId="33DCDE23" w14:textId="77777777" w:rsidR="007A0778" w:rsidRPr="00BE6650" w:rsidRDefault="007A0778" w:rsidP="00B137BE">
            <w:pPr>
              <w:spacing w:before="0" w:after="0"/>
              <w:jc w:val="left"/>
              <w:textAlignment w:val="baseline"/>
              <w:rPr>
                <w:rFonts w:ascii="Arial Narrow" w:hAnsi="Arial Narrow" w:cs="Times New Roman"/>
                <w:sz w:val="20"/>
                <w:szCs w:val="20"/>
              </w:rPr>
            </w:pPr>
            <w:r w:rsidRPr="00BE6650">
              <w:rPr>
                <w:rFonts w:ascii="Arial" w:hAnsi="Arial"/>
                <w:color w:val="000000"/>
                <w:sz w:val="20"/>
                <w:szCs w:val="20"/>
              </w:rPr>
              <w:t> </w:t>
            </w:r>
            <w:r w:rsidRPr="00BE6650">
              <w:rPr>
                <w:rFonts w:ascii="Arial Narrow" w:hAnsi="Arial Narrow" w:cs="Arial Narrow"/>
                <w:color w:val="000000"/>
                <w:sz w:val="20"/>
                <w:szCs w:val="20"/>
              </w:rPr>
              <w:t> </w:t>
            </w:r>
            <w:r w:rsidRPr="00BE6650">
              <w:rPr>
                <w:rFonts w:ascii="Arial" w:hAnsi="Arial"/>
                <w:color w:val="000000"/>
                <w:sz w:val="20"/>
                <w:szCs w:val="20"/>
              </w:rPr>
              <w:t> </w:t>
            </w:r>
            <w:r w:rsidRPr="00BE6650">
              <w:rPr>
                <w:rFonts w:ascii="Arial Narrow" w:hAnsi="Arial Narrow" w:cs="Arial Narrow"/>
                <w:color w:val="000000"/>
                <w:sz w:val="20"/>
                <w:szCs w:val="20"/>
              </w:rPr>
              <w:t> </w:t>
            </w:r>
          </w:p>
        </w:tc>
        <w:tc>
          <w:tcPr>
            <w:tcW w:w="850" w:type="dxa"/>
            <w:tcMar>
              <w:left w:w="28" w:type="dxa"/>
              <w:right w:w="28" w:type="dxa"/>
            </w:tcMar>
            <w:hideMark/>
          </w:tcPr>
          <w:p w14:paraId="3B42B437" w14:textId="77777777" w:rsidR="007A0778" w:rsidRPr="00316F10" w:rsidRDefault="007A0778" w:rsidP="00316F10">
            <w:pPr>
              <w:spacing w:before="0" w:after="0"/>
              <w:jc w:val="center"/>
              <w:textAlignment w:val="baseline"/>
              <w:rPr>
                <w:rFonts w:ascii="Arial Narrow" w:hAnsi="Arial Narrow" w:cstheme="minorHAnsi"/>
                <w:sz w:val="20"/>
                <w:szCs w:val="20"/>
                <w:vertAlign w:val="superscript"/>
              </w:rPr>
            </w:pPr>
            <w:r w:rsidRPr="00BE6650">
              <w:rPr>
                <w:rFonts w:ascii="Arial Narrow" w:hAnsi="Arial Narrow" w:cstheme="minorHAnsi"/>
                <w:sz w:val="20"/>
                <w:szCs w:val="20"/>
              </w:rPr>
              <w:t>0.270</w:t>
            </w:r>
          </w:p>
        </w:tc>
        <w:tc>
          <w:tcPr>
            <w:tcW w:w="993" w:type="dxa"/>
            <w:tcMar>
              <w:left w:w="28" w:type="dxa"/>
              <w:right w:w="28" w:type="dxa"/>
            </w:tcMar>
            <w:hideMark/>
          </w:tcPr>
          <w:p w14:paraId="0908711C" w14:textId="77777777" w:rsidR="007A0778" w:rsidRPr="00BE6650" w:rsidRDefault="007A0778"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hideMark/>
          </w:tcPr>
          <w:p w14:paraId="23E7EB75" w14:textId="77777777" w:rsidR="007A0778" w:rsidRPr="00BE6650" w:rsidRDefault="007A0778"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1</w:t>
            </w:r>
          </w:p>
        </w:tc>
        <w:tc>
          <w:tcPr>
            <w:tcW w:w="918" w:type="dxa"/>
            <w:tcMar>
              <w:left w:w="28" w:type="dxa"/>
              <w:right w:w="28" w:type="dxa"/>
            </w:tcMar>
          </w:tcPr>
          <w:p w14:paraId="1340A865" w14:textId="77777777" w:rsidR="007A0778" w:rsidRPr="00BE6650" w:rsidRDefault="007A0778"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p>
        </w:tc>
      </w:tr>
      <w:tr w:rsidR="00C36723" w:rsidRPr="00BE6650" w14:paraId="58A9B112" w14:textId="77777777" w:rsidTr="00E47090">
        <w:trPr>
          <w:trHeight w:val="20"/>
        </w:trPr>
        <w:tc>
          <w:tcPr>
            <w:tcW w:w="1413" w:type="dxa"/>
            <w:vMerge w:val="restart"/>
            <w:tcMar>
              <w:left w:w="28" w:type="dxa"/>
              <w:right w:w="28" w:type="dxa"/>
            </w:tcMar>
          </w:tcPr>
          <w:p w14:paraId="497A9560" w14:textId="77777777" w:rsidR="00C36723" w:rsidRPr="00BE6650" w:rsidRDefault="00C36723" w:rsidP="00C36723">
            <w:pPr>
              <w:spacing w:before="0" w:after="0"/>
              <w:jc w:val="left"/>
              <w:textAlignment w:val="baseline"/>
              <w:rPr>
                <w:rFonts w:ascii="Arial Narrow" w:hAnsi="Arial Narrow" w:cs="Calibri"/>
                <w:color w:val="000000"/>
                <w:sz w:val="20"/>
                <w:szCs w:val="20"/>
              </w:rPr>
            </w:pPr>
            <w:r w:rsidRPr="00BE6650">
              <w:rPr>
                <w:rFonts w:ascii="Arial Narrow" w:hAnsi="Arial Narrow" w:cs="Calibri"/>
                <w:color w:val="000000"/>
                <w:sz w:val="20"/>
                <w:szCs w:val="20"/>
              </w:rPr>
              <w:t>Time horizon </w:t>
            </w:r>
          </w:p>
        </w:tc>
        <w:tc>
          <w:tcPr>
            <w:tcW w:w="2126" w:type="dxa"/>
            <w:vMerge w:val="restart"/>
            <w:tcMar>
              <w:left w:w="28" w:type="dxa"/>
              <w:right w:w="28" w:type="dxa"/>
            </w:tcMar>
          </w:tcPr>
          <w:p w14:paraId="7EC16ECB" w14:textId="77777777" w:rsidR="00C36723" w:rsidRPr="00BE6650" w:rsidRDefault="00C36723" w:rsidP="00C36723">
            <w:pPr>
              <w:spacing w:before="0" w:after="0"/>
              <w:jc w:val="left"/>
              <w:textAlignment w:val="baseline"/>
              <w:rPr>
                <w:rFonts w:ascii="Arial Narrow" w:hAnsi="Arial Narrow" w:cs="Calibri"/>
                <w:color w:val="000000"/>
                <w:sz w:val="20"/>
                <w:szCs w:val="20"/>
              </w:rPr>
            </w:pPr>
            <w:r w:rsidRPr="00BE6650">
              <w:rPr>
                <w:rFonts w:ascii="Arial Narrow" w:hAnsi="Arial Narrow" w:cs="Calibri"/>
                <w:color w:val="000000"/>
                <w:sz w:val="20"/>
                <w:szCs w:val="20"/>
              </w:rPr>
              <w:t>7 years </w:t>
            </w:r>
          </w:p>
        </w:tc>
        <w:tc>
          <w:tcPr>
            <w:tcW w:w="1985" w:type="dxa"/>
            <w:tcMar>
              <w:left w:w="28" w:type="dxa"/>
              <w:right w:w="28" w:type="dxa"/>
            </w:tcMar>
          </w:tcPr>
          <w:p w14:paraId="5DC469AA" w14:textId="77777777" w:rsidR="00C36723" w:rsidRPr="00BE6650" w:rsidRDefault="00C36723" w:rsidP="00C36723">
            <w:pPr>
              <w:jc w:val="left"/>
              <w:textAlignment w:val="baseline"/>
              <w:rPr>
                <w:rFonts w:ascii="Arial Narrow" w:hAnsi="Arial Narrow" w:cs="Calibri"/>
                <w:color w:val="000000"/>
                <w:sz w:val="20"/>
                <w:szCs w:val="20"/>
              </w:rPr>
            </w:pPr>
            <w:r w:rsidRPr="00BE6650">
              <w:rPr>
                <w:rFonts w:ascii="Arial Narrow" w:hAnsi="Arial Narrow" w:cstheme="minorHAnsi"/>
                <w:sz w:val="20"/>
                <w:szCs w:val="20"/>
              </w:rPr>
              <w:t xml:space="preserve">3 years </w:t>
            </w:r>
          </w:p>
        </w:tc>
        <w:tc>
          <w:tcPr>
            <w:tcW w:w="850" w:type="dxa"/>
            <w:tcMar>
              <w:left w:w="28" w:type="dxa"/>
              <w:right w:w="28" w:type="dxa"/>
            </w:tcMar>
          </w:tcPr>
          <w:p w14:paraId="53168BC7" w14:textId="77777777" w:rsidR="00C36723" w:rsidRPr="00BE6650" w:rsidRDefault="00C36723" w:rsidP="00C36723">
            <w:pPr>
              <w:jc w:val="center"/>
              <w:textAlignment w:val="baseline"/>
              <w:rPr>
                <w:rFonts w:ascii="Arial Narrow" w:hAnsi="Arial Narrow" w:cstheme="minorHAnsi"/>
                <w:sz w:val="20"/>
                <w:szCs w:val="20"/>
              </w:rPr>
            </w:pPr>
            <w:r w:rsidRPr="00BE6650">
              <w:rPr>
                <w:rFonts w:ascii="Arial Narrow" w:hAnsi="Arial Narrow" w:cstheme="minorHAnsi"/>
                <w:sz w:val="20"/>
                <w:szCs w:val="20"/>
              </w:rPr>
              <w:t>0.180</w:t>
            </w:r>
          </w:p>
        </w:tc>
        <w:tc>
          <w:tcPr>
            <w:tcW w:w="993" w:type="dxa"/>
            <w:tcMar>
              <w:left w:w="28" w:type="dxa"/>
              <w:right w:w="28" w:type="dxa"/>
            </w:tcMar>
          </w:tcPr>
          <w:p w14:paraId="22FD3626" w14:textId="77777777" w:rsidR="00C36723" w:rsidRPr="00BE6650" w:rsidRDefault="00C36723" w:rsidP="00C36723">
            <w:pPr>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67131603" w14:textId="77777777" w:rsidR="00C36723" w:rsidRPr="00BE6650" w:rsidRDefault="00C36723" w:rsidP="00C36723">
            <w:pPr>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2</w:t>
            </w:r>
          </w:p>
        </w:tc>
        <w:tc>
          <w:tcPr>
            <w:tcW w:w="918" w:type="dxa"/>
            <w:tcMar>
              <w:left w:w="28" w:type="dxa"/>
              <w:right w:w="28" w:type="dxa"/>
            </w:tcMar>
          </w:tcPr>
          <w:p w14:paraId="6240527F" w14:textId="77777777" w:rsidR="00C36723" w:rsidRPr="00BE6650" w:rsidRDefault="00C36723" w:rsidP="00C36723">
            <w:pPr>
              <w:jc w:val="center"/>
              <w:textAlignment w:val="baseline"/>
              <w:rPr>
                <w:rFonts w:ascii="Arial Narrow" w:hAnsi="Arial Narrow" w:cstheme="minorHAnsi"/>
                <w:sz w:val="20"/>
                <w:szCs w:val="20"/>
              </w:rPr>
            </w:pPr>
            <w:r w:rsidRPr="00BE6650">
              <w:rPr>
                <w:rFonts w:ascii="Arial Narrow" w:hAnsi="Arial Narrow" w:cstheme="minorHAnsi"/>
                <w:sz w:val="20"/>
                <w:szCs w:val="20"/>
              </w:rPr>
              <w:t>+33%</w:t>
            </w:r>
          </w:p>
        </w:tc>
      </w:tr>
      <w:tr w:rsidR="006C446F" w:rsidRPr="00BE6650" w14:paraId="0F1BEC3E" w14:textId="77777777" w:rsidTr="00E47090">
        <w:trPr>
          <w:trHeight w:val="20"/>
        </w:trPr>
        <w:tc>
          <w:tcPr>
            <w:tcW w:w="1413" w:type="dxa"/>
            <w:vMerge/>
            <w:tcMar>
              <w:left w:w="28" w:type="dxa"/>
              <w:right w:w="28" w:type="dxa"/>
            </w:tcMar>
          </w:tcPr>
          <w:p w14:paraId="00FADEB4" w14:textId="77777777" w:rsidR="006C446F" w:rsidRPr="00BE6650" w:rsidRDefault="006C446F" w:rsidP="00B137BE">
            <w:pPr>
              <w:spacing w:before="0" w:after="0"/>
              <w:jc w:val="left"/>
              <w:textAlignment w:val="baseline"/>
              <w:rPr>
                <w:rFonts w:ascii="Arial Narrow" w:hAnsi="Arial Narrow" w:cs="Calibri"/>
                <w:color w:val="000000"/>
                <w:sz w:val="20"/>
                <w:szCs w:val="20"/>
              </w:rPr>
            </w:pPr>
          </w:p>
        </w:tc>
        <w:tc>
          <w:tcPr>
            <w:tcW w:w="2126" w:type="dxa"/>
            <w:vMerge/>
            <w:tcMar>
              <w:left w:w="28" w:type="dxa"/>
              <w:right w:w="28" w:type="dxa"/>
            </w:tcMar>
          </w:tcPr>
          <w:p w14:paraId="333E46BB" w14:textId="77777777" w:rsidR="006C446F" w:rsidRPr="00BE6650" w:rsidRDefault="006C446F" w:rsidP="00B137BE">
            <w:pPr>
              <w:spacing w:before="0" w:after="0"/>
              <w:jc w:val="left"/>
              <w:textAlignment w:val="baseline"/>
              <w:rPr>
                <w:rFonts w:ascii="Arial" w:hAnsi="Arial"/>
                <w:color w:val="000000"/>
                <w:sz w:val="20"/>
                <w:szCs w:val="20"/>
              </w:rPr>
            </w:pPr>
          </w:p>
        </w:tc>
        <w:tc>
          <w:tcPr>
            <w:tcW w:w="1985" w:type="dxa"/>
            <w:tcMar>
              <w:left w:w="28" w:type="dxa"/>
              <w:right w:w="28" w:type="dxa"/>
            </w:tcMar>
          </w:tcPr>
          <w:p w14:paraId="772C3545" w14:textId="77777777" w:rsidR="006C446F" w:rsidRPr="00BE6650" w:rsidRDefault="006C446F" w:rsidP="00B137BE">
            <w:pPr>
              <w:spacing w:before="0" w:after="0"/>
              <w:jc w:val="left"/>
              <w:textAlignment w:val="baseline"/>
              <w:rPr>
                <w:rFonts w:ascii="Arial" w:hAnsi="Arial"/>
                <w:color w:val="000000"/>
                <w:sz w:val="20"/>
                <w:szCs w:val="20"/>
              </w:rPr>
            </w:pPr>
            <w:r w:rsidRPr="00BE6650">
              <w:rPr>
                <w:rFonts w:ascii="Arial Narrow" w:hAnsi="Arial Narrow" w:cs="Calibri"/>
                <w:color w:val="000000"/>
                <w:sz w:val="20"/>
                <w:szCs w:val="20"/>
              </w:rPr>
              <w:t>5 years </w:t>
            </w:r>
          </w:p>
        </w:tc>
        <w:tc>
          <w:tcPr>
            <w:tcW w:w="850" w:type="dxa"/>
            <w:tcMar>
              <w:left w:w="28" w:type="dxa"/>
              <w:right w:w="28" w:type="dxa"/>
            </w:tcMar>
          </w:tcPr>
          <w:p w14:paraId="76048C64" w14:textId="77777777" w:rsidR="006C446F" w:rsidRPr="00BE6650" w:rsidRDefault="006C446F"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0.239</w:t>
            </w:r>
          </w:p>
        </w:tc>
        <w:tc>
          <w:tcPr>
            <w:tcW w:w="993" w:type="dxa"/>
            <w:tcMar>
              <w:left w:w="28" w:type="dxa"/>
              <w:right w:w="28" w:type="dxa"/>
            </w:tcMar>
          </w:tcPr>
          <w:p w14:paraId="278AC55A" w14:textId="77777777" w:rsidR="006C446F" w:rsidRPr="00BE6650" w:rsidRDefault="006C446F"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11C1CC43" w14:textId="77777777" w:rsidR="006C446F" w:rsidRPr="00BE6650" w:rsidRDefault="006C446F"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52C5F384" w14:textId="77777777" w:rsidR="006C446F" w:rsidRPr="00BE6650" w:rsidRDefault="006C446F"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+9%</w:t>
            </w:r>
          </w:p>
        </w:tc>
      </w:tr>
      <w:tr w:rsidR="00A25B32" w:rsidRPr="00BE6650" w14:paraId="5F47BECA" w14:textId="77777777" w:rsidTr="00E47090">
        <w:trPr>
          <w:trHeight w:val="20"/>
        </w:trPr>
        <w:tc>
          <w:tcPr>
            <w:tcW w:w="1413" w:type="dxa"/>
            <w:tcMar>
              <w:left w:w="28" w:type="dxa"/>
              <w:right w:w="28" w:type="dxa"/>
            </w:tcMar>
          </w:tcPr>
          <w:p w14:paraId="3D42BF78"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color w:val="000000"/>
                <w:sz w:val="20"/>
                <w:szCs w:val="20"/>
              </w:rPr>
              <w:t>Application of disutility for AE </w:t>
            </w:r>
          </w:p>
        </w:tc>
        <w:tc>
          <w:tcPr>
            <w:tcW w:w="2126" w:type="dxa"/>
            <w:tcMar>
              <w:left w:w="28" w:type="dxa"/>
              <w:right w:w="28" w:type="dxa"/>
            </w:tcMar>
          </w:tcPr>
          <w:p w14:paraId="44B83A3B"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color w:val="000000"/>
                <w:sz w:val="20"/>
                <w:szCs w:val="20"/>
              </w:rPr>
              <w:t>As per NICE TA427 utility regression model (covariates for progressed status, best overall response and AE) </w:t>
            </w:r>
          </w:p>
        </w:tc>
        <w:tc>
          <w:tcPr>
            <w:tcW w:w="1985" w:type="dxa"/>
            <w:tcMar>
              <w:left w:w="28" w:type="dxa"/>
              <w:right w:w="28" w:type="dxa"/>
            </w:tcMar>
          </w:tcPr>
          <w:p w14:paraId="6A9EC8E4" w14:textId="77777777" w:rsidR="00A25B32" w:rsidRPr="00BE6650" w:rsidRDefault="00A25B32" w:rsidP="00B137BE">
            <w:pPr>
              <w:spacing w:before="0" w:after="0"/>
              <w:jc w:val="left"/>
              <w:textAlignment w:val="baseline"/>
              <w:rPr>
                <w:rFonts w:ascii="Arial Narrow" w:hAnsi="Arial Narrow" w:cs="Times New Roman"/>
                <w:sz w:val="20"/>
                <w:szCs w:val="20"/>
              </w:rPr>
            </w:pPr>
            <w:r w:rsidRPr="00BE6650">
              <w:rPr>
                <w:rFonts w:ascii="Arial Narrow" w:hAnsi="Arial Narrow" w:cs="Calibri"/>
                <w:color w:val="000000"/>
                <w:sz w:val="20"/>
                <w:szCs w:val="20"/>
              </w:rPr>
              <w:t xml:space="preserve">Rate of DCEP AEs equal to </w:t>
            </w:r>
            <w:r w:rsidR="007A6744" w:rsidRPr="00BE6650">
              <w:rPr>
                <w:rFonts w:ascii="Arial Narrow" w:hAnsi="Arial Narrow" w:cs="Calibri"/>
                <w:color w:val="000000"/>
                <w:sz w:val="20"/>
                <w:szCs w:val="20"/>
              </w:rPr>
              <w:t>S</w:t>
            </w:r>
            <w:r w:rsidRPr="00BE6650">
              <w:rPr>
                <w:rFonts w:ascii="Arial Narrow" w:hAnsi="Arial Narrow" w:cs="Calibri"/>
                <w:color w:val="000000"/>
                <w:sz w:val="20"/>
                <w:szCs w:val="20"/>
              </w:rPr>
              <w:t>d </w:t>
            </w:r>
          </w:p>
        </w:tc>
        <w:tc>
          <w:tcPr>
            <w:tcW w:w="850" w:type="dxa"/>
            <w:tcMar>
              <w:left w:w="28" w:type="dxa"/>
              <w:right w:w="28" w:type="dxa"/>
            </w:tcMar>
          </w:tcPr>
          <w:p w14:paraId="688DBC66"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0.256</w:t>
            </w:r>
          </w:p>
        </w:tc>
        <w:tc>
          <w:tcPr>
            <w:tcW w:w="993" w:type="dxa"/>
            <w:tcMar>
              <w:left w:w="28" w:type="dxa"/>
              <w:right w:w="28" w:type="dxa"/>
            </w:tcMar>
          </w:tcPr>
          <w:p w14:paraId="208192A3"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25E33B2D"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1961FD86" w14:textId="77777777" w:rsidR="00A25B32" w:rsidRPr="00BE6650" w:rsidRDefault="00A25B32" w:rsidP="00B137BE">
            <w:pPr>
              <w:spacing w:before="0" w:after="0"/>
              <w:jc w:val="center"/>
              <w:textAlignment w:val="baseline"/>
              <w:rPr>
                <w:rFonts w:ascii="Arial Narrow" w:hAnsi="Arial Narrow" w:cstheme="minorHAnsi"/>
                <w:sz w:val="20"/>
                <w:szCs w:val="20"/>
              </w:rPr>
            </w:pPr>
            <w:r w:rsidRPr="00BE6650">
              <w:rPr>
                <w:rFonts w:ascii="Arial Narrow" w:hAnsi="Arial Narrow" w:cstheme="minorHAnsi"/>
                <w:sz w:val="20"/>
                <w:szCs w:val="20"/>
              </w:rPr>
              <w:t>+5%</w:t>
            </w:r>
          </w:p>
        </w:tc>
      </w:tr>
      <w:tr w:rsidR="006A411C" w:rsidRPr="00BE6650" w14:paraId="1762B69F" w14:textId="77777777" w:rsidTr="00E47090">
        <w:trPr>
          <w:trHeight w:val="20"/>
        </w:trPr>
        <w:tc>
          <w:tcPr>
            <w:tcW w:w="1413" w:type="dxa"/>
            <w:vMerge w:val="restart"/>
            <w:tcMar>
              <w:left w:w="28" w:type="dxa"/>
              <w:right w:w="28" w:type="dxa"/>
            </w:tcMar>
          </w:tcPr>
          <w:p w14:paraId="5E6F45AA" w14:textId="77777777" w:rsidR="006A411C" w:rsidRPr="00BE6650" w:rsidRDefault="006A411C" w:rsidP="00B137BE">
            <w:pPr>
              <w:spacing w:before="0" w:after="0"/>
              <w:jc w:val="left"/>
              <w:rPr>
                <w:rFonts w:ascii="Arial Narrow" w:hAnsi="Arial Narrow" w:cs="Times New Roman"/>
                <w:iCs/>
                <w:sz w:val="20"/>
                <w:szCs w:val="20"/>
              </w:rPr>
            </w:pPr>
            <w:r w:rsidRPr="00BE6650">
              <w:rPr>
                <w:rFonts w:ascii="Arial Narrow" w:hAnsi="Arial Narrow" w:cs="Times New Roman"/>
                <w:iCs/>
                <w:sz w:val="20"/>
                <w:szCs w:val="20"/>
              </w:rPr>
              <w:t>Convergence of OS for Sd</w:t>
            </w:r>
          </w:p>
        </w:tc>
        <w:tc>
          <w:tcPr>
            <w:tcW w:w="2126" w:type="dxa"/>
            <w:vMerge w:val="restart"/>
            <w:tcMar>
              <w:left w:w="28" w:type="dxa"/>
              <w:right w:w="28" w:type="dxa"/>
            </w:tcMar>
          </w:tcPr>
          <w:p w14:paraId="6DD07561" w14:textId="77777777" w:rsidR="006A411C" w:rsidRPr="00BE6650" w:rsidRDefault="006A411C" w:rsidP="00B137BE">
            <w:pPr>
              <w:spacing w:before="0" w:after="0"/>
              <w:jc w:val="left"/>
              <w:rPr>
                <w:rFonts w:ascii="Arial Narrow" w:hAnsi="Arial Narrow" w:cs="Times New Roman"/>
                <w:iCs/>
                <w:sz w:val="20"/>
                <w:szCs w:val="20"/>
              </w:rPr>
            </w:pPr>
            <w:r w:rsidRPr="00BE6650">
              <w:rPr>
                <w:rFonts w:ascii="Arial Narrow" w:hAnsi="Arial Narrow" w:cs="Times New Roman"/>
                <w:iCs/>
                <w:sz w:val="20"/>
                <w:szCs w:val="20"/>
              </w:rPr>
              <w:t>No convergence</w:t>
            </w:r>
          </w:p>
        </w:tc>
        <w:tc>
          <w:tcPr>
            <w:tcW w:w="1985" w:type="dxa"/>
            <w:tcMar>
              <w:left w:w="28" w:type="dxa"/>
              <w:right w:w="28" w:type="dxa"/>
            </w:tcMar>
          </w:tcPr>
          <w:p w14:paraId="7133F648" w14:textId="77777777" w:rsidR="006A411C" w:rsidRPr="00BE6650" w:rsidRDefault="006A411C" w:rsidP="00B137BE">
            <w:pPr>
              <w:spacing w:before="0" w:after="0"/>
              <w:jc w:val="left"/>
              <w:textAlignment w:val="baseline"/>
              <w:rPr>
                <w:rFonts w:ascii="Arial Narrow" w:hAnsi="Arial Narrow" w:cs="Calibri"/>
                <w:iCs/>
                <w:color w:val="000000"/>
                <w:sz w:val="20"/>
                <w:szCs w:val="20"/>
              </w:rPr>
            </w:pPr>
            <w:r w:rsidRPr="00BE6650">
              <w:rPr>
                <w:rFonts w:ascii="Arial Narrow" w:hAnsi="Arial Narrow" w:cs="Calibri"/>
                <w:iCs/>
                <w:color w:val="000000"/>
                <w:sz w:val="20"/>
                <w:szCs w:val="20"/>
              </w:rPr>
              <w:t xml:space="preserve">Convergence begins at month 72 (12 months prior the end of time horizon) </w:t>
            </w:r>
            <w:r w:rsidRPr="00BE6650">
              <w:rPr>
                <w:rFonts w:ascii="Arial Narrow" w:hAnsi="Arial Narrow" w:cs="Calibri"/>
                <w:iCs/>
                <w:color w:val="000000"/>
                <w:sz w:val="20"/>
                <w:szCs w:val="20"/>
                <w:vertAlign w:val="superscript"/>
              </w:rPr>
              <w:t>a</w:t>
            </w:r>
          </w:p>
        </w:tc>
        <w:tc>
          <w:tcPr>
            <w:tcW w:w="850" w:type="dxa"/>
            <w:tcMar>
              <w:left w:w="28" w:type="dxa"/>
              <w:right w:w="28" w:type="dxa"/>
            </w:tcMar>
          </w:tcPr>
          <w:p w14:paraId="717C25A9" w14:textId="77777777" w:rsidR="006A411C" w:rsidRPr="00BE6650" w:rsidRDefault="006A411C"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0.264</w:t>
            </w:r>
          </w:p>
        </w:tc>
        <w:tc>
          <w:tcPr>
            <w:tcW w:w="993" w:type="dxa"/>
            <w:tcMar>
              <w:left w:w="28" w:type="dxa"/>
              <w:right w:w="28" w:type="dxa"/>
            </w:tcMar>
          </w:tcPr>
          <w:p w14:paraId="42BDA7D3" w14:textId="77777777" w:rsidR="006A411C" w:rsidRPr="00BE6650" w:rsidRDefault="006A411C"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00DC24FE" w14:textId="77777777" w:rsidR="006A411C" w:rsidRPr="00BE6650" w:rsidRDefault="006A411C"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1883E7DD" w14:textId="77777777" w:rsidR="006A411C" w:rsidRPr="00BE6650" w:rsidRDefault="006A411C"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+8%</w:t>
            </w:r>
          </w:p>
        </w:tc>
      </w:tr>
      <w:tr w:rsidR="006A411C" w:rsidRPr="00BE6650" w14:paraId="478AB8CA" w14:textId="77777777" w:rsidTr="00E47090">
        <w:trPr>
          <w:trHeight w:val="20"/>
        </w:trPr>
        <w:tc>
          <w:tcPr>
            <w:tcW w:w="1413" w:type="dxa"/>
            <w:vMerge/>
            <w:tcMar>
              <w:left w:w="28" w:type="dxa"/>
              <w:right w:w="28" w:type="dxa"/>
            </w:tcMar>
          </w:tcPr>
          <w:p w14:paraId="4104AC9E" w14:textId="77777777" w:rsidR="006A411C" w:rsidRPr="00BE6650" w:rsidRDefault="006A411C" w:rsidP="008637D5">
            <w:pPr>
              <w:jc w:val="left"/>
              <w:rPr>
                <w:rFonts w:ascii="Arial Narrow" w:hAnsi="Arial Narrow" w:cs="Times New Roman"/>
                <w:iCs/>
                <w:sz w:val="20"/>
                <w:szCs w:val="20"/>
              </w:rPr>
            </w:pPr>
          </w:p>
        </w:tc>
        <w:tc>
          <w:tcPr>
            <w:tcW w:w="2126" w:type="dxa"/>
            <w:vMerge/>
            <w:tcMar>
              <w:left w:w="28" w:type="dxa"/>
              <w:right w:w="28" w:type="dxa"/>
            </w:tcMar>
          </w:tcPr>
          <w:p w14:paraId="6B5F0A17" w14:textId="77777777" w:rsidR="006A411C" w:rsidRPr="00BE6650" w:rsidRDefault="006A411C" w:rsidP="008637D5">
            <w:pPr>
              <w:jc w:val="left"/>
              <w:rPr>
                <w:rFonts w:ascii="Arial Narrow" w:hAnsi="Arial Narrow" w:cs="Times New Roman"/>
                <w:iCs/>
                <w:sz w:val="20"/>
                <w:szCs w:val="20"/>
              </w:rPr>
            </w:pPr>
          </w:p>
        </w:tc>
        <w:tc>
          <w:tcPr>
            <w:tcW w:w="1985" w:type="dxa"/>
            <w:tcMar>
              <w:left w:w="28" w:type="dxa"/>
              <w:right w:w="28" w:type="dxa"/>
            </w:tcMar>
          </w:tcPr>
          <w:p w14:paraId="38131109" w14:textId="77777777" w:rsidR="006A411C" w:rsidRPr="00BE6650" w:rsidRDefault="006A411C" w:rsidP="008637D5">
            <w:pPr>
              <w:jc w:val="left"/>
              <w:textAlignment w:val="baseline"/>
              <w:rPr>
                <w:rFonts w:ascii="Arial Narrow" w:hAnsi="Arial Narrow" w:cs="Calibri"/>
                <w:iCs/>
                <w:color w:val="000000"/>
                <w:sz w:val="20"/>
                <w:szCs w:val="20"/>
              </w:rPr>
            </w:pPr>
            <w:r w:rsidRPr="00BE6650">
              <w:rPr>
                <w:rFonts w:ascii="Arial Narrow" w:hAnsi="Arial Narrow" w:cs="Calibri"/>
                <w:iCs/>
                <w:color w:val="000000"/>
                <w:sz w:val="20"/>
                <w:szCs w:val="20"/>
              </w:rPr>
              <w:t xml:space="preserve">7 years and convergence beginning at month 48 </w:t>
            </w:r>
            <w:r w:rsidRPr="00BE6650">
              <w:rPr>
                <w:rFonts w:ascii="Arial Narrow" w:hAnsi="Arial Narrow" w:cs="Calibri"/>
                <w:iCs/>
                <w:color w:val="000000"/>
                <w:sz w:val="20"/>
                <w:szCs w:val="20"/>
                <w:vertAlign w:val="superscript"/>
              </w:rPr>
              <w:t>a</w:t>
            </w:r>
          </w:p>
        </w:tc>
        <w:tc>
          <w:tcPr>
            <w:tcW w:w="850" w:type="dxa"/>
            <w:tcMar>
              <w:left w:w="28" w:type="dxa"/>
              <w:right w:w="28" w:type="dxa"/>
            </w:tcMar>
          </w:tcPr>
          <w:p w14:paraId="4E8169B3" w14:textId="77777777" w:rsidR="006A411C" w:rsidRPr="00BE6650" w:rsidRDefault="006A411C" w:rsidP="008637D5">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0.257</w:t>
            </w:r>
          </w:p>
        </w:tc>
        <w:tc>
          <w:tcPr>
            <w:tcW w:w="993" w:type="dxa"/>
            <w:tcMar>
              <w:left w:w="28" w:type="dxa"/>
              <w:right w:w="28" w:type="dxa"/>
            </w:tcMar>
          </w:tcPr>
          <w:p w14:paraId="55C0D34A" w14:textId="77777777" w:rsidR="006A411C" w:rsidRPr="00BE6650" w:rsidRDefault="006A411C" w:rsidP="008637D5">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6176A0DD" w14:textId="77777777" w:rsidR="006A411C" w:rsidRPr="00BE6650" w:rsidRDefault="006A411C" w:rsidP="008637D5">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1F06161A" w14:textId="77777777" w:rsidR="006A411C" w:rsidRPr="00BE6650" w:rsidRDefault="006A411C" w:rsidP="008637D5">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+11%</w:t>
            </w:r>
          </w:p>
        </w:tc>
      </w:tr>
      <w:tr w:rsidR="00A25B32" w:rsidRPr="00BE6650" w14:paraId="48295F3F" w14:textId="77777777" w:rsidTr="00E47090">
        <w:trPr>
          <w:trHeight w:val="20"/>
        </w:trPr>
        <w:tc>
          <w:tcPr>
            <w:tcW w:w="1413" w:type="dxa"/>
            <w:tcMar>
              <w:left w:w="28" w:type="dxa"/>
              <w:right w:w="28" w:type="dxa"/>
            </w:tcMar>
          </w:tcPr>
          <w:p w14:paraId="2FDFF2F4" w14:textId="77777777" w:rsidR="00A25B32" w:rsidRPr="00BE6650" w:rsidRDefault="00A25B32" w:rsidP="00B137BE">
            <w:pPr>
              <w:spacing w:before="0" w:after="0"/>
              <w:jc w:val="left"/>
              <w:rPr>
                <w:rFonts w:ascii="Arial Narrow" w:hAnsi="Arial Narrow" w:cs="Times New Roman"/>
                <w:iCs/>
                <w:sz w:val="20"/>
                <w:szCs w:val="20"/>
              </w:rPr>
            </w:pPr>
            <w:r w:rsidRPr="00BE6650">
              <w:rPr>
                <w:rFonts w:ascii="Arial Narrow" w:hAnsi="Arial Narrow" w:cs="Times New Roman"/>
                <w:iCs/>
                <w:sz w:val="20"/>
                <w:szCs w:val="20"/>
              </w:rPr>
              <w:t>Discontinuation due to AE for DCEP</w:t>
            </w:r>
          </w:p>
        </w:tc>
        <w:tc>
          <w:tcPr>
            <w:tcW w:w="2126" w:type="dxa"/>
            <w:tcMar>
              <w:left w:w="28" w:type="dxa"/>
              <w:right w:w="28" w:type="dxa"/>
            </w:tcMar>
          </w:tcPr>
          <w:p w14:paraId="3D783EC0" w14:textId="77777777" w:rsidR="00A25B32" w:rsidRPr="00BE6650" w:rsidRDefault="00A25B32" w:rsidP="00B137BE">
            <w:pPr>
              <w:spacing w:before="0" w:after="0"/>
              <w:jc w:val="left"/>
              <w:rPr>
                <w:rFonts w:ascii="Arial Narrow" w:hAnsi="Arial Narrow" w:cs="Times New Roman"/>
                <w:iCs/>
                <w:sz w:val="20"/>
                <w:szCs w:val="20"/>
              </w:rPr>
            </w:pPr>
            <w:r w:rsidRPr="00BE6650">
              <w:rPr>
                <w:rFonts w:ascii="Arial Narrow" w:hAnsi="Arial Narrow" w:cs="Times New Roman"/>
                <w:iCs/>
                <w:sz w:val="20"/>
                <w:szCs w:val="20"/>
              </w:rPr>
              <w:t>60.5%</w:t>
            </w:r>
          </w:p>
        </w:tc>
        <w:tc>
          <w:tcPr>
            <w:tcW w:w="1985" w:type="dxa"/>
            <w:tcMar>
              <w:left w:w="28" w:type="dxa"/>
              <w:right w:w="28" w:type="dxa"/>
            </w:tcMar>
          </w:tcPr>
          <w:p w14:paraId="490C29DC" w14:textId="77777777" w:rsidR="00A25B32" w:rsidRPr="00BE6650" w:rsidRDefault="00A25B32" w:rsidP="00B137BE">
            <w:pPr>
              <w:spacing w:before="0" w:after="0"/>
              <w:jc w:val="left"/>
              <w:textAlignment w:val="baseline"/>
              <w:rPr>
                <w:rFonts w:ascii="Arial Narrow" w:hAnsi="Arial Narrow" w:cs="Calibri"/>
                <w:iCs/>
                <w:color w:val="000000"/>
                <w:sz w:val="20"/>
                <w:szCs w:val="20"/>
              </w:rPr>
            </w:pPr>
            <w:r w:rsidRPr="00BE6650">
              <w:rPr>
                <w:rFonts w:ascii="Arial Narrow" w:hAnsi="Arial Narrow" w:cs="Calibri"/>
                <w:iCs/>
                <w:color w:val="000000"/>
                <w:sz w:val="20"/>
                <w:szCs w:val="20"/>
              </w:rPr>
              <w:t xml:space="preserve">30.1% (same as </w:t>
            </w:r>
            <w:r w:rsidR="007A6744" w:rsidRPr="00BE6650">
              <w:rPr>
                <w:rFonts w:ascii="Arial Narrow" w:hAnsi="Arial Narrow" w:cs="Calibri"/>
                <w:iCs/>
                <w:color w:val="000000"/>
                <w:sz w:val="20"/>
                <w:szCs w:val="20"/>
              </w:rPr>
              <w:t>S</w:t>
            </w:r>
            <w:r w:rsidRPr="00BE6650">
              <w:rPr>
                <w:rFonts w:ascii="Arial Narrow" w:hAnsi="Arial Narrow" w:cs="Calibri"/>
                <w:iCs/>
                <w:color w:val="000000"/>
                <w:sz w:val="20"/>
                <w:szCs w:val="20"/>
              </w:rPr>
              <w:t>d)</w:t>
            </w:r>
          </w:p>
        </w:tc>
        <w:tc>
          <w:tcPr>
            <w:tcW w:w="850" w:type="dxa"/>
            <w:tcMar>
              <w:left w:w="28" w:type="dxa"/>
              <w:right w:w="28" w:type="dxa"/>
            </w:tcMar>
          </w:tcPr>
          <w:p w14:paraId="72AEBC27" w14:textId="77777777" w:rsidR="00A25B32" w:rsidRPr="00BE6650" w:rsidRDefault="00A25B32"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0.256</w:t>
            </w:r>
          </w:p>
        </w:tc>
        <w:tc>
          <w:tcPr>
            <w:tcW w:w="993" w:type="dxa"/>
            <w:tcMar>
              <w:left w:w="28" w:type="dxa"/>
              <w:right w:w="28" w:type="dxa"/>
            </w:tcMar>
          </w:tcPr>
          <w:p w14:paraId="34751F34" w14:textId="77777777" w:rsidR="00A25B32" w:rsidRPr="00BE6650" w:rsidRDefault="00A25B32"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0C3ACB43" w14:textId="77777777" w:rsidR="00A25B32" w:rsidRPr="00BE6650" w:rsidRDefault="00A25B32"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469473C0" w14:textId="77777777" w:rsidR="00A25B32" w:rsidRPr="00BE6650" w:rsidRDefault="00A25B32" w:rsidP="00B137BE">
            <w:pPr>
              <w:spacing w:before="0" w:after="0"/>
              <w:jc w:val="center"/>
              <w:textAlignment w:val="baseline"/>
              <w:rPr>
                <w:rFonts w:ascii="Arial Narrow" w:hAnsi="Arial Narrow" w:cstheme="minorHAnsi"/>
                <w:iCs/>
                <w:sz w:val="20"/>
                <w:szCs w:val="20"/>
              </w:rPr>
            </w:pPr>
            <w:r w:rsidRPr="00BE6650">
              <w:rPr>
                <w:rFonts w:ascii="Arial Narrow" w:hAnsi="Arial Narrow" w:cstheme="minorHAnsi"/>
                <w:iCs/>
                <w:sz w:val="20"/>
                <w:szCs w:val="20"/>
              </w:rPr>
              <w:t>+5%</w:t>
            </w:r>
          </w:p>
        </w:tc>
      </w:tr>
      <w:tr w:rsidR="00B92B0B" w:rsidRPr="00BE6650" w14:paraId="1BD80668" w14:textId="77777777" w:rsidTr="00E47090">
        <w:trPr>
          <w:trHeight w:val="20"/>
        </w:trPr>
        <w:tc>
          <w:tcPr>
            <w:tcW w:w="1413" w:type="dxa"/>
            <w:tcMar>
              <w:left w:w="28" w:type="dxa"/>
              <w:right w:w="28" w:type="dxa"/>
            </w:tcMar>
          </w:tcPr>
          <w:p w14:paraId="7637CD33" w14:textId="77777777" w:rsidR="00B92B0B" w:rsidRPr="00BE6650" w:rsidRDefault="00B92B0B" w:rsidP="00B92B0B">
            <w:pPr>
              <w:jc w:val="left"/>
              <w:rPr>
                <w:rFonts w:ascii="Arial Narrow" w:hAnsi="Arial Narrow" w:cs="Times New Roman"/>
                <w:iCs/>
                <w:sz w:val="20"/>
                <w:szCs w:val="20"/>
              </w:rPr>
            </w:pPr>
            <w:r w:rsidRPr="00BE6650">
              <w:rPr>
                <w:rFonts w:ascii="Arial Narrow" w:hAnsi="Arial Narrow" w:cs="Times New Roman"/>
                <w:iCs/>
                <w:sz w:val="20"/>
                <w:szCs w:val="20"/>
              </w:rPr>
              <w:t>OS extrapolation: Sd</w:t>
            </w:r>
          </w:p>
        </w:tc>
        <w:tc>
          <w:tcPr>
            <w:tcW w:w="2126" w:type="dxa"/>
            <w:tcMar>
              <w:left w:w="28" w:type="dxa"/>
              <w:right w:w="28" w:type="dxa"/>
            </w:tcMar>
          </w:tcPr>
          <w:p w14:paraId="55C80B25" w14:textId="77777777" w:rsidR="00B92B0B" w:rsidRPr="00BE6650" w:rsidRDefault="00B92B0B" w:rsidP="00B92B0B">
            <w:pPr>
              <w:jc w:val="left"/>
              <w:rPr>
                <w:rFonts w:ascii="Arial Narrow" w:hAnsi="Arial Narrow" w:cs="Times New Roman"/>
                <w:iCs/>
                <w:sz w:val="20"/>
                <w:szCs w:val="20"/>
              </w:rPr>
            </w:pPr>
            <w:r w:rsidRPr="00BE6650">
              <w:rPr>
                <w:rFonts w:ascii="Arial Narrow" w:hAnsi="Arial Narrow" w:cs="Times New Roman"/>
                <w:iCs/>
                <w:sz w:val="20"/>
                <w:szCs w:val="20"/>
              </w:rPr>
              <w:t>Log-normal</w:t>
            </w:r>
          </w:p>
        </w:tc>
        <w:tc>
          <w:tcPr>
            <w:tcW w:w="1985" w:type="dxa"/>
            <w:tcMar>
              <w:left w:w="28" w:type="dxa"/>
              <w:right w:w="28" w:type="dxa"/>
            </w:tcMar>
          </w:tcPr>
          <w:p w14:paraId="766080C0" w14:textId="77777777" w:rsidR="00B92B0B" w:rsidRPr="00BE6650" w:rsidRDefault="00B92B0B" w:rsidP="00B92B0B">
            <w:pPr>
              <w:jc w:val="left"/>
              <w:textAlignment w:val="baseline"/>
              <w:rPr>
                <w:rFonts w:ascii="Arial Narrow" w:hAnsi="Arial Narrow" w:cs="Calibri"/>
                <w:iCs/>
                <w:color w:val="000000"/>
                <w:sz w:val="20"/>
                <w:szCs w:val="20"/>
              </w:rPr>
            </w:pPr>
            <w:r w:rsidRPr="00BE6650">
              <w:rPr>
                <w:rFonts w:ascii="Arial Narrow" w:hAnsi="Arial Narrow" w:cs="Calibri"/>
                <w:iCs/>
                <w:color w:val="000000"/>
                <w:sz w:val="20"/>
                <w:szCs w:val="20"/>
              </w:rPr>
              <w:t>Weibull</w:t>
            </w:r>
          </w:p>
        </w:tc>
        <w:tc>
          <w:tcPr>
            <w:tcW w:w="850" w:type="dxa"/>
            <w:tcMar>
              <w:left w:w="28" w:type="dxa"/>
              <w:right w:w="28" w:type="dxa"/>
            </w:tcMar>
          </w:tcPr>
          <w:p w14:paraId="6F383EAF" w14:textId="77777777" w:rsidR="00B92B0B" w:rsidRPr="00BE6650" w:rsidRDefault="00B92B0B" w:rsidP="00B92B0B">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0.156</w:t>
            </w:r>
          </w:p>
        </w:tc>
        <w:tc>
          <w:tcPr>
            <w:tcW w:w="993" w:type="dxa"/>
            <w:tcMar>
              <w:left w:w="28" w:type="dxa"/>
              <w:right w:w="28" w:type="dxa"/>
            </w:tcMar>
          </w:tcPr>
          <w:p w14:paraId="5BC9A001" w14:textId="77777777" w:rsidR="00B92B0B" w:rsidRPr="00BE6650" w:rsidRDefault="00B92B0B" w:rsidP="00B92B0B">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610C3DDF" w14:textId="77777777" w:rsidR="00B92B0B" w:rsidRPr="00BE6650" w:rsidRDefault="00B92B0B" w:rsidP="00B92B0B">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4</w:t>
            </w:r>
          </w:p>
        </w:tc>
        <w:tc>
          <w:tcPr>
            <w:tcW w:w="918" w:type="dxa"/>
            <w:tcMar>
              <w:left w:w="28" w:type="dxa"/>
              <w:right w:w="28" w:type="dxa"/>
            </w:tcMar>
          </w:tcPr>
          <w:p w14:paraId="2DAE895A" w14:textId="77777777" w:rsidR="00B92B0B" w:rsidRPr="00BE6650" w:rsidRDefault="00B92B0B" w:rsidP="00B92B0B">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+77%</w:t>
            </w:r>
          </w:p>
        </w:tc>
      </w:tr>
      <w:tr w:rsidR="00806341" w:rsidRPr="00BE6650" w14:paraId="28BD3956" w14:textId="77777777" w:rsidTr="00E47090">
        <w:trPr>
          <w:trHeight w:val="20"/>
        </w:trPr>
        <w:tc>
          <w:tcPr>
            <w:tcW w:w="1413" w:type="dxa"/>
            <w:tcMar>
              <w:left w:w="28" w:type="dxa"/>
              <w:right w:w="28" w:type="dxa"/>
            </w:tcMar>
          </w:tcPr>
          <w:p w14:paraId="497A8CE9" w14:textId="77777777" w:rsidR="00806341" w:rsidRPr="00BE6650" w:rsidRDefault="00806341" w:rsidP="00806341">
            <w:pPr>
              <w:jc w:val="left"/>
              <w:rPr>
                <w:rFonts w:ascii="Arial Narrow" w:hAnsi="Arial Narrow" w:cs="Times New Roman"/>
                <w:iCs/>
                <w:sz w:val="20"/>
                <w:szCs w:val="20"/>
              </w:rPr>
            </w:pPr>
            <w:r w:rsidRPr="00BE6650">
              <w:rPr>
                <w:rFonts w:ascii="Arial Narrow" w:hAnsi="Arial Narrow" w:cs="Times New Roman"/>
                <w:iCs/>
                <w:sz w:val="20"/>
                <w:szCs w:val="20"/>
              </w:rPr>
              <w:t>Time horizon and convergence of OS for Sd</w:t>
            </w:r>
          </w:p>
        </w:tc>
        <w:tc>
          <w:tcPr>
            <w:tcW w:w="2126" w:type="dxa"/>
            <w:tcMar>
              <w:left w:w="28" w:type="dxa"/>
              <w:right w:w="28" w:type="dxa"/>
            </w:tcMar>
          </w:tcPr>
          <w:p w14:paraId="7D7CAB45" w14:textId="77777777" w:rsidR="00806341" w:rsidRPr="00BE6650" w:rsidRDefault="00806341" w:rsidP="00806341">
            <w:pPr>
              <w:jc w:val="left"/>
              <w:rPr>
                <w:rFonts w:ascii="Arial Narrow" w:hAnsi="Arial Narrow" w:cs="Times New Roman"/>
                <w:iCs/>
                <w:sz w:val="20"/>
                <w:szCs w:val="20"/>
              </w:rPr>
            </w:pPr>
            <w:r w:rsidRPr="00BE6650">
              <w:rPr>
                <w:rFonts w:ascii="Arial Narrow" w:hAnsi="Arial Narrow" w:cs="Times New Roman"/>
                <w:iCs/>
                <w:sz w:val="20"/>
                <w:szCs w:val="20"/>
              </w:rPr>
              <w:t>7 years and no convergence</w:t>
            </w:r>
          </w:p>
        </w:tc>
        <w:tc>
          <w:tcPr>
            <w:tcW w:w="1985" w:type="dxa"/>
            <w:tcMar>
              <w:left w:w="28" w:type="dxa"/>
              <w:right w:w="28" w:type="dxa"/>
            </w:tcMar>
          </w:tcPr>
          <w:p w14:paraId="32C37419" w14:textId="77777777" w:rsidR="00806341" w:rsidRPr="00BE6650" w:rsidRDefault="00806341" w:rsidP="00806341">
            <w:pPr>
              <w:jc w:val="left"/>
              <w:textAlignment w:val="baseline"/>
              <w:rPr>
                <w:rFonts w:ascii="Arial Narrow" w:hAnsi="Arial Narrow" w:cs="Calibri"/>
                <w:iCs/>
                <w:color w:val="000000"/>
                <w:sz w:val="20"/>
                <w:szCs w:val="20"/>
              </w:rPr>
            </w:pPr>
            <w:r w:rsidRPr="00BE6650">
              <w:rPr>
                <w:rFonts w:ascii="Arial Narrow" w:hAnsi="Arial Narrow" w:cs="Calibri"/>
                <w:iCs/>
                <w:color w:val="000000"/>
                <w:sz w:val="20"/>
                <w:szCs w:val="20"/>
              </w:rPr>
              <w:t xml:space="preserve">5 years and convergence beginning at month 48 (12 months prior the end of time horizon) </w:t>
            </w:r>
            <w:r w:rsidRPr="00BE6650">
              <w:rPr>
                <w:rFonts w:ascii="Arial Narrow" w:hAnsi="Arial Narrow" w:cs="Calibri"/>
                <w:iCs/>
                <w:color w:val="000000"/>
                <w:sz w:val="20"/>
                <w:szCs w:val="20"/>
                <w:vertAlign w:val="superscript"/>
              </w:rPr>
              <w:t>a</w:t>
            </w:r>
          </w:p>
        </w:tc>
        <w:tc>
          <w:tcPr>
            <w:tcW w:w="850" w:type="dxa"/>
            <w:tcMar>
              <w:left w:w="28" w:type="dxa"/>
              <w:right w:w="28" w:type="dxa"/>
            </w:tcMar>
          </w:tcPr>
          <w:p w14:paraId="0F49AAA4" w14:textId="77777777" w:rsidR="00806341" w:rsidRPr="00BE6650" w:rsidRDefault="00806341" w:rsidP="00806341">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0.228</w:t>
            </w:r>
          </w:p>
        </w:tc>
        <w:tc>
          <w:tcPr>
            <w:tcW w:w="993" w:type="dxa"/>
            <w:tcMar>
              <w:left w:w="28" w:type="dxa"/>
              <w:right w:w="28" w:type="dxa"/>
            </w:tcMar>
          </w:tcPr>
          <w:p w14:paraId="18241AF7" w14:textId="77777777" w:rsidR="00806341" w:rsidRPr="00BE6650" w:rsidRDefault="00806341" w:rsidP="00806341">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p>
        </w:tc>
        <w:tc>
          <w:tcPr>
            <w:tcW w:w="905" w:type="dxa"/>
            <w:tcMar>
              <w:left w:w="28" w:type="dxa"/>
              <w:right w:w="28" w:type="dxa"/>
            </w:tcMar>
          </w:tcPr>
          <w:p w14:paraId="3C2B30D9" w14:textId="77777777" w:rsidR="00806341" w:rsidRPr="00BE6650" w:rsidRDefault="00806341" w:rsidP="00806341">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w:t>
            </w:r>
            <w:r w:rsidR="00D66DBB">
              <w:rPr>
                <w:rFonts w:ascii="Arial Narrow" w:hAnsi="Arial Narrow" w:cstheme="minorHAnsi"/>
                <w:noProof/>
                <w:color w:val="000000"/>
                <w:sz w:val="20"/>
                <w:szCs w:val="20"/>
                <w:highlight w:val="black"/>
              </w:rPr>
              <w:t>'''''''''''''''</w:t>
            </w:r>
            <w:r w:rsidR="00316F10">
              <w:rPr>
                <w:rFonts w:ascii="Arial Narrow" w:hAnsi="Arial Narrow" w:cstheme="minorHAnsi"/>
                <w:sz w:val="20"/>
                <w:szCs w:val="20"/>
                <w:vertAlign w:val="superscript"/>
              </w:rPr>
              <w:t>3</w:t>
            </w:r>
          </w:p>
        </w:tc>
        <w:tc>
          <w:tcPr>
            <w:tcW w:w="918" w:type="dxa"/>
            <w:tcMar>
              <w:left w:w="28" w:type="dxa"/>
              <w:right w:w="28" w:type="dxa"/>
            </w:tcMar>
          </w:tcPr>
          <w:p w14:paraId="5FFDDABC" w14:textId="77777777" w:rsidR="00806341" w:rsidRPr="00BE6650" w:rsidRDefault="00806341" w:rsidP="00806341">
            <w:pPr>
              <w:jc w:val="center"/>
              <w:textAlignment w:val="baseline"/>
              <w:rPr>
                <w:rFonts w:ascii="Arial Narrow" w:hAnsi="Arial Narrow" w:cstheme="minorHAnsi"/>
                <w:iCs/>
                <w:sz w:val="20"/>
                <w:szCs w:val="20"/>
              </w:rPr>
            </w:pPr>
            <w:r w:rsidRPr="00BE6650">
              <w:rPr>
                <w:rFonts w:ascii="Arial Narrow" w:hAnsi="Arial Narrow" w:cstheme="minorHAnsi"/>
                <w:iCs/>
                <w:sz w:val="20"/>
                <w:szCs w:val="20"/>
              </w:rPr>
              <w:t>+25%</w:t>
            </w:r>
          </w:p>
        </w:tc>
      </w:tr>
    </w:tbl>
    <w:p w14:paraId="7E4D6650" w14:textId="77777777" w:rsidR="00A25B32" w:rsidRPr="00BE6650" w:rsidRDefault="00A25B32" w:rsidP="00A25B32">
      <w:pPr>
        <w:pStyle w:val="TableFigureFooter"/>
      </w:pPr>
      <w:r w:rsidRPr="00BE6650">
        <w:t>Source: Table 3-26, p163-164 of the submission; Conducted during the evaluation</w:t>
      </w:r>
    </w:p>
    <w:p w14:paraId="7A5B159A" w14:textId="77777777" w:rsidR="00A25B32" w:rsidRPr="00BE6650" w:rsidRDefault="00A25B32" w:rsidP="00A25B32">
      <w:pPr>
        <w:pStyle w:val="TableFigureFooter"/>
        <w:spacing w:after="0"/>
      </w:pPr>
      <w:r w:rsidRPr="00BE6650">
        <w:t xml:space="preserve">AE = adverse event; DCEP = </w:t>
      </w:r>
      <w:r w:rsidRPr="00BE6650">
        <w:rPr>
          <w:rStyle w:val="FontBold"/>
          <w:rFonts w:ascii="Arial Narrow" w:hAnsi="Arial Narrow"/>
          <w:b w:val="0"/>
          <w:sz w:val="18"/>
          <w:szCs w:val="18"/>
        </w:rPr>
        <w:t>dexamethasone, cyclophosphamide, etoposide, and cisplatin</w:t>
      </w:r>
      <w:r w:rsidRPr="00BE6650">
        <w:t xml:space="preserve">; ICER = incremental cost effectiveness ratio; Inc = incremental; NICE TA = National Institute for Health and Care Excellence technology appraisal; OS = overall survival; QALY = </w:t>
      </w:r>
      <w:r w:rsidRPr="00BE6650">
        <w:rPr>
          <w:rStyle w:val="FontBold"/>
          <w:rFonts w:ascii="Arial Narrow" w:hAnsi="Arial Narrow"/>
          <w:b w:val="0"/>
          <w:sz w:val="18"/>
          <w:szCs w:val="18"/>
        </w:rPr>
        <w:t xml:space="preserve">quality-adjusted life year; </w:t>
      </w:r>
      <w:r w:rsidR="001A0E9A" w:rsidRPr="00BE6650">
        <w:t xml:space="preserve">Sd = selinexor plus dexamethasone; </w:t>
      </w:r>
      <w:r w:rsidRPr="00BE6650">
        <w:rPr>
          <w:rStyle w:val="FontBold"/>
          <w:rFonts w:ascii="Arial Narrow" w:hAnsi="Arial Narrow"/>
          <w:b w:val="0"/>
          <w:sz w:val="18"/>
          <w:szCs w:val="18"/>
        </w:rPr>
        <w:t xml:space="preserve">TTD = time to treatment discontinuation </w:t>
      </w:r>
    </w:p>
    <w:p w14:paraId="1358AF9B" w14:textId="77777777" w:rsidR="00A25B32" w:rsidRDefault="00A25B32" w:rsidP="00A25B32">
      <w:pPr>
        <w:pStyle w:val="TableFigureFooter"/>
      </w:pPr>
      <w:r w:rsidRPr="00BE6650">
        <w:rPr>
          <w:vertAlign w:val="superscript"/>
        </w:rPr>
        <w:t xml:space="preserve">a </w:t>
      </w:r>
      <w:r w:rsidRPr="00BE6650">
        <w:t xml:space="preserve">Arbitrarily chosen by the </w:t>
      </w:r>
      <w:r w:rsidR="00620D53" w:rsidRPr="00BE6650">
        <w:t>evaluator</w:t>
      </w:r>
      <w:r w:rsidR="00D65754" w:rsidRPr="00BE6650">
        <w:t xml:space="preserve"> </w:t>
      </w:r>
    </w:p>
    <w:p w14:paraId="4C558E1F" w14:textId="77777777" w:rsidR="00316F10" w:rsidRDefault="00316F10" w:rsidP="00316F10">
      <w:pPr>
        <w:pStyle w:val="TableFigureFooter"/>
        <w:spacing w:after="0"/>
        <w:contextualSpacing w:val="0"/>
        <w:rPr>
          <w:i/>
        </w:rPr>
      </w:pPr>
      <w:r w:rsidRPr="009868C4">
        <w:rPr>
          <w:i/>
        </w:rPr>
        <w:t>The redacted values correspond to the following ranges</w:t>
      </w:r>
      <w:r>
        <w:rPr>
          <w:i/>
        </w:rPr>
        <w:t xml:space="preserve">: </w:t>
      </w:r>
    </w:p>
    <w:p w14:paraId="093A19AD" w14:textId="77777777" w:rsidR="00316F10" w:rsidRPr="00870C5D" w:rsidRDefault="00316F10" w:rsidP="00316F10">
      <w:pPr>
        <w:pStyle w:val="TableFigureFooter"/>
        <w:spacing w:after="0"/>
        <w:contextualSpacing w:val="0"/>
      </w:pPr>
      <w:r>
        <w:rPr>
          <w:i/>
          <w:vertAlign w:val="superscript"/>
        </w:rPr>
        <w:t>1</w:t>
      </w:r>
      <w:r>
        <w:rPr>
          <w:i/>
        </w:rPr>
        <w:t xml:space="preserve"> </w:t>
      </w:r>
      <w:r w:rsidRPr="00713E55">
        <w:rPr>
          <w:i/>
        </w:rPr>
        <w:t>$55,000 to &lt; $75,000</w:t>
      </w:r>
    </w:p>
    <w:p w14:paraId="14F7B03B" w14:textId="77777777" w:rsidR="00316F10" w:rsidRDefault="00316F10" w:rsidP="00316F10">
      <w:pPr>
        <w:pStyle w:val="TableFigureFooter"/>
        <w:spacing w:after="0"/>
        <w:contextualSpacing w:val="0"/>
        <w:rPr>
          <w:i/>
        </w:rPr>
      </w:pPr>
      <w:r>
        <w:rPr>
          <w:i/>
          <w:vertAlign w:val="superscript"/>
        </w:rPr>
        <w:t>2</w:t>
      </w:r>
      <w:r>
        <w:rPr>
          <w:i/>
        </w:rPr>
        <w:t xml:space="preserve"> </w:t>
      </w:r>
      <w:r w:rsidRPr="00713E55">
        <w:rPr>
          <w:i/>
        </w:rPr>
        <w:t>$</w:t>
      </w:r>
      <w:r w:rsidRPr="00316F10">
        <w:rPr>
          <w:i/>
        </w:rPr>
        <w:t>95,000 to &lt; $115,000</w:t>
      </w:r>
    </w:p>
    <w:p w14:paraId="7D308B9D" w14:textId="77777777" w:rsidR="00316F10" w:rsidRDefault="00316F10" w:rsidP="00316F10">
      <w:pPr>
        <w:pStyle w:val="TableFigureFooter"/>
        <w:spacing w:after="0"/>
        <w:contextualSpacing w:val="0"/>
        <w:rPr>
          <w:i/>
        </w:rPr>
      </w:pPr>
      <w:r>
        <w:rPr>
          <w:i/>
          <w:vertAlign w:val="superscript"/>
        </w:rPr>
        <w:t>3</w:t>
      </w:r>
      <w:r>
        <w:rPr>
          <w:i/>
        </w:rPr>
        <w:t xml:space="preserve"> </w:t>
      </w:r>
      <w:r w:rsidRPr="00713E55">
        <w:rPr>
          <w:i/>
        </w:rPr>
        <w:t>$75,000 to &lt; $95,000</w:t>
      </w:r>
    </w:p>
    <w:p w14:paraId="4A69117A" w14:textId="77777777" w:rsidR="00316F10" w:rsidRDefault="00316F10" w:rsidP="00316F10">
      <w:pPr>
        <w:pStyle w:val="TableFigureFooter"/>
        <w:spacing w:after="0"/>
        <w:contextualSpacing w:val="0"/>
      </w:pPr>
      <w:r>
        <w:rPr>
          <w:i/>
          <w:vertAlign w:val="superscript"/>
        </w:rPr>
        <w:t>4</w:t>
      </w:r>
      <w:r>
        <w:rPr>
          <w:i/>
        </w:rPr>
        <w:t xml:space="preserve"> $</w:t>
      </w:r>
      <w:r w:rsidRPr="00316F10">
        <w:rPr>
          <w:i/>
        </w:rPr>
        <w:t>115,000 to &lt; $135,000</w:t>
      </w:r>
      <w:bookmarkStart w:id="24" w:name="_GoBack"/>
      <w:bookmarkEnd w:id="24"/>
    </w:p>
    <w:p w14:paraId="3BD05082" w14:textId="77777777" w:rsidR="00316F10" w:rsidRPr="00316F10" w:rsidRDefault="00316F10" w:rsidP="00316F10">
      <w:pPr>
        <w:pStyle w:val="TableFigureFooter"/>
        <w:spacing w:after="0"/>
        <w:contextualSpacing w:val="0"/>
      </w:pPr>
    </w:p>
    <w:p w14:paraId="41AD673D" w14:textId="77777777" w:rsidR="00411012" w:rsidRPr="00BE6650" w:rsidRDefault="00411012" w:rsidP="00411012">
      <w:pPr>
        <w:pStyle w:val="3-BodyText"/>
        <w:rPr>
          <w:snapToGrid/>
        </w:rPr>
      </w:pPr>
      <w:bookmarkStart w:id="25" w:name="_Toc72323742"/>
      <w:r w:rsidRPr="00BE6650">
        <w:rPr>
          <w:snapToGrid/>
        </w:rPr>
        <w:t xml:space="preserve">Given the uncertainty </w:t>
      </w:r>
      <w:r w:rsidR="00434CDB" w:rsidRPr="00BE6650">
        <w:rPr>
          <w:snapToGrid/>
        </w:rPr>
        <w:t>surrounding t</w:t>
      </w:r>
      <w:r w:rsidRPr="00BE6650">
        <w:rPr>
          <w:snapToGrid/>
        </w:rPr>
        <w:t xml:space="preserve">he clinical claim, the differences in the STORM and MAMMOTH patient cohorts and the high risk of bias </w:t>
      </w:r>
      <w:r w:rsidR="00434CDB" w:rsidRPr="00BE6650">
        <w:rPr>
          <w:snapToGrid/>
        </w:rPr>
        <w:t>associated with the clinical data</w:t>
      </w:r>
      <w:r w:rsidRPr="00BE6650">
        <w:rPr>
          <w:snapToGrid/>
        </w:rPr>
        <w:t xml:space="preserve">, the ESC </w:t>
      </w:r>
      <w:r w:rsidR="00C744ED" w:rsidRPr="00BE6650">
        <w:rPr>
          <w:snapToGrid/>
        </w:rPr>
        <w:t>considered</w:t>
      </w:r>
      <w:r w:rsidR="00434CDB" w:rsidRPr="00BE6650">
        <w:rPr>
          <w:snapToGrid/>
        </w:rPr>
        <w:t xml:space="preserve"> that </w:t>
      </w:r>
      <w:r w:rsidR="00E240CA" w:rsidRPr="00BE6650">
        <w:rPr>
          <w:snapToGrid/>
        </w:rPr>
        <w:t>a revised</w:t>
      </w:r>
      <w:r w:rsidR="00434CDB" w:rsidRPr="00BE6650">
        <w:rPr>
          <w:snapToGrid/>
        </w:rPr>
        <w:t xml:space="preserve"> </w:t>
      </w:r>
      <w:r w:rsidR="00C744ED" w:rsidRPr="00BE6650">
        <w:rPr>
          <w:snapToGrid/>
        </w:rPr>
        <w:t>model should be conservative and incorporate: (i) a 5-year time horizon; (ii) the fitting of independent survival curves for OS that predicted more realistic survival effects; and (iii) no PFS advantage for Sd. Additional revision</w:t>
      </w:r>
      <w:r w:rsidR="00E240CA" w:rsidRPr="00BE6650">
        <w:rPr>
          <w:snapToGrid/>
        </w:rPr>
        <w:t>s</w:t>
      </w:r>
      <w:r w:rsidR="00C744ED" w:rsidRPr="00BE6650">
        <w:rPr>
          <w:snapToGrid/>
        </w:rPr>
        <w:t xml:space="preserve"> would be required to include post-progression and adverse event costs.</w:t>
      </w:r>
      <w:r w:rsidRPr="00BE6650">
        <w:rPr>
          <w:snapToGrid/>
        </w:rPr>
        <w:t xml:space="preserve">  </w:t>
      </w:r>
    </w:p>
    <w:p w14:paraId="345E6B19" w14:textId="77777777" w:rsidR="00636E2B" w:rsidRPr="00BE6650" w:rsidRDefault="00636E2B" w:rsidP="00316F10">
      <w:pPr>
        <w:pStyle w:val="3-BodyText"/>
        <w:rPr>
          <w:snapToGrid/>
        </w:rPr>
      </w:pPr>
      <w:r w:rsidRPr="00BE6650">
        <w:rPr>
          <w:snapToGrid/>
        </w:rPr>
        <w:t xml:space="preserve">The pre-PBAC response presented a </w:t>
      </w:r>
      <w:r w:rsidR="00716A70" w:rsidRPr="00BE6650">
        <w:rPr>
          <w:snapToGrid/>
        </w:rPr>
        <w:t>multivariate analysis</w:t>
      </w:r>
      <w:r w:rsidRPr="00BE6650">
        <w:rPr>
          <w:snapToGrid/>
        </w:rPr>
        <w:t xml:space="preserve"> which applied a </w:t>
      </w:r>
      <w:r w:rsidR="00D81ACC" w:rsidRPr="00BE6650">
        <w:rPr>
          <w:snapToGrid/>
        </w:rPr>
        <w:t>5-</w:t>
      </w:r>
      <w:r w:rsidRPr="00BE6650">
        <w:rPr>
          <w:snapToGrid/>
        </w:rPr>
        <w:t>year time horizon, inc</w:t>
      </w:r>
      <w:r w:rsidR="00023391" w:rsidRPr="00BE6650">
        <w:rPr>
          <w:snapToGrid/>
        </w:rPr>
        <w:t>orporated</w:t>
      </w:r>
      <w:r w:rsidRPr="00BE6650">
        <w:rPr>
          <w:snapToGrid/>
        </w:rPr>
        <w:t xml:space="preserve"> post progression treatment costs and assum</w:t>
      </w:r>
      <w:r w:rsidR="00023391" w:rsidRPr="00BE6650">
        <w:rPr>
          <w:snapToGrid/>
        </w:rPr>
        <w:t>ed</w:t>
      </w:r>
      <w:r w:rsidRPr="00BE6650">
        <w:rPr>
          <w:snapToGrid/>
        </w:rPr>
        <w:t xml:space="preserve"> no PFS benefit. This resulted in an ICER of </w:t>
      </w:r>
      <w:r w:rsidR="00316F10" w:rsidRPr="00316F10">
        <w:rPr>
          <w:snapToGrid/>
        </w:rPr>
        <w:t>$75,000 to &lt; $95,000</w:t>
      </w:r>
      <w:r w:rsidR="00316F10">
        <w:rPr>
          <w:snapToGrid/>
        </w:rPr>
        <w:t xml:space="preserve"> </w:t>
      </w:r>
      <w:r w:rsidR="00685DAA" w:rsidRPr="00BE6650">
        <w:rPr>
          <w:snapToGrid/>
        </w:rPr>
        <w:t>per QALY</w:t>
      </w:r>
      <w:r w:rsidRPr="00BE6650">
        <w:rPr>
          <w:snapToGrid/>
        </w:rPr>
        <w:t xml:space="preserve">. The pre-PBAC response included a </w:t>
      </w:r>
      <w:r w:rsidR="00716A70" w:rsidRPr="00BE6650">
        <w:rPr>
          <w:snapToGrid/>
        </w:rPr>
        <w:t>multivariate analysis that</w:t>
      </w:r>
      <w:r w:rsidRPr="00BE6650">
        <w:rPr>
          <w:snapToGrid/>
        </w:rPr>
        <w:t xml:space="preserve"> also applied convergence of OS from years 4 to 5, resulting in an ICER of </w:t>
      </w:r>
      <w:r w:rsidR="00316F10" w:rsidRPr="00316F10">
        <w:rPr>
          <w:snapToGrid/>
        </w:rPr>
        <w:t xml:space="preserve">$95,000 to &lt; $115,000 </w:t>
      </w:r>
      <w:r w:rsidR="00773C6E" w:rsidRPr="00BE6650">
        <w:rPr>
          <w:snapToGrid/>
        </w:rPr>
        <w:t>per QALY</w:t>
      </w:r>
      <w:r w:rsidRPr="00BE6650">
        <w:rPr>
          <w:snapToGrid/>
        </w:rPr>
        <w:t>. The pre-PBAC response then proposed a reduced DPMQ for selinexor (</w:t>
      </w:r>
      <w:r w:rsidR="001D7DF2" w:rsidRPr="00BE6650">
        <w:rPr>
          <w:snapToGrid/>
        </w:rPr>
        <w:t>$</w:t>
      </w:r>
      <w:r w:rsidR="00D66DBB">
        <w:rPr>
          <w:noProof/>
          <w:snapToGrid/>
          <w:color w:val="000000"/>
          <w:highlight w:val="black"/>
        </w:rPr>
        <w:t>'''''''''''''''</w:t>
      </w:r>
      <w:r w:rsidR="001D7DF2" w:rsidRPr="00BE6650">
        <w:rPr>
          <w:snapToGrid/>
        </w:rPr>
        <w:t xml:space="preserve"> for 20 mg x 32) which resulted in an ICER of </w:t>
      </w:r>
      <w:r w:rsidR="00316F10" w:rsidRPr="00316F10">
        <w:rPr>
          <w:snapToGrid/>
        </w:rPr>
        <w:t>$75,000 to &lt; $95,000</w:t>
      </w:r>
      <w:r w:rsidR="00316F10">
        <w:rPr>
          <w:snapToGrid/>
        </w:rPr>
        <w:t xml:space="preserve"> </w:t>
      </w:r>
      <w:r w:rsidR="00942086" w:rsidRPr="00BE6650">
        <w:rPr>
          <w:snapToGrid/>
        </w:rPr>
        <w:t>per QALY</w:t>
      </w:r>
      <w:r w:rsidR="00175925" w:rsidRPr="00BE6650">
        <w:rPr>
          <w:snapToGrid/>
        </w:rPr>
        <w:t>.</w:t>
      </w:r>
      <w:r w:rsidR="001D7DF2" w:rsidRPr="00BE6650">
        <w:rPr>
          <w:snapToGrid/>
        </w:rPr>
        <w:t xml:space="preserve"> </w:t>
      </w:r>
    </w:p>
    <w:p w14:paraId="253F730D" w14:textId="77777777" w:rsidR="00914311" w:rsidRPr="00BE6650" w:rsidRDefault="00914311" w:rsidP="00914311">
      <w:pPr>
        <w:pStyle w:val="4-SubsectionHeading"/>
      </w:pPr>
      <w:r w:rsidRPr="00BE6650">
        <w:t>Drug cost/patient/course</w:t>
      </w:r>
      <w:bookmarkEnd w:id="25"/>
    </w:p>
    <w:p w14:paraId="0E2D92D1" w14:textId="77777777" w:rsidR="00987001" w:rsidRPr="00BE6650" w:rsidRDefault="00321403" w:rsidP="00A25B32">
      <w:pPr>
        <w:pStyle w:val="3-BodyText"/>
        <w:rPr>
          <w:iCs/>
        </w:rPr>
      </w:pPr>
      <w:r w:rsidRPr="00BE6650">
        <w:rPr>
          <w:iCs/>
        </w:rPr>
        <w:t xml:space="preserve">A summary of the drug cost per patient for </w:t>
      </w:r>
      <w:r w:rsidR="00DD065F" w:rsidRPr="00BE6650">
        <w:rPr>
          <w:iCs/>
        </w:rPr>
        <w:t xml:space="preserve">Sd </w:t>
      </w:r>
      <w:r w:rsidRPr="00BE6650">
        <w:rPr>
          <w:iCs/>
        </w:rPr>
        <w:t>and DCEP is presented in</w:t>
      </w:r>
      <w:r w:rsidR="00FE1978" w:rsidRPr="00BE6650">
        <w:rPr>
          <w:iCs/>
        </w:rPr>
        <w:t xml:space="preserve"> Table 1</w:t>
      </w:r>
      <w:r w:rsidR="00B24A5D" w:rsidRPr="00BE6650">
        <w:rPr>
          <w:iCs/>
        </w:rPr>
        <w:t>4</w:t>
      </w:r>
      <w:r w:rsidR="00FE1978" w:rsidRPr="00BE6650">
        <w:t>.</w:t>
      </w:r>
      <w:r w:rsidR="003D1D54" w:rsidRPr="00BE6650">
        <w:t xml:space="preserve"> The average time on treatment </w:t>
      </w:r>
      <w:r w:rsidR="00F9062C" w:rsidRPr="00BE6650">
        <w:t xml:space="preserve">of </w:t>
      </w:r>
      <w:r w:rsidR="00B03133" w:rsidRPr="00BE6650">
        <w:t>S</w:t>
      </w:r>
      <w:r w:rsidR="00F9062C" w:rsidRPr="00BE6650">
        <w:t xml:space="preserve">d </w:t>
      </w:r>
      <w:r w:rsidR="003D1D54" w:rsidRPr="00BE6650">
        <w:t xml:space="preserve">estimated from the model </w:t>
      </w:r>
      <w:r w:rsidR="00FA1EB8" w:rsidRPr="00BE6650">
        <w:t xml:space="preserve">was </w:t>
      </w:r>
      <w:r w:rsidR="00F9062C" w:rsidRPr="00BE6650">
        <w:t>13.35 weeks</w:t>
      </w:r>
      <w:r w:rsidR="00E52673" w:rsidRPr="00BE6650">
        <w:t xml:space="preserve">, and the proposed drug cost/patient/course was estimated to be </w:t>
      </w:r>
      <w:r w:rsidR="00E16E8A" w:rsidRPr="00BE6650">
        <w:t>$</w:t>
      </w:r>
      <w:r w:rsidR="00D66DBB">
        <w:rPr>
          <w:noProof/>
          <w:color w:val="000000"/>
          <w:highlight w:val="black"/>
        </w:rPr>
        <w:t>'''''''''''''''''</w:t>
      </w:r>
      <w:r w:rsidR="00E16E8A" w:rsidRPr="00BE6650">
        <w:t>.</w:t>
      </w:r>
      <w:r w:rsidR="00825152" w:rsidRPr="00BE6650">
        <w:rPr>
          <w:rFonts w:cstheme="minorHAnsi"/>
          <w:iCs/>
        </w:rPr>
        <w:t xml:space="preserve"> </w:t>
      </w:r>
      <w:r w:rsidR="00987001" w:rsidRPr="00BE6650">
        <w:rPr>
          <w:rFonts w:cstheme="minorHAnsi"/>
          <w:iCs/>
        </w:rPr>
        <w:t>The estimated cost/patient/</w:t>
      </w:r>
      <w:r w:rsidR="004E5112" w:rsidRPr="00BE6650">
        <w:rPr>
          <w:rFonts w:cstheme="minorHAnsi"/>
          <w:iCs/>
        </w:rPr>
        <w:t xml:space="preserve">course </w:t>
      </w:r>
      <w:r w:rsidR="00987001" w:rsidRPr="00BE6650">
        <w:rPr>
          <w:rFonts w:cstheme="minorHAnsi"/>
          <w:iCs/>
        </w:rPr>
        <w:t xml:space="preserve">for DCEP </w:t>
      </w:r>
      <w:r w:rsidR="003C46AE" w:rsidRPr="00BE6650">
        <w:rPr>
          <w:rFonts w:cstheme="minorHAnsi"/>
          <w:iCs/>
        </w:rPr>
        <w:t xml:space="preserve">in the economic model </w:t>
      </w:r>
      <w:r w:rsidR="003F1529" w:rsidRPr="00BE6650">
        <w:rPr>
          <w:rFonts w:cstheme="minorHAnsi"/>
          <w:iCs/>
        </w:rPr>
        <w:t>($3,</w:t>
      </w:r>
      <w:r w:rsidR="00873CC4" w:rsidRPr="00BE6650">
        <w:rPr>
          <w:rFonts w:cstheme="minorHAnsi"/>
          <w:iCs/>
        </w:rPr>
        <w:t>6</w:t>
      </w:r>
      <w:r w:rsidR="008B71ED" w:rsidRPr="00BE6650">
        <w:rPr>
          <w:rFonts w:cstheme="minorHAnsi"/>
          <w:iCs/>
        </w:rPr>
        <w:t>45</w:t>
      </w:r>
      <w:r w:rsidR="00854FBC" w:rsidRPr="00BE6650">
        <w:rPr>
          <w:rFonts w:cstheme="minorHAnsi"/>
          <w:iCs/>
        </w:rPr>
        <w:t>.68</w:t>
      </w:r>
      <w:r w:rsidR="003F1529" w:rsidRPr="00BE6650">
        <w:rPr>
          <w:rFonts w:cstheme="minorHAnsi"/>
          <w:iCs/>
        </w:rPr>
        <w:t xml:space="preserve">) </w:t>
      </w:r>
      <w:r w:rsidR="003C46AE" w:rsidRPr="00BE6650">
        <w:rPr>
          <w:rFonts w:cstheme="minorHAnsi"/>
          <w:iCs/>
        </w:rPr>
        <w:t>was higher than in the financial analysis</w:t>
      </w:r>
      <w:r w:rsidR="003F1529" w:rsidRPr="00BE6650">
        <w:rPr>
          <w:rFonts w:cstheme="minorHAnsi"/>
          <w:iCs/>
        </w:rPr>
        <w:t xml:space="preserve"> ($</w:t>
      </w:r>
      <w:r w:rsidR="00854FBC" w:rsidRPr="00BE6650">
        <w:rPr>
          <w:rFonts w:cstheme="minorHAnsi"/>
          <w:iCs/>
        </w:rPr>
        <w:t>915.63</w:t>
      </w:r>
      <w:r w:rsidR="003F1529" w:rsidRPr="00BE6650">
        <w:rPr>
          <w:rFonts w:cstheme="minorHAnsi"/>
          <w:iCs/>
        </w:rPr>
        <w:t>)</w:t>
      </w:r>
      <w:r w:rsidR="003C46AE" w:rsidRPr="00BE6650">
        <w:rPr>
          <w:rFonts w:cstheme="minorHAnsi"/>
          <w:iCs/>
        </w:rPr>
        <w:t xml:space="preserve">. </w:t>
      </w:r>
      <w:r w:rsidR="003C11F5" w:rsidRPr="00BE6650">
        <w:rPr>
          <w:rFonts w:cstheme="minorHAnsi"/>
          <w:iCs/>
        </w:rPr>
        <w:t>This discrepancy was due to wastage being taken into account in the economic model, but not in the financial estimates</w:t>
      </w:r>
      <w:r w:rsidR="00FE76F0" w:rsidRPr="00BE6650">
        <w:rPr>
          <w:rFonts w:cstheme="minorHAnsi"/>
          <w:iCs/>
        </w:rPr>
        <w:t xml:space="preserve"> and inconsistent application between the model and the financial estimates in the cost/pack of etoposide.</w:t>
      </w:r>
      <w:r w:rsidR="0031378F" w:rsidRPr="00BE6650">
        <w:rPr>
          <w:rFonts w:cstheme="minorHAnsi"/>
          <w:iCs/>
        </w:rPr>
        <w:t xml:space="preserve"> </w:t>
      </w:r>
      <w:r w:rsidR="007A5CFB" w:rsidRPr="00BE6650">
        <w:rPr>
          <w:rFonts w:cstheme="minorHAnsi"/>
          <w:iCs/>
        </w:rPr>
        <w:t>Th</w:t>
      </w:r>
      <w:r w:rsidR="00A31D02" w:rsidRPr="00BE6650">
        <w:rPr>
          <w:rFonts w:cstheme="minorHAnsi"/>
          <w:iCs/>
        </w:rPr>
        <w:t xml:space="preserve">e overall impact </w:t>
      </w:r>
      <w:r w:rsidR="00465B8C" w:rsidRPr="00BE6650">
        <w:rPr>
          <w:rFonts w:cstheme="minorHAnsi"/>
          <w:iCs/>
        </w:rPr>
        <w:t xml:space="preserve">of these inconsistencies is small due to the low price of DCEP. </w:t>
      </w:r>
      <w:r w:rsidR="00A31D02" w:rsidRPr="00BE6650">
        <w:rPr>
          <w:rFonts w:cstheme="minorHAnsi"/>
          <w:iCs/>
        </w:rPr>
        <w:t xml:space="preserve"> </w:t>
      </w:r>
    </w:p>
    <w:p w14:paraId="05660E48" w14:textId="77777777" w:rsidR="00A25B32" w:rsidRPr="00BE6650" w:rsidRDefault="00A25B32" w:rsidP="00A25B32">
      <w:pPr>
        <w:pStyle w:val="TableFigureHeading"/>
        <w:rPr>
          <w:rStyle w:val="CommentReference"/>
          <w:b/>
          <w:szCs w:val="24"/>
        </w:rPr>
      </w:pPr>
      <w:r w:rsidRPr="00BE6650">
        <w:rPr>
          <w:rStyle w:val="CommentReference"/>
          <w:b/>
          <w:szCs w:val="24"/>
        </w:rPr>
        <w:t xml:space="preserve">Table </w:t>
      </w:r>
      <w:r w:rsidR="004D01B9" w:rsidRPr="00BE6650">
        <w:rPr>
          <w:rStyle w:val="CommentReference"/>
          <w:b/>
          <w:szCs w:val="24"/>
        </w:rPr>
        <w:t>1</w:t>
      </w:r>
      <w:r w:rsidR="00B24A5D" w:rsidRPr="00BE6650">
        <w:rPr>
          <w:rStyle w:val="CommentReference"/>
          <w:b/>
          <w:szCs w:val="24"/>
        </w:rPr>
        <w:t>4</w:t>
      </w:r>
      <w:r w:rsidRPr="00BE6650">
        <w:rPr>
          <w:rStyle w:val="CommentReference"/>
          <w:b/>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9"/>
        <w:gridCol w:w="1230"/>
        <w:gridCol w:w="1159"/>
        <w:gridCol w:w="1194"/>
        <w:gridCol w:w="1190"/>
        <w:gridCol w:w="1419"/>
        <w:gridCol w:w="1365"/>
      </w:tblGrid>
      <w:tr w:rsidR="00BD17DB" w:rsidRPr="00BE6650" w14:paraId="7DCCB453" w14:textId="77777777" w:rsidTr="00BD17DB">
        <w:trPr>
          <w:cantSplit/>
          <w:tblHeader/>
          <w:jc w:val="center"/>
        </w:trPr>
        <w:tc>
          <w:tcPr>
            <w:tcW w:w="809" w:type="pct"/>
            <w:shd w:val="clear" w:color="auto" w:fill="auto"/>
            <w:vAlign w:val="center"/>
          </w:tcPr>
          <w:p w14:paraId="373E9608" w14:textId="77777777" w:rsidR="00BD17DB" w:rsidRPr="00BE6650" w:rsidRDefault="00BD17DB" w:rsidP="00B137BE">
            <w:pPr>
              <w:pStyle w:val="In-tableHeading"/>
              <w:jc w:val="center"/>
              <w:rPr>
                <w:lang w:val="en-AU"/>
              </w:rPr>
            </w:pPr>
          </w:p>
        </w:tc>
        <w:tc>
          <w:tcPr>
            <w:tcW w:w="1987" w:type="pct"/>
            <w:gridSpan w:val="3"/>
            <w:shd w:val="clear" w:color="auto" w:fill="auto"/>
            <w:vAlign w:val="center"/>
          </w:tcPr>
          <w:p w14:paraId="770E7B62" w14:textId="77777777" w:rsidR="00BD17DB" w:rsidRPr="00BE6650" w:rsidRDefault="00BD17DB" w:rsidP="00B137BE">
            <w:pPr>
              <w:pStyle w:val="In-tableHeading"/>
              <w:jc w:val="center"/>
              <w:rPr>
                <w:lang w:val="en-AU"/>
              </w:rPr>
            </w:pPr>
            <w:r w:rsidRPr="00BE6650">
              <w:rPr>
                <w:lang w:val="en-AU"/>
              </w:rPr>
              <w:t>Sd</w:t>
            </w:r>
          </w:p>
        </w:tc>
        <w:tc>
          <w:tcPr>
            <w:tcW w:w="2204" w:type="pct"/>
            <w:gridSpan w:val="3"/>
            <w:shd w:val="clear" w:color="auto" w:fill="auto"/>
            <w:vAlign w:val="center"/>
          </w:tcPr>
          <w:p w14:paraId="01A04D93" w14:textId="77777777" w:rsidR="00BD17DB" w:rsidRPr="00BE6650" w:rsidRDefault="00BD17DB" w:rsidP="00ED3802">
            <w:pPr>
              <w:pStyle w:val="In-tableHeading"/>
              <w:jc w:val="center"/>
              <w:rPr>
                <w:lang w:val="en-AU"/>
              </w:rPr>
            </w:pPr>
            <w:r w:rsidRPr="00BE6650">
              <w:rPr>
                <w:lang w:val="en-AU"/>
              </w:rPr>
              <w:t>DCEP</w:t>
            </w:r>
          </w:p>
        </w:tc>
      </w:tr>
      <w:tr w:rsidR="00A25B32" w:rsidRPr="00BE6650" w14:paraId="286FB781" w14:textId="77777777" w:rsidTr="00BD17DB">
        <w:trPr>
          <w:cantSplit/>
          <w:tblHeader/>
          <w:jc w:val="center"/>
        </w:trPr>
        <w:tc>
          <w:tcPr>
            <w:tcW w:w="809" w:type="pct"/>
            <w:shd w:val="clear" w:color="auto" w:fill="auto"/>
            <w:vAlign w:val="center"/>
          </w:tcPr>
          <w:p w14:paraId="312ECFA3" w14:textId="77777777" w:rsidR="00A25B32" w:rsidRPr="00BE6650" w:rsidRDefault="00A25B32" w:rsidP="00B137BE">
            <w:pPr>
              <w:pStyle w:val="In-tableHeading"/>
              <w:jc w:val="center"/>
              <w:rPr>
                <w:lang w:val="en-AU"/>
              </w:rPr>
            </w:pPr>
          </w:p>
        </w:tc>
        <w:tc>
          <w:tcPr>
            <w:tcW w:w="682" w:type="pct"/>
            <w:shd w:val="clear" w:color="auto" w:fill="auto"/>
            <w:vAlign w:val="center"/>
          </w:tcPr>
          <w:p w14:paraId="6BE06C6A" w14:textId="77777777" w:rsidR="00A25B32" w:rsidRPr="00BE6650" w:rsidRDefault="008953C0" w:rsidP="00B137BE">
            <w:pPr>
              <w:pStyle w:val="In-tableHeading"/>
              <w:jc w:val="center"/>
              <w:rPr>
                <w:lang w:val="en-AU"/>
              </w:rPr>
            </w:pPr>
            <w:r w:rsidRPr="00BE6650">
              <w:rPr>
                <w:lang w:val="en-AU"/>
              </w:rPr>
              <w:t xml:space="preserve">Study </w:t>
            </w:r>
            <w:r w:rsidR="00A25B32" w:rsidRPr="00BE6650">
              <w:rPr>
                <w:lang w:val="en-AU"/>
              </w:rPr>
              <w:t>dose and duration</w:t>
            </w:r>
          </w:p>
        </w:tc>
        <w:tc>
          <w:tcPr>
            <w:tcW w:w="643" w:type="pct"/>
            <w:shd w:val="clear" w:color="auto" w:fill="auto"/>
            <w:vAlign w:val="center"/>
          </w:tcPr>
          <w:p w14:paraId="1BAC144C" w14:textId="77777777" w:rsidR="00A25B32" w:rsidRPr="00BE6650" w:rsidRDefault="00A25B32" w:rsidP="00B137BE">
            <w:pPr>
              <w:pStyle w:val="In-tableHeading"/>
              <w:jc w:val="center"/>
              <w:rPr>
                <w:lang w:val="en-AU"/>
              </w:rPr>
            </w:pPr>
            <w:r w:rsidRPr="00BE6650">
              <w:rPr>
                <w:lang w:val="en-AU"/>
              </w:rPr>
              <w:t>Model</w:t>
            </w:r>
          </w:p>
        </w:tc>
        <w:tc>
          <w:tcPr>
            <w:tcW w:w="662" w:type="pct"/>
            <w:shd w:val="clear" w:color="auto" w:fill="auto"/>
            <w:vAlign w:val="center"/>
          </w:tcPr>
          <w:p w14:paraId="33936FC4" w14:textId="77777777" w:rsidR="00A25B32" w:rsidRPr="00BE6650" w:rsidRDefault="00A25B32" w:rsidP="00B137BE">
            <w:pPr>
              <w:pStyle w:val="In-tableHeading"/>
              <w:jc w:val="center"/>
              <w:rPr>
                <w:lang w:val="en-AU"/>
              </w:rPr>
            </w:pPr>
            <w:r w:rsidRPr="00BE6650">
              <w:rPr>
                <w:lang w:val="en-AU"/>
              </w:rPr>
              <w:t>Financial estimates</w:t>
            </w:r>
          </w:p>
        </w:tc>
        <w:tc>
          <w:tcPr>
            <w:tcW w:w="660" w:type="pct"/>
            <w:shd w:val="clear" w:color="auto" w:fill="auto"/>
            <w:vAlign w:val="center"/>
          </w:tcPr>
          <w:p w14:paraId="3A3388F9" w14:textId="77777777" w:rsidR="00A25B32" w:rsidRPr="00BE6650" w:rsidRDefault="008953C0" w:rsidP="00B137BE">
            <w:pPr>
              <w:pStyle w:val="In-tableHeading"/>
              <w:jc w:val="center"/>
              <w:rPr>
                <w:lang w:val="en-AU"/>
              </w:rPr>
            </w:pPr>
            <w:r w:rsidRPr="00BE6650">
              <w:rPr>
                <w:lang w:val="en-AU"/>
              </w:rPr>
              <w:t xml:space="preserve">Study </w:t>
            </w:r>
            <w:r w:rsidR="00A25B32" w:rsidRPr="00BE6650">
              <w:rPr>
                <w:lang w:val="en-AU"/>
              </w:rPr>
              <w:t>dose and duration</w:t>
            </w:r>
          </w:p>
        </w:tc>
        <w:tc>
          <w:tcPr>
            <w:tcW w:w="787" w:type="pct"/>
            <w:shd w:val="clear" w:color="auto" w:fill="auto"/>
            <w:vAlign w:val="center"/>
          </w:tcPr>
          <w:p w14:paraId="661A78F8" w14:textId="77777777" w:rsidR="00A25B32" w:rsidRPr="00BE6650" w:rsidRDefault="00A25B32" w:rsidP="00B137BE">
            <w:pPr>
              <w:pStyle w:val="In-tableHeading"/>
              <w:jc w:val="center"/>
              <w:rPr>
                <w:lang w:val="en-AU"/>
              </w:rPr>
            </w:pPr>
            <w:r w:rsidRPr="00BE6650">
              <w:rPr>
                <w:lang w:val="en-AU"/>
              </w:rPr>
              <w:t>Model</w:t>
            </w:r>
          </w:p>
        </w:tc>
        <w:tc>
          <w:tcPr>
            <w:tcW w:w="757" w:type="pct"/>
            <w:vAlign w:val="center"/>
          </w:tcPr>
          <w:p w14:paraId="209FAAFF" w14:textId="77777777" w:rsidR="00A25B32" w:rsidRPr="00BE6650" w:rsidRDefault="00A25B32" w:rsidP="00ED3802">
            <w:pPr>
              <w:pStyle w:val="In-tableHeading"/>
              <w:jc w:val="center"/>
              <w:rPr>
                <w:lang w:val="en-AU"/>
              </w:rPr>
            </w:pPr>
            <w:r w:rsidRPr="00BE6650">
              <w:rPr>
                <w:lang w:val="en-AU"/>
              </w:rPr>
              <w:t>Financial estimates</w:t>
            </w:r>
          </w:p>
        </w:tc>
      </w:tr>
      <w:tr w:rsidR="00CF28F7" w:rsidRPr="00BE6650" w14:paraId="3E85EF34" w14:textId="77777777" w:rsidTr="00BD17DB">
        <w:trPr>
          <w:cantSplit/>
          <w:jc w:val="center"/>
        </w:trPr>
        <w:tc>
          <w:tcPr>
            <w:tcW w:w="809" w:type="pct"/>
            <w:shd w:val="clear" w:color="auto" w:fill="auto"/>
          </w:tcPr>
          <w:p w14:paraId="60DF928C" w14:textId="77777777" w:rsidR="00CF28F7" w:rsidRPr="00BE6650" w:rsidRDefault="00CF28F7" w:rsidP="00CF28F7">
            <w:pPr>
              <w:pStyle w:val="TableText0"/>
              <w:rPr>
                <w:bCs w:val="0"/>
              </w:rPr>
            </w:pPr>
            <w:r w:rsidRPr="00BE6650">
              <w:t>Dose intensity</w:t>
            </w:r>
          </w:p>
          <w:p w14:paraId="7C05F805" w14:textId="77777777" w:rsidR="00CF28F7" w:rsidRPr="00BE6650" w:rsidRDefault="00CF28F7" w:rsidP="00CF28F7">
            <w:pPr>
              <w:pStyle w:val="TableText0"/>
              <w:rPr>
                <w:bCs w:val="0"/>
              </w:rPr>
            </w:pPr>
            <w:r w:rsidRPr="00BE6650">
              <w:rPr>
                <w:bCs w:val="0"/>
              </w:rPr>
              <w:t xml:space="preserve">    </w:t>
            </w:r>
          </w:p>
        </w:tc>
        <w:tc>
          <w:tcPr>
            <w:tcW w:w="682" w:type="pct"/>
            <w:shd w:val="clear" w:color="auto" w:fill="auto"/>
          </w:tcPr>
          <w:p w14:paraId="0C08DEFE" w14:textId="77777777" w:rsidR="00CF28F7" w:rsidRPr="00BE6650" w:rsidRDefault="009E289B" w:rsidP="00CF28F7">
            <w:pPr>
              <w:pStyle w:val="TableText0"/>
              <w:jc w:val="center"/>
              <w:rPr>
                <w:bCs w:val="0"/>
                <w:iCs/>
              </w:rPr>
            </w:pPr>
            <w:r w:rsidRPr="00BE6650">
              <w:rPr>
                <w:bCs w:val="0"/>
                <w:iCs/>
              </w:rPr>
              <w:t>S</w:t>
            </w:r>
            <w:r w:rsidR="00914311" w:rsidRPr="00BE6650">
              <w:rPr>
                <w:bCs w:val="0"/>
                <w:iCs/>
              </w:rPr>
              <w:t>:</w:t>
            </w:r>
            <w:r w:rsidRPr="00BE6650">
              <w:rPr>
                <w:bCs w:val="0"/>
                <w:iCs/>
              </w:rPr>
              <w:t xml:space="preserve"> </w:t>
            </w:r>
            <w:r w:rsidR="00CF28F7" w:rsidRPr="00BE6650">
              <w:rPr>
                <w:bCs w:val="0"/>
                <w:iCs/>
              </w:rPr>
              <w:t>71.5%</w:t>
            </w:r>
          </w:p>
          <w:p w14:paraId="4B5F5D76" w14:textId="77777777" w:rsidR="00CF28F7" w:rsidRPr="00BE6650" w:rsidRDefault="00914311" w:rsidP="00CF28F7">
            <w:pPr>
              <w:pStyle w:val="TableText0"/>
              <w:jc w:val="center"/>
              <w:rPr>
                <w:bCs w:val="0"/>
                <w:iCs/>
              </w:rPr>
            </w:pPr>
            <w:r w:rsidRPr="00BE6650">
              <w:rPr>
                <w:bCs w:val="0"/>
                <w:iCs/>
              </w:rPr>
              <w:t>d:</w:t>
            </w:r>
            <w:r w:rsidR="009E289B" w:rsidRPr="00BE6650">
              <w:rPr>
                <w:bCs w:val="0"/>
                <w:iCs/>
              </w:rPr>
              <w:t xml:space="preserve"> </w:t>
            </w:r>
            <w:r w:rsidR="00CF28F7" w:rsidRPr="00BE6650">
              <w:rPr>
                <w:bCs w:val="0"/>
                <w:iCs/>
              </w:rPr>
              <w:t>80.0%</w:t>
            </w:r>
          </w:p>
        </w:tc>
        <w:tc>
          <w:tcPr>
            <w:tcW w:w="643" w:type="pct"/>
            <w:shd w:val="clear" w:color="auto" w:fill="auto"/>
          </w:tcPr>
          <w:p w14:paraId="249151A2" w14:textId="77777777" w:rsidR="00CF28F7" w:rsidRPr="00BE6650" w:rsidRDefault="00914311" w:rsidP="00CF28F7">
            <w:pPr>
              <w:pStyle w:val="TableText0"/>
              <w:jc w:val="center"/>
              <w:rPr>
                <w:bCs w:val="0"/>
                <w:iCs/>
              </w:rPr>
            </w:pPr>
            <w:r w:rsidRPr="00BE6650">
              <w:rPr>
                <w:bCs w:val="0"/>
                <w:iCs/>
              </w:rPr>
              <w:t xml:space="preserve">S: </w:t>
            </w:r>
            <w:r w:rsidR="00CF28F7" w:rsidRPr="00BE6650">
              <w:rPr>
                <w:bCs w:val="0"/>
                <w:iCs/>
              </w:rPr>
              <w:t>65.4%</w:t>
            </w:r>
          </w:p>
          <w:p w14:paraId="75F57E8D" w14:textId="77777777" w:rsidR="00CF28F7" w:rsidRPr="00BE6650" w:rsidRDefault="00914311" w:rsidP="00CF28F7">
            <w:pPr>
              <w:pStyle w:val="TableText0"/>
              <w:jc w:val="center"/>
              <w:rPr>
                <w:bCs w:val="0"/>
                <w:iCs/>
              </w:rPr>
            </w:pPr>
            <w:r w:rsidRPr="00BE6650">
              <w:rPr>
                <w:bCs w:val="0"/>
                <w:iCs/>
              </w:rPr>
              <w:t xml:space="preserve">d: </w:t>
            </w:r>
            <w:r w:rsidR="00CF28F7" w:rsidRPr="00BE6650">
              <w:rPr>
                <w:bCs w:val="0"/>
                <w:iCs/>
              </w:rPr>
              <w:t>80.0%</w:t>
            </w:r>
          </w:p>
        </w:tc>
        <w:tc>
          <w:tcPr>
            <w:tcW w:w="662" w:type="pct"/>
            <w:shd w:val="clear" w:color="auto" w:fill="auto"/>
          </w:tcPr>
          <w:p w14:paraId="6604EB18" w14:textId="77777777" w:rsidR="00CF28F7" w:rsidRPr="00BE6650" w:rsidRDefault="00914311" w:rsidP="00CF28F7">
            <w:pPr>
              <w:pStyle w:val="TableText0"/>
              <w:jc w:val="center"/>
              <w:rPr>
                <w:bCs w:val="0"/>
                <w:iCs/>
              </w:rPr>
            </w:pPr>
            <w:r w:rsidRPr="00BE6650">
              <w:rPr>
                <w:bCs w:val="0"/>
                <w:iCs/>
              </w:rPr>
              <w:t xml:space="preserve">S: </w:t>
            </w:r>
            <w:r w:rsidR="00CF28F7" w:rsidRPr="00BE6650">
              <w:rPr>
                <w:bCs w:val="0"/>
                <w:iCs/>
              </w:rPr>
              <w:t>65.4%</w:t>
            </w:r>
          </w:p>
          <w:p w14:paraId="65BBEBEE" w14:textId="77777777" w:rsidR="00CF28F7" w:rsidRPr="00BE6650" w:rsidRDefault="00914311" w:rsidP="00CF28F7">
            <w:pPr>
              <w:pStyle w:val="TableText0"/>
              <w:jc w:val="center"/>
              <w:rPr>
                <w:bCs w:val="0"/>
                <w:iCs/>
              </w:rPr>
            </w:pPr>
            <w:r w:rsidRPr="00BE6650">
              <w:rPr>
                <w:bCs w:val="0"/>
                <w:iCs/>
              </w:rPr>
              <w:t xml:space="preserve">d: </w:t>
            </w:r>
            <w:r w:rsidR="00CF28F7" w:rsidRPr="00BE6650">
              <w:rPr>
                <w:bCs w:val="0"/>
                <w:iCs/>
              </w:rPr>
              <w:t>80.0%</w:t>
            </w:r>
          </w:p>
        </w:tc>
        <w:tc>
          <w:tcPr>
            <w:tcW w:w="660" w:type="pct"/>
            <w:shd w:val="clear" w:color="auto" w:fill="auto"/>
          </w:tcPr>
          <w:p w14:paraId="7556FF18" w14:textId="77777777" w:rsidR="00CF28F7" w:rsidRPr="00BE6650" w:rsidRDefault="008E342C" w:rsidP="00CF28F7">
            <w:pPr>
              <w:pStyle w:val="TableText0"/>
              <w:jc w:val="center"/>
              <w:rPr>
                <w:bCs w:val="0"/>
                <w:iCs/>
              </w:rPr>
            </w:pPr>
            <w:r w:rsidRPr="00BE6650">
              <w:rPr>
                <w:bCs w:val="0"/>
                <w:iCs/>
              </w:rPr>
              <w:t>NA</w:t>
            </w:r>
          </w:p>
        </w:tc>
        <w:tc>
          <w:tcPr>
            <w:tcW w:w="787" w:type="pct"/>
            <w:shd w:val="clear" w:color="auto" w:fill="auto"/>
          </w:tcPr>
          <w:p w14:paraId="258542AB" w14:textId="77777777" w:rsidR="00CF28F7" w:rsidRPr="00BE6650" w:rsidRDefault="008E342C" w:rsidP="00CF28F7">
            <w:pPr>
              <w:pStyle w:val="TableText0"/>
              <w:jc w:val="center"/>
              <w:rPr>
                <w:bCs w:val="0"/>
                <w:iCs/>
              </w:rPr>
            </w:pPr>
            <w:r w:rsidRPr="00BE6650">
              <w:rPr>
                <w:bCs w:val="0"/>
                <w:iCs/>
              </w:rPr>
              <w:t>100</w:t>
            </w:r>
            <w:r w:rsidR="00640435" w:rsidRPr="00BE6650">
              <w:rPr>
                <w:bCs w:val="0"/>
                <w:iCs/>
              </w:rPr>
              <w:t>%</w:t>
            </w:r>
          </w:p>
        </w:tc>
        <w:tc>
          <w:tcPr>
            <w:tcW w:w="757" w:type="pct"/>
          </w:tcPr>
          <w:p w14:paraId="045B52D9" w14:textId="77777777" w:rsidR="00CF28F7" w:rsidRPr="00BE6650" w:rsidRDefault="00E84A3B" w:rsidP="00CF28F7">
            <w:pPr>
              <w:pStyle w:val="TableText0"/>
              <w:jc w:val="center"/>
              <w:rPr>
                <w:bCs w:val="0"/>
                <w:iCs/>
              </w:rPr>
            </w:pPr>
            <w:r w:rsidRPr="00BE6650">
              <w:rPr>
                <w:bCs w:val="0"/>
                <w:iCs/>
              </w:rPr>
              <w:t>100%</w:t>
            </w:r>
          </w:p>
        </w:tc>
      </w:tr>
      <w:tr w:rsidR="00B92CBF" w:rsidRPr="00BE6650" w14:paraId="2F1D35D0" w14:textId="77777777" w:rsidTr="00BD17DB">
        <w:trPr>
          <w:cantSplit/>
          <w:trHeight w:val="776"/>
          <w:jc w:val="center"/>
        </w:trPr>
        <w:tc>
          <w:tcPr>
            <w:tcW w:w="809" w:type="pct"/>
            <w:shd w:val="clear" w:color="auto" w:fill="auto"/>
          </w:tcPr>
          <w:p w14:paraId="3336635A" w14:textId="77777777" w:rsidR="00B92CBF" w:rsidRPr="00BE6650" w:rsidRDefault="00B92CBF" w:rsidP="00B92CBF">
            <w:pPr>
              <w:pStyle w:val="TableText0"/>
            </w:pPr>
            <w:r w:rsidRPr="00BE6650">
              <w:t>Mean duration</w:t>
            </w:r>
          </w:p>
        </w:tc>
        <w:tc>
          <w:tcPr>
            <w:tcW w:w="682" w:type="pct"/>
            <w:shd w:val="clear" w:color="auto" w:fill="auto"/>
          </w:tcPr>
          <w:p w14:paraId="488E35C8" w14:textId="77777777" w:rsidR="00B92CBF" w:rsidRPr="00BE6650" w:rsidRDefault="00B92CBF" w:rsidP="00B92CBF">
            <w:pPr>
              <w:pStyle w:val="TableText0"/>
              <w:jc w:val="center"/>
              <w:rPr>
                <w:bCs w:val="0"/>
                <w:iCs/>
              </w:rPr>
            </w:pPr>
            <w:r w:rsidRPr="00BE6650">
              <w:rPr>
                <w:bCs w:val="0"/>
                <w:iCs/>
              </w:rPr>
              <w:t>11.2 w</w:t>
            </w:r>
            <w:r w:rsidR="00ED3802" w:rsidRPr="00BE6650">
              <w:rPr>
                <w:bCs w:val="0"/>
                <w:iCs/>
              </w:rPr>
              <w:t>eeks</w:t>
            </w:r>
          </w:p>
        </w:tc>
        <w:tc>
          <w:tcPr>
            <w:tcW w:w="643" w:type="pct"/>
            <w:shd w:val="clear" w:color="auto" w:fill="auto"/>
          </w:tcPr>
          <w:p w14:paraId="12B21B71" w14:textId="77777777" w:rsidR="00B92CBF" w:rsidRPr="00BE6650" w:rsidRDefault="00B92CBF" w:rsidP="00B92CBF">
            <w:pPr>
              <w:pStyle w:val="TableText0"/>
              <w:jc w:val="center"/>
              <w:rPr>
                <w:bCs w:val="0"/>
                <w:iCs/>
              </w:rPr>
            </w:pPr>
            <w:r w:rsidRPr="00BE6650">
              <w:rPr>
                <w:bCs w:val="0"/>
                <w:iCs/>
              </w:rPr>
              <w:t>13.</w:t>
            </w:r>
            <w:r w:rsidR="001F2D96" w:rsidRPr="00BE6650">
              <w:rPr>
                <w:bCs w:val="0"/>
                <w:iCs/>
              </w:rPr>
              <w:t>35</w:t>
            </w:r>
            <w:r w:rsidRPr="00BE6650">
              <w:rPr>
                <w:bCs w:val="0"/>
                <w:iCs/>
              </w:rPr>
              <w:t xml:space="preserve"> w</w:t>
            </w:r>
            <w:r w:rsidR="00ED3802" w:rsidRPr="00BE6650">
              <w:rPr>
                <w:bCs w:val="0"/>
                <w:iCs/>
              </w:rPr>
              <w:t>eeks</w:t>
            </w:r>
          </w:p>
        </w:tc>
        <w:tc>
          <w:tcPr>
            <w:tcW w:w="662" w:type="pct"/>
            <w:shd w:val="clear" w:color="auto" w:fill="auto"/>
          </w:tcPr>
          <w:p w14:paraId="55D37319" w14:textId="77777777" w:rsidR="00B92CBF" w:rsidRPr="00BE6650" w:rsidRDefault="00B92CBF" w:rsidP="00B92CBF">
            <w:pPr>
              <w:pStyle w:val="TableText0"/>
              <w:jc w:val="center"/>
              <w:rPr>
                <w:bCs w:val="0"/>
                <w:iCs/>
              </w:rPr>
            </w:pPr>
            <w:r w:rsidRPr="00BE6650">
              <w:rPr>
                <w:bCs w:val="0"/>
                <w:iCs/>
              </w:rPr>
              <w:t>13.</w:t>
            </w:r>
            <w:r w:rsidR="001F2D96" w:rsidRPr="00BE6650">
              <w:rPr>
                <w:bCs w:val="0"/>
                <w:iCs/>
              </w:rPr>
              <w:t>35</w:t>
            </w:r>
            <w:r w:rsidRPr="00BE6650">
              <w:rPr>
                <w:bCs w:val="0"/>
                <w:iCs/>
              </w:rPr>
              <w:t xml:space="preserve"> w</w:t>
            </w:r>
            <w:r w:rsidR="00ED3802" w:rsidRPr="00BE6650">
              <w:rPr>
                <w:bCs w:val="0"/>
                <w:iCs/>
              </w:rPr>
              <w:t>eeks</w:t>
            </w:r>
          </w:p>
        </w:tc>
        <w:tc>
          <w:tcPr>
            <w:tcW w:w="660" w:type="pct"/>
            <w:shd w:val="clear" w:color="auto" w:fill="auto"/>
          </w:tcPr>
          <w:p w14:paraId="2BF37700" w14:textId="77777777" w:rsidR="00B92CBF" w:rsidRPr="00BE6650" w:rsidRDefault="008E342C" w:rsidP="00B92CBF">
            <w:pPr>
              <w:pStyle w:val="TableText0"/>
              <w:jc w:val="center"/>
              <w:rPr>
                <w:bCs w:val="0"/>
                <w:iCs/>
              </w:rPr>
            </w:pPr>
            <w:r w:rsidRPr="00BE6650">
              <w:rPr>
                <w:bCs w:val="0"/>
                <w:iCs/>
              </w:rPr>
              <w:t>NA</w:t>
            </w:r>
          </w:p>
        </w:tc>
        <w:tc>
          <w:tcPr>
            <w:tcW w:w="787" w:type="pct"/>
            <w:shd w:val="clear" w:color="auto" w:fill="auto"/>
          </w:tcPr>
          <w:p w14:paraId="36290A93" w14:textId="77777777" w:rsidR="004921AC" w:rsidRPr="00BE6650" w:rsidRDefault="004921AC" w:rsidP="001A7FF5">
            <w:pPr>
              <w:pStyle w:val="TableText0"/>
              <w:jc w:val="center"/>
              <w:rPr>
                <w:bCs w:val="0"/>
                <w:iCs/>
              </w:rPr>
            </w:pPr>
            <w:r w:rsidRPr="00BE6650">
              <w:rPr>
                <w:bCs w:val="0"/>
                <w:iCs/>
              </w:rPr>
              <w:t>Mean duration: 7.73 weeks</w:t>
            </w:r>
            <w:r w:rsidRPr="00BE6650">
              <w:rPr>
                <w:bCs w:val="0"/>
                <w:iCs/>
                <w:vertAlign w:val="superscript"/>
              </w:rPr>
              <w:t xml:space="preserve"> a</w:t>
            </w:r>
          </w:p>
          <w:p w14:paraId="5F877F7E" w14:textId="77777777" w:rsidR="00E2688B" w:rsidRPr="00BE6650" w:rsidRDefault="001A7FF5" w:rsidP="00BD17DB">
            <w:pPr>
              <w:pStyle w:val="TableText0"/>
              <w:jc w:val="center"/>
              <w:rPr>
                <w:bCs w:val="0"/>
                <w:iCs/>
              </w:rPr>
            </w:pPr>
            <w:r w:rsidRPr="00BE6650">
              <w:rPr>
                <w:bCs w:val="0"/>
                <w:iCs/>
              </w:rPr>
              <w:t>Mean</w:t>
            </w:r>
            <w:r w:rsidR="004921AC" w:rsidRPr="00BE6650">
              <w:rPr>
                <w:bCs w:val="0"/>
                <w:iCs/>
              </w:rPr>
              <w:t xml:space="preserve"> number of</w:t>
            </w:r>
            <w:r w:rsidRPr="00BE6650">
              <w:rPr>
                <w:bCs w:val="0"/>
                <w:iCs/>
              </w:rPr>
              <w:t xml:space="preserve"> dose</w:t>
            </w:r>
            <w:r w:rsidR="004921AC" w:rsidRPr="00BE6650">
              <w:rPr>
                <w:bCs w:val="0"/>
                <w:iCs/>
              </w:rPr>
              <w:t>s</w:t>
            </w:r>
            <w:r w:rsidRPr="00BE6650">
              <w:rPr>
                <w:bCs w:val="0"/>
                <w:iCs/>
              </w:rPr>
              <w:t xml:space="preserve">: </w:t>
            </w:r>
            <w:r w:rsidR="004E34BF" w:rsidRPr="00BE6650">
              <w:rPr>
                <w:bCs w:val="0"/>
                <w:iCs/>
              </w:rPr>
              <w:t>7.73</w:t>
            </w:r>
          </w:p>
        </w:tc>
        <w:tc>
          <w:tcPr>
            <w:tcW w:w="757" w:type="pct"/>
          </w:tcPr>
          <w:p w14:paraId="6C32F9A9" w14:textId="77777777" w:rsidR="004921AC" w:rsidRPr="00BE6650" w:rsidRDefault="004921AC" w:rsidP="00B92CBF">
            <w:pPr>
              <w:pStyle w:val="TableText0"/>
              <w:jc w:val="center"/>
              <w:rPr>
                <w:bCs w:val="0"/>
                <w:iCs/>
              </w:rPr>
            </w:pPr>
            <w:r w:rsidRPr="00BE6650">
              <w:rPr>
                <w:bCs w:val="0"/>
                <w:iCs/>
              </w:rPr>
              <w:t xml:space="preserve">Mean duration: </w:t>
            </w:r>
          </w:p>
          <w:p w14:paraId="7AA0B004" w14:textId="77777777" w:rsidR="004921AC" w:rsidRPr="00BE6650" w:rsidRDefault="004921AC" w:rsidP="00B92CBF">
            <w:pPr>
              <w:pStyle w:val="TableText0"/>
              <w:jc w:val="center"/>
              <w:rPr>
                <w:bCs w:val="0"/>
                <w:iCs/>
              </w:rPr>
            </w:pPr>
            <w:r w:rsidRPr="00BE6650">
              <w:rPr>
                <w:bCs w:val="0"/>
                <w:iCs/>
              </w:rPr>
              <w:t>7.61 weeks</w:t>
            </w:r>
          </w:p>
          <w:p w14:paraId="018D91C0" w14:textId="77777777" w:rsidR="002C2974" w:rsidRPr="00BE6650" w:rsidRDefault="001A7FF5" w:rsidP="00BD17DB">
            <w:pPr>
              <w:pStyle w:val="TableText0"/>
              <w:jc w:val="center"/>
              <w:rPr>
                <w:bCs w:val="0"/>
                <w:iCs/>
              </w:rPr>
            </w:pPr>
            <w:r w:rsidRPr="00BE6650">
              <w:rPr>
                <w:bCs w:val="0"/>
                <w:iCs/>
              </w:rPr>
              <w:t xml:space="preserve">Mean </w:t>
            </w:r>
            <w:r w:rsidR="004921AC" w:rsidRPr="00BE6650">
              <w:rPr>
                <w:bCs w:val="0"/>
                <w:iCs/>
              </w:rPr>
              <w:t xml:space="preserve">number of </w:t>
            </w:r>
            <w:r w:rsidRPr="00BE6650">
              <w:rPr>
                <w:bCs w:val="0"/>
                <w:iCs/>
              </w:rPr>
              <w:t>dose</w:t>
            </w:r>
            <w:r w:rsidR="004921AC" w:rsidRPr="00BE6650">
              <w:rPr>
                <w:bCs w:val="0"/>
                <w:iCs/>
              </w:rPr>
              <w:t>s</w:t>
            </w:r>
            <w:r w:rsidRPr="00BE6650">
              <w:rPr>
                <w:bCs w:val="0"/>
                <w:iCs/>
              </w:rPr>
              <w:t>:</w:t>
            </w:r>
            <w:r w:rsidR="006979DC" w:rsidRPr="00BE6650">
              <w:rPr>
                <w:bCs w:val="0"/>
                <w:iCs/>
              </w:rPr>
              <w:t xml:space="preserve"> 7.</w:t>
            </w:r>
            <w:r w:rsidR="00305744" w:rsidRPr="00BE6650">
              <w:rPr>
                <w:bCs w:val="0"/>
                <w:iCs/>
              </w:rPr>
              <w:t>61</w:t>
            </w:r>
          </w:p>
        </w:tc>
      </w:tr>
      <w:tr w:rsidR="003D0A34" w:rsidRPr="00BE6650" w14:paraId="552924DD" w14:textId="77777777" w:rsidTr="00BD17DB">
        <w:trPr>
          <w:cantSplit/>
          <w:jc w:val="center"/>
        </w:trPr>
        <w:tc>
          <w:tcPr>
            <w:tcW w:w="809" w:type="pct"/>
            <w:shd w:val="clear" w:color="auto" w:fill="auto"/>
          </w:tcPr>
          <w:p w14:paraId="0EA635D9" w14:textId="77777777" w:rsidR="003D0A34" w:rsidRPr="00BE6650" w:rsidRDefault="003D0A34" w:rsidP="003D0A34">
            <w:pPr>
              <w:pStyle w:val="TableText0"/>
            </w:pPr>
            <w:r w:rsidRPr="00BE6650">
              <w:t>Compliance</w:t>
            </w:r>
          </w:p>
        </w:tc>
        <w:tc>
          <w:tcPr>
            <w:tcW w:w="682" w:type="pct"/>
            <w:shd w:val="clear" w:color="auto" w:fill="auto"/>
          </w:tcPr>
          <w:p w14:paraId="196C772D" w14:textId="77777777" w:rsidR="003D0A34" w:rsidRPr="00BE6650" w:rsidRDefault="004B0338" w:rsidP="003D0A34">
            <w:pPr>
              <w:pStyle w:val="TableText0"/>
              <w:jc w:val="center"/>
              <w:rPr>
                <w:bCs w:val="0"/>
                <w:iCs/>
              </w:rPr>
            </w:pPr>
            <w:r w:rsidRPr="00BE6650">
              <w:rPr>
                <w:bCs w:val="0"/>
                <w:iCs/>
              </w:rPr>
              <w:t>NA</w:t>
            </w:r>
          </w:p>
        </w:tc>
        <w:tc>
          <w:tcPr>
            <w:tcW w:w="643" w:type="pct"/>
            <w:shd w:val="clear" w:color="auto" w:fill="auto"/>
          </w:tcPr>
          <w:p w14:paraId="7124B10E" w14:textId="77777777" w:rsidR="003D0A34" w:rsidRPr="00BE6650" w:rsidRDefault="004B0338" w:rsidP="003D0A34">
            <w:pPr>
              <w:pStyle w:val="TableText0"/>
              <w:jc w:val="center"/>
              <w:rPr>
                <w:bCs w:val="0"/>
                <w:iCs/>
              </w:rPr>
            </w:pPr>
            <w:r w:rsidRPr="00BE6650">
              <w:rPr>
                <w:bCs w:val="0"/>
                <w:iCs/>
              </w:rPr>
              <w:t>NA</w:t>
            </w:r>
          </w:p>
        </w:tc>
        <w:tc>
          <w:tcPr>
            <w:tcW w:w="662" w:type="pct"/>
            <w:shd w:val="clear" w:color="auto" w:fill="auto"/>
          </w:tcPr>
          <w:p w14:paraId="27A95505" w14:textId="77777777" w:rsidR="003D0A34" w:rsidRPr="00BE6650" w:rsidRDefault="003D0A34" w:rsidP="003D0A34">
            <w:pPr>
              <w:pStyle w:val="TableText0"/>
              <w:jc w:val="center"/>
              <w:rPr>
                <w:bCs w:val="0"/>
                <w:iCs/>
              </w:rPr>
            </w:pPr>
            <w:r w:rsidRPr="00BE6650">
              <w:rPr>
                <w:bCs w:val="0"/>
                <w:iCs/>
              </w:rPr>
              <w:t>98.4%</w:t>
            </w:r>
          </w:p>
        </w:tc>
        <w:tc>
          <w:tcPr>
            <w:tcW w:w="660" w:type="pct"/>
            <w:shd w:val="clear" w:color="auto" w:fill="auto"/>
          </w:tcPr>
          <w:p w14:paraId="262F647B" w14:textId="77777777" w:rsidR="003D0A34" w:rsidRPr="00BE6650" w:rsidRDefault="003D0A34" w:rsidP="003D0A34">
            <w:pPr>
              <w:pStyle w:val="TableText0"/>
              <w:jc w:val="center"/>
              <w:rPr>
                <w:bCs w:val="0"/>
                <w:iCs/>
              </w:rPr>
            </w:pPr>
            <w:r w:rsidRPr="00BE6650">
              <w:rPr>
                <w:bCs w:val="0"/>
                <w:iCs/>
              </w:rPr>
              <w:t>NA</w:t>
            </w:r>
          </w:p>
        </w:tc>
        <w:tc>
          <w:tcPr>
            <w:tcW w:w="787" w:type="pct"/>
            <w:shd w:val="clear" w:color="auto" w:fill="auto"/>
          </w:tcPr>
          <w:p w14:paraId="032E76FD" w14:textId="77777777" w:rsidR="003D0A34" w:rsidRPr="00BE6650" w:rsidRDefault="003D0A34" w:rsidP="003D0A34">
            <w:pPr>
              <w:pStyle w:val="TableText0"/>
              <w:jc w:val="center"/>
              <w:rPr>
                <w:bCs w:val="0"/>
                <w:iCs/>
              </w:rPr>
            </w:pPr>
            <w:r w:rsidRPr="00BE6650">
              <w:rPr>
                <w:bCs w:val="0"/>
                <w:iCs/>
              </w:rPr>
              <w:t>Not applied</w:t>
            </w:r>
          </w:p>
        </w:tc>
        <w:tc>
          <w:tcPr>
            <w:tcW w:w="757" w:type="pct"/>
          </w:tcPr>
          <w:p w14:paraId="28977325" w14:textId="77777777" w:rsidR="003D0A34" w:rsidRPr="00BE6650" w:rsidRDefault="003D0A34" w:rsidP="003D0A34">
            <w:pPr>
              <w:pStyle w:val="TableText0"/>
              <w:jc w:val="center"/>
              <w:rPr>
                <w:bCs w:val="0"/>
                <w:iCs/>
              </w:rPr>
            </w:pPr>
            <w:r w:rsidRPr="00BE6650">
              <w:rPr>
                <w:bCs w:val="0"/>
                <w:iCs/>
              </w:rPr>
              <w:t>98.4%</w:t>
            </w:r>
          </w:p>
        </w:tc>
      </w:tr>
      <w:tr w:rsidR="003D0A34" w:rsidRPr="00BE6650" w14:paraId="3B145D37" w14:textId="77777777" w:rsidTr="00BD17DB">
        <w:trPr>
          <w:cantSplit/>
          <w:jc w:val="center"/>
        </w:trPr>
        <w:tc>
          <w:tcPr>
            <w:tcW w:w="809" w:type="pct"/>
            <w:shd w:val="clear" w:color="auto" w:fill="auto"/>
          </w:tcPr>
          <w:p w14:paraId="26781BA3" w14:textId="77777777" w:rsidR="003D0A34" w:rsidRPr="00BE6650" w:rsidRDefault="003D0A34" w:rsidP="003D0A34">
            <w:pPr>
              <w:pStyle w:val="TableText0"/>
            </w:pPr>
            <w:r w:rsidRPr="00BE6650">
              <w:t>Cost/patient</w:t>
            </w:r>
            <w:r w:rsidR="008B71ED" w:rsidRPr="00BE6650">
              <w:t>/dose/week</w:t>
            </w:r>
          </w:p>
          <w:p w14:paraId="68C8FE86" w14:textId="77777777" w:rsidR="003D0A34" w:rsidRPr="00BE6650" w:rsidRDefault="003D0A34" w:rsidP="003D0A34">
            <w:pPr>
              <w:pStyle w:val="TableText0"/>
              <w:rPr>
                <w:bCs w:val="0"/>
              </w:rPr>
            </w:pPr>
            <w:r w:rsidRPr="00BE6650">
              <w:rPr>
                <w:bCs w:val="0"/>
              </w:rPr>
              <w:t xml:space="preserve">    </w:t>
            </w:r>
          </w:p>
          <w:p w14:paraId="01D9515F" w14:textId="77777777" w:rsidR="003D0A34" w:rsidRPr="00BE6650" w:rsidRDefault="003D0A34" w:rsidP="003D0A34">
            <w:pPr>
              <w:pStyle w:val="TableText0"/>
            </w:pPr>
            <w:r w:rsidRPr="00BE6650">
              <w:rPr>
                <w:bCs w:val="0"/>
              </w:rPr>
              <w:t xml:space="preserve">    </w:t>
            </w:r>
          </w:p>
        </w:tc>
        <w:tc>
          <w:tcPr>
            <w:tcW w:w="682" w:type="pct"/>
            <w:shd w:val="clear" w:color="auto" w:fill="auto"/>
          </w:tcPr>
          <w:p w14:paraId="09135234" w14:textId="77777777" w:rsidR="003D0A34" w:rsidRPr="00BE6650" w:rsidRDefault="009E289B" w:rsidP="003D0A34">
            <w:pPr>
              <w:pStyle w:val="TableText0"/>
              <w:jc w:val="center"/>
              <w:rPr>
                <w:bCs w:val="0"/>
                <w:iCs/>
              </w:rPr>
            </w:pPr>
            <w:r w:rsidRPr="00BE6650">
              <w:rPr>
                <w:bCs w:val="0"/>
                <w:iCs/>
              </w:rPr>
              <w:t>S</w:t>
            </w:r>
            <w:r w:rsidR="00BD17DB" w:rsidRPr="00BE6650">
              <w:rPr>
                <w:bCs w:val="0"/>
                <w:iCs/>
              </w:rPr>
              <w:t>:</w:t>
            </w:r>
            <w:r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BE6650">
              <w:rPr>
                <w:bCs w:val="0"/>
                <w:iCs/>
              </w:rPr>
              <w:t>/w</w:t>
            </w:r>
          </w:p>
          <w:p w14:paraId="45453A35" w14:textId="77777777" w:rsidR="003D0A34" w:rsidRPr="00BE6650" w:rsidRDefault="00BD17DB" w:rsidP="003D0A34">
            <w:pPr>
              <w:pStyle w:val="TableText0"/>
              <w:jc w:val="center"/>
              <w:rPr>
                <w:bCs w:val="0"/>
                <w:iCs/>
              </w:rPr>
            </w:pPr>
            <w:r w:rsidRPr="00BE6650">
              <w:rPr>
                <w:bCs w:val="0"/>
                <w:iCs/>
              </w:rPr>
              <w:t>d:</w:t>
            </w:r>
            <w:r w:rsidR="009E289B"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BE6650">
              <w:rPr>
                <w:bCs w:val="0"/>
                <w:iCs/>
              </w:rPr>
              <w:t>/w</w:t>
            </w:r>
          </w:p>
        </w:tc>
        <w:tc>
          <w:tcPr>
            <w:tcW w:w="643" w:type="pct"/>
            <w:shd w:val="clear" w:color="auto" w:fill="auto"/>
          </w:tcPr>
          <w:p w14:paraId="0BD6DF43" w14:textId="77777777" w:rsidR="003D0A34" w:rsidRPr="00BE6650" w:rsidRDefault="00C35A97" w:rsidP="003D0A34">
            <w:pPr>
              <w:pStyle w:val="TableText0"/>
              <w:jc w:val="center"/>
              <w:rPr>
                <w:bCs w:val="0"/>
                <w:iCs/>
              </w:rPr>
            </w:pPr>
            <w:r w:rsidRPr="00BE6650">
              <w:rPr>
                <w:bCs w:val="0"/>
                <w:iCs/>
              </w:rPr>
              <w:t>S</w:t>
            </w:r>
            <w:r w:rsidR="00BD17DB" w:rsidRPr="00BE6650">
              <w:rPr>
                <w:bCs w:val="0"/>
                <w:iCs/>
              </w:rPr>
              <w:t>:</w:t>
            </w:r>
            <w:r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BE6650">
              <w:rPr>
                <w:bCs w:val="0"/>
                <w:iCs/>
              </w:rPr>
              <w:t>/w</w:t>
            </w:r>
          </w:p>
          <w:p w14:paraId="4D3FB3A1" w14:textId="77777777" w:rsidR="003D0A34" w:rsidRPr="00BE6650" w:rsidRDefault="00BD17DB" w:rsidP="003D0A34">
            <w:pPr>
              <w:pStyle w:val="TableText0"/>
              <w:jc w:val="center"/>
              <w:rPr>
                <w:bCs w:val="0"/>
                <w:iCs/>
              </w:rPr>
            </w:pPr>
            <w:r w:rsidRPr="00BE6650">
              <w:rPr>
                <w:bCs w:val="0"/>
                <w:iCs/>
              </w:rPr>
              <w:t>d:</w:t>
            </w:r>
            <w:r w:rsidR="00C35A97"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BE6650">
              <w:rPr>
                <w:bCs w:val="0"/>
                <w:iCs/>
              </w:rPr>
              <w:t>/w</w:t>
            </w:r>
          </w:p>
        </w:tc>
        <w:tc>
          <w:tcPr>
            <w:tcW w:w="662" w:type="pct"/>
            <w:shd w:val="clear" w:color="auto" w:fill="auto"/>
          </w:tcPr>
          <w:p w14:paraId="1FDAFA5C" w14:textId="77777777" w:rsidR="003D0A34" w:rsidRPr="00BE6650" w:rsidRDefault="00C35A97" w:rsidP="003D0A34">
            <w:pPr>
              <w:pStyle w:val="TableText0"/>
              <w:jc w:val="center"/>
              <w:rPr>
                <w:bCs w:val="0"/>
                <w:iCs/>
              </w:rPr>
            </w:pPr>
            <w:r w:rsidRPr="00BE6650">
              <w:rPr>
                <w:bCs w:val="0"/>
                <w:iCs/>
              </w:rPr>
              <w:t>S</w:t>
            </w:r>
            <w:r w:rsidR="00BD17DB" w:rsidRPr="00BE6650">
              <w:rPr>
                <w:bCs w:val="0"/>
                <w:iCs/>
              </w:rPr>
              <w:t>:</w:t>
            </w:r>
            <w:r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316F10">
              <w:rPr>
                <w:rFonts w:cs="Calibri"/>
                <w:iCs/>
                <w:color w:val="000000"/>
                <w:szCs w:val="20"/>
              </w:rPr>
              <w:t>/</w:t>
            </w:r>
            <w:r w:rsidR="003D0A34" w:rsidRPr="00BE6650">
              <w:rPr>
                <w:bCs w:val="0"/>
                <w:iCs/>
              </w:rPr>
              <w:t>w</w:t>
            </w:r>
          </w:p>
          <w:p w14:paraId="2EC37137" w14:textId="77777777" w:rsidR="003D0A34" w:rsidRPr="00BE6650" w:rsidRDefault="00BD17DB" w:rsidP="003D0A34">
            <w:pPr>
              <w:pStyle w:val="TableText0"/>
              <w:jc w:val="center"/>
              <w:rPr>
                <w:bCs w:val="0"/>
                <w:iCs/>
              </w:rPr>
            </w:pPr>
            <w:r w:rsidRPr="00BE6650">
              <w:rPr>
                <w:bCs w:val="0"/>
                <w:iCs/>
              </w:rPr>
              <w:t>d:</w:t>
            </w:r>
            <w:r w:rsidR="00C35A97" w:rsidRPr="00BE6650">
              <w:rPr>
                <w:bCs w:val="0"/>
                <w:iCs/>
              </w:rPr>
              <w:t xml:space="preserve"> </w:t>
            </w:r>
            <w:r w:rsidR="003D0A34" w:rsidRPr="00BE6650">
              <w:rPr>
                <w:bCs w:val="0"/>
                <w:iCs/>
              </w:rPr>
              <w:t>$</w:t>
            </w:r>
            <w:r w:rsidR="00D66DBB">
              <w:rPr>
                <w:rFonts w:cs="Calibri"/>
                <w:iCs/>
                <w:noProof/>
                <w:color w:val="000000"/>
                <w:szCs w:val="20"/>
                <w:highlight w:val="black"/>
              </w:rPr>
              <w:t>'''''''''''</w:t>
            </w:r>
            <w:r w:rsidR="003D0A34" w:rsidRPr="00BE6650">
              <w:rPr>
                <w:bCs w:val="0"/>
                <w:iCs/>
              </w:rPr>
              <w:t>/w</w:t>
            </w:r>
          </w:p>
        </w:tc>
        <w:tc>
          <w:tcPr>
            <w:tcW w:w="660" w:type="pct"/>
            <w:shd w:val="clear" w:color="auto" w:fill="auto"/>
          </w:tcPr>
          <w:p w14:paraId="1ADB23FF" w14:textId="77777777" w:rsidR="003D0A34" w:rsidRPr="00BE6650" w:rsidRDefault="003D0A34" w:rsidP="003D0A34">
            <w:pPr>
              <w:pStyle w:val="TableText0"/>
              <w:jc w:val="center"/>
              <w:rPr>
                <w:bCs w:val="0"/>
                <w:iCs/>
              </w:rPr>
            </w:pPr>
            <w:r w:rsidRPr="00BE6650">
              <w:rPr>
                <w:bCs w:val="0"/>
                <w:iCs/>
              </w:rPr>
              <w:t>NA</w:t>
            </w:r>
          </w:p>
        </w:tc>
        <w:tc>
          <w:tcPr>
            <w:tcW w:w="787" w:type="pct"/>
            <w:shd w:val="clear" w:color="auto" w:fill="auto"/>
          </w:tcPr>
          <w:p w14:paraId="6400BF62" w14:textId="77777777" w:rsidR="004B5477" w:rsidRPr="00BE6650" w:rsidRDefault="004B5477" w:rsidP="003D0A34">
            <w:pPr>
              <w:pStyle w:val="TableText0"/>
              <w:jc w:val="center"/>
              <w:rPr>
                <w:bCs w:val="0"/>
                <w:iCs/>
              </w:rPr>
            </w:pPr>
            <w:r w:rsidRPr="00BE6650">
              <w:rPr>
                <w:bCs w:val="0"/>
                <w:iCs/>
              </w:rPr>
              <w:t>Cost/dose</w:t>
            </w:r>
          </w:p>
          <w:p w14:paraId="0BBAF2F6" w14:textId="77777777" w:rsidR="004B5477" w:rsidRPr="00BE6650" w:rsidRDefault="00E20440" w:rsidP="003D0A34">
            <w:pPr>
              <w:pStyle w:val="TableText0"/>
              <w:jc w:val="center"/>
              <w:rPr>
                <w:bCs w:val="0"/>
                <w:iCs/>
              </w:rPr>
            </w:pPr>
            <w:r w:rsidRPr="00BE6650">
              <w:rPr>
                <w:bCs w:val="0"/>
                <w:iCs/>
              </w:rPr>
              <w:t>D</w:t>
            </w:r>
            <w:r w:rsidR="00024870" w:rsidRPr="00BE6650">
              <w:rPr>
                <w:bCs w:val="0"/>
                <w:iCs/>
              </w:rPr>
              <w:t xml:space="preserve">: </w:t>
            </w:r>
            <w:r w:rsidR="0072667A" w:rsidRPr="00BE6650">
              <w:rPr>
                <w:bCs w:val="0"/>
                <w:iCs/>
              </w:rPr>
              <w:t>$</w:t>
            </w:r>
            <w:r w:rsidR="00024870" w:rsidRPr="00BE6650">
              <w:rPr>
                <w:bCs w:val="0"/>
                <w:iCs/>
              </w:rPr>
              <w:t>5.76</w:t>
            </w:r>
          </w:p>
          <w:p w14:paraId="1E079179" w14:textId="77777777" w:rsidR="00E20440" w:rsidRPr="00BE6650" w:rsidRDefault="0072667A" w:rsidP="003D0A34">
            <w:pPr>
              <w:pStyle w:val="TableText0"/>
              <w:jc w:val="center"/>
              <w:rPr>
                <w:bCs w:val="0"/>
                <w:iCs/>
              </w:rPr>
            </w:pPr>
            <w:r w:rsidRPr="00BE6650">
              <w:rPr>
                <w:bCs w:val="0"/>
                <w:iCs/>
              </w:rPr>
              <w:t>C</w:t>
            </w:r>
            <w:r w:rsidR="00024870" w:rsidRPr="00BE6650">
              <w:rPr>
                <w:bCs w:val="0"/>
                <w:iCs/>
              </w:rPr>
              <w:t xml:space="preserve">: </w:t>
            </w:r>
            <w:r w:rsidRPr="00BE6650">
              <w:rPr>
                <w:bCs w:val="0"/>
                <w:iCs/>
              </w:rPr>
              <w:t>$157.48</w:t>
            </w:r>
          </w:p>
          <w:p w14:paraId="23649B16" w14:textId="77777777" w:rsidR="00E20440" w:rsidRPr="00BE6650" w:rsidRDefault="0072667A" w:rsidP="003D0A34">
            <w:pPr>
              <w:pStyle w:val="TableText0"/>
              <w:jc w:val="center"/>
              <w:rPr>
                <w:bCs w:val="0"/>
                <w:iCs/>
              </w:rPr>
            </w:pPr>
            <w:r w:rsidRPr="00BE6650">
              <w:rPr>
                <w:bCs w:val="0"/>
                <w:iCs/>
              </w:rPr>
              <w:t>E</w:t>
            </w:r>
            <w:r w:rsidR="00024870" w:rsidRPr="00BE6650">
              <w:rPr>
                <w:bCs w:val="0"/>
                <w:iCs/>
              </w:rPr>
              <w:t>:</w:t>
            </w:r>
            <w:r w:rsidRPr="00BE6650">
              <w:rPr>
                <w:bCs w:val="0"/>
                <w:iCs/>
              </w:rPr>
              <w:t xml:space="preserve"> </w:t>
            </w:r>
            <w:r w:rsidR="007E7380" w:rsidRPr="00BE6650">
              <w:rPr>
                <w:bCs w:val="0"/>
                <w:iCs/>
              </w:rPr>
              <w:t>$158.90</w:t>
            </w:r>
          </w:p>
          <w:p w14:paraId="659E6372" w14:textId="77777777" w:rsidR="003D0A34" w:rsidRPr="00BE6650" w:rsidRDefault="00E20440" w:rsidP="00E20440">
            <w:pPr>
              <w:pStyle w:val="TableText0"/>
              <w:jc w:val="center"/>
              <w:rPr>
                <w:bCs w:val="0"/>
                <w:iCs/>
              </w:rPr>
            </w:pPr>
            <w:r w:rsidRPr="00BE6650">
              <w:rPr>
                <w:bCs w:val="0"/>
                <w:iCs/>
              </w:rPr>
              <w:t>P</w:t>
            </w:r>
            <w:r w:rsidR="00024870" w:rsidRPr="00BE6650">
              <w:rPr>
                <w:bCs w:val="0"/>
                <w:iCs/>
              </w:rPr>
              <w:t xml:space="preserve">: </w:t>
            </w:r>
            <w:r w:rsidR="007E7380" w:rsidRPr="00BE6650">
              <w:rPr>
                <w:bCs w:val="0"/>
                <w:iCs/>
              </w:rPr>
              <w:t>$149.61</w:t>
            </w:r>
          </w:p>
        </w:tc>
        <w:tc>
          <w:tcPr>
            <w:tcW w:w="757" w:type="pct"/>
          </w:tcPr>
          <w:p w14:paraId="0859FF0F" w14:textId="77777777" w:rsidR="004B5477" w:rsidRPr="00BE6650" w:rsidRDefault="004B5477" w:rsidP="004B5477">
            <w:pPr>
              <w:pStyle w:val="TableText0"/>
              <w:jc w:val="center"/>
              <w:rPr>
                <w:bCs w:val="0"/>
                <w:iCs/>
              </w:rPr>
            </w:pPr>
            <w:r w:rsidRPr="00BE6650">
              <w:rPr>
                <w:bCs w:val="0"/>
                <w:iCs/>
              </w:rPr>
              <w:t>Cost/dose</w:t>
            </w:r>
          </w:p>
          <w:p w14:paraId="7F9A927A" w14:textId="77777777" w:rsidR="00024870" w:rsidRPr="00BE6650" w:rsidRDefault="00024870" w:rsidP="00024870">
            <w:pPr>
              <w:pStyle w:val="TableText0"/>
              <w:jc w:val="center"/>
              <w:rPr>
                <w:bCs w:val="0"/>
                <w:iCs/>
              </w:rPr>
            </w:pPr>
            <w:r w:rsidRPr="00BE6650">
              <w:rPr>
                <w:bCs w:val="0"/>
                <w:iCs/>
              </w:rPr>
              <w:t>D:</w:t>
            </w:r>
            <w:r w:rsidR="007E7380" w:rsidRPr="00BE6650">
              <w:rPr>
                <w:bCs w:val="0"/>
                <w:iCs/>
              </w:rPr>
              <w:t xml:space="preserve"> $5.76</w:t>
            </w:r>
          </w:p>
          <w:p w14:paraId="67F23CB7" w14:textId="77777777" w:rsidR="00024870" w:rsidRPr="00BE6650" w:rsidRDefault="0072667A" w:rsidP="00024870">
            <w:pPr>
              <w:pStyle w:val="TableText0"/>
              <w:jc w:val="center"/>
              <w:rPr>
                <w:bCs w:val="0"/>
                <w:iCs/>
              </w:rPr>
            </w:pPr>
            <w:r w:rsidRPr="00BE6650">
              <w:rPr>
                <w:bCs w:val="0"/>
                <w:iCs/>
              </w:rPr>
              <w:t>C</w:t>
            </w:r>
            <w:r w:rsidR="00024870" w:rsidRPr="00BE6650">
              <w:rPr>
                <w:bCs w:val="0"/>
                <w:iCs/>
              </w:rPr>
              <w:t xml:space="preserve">: </w:t>
            </w:r>
            <w:r w:rsidR="007E7380" w:rsidRPr="00BE6650">
              <w:rPr>
                <w:bCs w:val="0"/>
                <w:iCs/>
              </w:rPr>
              <w:t xml:space="preserve">$66.33 </w:t>
            </w:r>
          </w:p>
          <w:p w14:paraId="531035FC" w14:textId="77777777" w:rsidR="00024870" w:rsidRPr="00BE6650" w:rsidRDefault="0072667A" w:rsidP="00024870">
            <w:pPr>
              <w:pStyle w:val="TableText0"/>
              <w:jc w:val="center"/>
              <w:rPr>
                <w:bCs w:val="0"/>
                <w:iCs/>
                <w:vertAlign w:val="superscript"/>
              </w:rPr>
            </w:pPr>
            <w:r w:rsidRPr="00BE6650">
              <w:rPr>
                <w:bCs w:val="0"/>
                <w:iCs/>
              </w:rPr>
              <w:t>E</w:t>
            </w:r>
            <w:r w:rsidR="00024870" w:rsidRPr="00BE6650">
              <w:rPr>
                <w:bCs w:val="0"/>
                <w:iCs/>
              </w:rPr>
              <w:t>:</w:t>
            </w:r>
            <w:r w:rsidR="007E7380" w:rsidRPr="00BE6650">
              <w:rPr>
                <w:bCs w:val="0"/>
                <w:iCs/>
              </w:rPr>
              <w:t xml:space="preserve"> $</w:t>
            </w:r>
            <w:r w:rsidR="009D59DC" w:rsidRPr="00BE6650">
              <w:rPr>
                <w:bCs w:val="0"/>
                <w:iCs/>
              </w:rPr>
              <w:t>14.06</w:t>
            </w:r>
            <w:r w:rsidR="00E36A5C" w:rsidRPr="00BE6650">
              <w:rPr>
                <w:bCs w:val="0"/>
                <w:iCs/>
              </w:rPr>
              <w:t xml:space="preserve"> </w:t>
            </w:r>
          </w:p>
          <w:p w14:paraId="2FF3E7E7" w14:textId="77777777" w:rsidR="003D0A34" w:rsidRPr="00BE6650" w:rsidRDefault="00024870" w:rsidP="003D0A34">
            <w:pPr>
              <w:pStyle w:val="TableText0"/>
              <w:jc w:val="center"/>
              <w:rPr>
                <w:bCs w:val="0"/>
                <w:iCs/>
              </w:rPr>
            </w:pPr>
            <w:r w:rsidRPr="00BE6650">
              <w:rPr>
                <w:bCs w:val="0"/>
                <w:iCs/>
              </w:rPr>
              <w:t>P:</w:t>
            </w:r>
            <w:r w:rsidR="007E7380" w:rsidRPr="00BE6650">
              <w:rPr>
                <w:bCs w:val="0"/>
                <w:iCs/>
              </w:rPr>
              <w:t xml:space="preserve"> </w:t>
            </w:r>
            <w:r w:rsidR="000224B2" w:rsidRPr="00BE6650">
              <w:rPr>
                <w:bCs w:val="0"/>
                <w:iCs/>
              </w:rPr>
              <w:t>$36.13</w:t>
            </w:r>
          </w:p>
        </w:tc>
      </w:tr>
      <w:tr w:rsidR="00487871" w:rsidRPr="00BE6650" w14:paraId="15147399" w14:textId="77777777" w:rsidTr="00BD17DB">
        <w:trPr>
          <w:cantSplit/>
          <w:jc w:val="center"/>
        </w:trPr>
        <w:tc>
          <w:tcPr>
            <w:tcW w:w="809" w:type="pct"/>
            <w:shd w:val="clear" w:color="auto" w:fill="auto"/>
            <w:vAlign w:val="center"/>
          </w:tcPr>
          <w:p w14:paraId="1748C7B9" w14:textId="77777777" w:rsidR="00487871" w:rsidRPr="00BE6650" w:rsidRDefault="00487871" w:rsidP="00487871">
            <w:pPr>
              <w:pStyle w:val="TableText0"/>
            </w:pPr>
            <w:r w:rsidRPr="00BE6650">
              <w:t>Cost/patient</w:t>
            </w:r>
          </w:p>
        </w:tc>
        <w:tc>
          <w:tcPr>
            <w:tcW w:w="682" w:type="pct"/>
            <w:shd w:val="clear" w:color="auto" w:fill="auto"/>
            <w:vAlign w:val="center"/>
          </w:tcPr>
          <w:p w14:paraId="5E22B549" w14:textId="77777777" w:rsidR="00487871" w:rsidRPr="00BE6650" w:rsidRDefault="00487871" w:rsidP="00487871">
            <w:pPr>
              <w:pStyle w:val="TableText0"/>
              <w:jc w:val="center"/>
              <w:rPr>
                <w:bCs w:val="0"/>
                <w:iCs/>
              </w:rPr>
            </w:pPr>
            <w:r w:rsidRPr="00BE6650">
              <w:rPr>
                <w:rFonts w:cs="Calibri"/>
                <w:iCs/>
                <w:color w:val="000000"/>
                <w:szCs w:val="20"/>
              </w:rPr>
              <w:t>$</w:t>
            </w:r>
            <w:r w:rsidR="00D66DBB">
              <w:rPr>
                <w:rFonts w:cs="Calibri"/>
                <w:iCs/>
                <w:noProof/>
                <w:color w:val="000000"/>
                <w:szCs w:val="20"/>
                <w:highlight w:val="black"/>
              </w:rPr>
              <w:t>'''''''''''''''''''''''</w:t>
            </w:r>
          </w:p>
        </w:tc>
        <w:tc>
          <w:tcPr>
            <w:tcW w:w="643" w:type="pct"/>
            <w:shd w:val="clear" w:color="auto" w:fill="auto"/>
            <w:vAlign w:val="center"/>
          </w:tcPr>
          <w:p w14:paraId="74918A62" w14:textId="77777777" w:rsidR="00487871" w:rsidRPr="00BE6650" w:rsidRDefault="00487871" w:rsidP="00487871">
            <w:pPr>
              <w:pStyle w:val="TableText0"/>
              <w:jc w:val="center"/>
              <w:rPr>
                <w:bCs w:val="0"/>
                <w:iCs/>
              </w:rPr>
            </w:pPr>
            <w:r w:rsidRPr="00BE6650">
              <w:rPr>
                <w:rFonts w:cs="Calibri"/>
                <w:iCs/>
                <w:color w:val="000000"/>
                <w:szCs w:val="20"/>
              </w:rPr>
              <w:t>$</w:t>
            </w:r>
            <w:r w:rsidR="00D66DBB">
              <w:rPr>
                <w:rFonts w:cs="Calibri"/>
                <w:iCs/>
                <w:noProof/>
                <w:color w:val="000000"/>
                <w:szCs w:val="20"/>
                <w:highlight w:val="black"/>
              </w:rPr>
              <w:t>'''''''''''''''''''''''</w:t>
            </w:r>
          </w:p>
        </w:tc>
        <w:tc>
          <w:tcPr>
            <w:tcW w:w="662" w:type="pct"/>
            <w:shd w:val="clear" w:color="auto" w:fill="auto"/>
            <w:vAlign w:val="center"/>
          </w:tcPr>
          <w:p w14:paraId="0E76BBC7" w14:textId="77777777" w:rsidR="00487871" w:rsidRPr="00BE6650" w:rsidRDefault="00487871" w:rsidP="00487871">
            <w:pPr>
              <w:pStyle w:val="TableText0"/>
              <w:jc w:val="center"/>
              <w:rPr>
                <w:bCs w:val="0"/>
                <w:iCs/>
              </w:rPr>
            </w:pPr>
            <w:r w:rsidRPr="00BE6650">
              <w:rPr>
                <w:rFonts w:cs="Calibri"/>
                <w:iCs/>
                <w:color w:val="000000"/>
                <w:szCs w:val="20"/>
              </w:rPr>
              <w:t>$</w:t>
            </w:r>
            <w:r w:rsidR="00D66DBB">
              <w:rPr>
                <w:rFonts w:cs="Calibri"/>
                <w:iCs/>
                <w:noProof/>
                <w:color w:val="000000"/>
                <w:szCs w:val="20"/>
                <w:highlight w:val="black"/>
              </w:rPr>
              <w:t>'''''''''''''''''''''''''</w:t>
            </w:r>
          </w:p>
        </w:tc>
        <w:tc>
          <w:tcPr>
            <w:tcW w:w="660" w:type="pct"/>
            <w:shd w:val="clear" w:color="auto" w:fill="auto"/>
            <w:vAlign w:val="center"/>
          </w:tcPr>
          <w:p w14:paraId="7C0E839A" w14:textId="77777777" w:rsidR="00487871" w:rsidRPr="00BE6650" w:rsidRDefault="00487871" w:rsidP="00487871">
            <w:pPr>
              <w:pStyle w:val="TableText0"/>
              <w:jc w:val="center"/>
              <w:rPr>
                <w:bCs w:val="0"/>
                <w:iCs/>
              </w:rPr>
            </w:pPr>
            <w:r w:rsidRPr="00BE6650">
              <w:rPr>
                <w:rFonts w:cs="Calibri"/>
                <w:iCs/>
                <w:color w:val="000000"/>
                <w:szCs w:val="20"/>
              </w:rPr>
              <w:t>NA</w:t>
            </w:r>
          </w:p>
        </w:tc>
        <w:tc>
          <w:tcPr>
            <w:tcW w:w="787" w:type="pct"/>
            <w:shd w:val="clear" w:color="auto" w:fill="auto"/>
            <w:vAlign w:val="center"/>
          </w:tcPr>
          <w:p w14:paraId="53DBA1A1" w14:textId="77777777" w:rsidR="00487871" w:rsidRPr="00BE6650" w:rsidRDefault="00487871" w:rsidP="00487871">
            <w:pPr>
              <w:pStyle w:val="TableText0"/>
              <w:jc w:val="center"/>
              <w:rPr>
                <w:bCs w:val="0"/>
                <w:iCs/>
              </w:rPr>
            </w:pPr>
            <w:r w:rsidRPr="00BE6650">
              <w:rPr>
                <w:rFonts w:cs="Calibri"/>
                <w:iCs/>
                <w:color w:val="000000"/>
                <w:szCs w:val="20"/>
              </w:rPr>
              <w:t>$3,</w:t>
            </w:r>
            <w:r w:rsidR="0086437B" w:rsidRPr="00BE6650">
              <w:rPr>
                <w:rFonts w:cs="Calibri"/>
                <w:iCs/>
                <w:color w:val="000000"/>
                <w:szCs w:val="20"/>
              </w:rPr>
              <w:t>645.68</w:t>
            </w:r>
          </w:p>
        </w:tc>
        <w:tc>
          <w:tcPr>
            <w:tcW w:w="757" w:type="pct"/>
            <w:vAlign w:val="center"/>
          </w:tcPr>
          <w:p w14:paraId="2BD492E7" w14:textId="77777777" w:rsidR="00487871" w:rsidRPr="00BE6650" w:rsidRDefault="00487871" w:rsidP="00487871">
            <w:pPr>
              <w:pStyle w:val="TableText0"/>
              <w:jc w:val="center"/>
              <w:rPr>
                <w:bCs w:val="0"/>
                <w:iCs/>
              </w:rPr>
            </w:pPr>
            <w:r w:rsidRPr="00BE6650">
              <w:rPr>
                <w:bCs w:val="0"/>
                <w:iCs/>
              </w:rPr>
              <w:t>$</w:t>
            </w:r>
            <w:r w:rsidR="00FE2F7A" w:rsidRPr="00BE6650">
              <w:rPr>
                <w:bCs w:val="0"/>
                <w:iCs/>
              </w:rPr>
              <w:t>915.63</w:t>
            </w:r>
          </w:p>
        </w:tc>
      </w:tr>
    </w:tbl>
    <w:p w14:paraId="4CA37997" w14:textId="77777777" w:rsidR="00A25B32" w:rsidRPr="00BE6650" w:rsidRDefault="00A25B32" w:rsidP="00A25B32">
      <w:pPr>
        <w:pStyle w:val="TableFigureFooter"/>
      </w:pPr>
      <w:r w:rsidRPr="00BE6650">
        <w:t xml:space="preserve">Source: </w:t>
      </w:r>
      <w:r w:rsidR="001853C3" w:rsidRPr="00BE6650">
        <w:t>Developed during the evaluation</w:t>
      </w:r>
    </w:p>
    <w:p w14:paraId="367C7ADC" w14:textId="77777777" w:rsidR="001853C3" w:rsidRPr="00BE6650" w:rsidRDefault="00BD7449" w:rsidP="00A25B32">
      <w:pPr>
        <w:pStyle w:val="TableFigureFooter"/>
      </w:pPr>
      <w:r w:rsidRPr="00BE6650">
        <w:t>C = cy</w:t>
      </w:r>
      <w:r w:rsidR="003658A7" w:rsidRPr="00BE6650">
        <w:t xml:space="preserve">clophosphamide; </w:t>
      </w:r>
      <w:r w:rsidR="001A0E9A" w:rsidRPr="00BE6650">
        <w:t>d/</w:t>
      </w:r>
      <w:r w:rsidR="00900BBC" w:rsidRPr="00BE6650">
        <w:t xml:space="preserve">D = dexamethasone; </w:t>
      </w:r>
      <w:r w:rsidR="001A0E9A" w:rsidRPr="00BE6650">
        <w:t xml:space="preserve">DCEP = dexamethasone, cyclophosphamide, etoposide, cisplatin; </w:t>
      </w:r>
      <w:r w:rsidR="0073201F" w:rsidRPr="00BE6650">
        <w:t xml:space="preserve">E = etoposide; </w:t>
      </w:r>
      <w:r w:rsidR="00240E25" w:rsidRPr="00BE6650">
        <w:t>NA = not applicable;</w:t>
      </w:r>
      <w:r w:rsidR="003658A7" w:rsidRPr="00BE6650">
        <w:t xml:space="preserve"> P = cisplatin;</w:t>
      </w:r>
      <w:r w:rsidR="00240E25" w:rsidRPr="00BE6650">
        <w:t xml:space="preserve"> </w:t>
      </w:r>
      <w:r w:rsidR="00900BBC" w:rsidRPr="00BE6650">
        <w:t xml:space="preserve">S = selinexor; </w:t>
      </w:r>
      <w:r w:rsidR="001A0E9A" w:rsidRPr="00BE6650">
        <w:t xml:space="preserve">Sd = selinexor plus dexamethasone; </w:t>
      </w:r>
      <w:r w:rsidR="00240E25" w:rsidRPr="00BE6650">
        <w:t>w = week</w:t>
      </w:r>
    </w:p>
    <w:p w14:paraId="60821E11" w14:textId="77777777" w:rsidR="00D95A1C" w:rsidRPr="00BE6650" w:rsidRDefault="008E00EC" w:rsidP="00A25B32">
      <w:pPr>
        <w:pStyle w:val="TableFigureFooter"/>
      </w:pPr>
      <w:r w:rsidRPr="00BE6650">
        <w:rPr>
          <w:vertAlign w:val="superscript"/>
        </w:rPr>
        <w:t>a</w:t>
      </w:r>
      <w:r w:rsidRPr="00BE6650">
        <w:t xml:space="preserve"> </w:t>
      </w:r>
      <w:r w:rsidR="00113099" w:rsidRPr="00BE6650">
        <w:t>based on f</w:t>
      </w:r>
      <w:r w:rsidRPr="00BE6650">
        <w:t>ixed 2 cycle</w:t>
      </w:r>
      <w:r w:rsidR="00113099" w:rsidRPr="00BE6650">
        <w:t>s</w:t>
      </w:r>
      <w:r w:rsidRPr="00BE6650">
        <w:t xml:space="preserve"> of (4-week treatment</w:t>
      </w:r>
      <w:r w:rsidR="00880DC4" w:rsidRPr="00BE6650">
        <w:t>-cycle</w:t>
      </w:r>
      <w:r w:rsidRPr="00BE6650">
        <w:t>)</w:t>
      </w:r>
      <w:r w:rsidR="00113099" w:rsidRPr="00BE6650">
        <w:t xml:space="preserve"> assumed in the economic model and adjusted by death of patients in </w:t>
      </w:r>
      <w:r w:rsidR="00B4699E" w:rsidRPr="00BE6650">
        <w:t>the second-cycle of treatment</w:t>
      </w:r>
      <w:r w:rsidR="007C6FF7" w:rsidRPr="00BE6650">
        <w:t xml:space="preserve"> =</w:t>
      </w:r>
      <w:r w:rsidR="007C6FF7" w:rsidRPr="00BE6650">
        <w:rPr>
          <w:bCs/>
        </w:rPr>
        <w:t xml:space="preserve"> 1.93 treatment-cycles</w:t>
      </w:r>
      <w:r w:rsidR="00FE76F0" w:rsidRPr="00BE6650">
        <w:rPr>
          <w:bCs/>
        </w:rPr>
        <w:t>.</w:t>
      </w:r>
    </w:p>
    <w:p w14:paraId="7AC84B56" w14:textId="77777777" w:rsidR="00A25B32" w:rsidRPr="00BE6650" w:rsidRDefault="00A25B32" w:rsidP="00A25B32">
      <w:pPr>
        <w:pStyle w:val="4-SubsectionHeading"/>
      </w:pPr>
      <w:bookmarkStart w:id="26" w:name="_Toc22897647"/>
      <w:bookmarkStart w:id="27" w:name="_Toc72323743"/>
      <w:r w:rsidRPr="00BE6650">
        <w:t>Estimated PBS usage &amp; financial implications</w:t>
      </w:r>
      <w:bookmarkEnd w:id="26"/>
      <w:bookmarkEnd w:id="27"/>
    </w:p>
    <w:p w14:paraId="70FF2849" w14:textId="77777777" w:rsidR="00A91908" w:rsidRPr="00BE6650" w:rsidRDefault="00A91908" w:rsidP="00A91908">
      <w:pPr>
        <w:pStyle w:val="3-BodyText"/>
        <w:rPr>
          <w:color w:val="0066FF"/>
        </w:rPr>
      </w:pPr>
      <w:r w:rsidRPr="00BE6650">
        <w:t>This submission was considered by DUSC</w:t>
      </w:r>
      <w:r w:rsidRPr="00316F10">
        <w:t>.</w:t>
      </w:r>
      <w:r w:rsidRPr="00BE6650">
        <w:rPr>
          <w:color w:val="0070C0"/>
        </w:rPr>
        <w:t xml:space="preserve"> </w:t>
      </w:r>
      <w:r w:rsidRPr="00BE6650">
        <w:t xml:space="preserve">The submission used an epidemiological approach to estimate the financial implications. A summary of key inputs used in the estimation is presented in Table 15. </w:t>
      </w:r>
    </w:p>
    <w:p w14:paraId="07B97714" w14:textId="77777777" w:rsidR="00A91908" w:rsidRPr="00BE6650" w:rsidRDefault="00A91908" w:rsidP="00A91908">
      <w:pPr>
        <w:pStyle w:val="TableFigureHeading"/>
        <w:rPr>
          <w:rStyle w:val="CommentReference"/>
          <w:b/>
          <w:szCs w:val="24"/>
        </w:rPr>
      </w:pPr>
      <w:r w:rsidRPr="00BE6650">
        <w:rPr>
          <w:rStyle w:val="CommentReference"/>
          <w:b/>
          <w:szCs w:val="24"/>
        </w:rPr>
        <w:t>Table 15: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53"/>
        <w:gridCol w:w="3953"/>
        <w:gridCol w:w="3210"/>
      </w:tblGrid>
      <w:tr w:rsidR="00A91908" w:rsidRPr="00BE6650" w14:paraId="4B6C1AD1" w14:textId="77777777" w:rsidTr="002636FA">
        <w:trPr>
          <w:tblHeader/>
        </w:trPr>
        <w:tc>
          <w:tcPr>
            <w:tcW w:w="1028" w:type="pct"/>
            <w:shd w:val="clear" w:color="auto" w:fill="auto"/>
            <w:vAlign w:val="center"/>
          </w:tcPr>
          <w:p w14:paraId="7119E5CC" w14:textId="77777777" w:rsidR="00A91908" w:rsidRPr="00BE6650" w:rsidRDefault="00A91908" w:rsidP="002636FA">
            <w:pPr>
              <w:pStyle w:val="In-tableHeading"/>
              <w:rPr>
                <w:lang w:val="en-AU"/>
              </w:rPr>
            </w:pPr>
            <w:r w:rsidRPr="00BE6650">
              <w:rPr>
                <w:lang w:val="en-AU"/>
              </w:rPr>
              <w:t>Parameter</w:t>
            </w:r>
          </w:p>
        </w:tc>
        <w:tc>
          <w:tcPr>
            <w:tcW w:w="2192" w:type="pct"/>
            <w:shd w:val="clear" w:color="auto" w:fill="auto"/>
            <w:vAlign w:val="center"/>
          </w:tcPr>
          <w:p w14:paraId="0991B168" w14:textId="77777777" w:rsidR="00A91908" w:rsidRPr="00BE6650" w:rsidRDefault="00A91908" w:rsidP="002636FA">
            <w:pPr>
              <w:pStyle w:val="In-tableHeading"/>
              <w:rPr>
                <w:lang w:val="en-AU"/>
              </w:rPr>
            </w:pPr>
            <w:r w:rsidRPr="00BE6650">
              <w:rPr>
                <w:lang w:val="en-AU"/>
              </w:rPr>
              <w:t>Value applied and source</w:t>
            </w:r>
          </w:p>
        </w:tc>
        <w:tc>
          <w:tcPr>
            <w:tcW w:w="1780" w:type="pct"/>
            <w:shd w:val="clear" w:color="auto" w:fill="auto"/>
            <w:vAlign w:val="center"/>
          </w:tcPr>
          <w:p w14:paraId="354FA4A5" w14:textId="77777777" w:rsidR="00A91908" w:rsidRPr="00BE6650" w:rsidRDefault="00A91908" w:rsidP="002636FA">
            <w:pPr>
              <w:pStyle w:val="In-tableHeading"/>
              <w:rPr>
                <w:lang w:val="en-AU"/>
              </w:rPr>
            </w:pPr>
            <w:r w:rsidRPr="00BE6650">
              <w:rPr>
                <w:lang w:val="en-AU"/>
              </w:rPr>
              <w:t>Comment</w:t>
            </w:r>
          </w:p>
        </w:tc>
      </w:tr>
      <w:tr w:rsidR="00A91908" w:rsidRPr="00BE6650" w14:paraId="59F0B637" w14:textId="77777777" w:rsidTr="002636FA">
        <w:tc>
          <w:tcPr>
            <w:tcW w:w="1028" w:type="pct"/>
            <w:shd w:val="clear" w:color="auto" w:fill="auto"/>
            <w:vAlign w:val="center"/>
          </w:tcPr>
          <w:p w14:paraId="0D4DABB4" w14:textId="77777777" w:rsidR="00A91908" w:rsidRPr="00BE6650" w:rsidRDefault="00A91908" w:rsidP="002636FA">
            <w:pPr>
              <w:pStyle w:val="TableText0"/>
            </w:pPr>
            <w:r w:rsidRPr="00BE6650">
              <w:t>Prevalent patients</w:t>
            </w:r>
          </w:p>
        </w:tc>
        <w:tc>
          <w:tcPr>
            <w:tcW w:w="2192" w:type="pct"/>
            <w:shd w:val="clear" w:color="auto" w:fill="auto"/>
            <w:vAlign w:val="center"/>
          </w:tcPr>
          <w:p w14:paraId="77C0E1D1" w14:textId="77777777" w:rsidR="00A91908" w:rsidRPr="00BE6650" w:rsidRDefault="00A91908" w:rsidP="002636FA">
            <w:pPr>
              <w:pStyle w:val="TableText0"/>
            </w:pPr>
            <w:r w:rsidRPr="00BE6650">
              <w:t>23.9 per 100,000 (AIHW 2017)</w:t>
            </w:r>
          </w:p>
        </w:tc>
        <w:tc>
          <w:tcPr>
            <w:tcW w:w="1780" w:type="pct"/>
            <w:shd w:val="clear" w:color="auto" w:fill="auto"/>
            <w:vAlign w:val="center"/>
          </w:tcPr>
          <w:p w14:paraId="3DA40F6E" w14:textId="77777777" w:rsidR="00A91908" w:rsidRPr="00BE6650" w:rsidRDefault="008E61F9" w:rsidP="002636FA">
            <w:pPr>
              <w:pStyle w:val="TableText0"/>
            </w:pPr>
            <w:r w:rsidRPr="00BE6650">
              <w:t>-</w:t>
            </w:r>
          </w:p>
        </w:tc>
      </w:tr>
      <w:tr w:rsidR="00A91908" w:rsidRPr="00BE6650" w14:paraId="3B022C8E" w14:textId="77777777" w:rsidTr="002636FA">
        <w:tc>
          <w:tcPr>
            <w:tcW w:w="1028" w:type="pct"/>
            <w:shd w:val="clear" w:color="auto" w:fill="auto"/>
            <w:vAlign w:val="center"/>
          </w:tcPr>
          <w:p w14:paraId="028B5239" w14:textId="77777777" w:rsidR="00A91908" w:rsidRPr="00BE6650" w:rsidRDefault="00A91908" w:rsidP="002636FA">
            <w:pPr>
              <w:pStyle w:val="TableText0"/>
            </w:pPr>
            <w:r w:rsidRPr="00BE6650">
              <w:t>Receive active treatment</w:t>
            </w:r>
          </w:p>
        </w:tc>
        <w:tc>
          <w:tcPr>
            <w:tcW w:w="2192" w:type="pct"/>
            <w:shd w:val="clear" w:color="auto" w:fill="auto"/>
            <w:vAlign w:val="center"/>
          </w:tcPr>
          <w:p w14:paraId="35DDF9F3" w14:textId="77777777" w:rsidR="00A91908" w:rsidRPr="00BE6650" w:rsidRDefault="00A91908" w:rsidP="002636FA">
            <w:pPr>
              <w:pStyle w:val="TableText0"/>
            </w:pPr>
            <w:r w:rsidRPr="00BE6650">
              <w:t>94.64% (</w:t>
            </w:r>
            <w:r w:rsidRPr="00BE6650">
              <w:rPr>
                <w:szCs w:val="20"/>
              </w:rPr>
              <w:t>AIHW 2017, PBS 10% Dataset, Yong et al., 2016)</w:t>
            </w:r>
          </w:p>
        </w:tc>
        <w:tc>
          <w:tcPr>
            <w:tcW w:w="1780" w:type="pct"/>
            <w:shd w:val="clear" w:color="auto" w:fill="auto"/>
            <w:vAlign w:val="center"/>
          </w:tcPr>
          <w:p w14:paraId="1FCA9D53" w14:textId="77777777" w:rsidR="00A91908" w:rsidRPr="00BE6650" w:rsidRDefault="008E61F9" w:rsidP="002636FA">
            <w:pPr>
              <w:pStyle w:val="TableText0"/>
            </w:pPr>
            <w:r w:rsidRPr="00BE6650">
              <w:t>-</w:t>
            </w:r>
          </w:p>
        </w:tc>
      </w:tr>
      <w:tr w:rsidR="00A91908" w:rsidRPr="00BE6650" w14:paraId="230EADC6" w14:textId="77777777" w:rsidTr="002636FA">
        <w:tc>
          <w:tcPr>
            <w:tcW w:w="1028" w:type="pct"/>
            <w:shd w:val="clear" w:color="auto" w:fill="auto"/>
            <w:vAlign w:val="center"/>
          </w:tcPr>
          <w:p w14:paraId="5D740E4A" w14:textId="77777777" w:rsidR="00A91908" w:rsidRPr="00BE6650" w:rsidRDefault="00A91908" w:rsidP="002636FA">
            <w:pPr>
              <w:pStyle w:val="TableText0"/>
            </w:pPr>
            <w:r w:rsidRPr="00BE6650">
              <w:rPr>
                <w:rFonts w:eastAsia="Times New Roman" w:cs="Calibri"/>
                <w:szCs w:val="20"/>
              </w:rPr>
              <w:t>On 2L treatment </w:t>
            </w:r>
          </w:p>
        </w:tc>
        <w:tc>
          <w:tcPr>
            <w:tcW w:w="2192" w:type="pct"/>
            <w:shd w:val="clear" w:color="auto" w:fill="auto"/>
            <w:vAlign w:val="center"/>
          </w:tcPr>
          <w:p w14:paraId="48550A65" w14:textId="77777777" w:rsidR="00A91908" w:rsidRPr="00BE6650" w:rsidRDefault="00A91908" w:rsidP="002636FA">
            <w:pPr>
              <w:pStyle w:val="TableText0"/>
            </w:pPr>
            <w:r w:rsidRPr="00BE6650">
              <w:rPr>
                <w:szCs w:val="20"/>
              </w:rPr>
              <w:t>31.96% (PBS 10%)</w:t>
            </w:r>
          </w:p>
        </w:tc>
        <w:tc>
          <w:tcPr>
            <w:tcW w:w="1780" w:type="pct"/>
            <w:shd w:val="clear" w:color="auto" w:fill="auto"/>
            <w:vAlign w:val="center"/>
          </w:tcPr>
          <w:p w14:paraId="017C928C" w14:textId="77777777" w:rsidR="00A91908" w:rsidRPr="00BE6650" w:rsidRDefault="00A91908" w:rsidP="002636FA">
            <w:pPr>
              <w:pStyle w:val="TableText0"/>
            </w:pPr>
            <w:r w:rsidRPr="00BE6650">
              <w:t xml:space="preserve">Number of patients on 2L treatment was overestimated. </w:t>
            </w:r>
            <w:r w:rsidRPr="00BE6650">
              <w:rPr>
                <w:iCs/>
                <w:szCs w:val="20"/>
              </w:rPr>
              <w:t>The PBAC previously acknowledged the results of 2018 PBS data analysis suggesting the total number of patients accessing 2L treatments to be 1,127 (paragraph 7.14, daratumumab</w:t>
            </w:r>
            <w:r w:rsidR="00652A1E" w:rsidRPr="00BE6650">
              <w:rPr>
                <w:iCs/>
                <w:szCs w:val="20"/>
              </w:rPr>
              <w:t xml:space="preserve"> </w:t>
            </w:r>
            <w:r w:rsidRPr="00BE6650">
              <w:rPr>
                <w:iCs/>
                <w:szCs w:val="20"/>
              </w:rPr>
              <w:t>PSD, November 2019).</w:t>
            </w:r>
          </w:p>
        </w:tc>
      </w:tr>
      <w:tr w:rsidR="00A91908" w:rsidRPr="00BE6650" w14:paraId="69E54618" w14:textId="77777777" w:rsidTr="002636FA">
        <w:tc>
          <w:tcPr>
            <w:tcW w:w="1028" w:type="pct"/>
            <w:shd w:val="clear" w:color="auto" w:fill="auto"/>
            <w:vAlign w:val="center"/>
          </w:tcPr>
          <w:p w14:paraId="052D3F27" w14:textId="77777777" w:rsidR="00A91908" w:rsidRPr="00BE6650" w:rsidRDefault="00A91908" w:rsidP="002636FA">
            <w:pPr>
              <w:pStyle w:val="TableText0"/>
            </w:pPr>
            <w:r w:rsidRPr="00BE6650">
              <w:rPr>
                <w:rFonts w:eastAsia="Times New Roman" w:cs="Calibri"/>
                <w:szCs w:val="20"/>
              </w:rPr>
              <w:t>On 2L treatment with DBd</w:t>
            </w:r>
          </w:p>
        </w:tc>
        <w:tc>
          <w:tcPr>
            <w:tcW w:w="2192" w:type="pct"/>
            <w:shd w:val="clear" w:color="auto" w:fill="auto"/>
            <w:vAlign w:val="center"/>
          </w:tcPr>
          <w:p w14:paraId="33DC7F51" w14:textId="77777777" w:rsidR="00A91908" w:rsidRPr="00BE6650" w:rsidRDefault="00A91908" w:rsidP="002636FA">
            <w:pPr>
              <w:pStyle w:val="TableText0"/>
            </w:pPr>
            <w:r w:rsidRPr="00BE6650">
              <w:t>50% in Y</w:t>
            </w:r>
            <w:r w:rsidR="001A0E9A" w:rsidRPr="00BE6650">
              <w:t>ea</w:t>
            </w:r>
            <w:r w:rsidRPr="00BE6650">
              <w:t>r 1 increasing to 90% in Y</w:t>
            </w:r>
            <w:r w:rsidR="001A0E9A" w:rsidRPr="00BE6650">
              <w:t>ea</w:t>
            </w:r>
            <w:r w:rsidRPr="00BE6650">
              <w:t>r 6 (daratumumab, PSD, July 2020 PBAC meeting)</w:t>
            </w:r>
          </w:p>
        </w:tc>
        <w:tc>
          <w:tcPr>
            <w:tcW w:w="1780" w:type="pct"/>
            <w:shd w:val="clear" w:color="auto" w:fill="auto"/>
            <w:vAlign w:val="center"/>
          </w:tcPr>
          <w:p w14:paraId="2D0D14D7" w14:textId="77777777" w:rsidR="00A91908" w:rsidRPr="00BE6650" w:rsidRDefault="00E26A48" w:rsidP="002636FA">
            <w:pPr>
              <w:pStyle w:val="TableText0"/>
            </w:pPr>
            <w:r w:rsidRPr="00BE6650">
              <w:t>DUSC considered that this was overestimated</w:t>
            </w:r>
          </w:p>
        </w:tc>
      </w:tr>
      <w:tr w:rsidR="00A91908" w:rsidRPr="00BE6650" w14:paraId="7EA51DAB" w14:textId="77777777" w:rsidTr="002636FA">
        <w:tc>
          <w:tcPr>
            <w:tcW w:w="1028" w:type="pct"/>
            <w:shd w:val="clear" w:color="auto" w:fill="auto"/>
            <w:vAlign w:val="center"/>
          </w:tcPr>
          <w:p w14:paraId="1BBF01F1" w14:textId="77777777" w:rsidR="00A91908" w:rsidRPr="00BE6650" w:rsidRDefault="00A91908" w:rsidP="002636FA">
            <w:pPr>
              <w:pStyle w:val="TableText0"/>
              <w:rPr>
                <w:szCs w:val="20"/>
              </w:rPr>
            </w:pPr>
            <w:r w:rsidRPr="00BE6650">
              <w:rPr>
                <w:szCs w:val="20"/>
              </w:rPr>
              <w:t>Time on 2L to 4L treatment</w:t>
            </w:r>
          </w:p>
        </w:tc>
        <w:tc>
          <w:tcPr>
            <w:tcW w:w="2192" w:type="pct"/>
            <w:shd w:val="clear" w:color="auto" w:fill="auto"/>
            <w:vAlign w:val="center"/>
          </w:tcPr>
          <w:p w14:paraId="09BA360C" w14:textId="77777777" w:rsidR="00A91908" w:rsidRPr="00BE6650" w:rsidRDefault="00A91908" w:rsidP="002636FA">
            <w:pPr>
              <w:pStyle w:val="TableText0"/>
              <w:rPr>
                <w:szCs w:val="20"/>
              </w:rPr>
            </w:pPr>
            <w:r w:rsidRPr="00BE6650">
              <w:rPr>
                <w:szCs w:val="20"/>
              </w:rPr>
              <w:t>45.3 months (sum of median TTNT of 33.3 of 2L; DBd in CASTOR 2L population, median time to progression of 7 months in 3L; Yong et al., 2016, and median TTNT of 5 months in 4L; Yong et al., 2016)</w:t>
            </w:r>
          </w:p>
        </w:tc>
        <w:tc>
          <w:tcPr>
            <w:tcW w:w="1780" w:type="pct"/>
            <w:shd w:val="clear" w:color="auto" w:fill="auto"/>
            <w:vAlign w:val="center"/>
          </w:tcPr>
          <w:p w14:paraId="47B82660" w14:textId="77777777" w:rsidR="00A91908" w:rsidRPr="00BE6650" w:rsidRDefault="00A91908" w:rsidP="002636FA">
            <w:pPr>
              <w:pStyle w:val="TableText0"/>
            </w:pPr>
            <w:r w:rsidRPr="00BE6650">
              <w:t xml:space="preserve">These data could not be verified. All patients were assumed to have time on 2L to 4L treatment of 45.3 months. Likely underestimated number of patients at early period of the estimate. </w:t>
            </w:r>
          </w:p>
        </w:tc>
      </w:tr>
      <w:tr w:rsidR="00A91908" w:rsidRPr="00BE6650" w14:paraId="1FC3B408" w14:textId="77777777" w:rsidTr="002636FA">
        <w:tc>
          <w:tcPr>
            <w:tcW w:w="1028" w:type="pct"/>
            <w:shd w:val="clear" w:color="auto" w:fill="auto"/>
            <w:vAlign w:val="center"/>
          </w:tcPr>
          <w:p w14:paraId="1F701F6F" w14:textId="77777777" w:rsidR="00A91908" w:rsidRPr="00BE6650" w:rsidRDefault="00A91908" w:rsidP="002636FA">
            <w:pPr>
              <w:pStyle w:val="TableText0"/>
            </w:pPr>
            <w:r w:rsidRPr="00BE6650">
              <w:rPr>
                <w:szCs w:val="20"/>
              </w:rPr>
              <w:t>Proportion of 2L to 4L refractory and become Sd eligible</w:t>
            </w:r>
          </w:p>
        </w:tc>
        <w:tc>
          <w:tcPr>
            <w:tcW w:w="2192" w:type="pct"/>
            <w:shd w:val="clear" w:color="auto" w:fill="auto"/>
            <w:vAlign w:val="center"/>
          </w:tcPr>
          <w:p w14:paraId="2B72B7F9" w14:textId="77777777" w:rsidR="00A91908" w:rsidRPr="00BE6650" w:rsidRDefault="00A91908" w:rsidP="002636FA">
            <w:pPr>
              <w:pStyle w:val="TableText0"/>
              <w:rPr>
                <w:szCs w:val="20"/>
              </w:rPr>
            </w:pPr>
            <w:r w:rsidRPr="00BE6650">
              <w:rPr>
                <w:szCs w:val="20"/>
              </w:rPr>
              <w:t>20.9%:</w:t>
            </w:r>
          </w:p>
          <w:p w14:paraId="6B088C58" w14:textId="77777777" w:rsidR="00A91908" w:rsidRPr="00BE6650" w:rsidRDefault="00A91908" w:rsidP="002636FA">
            <w:pPr>
              <w:pStyle w:val="TableText0"/>
            </w:pPr>
            <w:r w:rsidRPr="00BE6650">
              <w:rPr>
                <w:szCs w:val="20"/>
              </w:rPr>
              <w:t>85% (2L; assumption based on CASTOR) x 62.3% (3L; Yong et al., 2016) x 39.5% (4L; Yong et al., 2016)</w:t>
            </w:r>
          </w:p>
        </w:tc>
        <w:tc>
          <w:tcPr>
            <w:tcW w:w="1780" w:type="pct"/>
            <w:shd w:val="clear" w:color="auto" w:fill="auto"/>
            <w:vAlign w:val="center"/>
          </w:tcPr>
          <w:p w14:paraId="41FCF159" w14:textId="77777777" w:rsidR="00A91908" w:rsidRPr="00BE6650" w:rsidRDefault="00A91908" w:rsidP="002636FA">
            <w:pPr>
              <w:pStyle w:val="TableText0"/>
            </w:pPr>
            <w:r w:rsidRPr="00BE6650">
              <w:t xml:space="preserve">These data could not be verified. Likely overestimated. </w:t>
            </w:r>
          </w:p>
        </w:tc>
      </w:tr>
      <w:tr w:rsidR="00A91908" w:rsidRPr="00BE6650" w14:paraId="0317D09B" w14:textId="77777777" w:rsidTr="002636FA">
        <w:tc>
          <w:tcPr>
            <w:tcW w:w="1028" w:type="pct"/>
            <w:shd w:val="clear" w:color="auto" w:fill="auto"/>
            <w:vAlign w:val="center"/>
          </w:tcPr>
          <w:p w14:paraId="31DE626F" w14:textId="77777777" w:rsidR="00A91908" w:rsidRPr="00BE6650" w:rsidRDefault="00A91908" w:rsidP="002636FA">
            <w:pPr>
              <w:pStyle w:val="TableText0"/>
            </w:pPr>
            <w:r w:rsidRPr="00BE6650">
              <w:t xml:space="preserve">Sd eligible patients based on </w:t>
            </w:r>
            <w:r w:rsidRPr="00BE6650">
              <w:rPr>
                <w:szCs w:val="20"/>
              </w:rPr>
              <w:t>clinical trials or Janssen’s compassionate / early access program (CAP/EAP)</w:t>
            </w:r>
          </w:p>
        </w:tc>
        <w:tc>
          <w:tcPr>
            <w:tcW w:w="2192" w:type="pct"/>
            <w:shd w:val="clear" w:color="auto" w:fill="auto"/>
            <w:vAlign w:val="center"/>
          </w:tcPr>
          <w:p w14:paraId="3B7319C3" w14:textId="77777777" w:rsidR="00A91908" w:rsidRPr="00BE6650" w:rsidRDefault="00D66DBB" w:rsidP="002636FA">
            <w:pPr>
              <w:pStyle w:val="TableText0"/>
            </w:pPr>
            <w:r>
              <w:rPr>
                <w:noProof/>
                <w:color w:val="000000"/>
                <w:highlight w:val="black"/>
              </w:rPr>
              <w:t>''''''</w:t>
            </w:r>
            <w:r w:rsidR="00A30160">
              <w:rPr>
                <w:vertAlign w:val="superscript"/>
              </w:rPr>
              <w:t>1</w:t>
            </w:r>
            <w:r w:rsidR="00A91908" w:rsidRPr="00BE6650">
              <w:t xml:space="preserve"> in Y</w:t>
            </w:r>
            <w:r w:rsidR="001A0E9A" w:rsidRPr="00BE6650">
              <w:t>ea</w:t>
            </w:r>
            <w:r w:rsidR="00A91908" w:rsidRPr="00BE6650">
              <w:t xml:space="preserve">r 1 increasing to </w:t>
            </w:r>
            <w:r>
              <w:rPr>
                <w:noProof/>
                <w:color w:val="000000"/>
                <w:highlight w:val="black"/>
              </w:rPr>
              <w:t>'''''''''</w:t>
            </w:r>
            <w:r w:rsidR="00A30160">
              <w:rPr>
                <w:vertAlign w:val="superscript"/>
              </w:rPr>
              <w:t>1</w:t>
            </w:r>
            <w:r w:rsidR="00A91908" w:rsidRPr="00BE6650">
              <w:t xml:space="preserve"> in Y</w:t>
            </w:r>
            <w:r w:rsidR="001A0E9A" w:rsidRPr="00BE6650">
              <w:t>ea</w:t>
            </w:r>
            <w:r w:rsidR="00A91908" w:rsidRPr="00BE6650">
              <w:t>r 6 (o</w:t>
            </w:r>
            <w:r w:rsidR="00A91908" w:rsidRPr="00BE6650">
              <w:rPr>
                <w:szCs w:val="20"/>
              </w:rPr>
              <w:t>bserved and forecasted daratumumab initiations in the MRDR report)</w:t>
            </w:r>
          </w:p>
        </w:tc>
        <w:tc>
          <w:tcPr>
            <w:tcW w:w="1780" w:type="pct"/>
            <w:shd w:val="clear" w:color="auto" w:fill="auto"/>
            <w:vAlign w:val="center"/>
          </w:tcPr>
          <w:p w14:paraId="49B014B9" w14:textId="77777777" w:rsidR="00A91908" w:rsidRPr="00BE6650" w:rsidRDefault="00A91908" w:rsidP="002636FA">
            <w:pPr>
              <w:pStyle w:val="TableText0"/>
            </w:pPr>
            <w:r w:rsidRPr="00BE6650">
              <w:t>Could not be verified</w:t>
            </w:r>
            <w:r w:rsidR="00E26A48" w:rsidRPr="00BE6650">
              <w:t xml:space="preserve">. DUSC considered that this was overestimated and the number would be closer to </w:t>
            </w:r>
            <w:r w:rsidR="00D66DBB">
              <w:rPr>
                <w:noProof/>
                <w:color w:val="000000"/>
                <w:highlight w:val="black"/>
              </w:rPr>
              <w:t>'''''''</w:t>
            </w:r>
            <w:r w:rsidR="00A30160">
              <w:rPr>
                <w:vertAlign w:val="superscript"/>
              </w:rPr>
              <w:t>1</w:t>
            </w:r>
            <w:r w:rsidR="00E26A48" w:rsidRPr="00BE6650">
              <w:t xml:space="preserve"> patients in Year 1.</w:t>
            </w:r>
          </w:p>
        </w:tc>
      </w:tr>
      <w:tr w:rsidR="00A91908" w:rsidRPr="00BE6650" w14:paraId="0F3AD223" w14:textId="77777777" w:rsidTr="002636FA">
        <w:tc>
          <w:tcPr>
            <w:tcW w:w="1028" w:type="pct"/>
            <w:shd w:val="clear" w:color="auto" w:fill="auto"/>
            <w:vAlign w:val="center"/>
          </w:tcPr>
          <w:p w14:paraId="43AA8427" w14:textId="77777777" w:rsidR="00A91908" w:rsidRPr="00BE6650" w:rsidRDefault="00A91908" w:rsidP="002636FA">
            <w:pPr>
              <w:pStyle w:val="TableText0"/>
            </w:pPr>
            <w:r w:rsidRPr="00BE6650">
              <w:t>Grandfather patients</w:t>
            </w:r>
          </w:p>
        </w:tc>
        <w:tc>
          <w:tcPr>
            <w:tcW w:w="2192" w:type="pct"/>
            <w:shd w:val="clear" w:color="auto" w:fill="auto"/>
            <w:vAlign w:val="center"/>
          </w:tcPr>
          <w:p w14:paraId="7F9CAEB3" w14:textId="77777777" w:rsidR="00A91908" w:rsidRPr="00BE6650" w:rsidRDefault="00D66DBB" w:rsidP="002636FA">
            <w:pPr>
              <w:pStyle w:val="TableText0"/>
            </w:pPr>
            <w:r>
              <w:rPr>
                <w:noProof/>
                <w:color w:val="000000"/>
                <w:highlight w:val="black"/>
              </w:rPr>
              <w:t>''''''</w:t>
            </w:r>
            <w:r w:rsidR="00A30160">
              <w:rPr>
                <w:vertAlign w:val="superscript"/>
              </w:rPr>
              <w:t>1</w:t>
            </w:r>
          </w:p>
        </w:tc>
        <w:tc>
          <w:tcPr>
            <w:tcW w:w="1780" w:type="pct"/>
            <w:shd w:val="clear" w:color="auto" w:fill="auto"/>
            <w:vAlign w:val="center"/>
          </w:tcPr>
          <w:p w14:paraId="38E6F466" w14:textId="77777777" w:rsidR="00A91908" w:rsidRPr="00BE6650" w:rsidRDefault="00A91908" w:rsidP="002636FA">
            <w:pPr>
              <w:pStyle w:val="TableText0"/>
            </w:pPr>
            <w:r w:rsidRPr="00BE6650">
              <w:rPr>
                <w:iCs/>
                <w:szCs w:val="20"/>
              </w:rPr>
              <w:t xml:space="preserve">Inconsistent with Section 1 of the submission which stated that approximately </w:t>
            </w:r>
            <w:r w:rsidR="00D66DBB">
              <w:rPr>
                <w:iCs/>
                <w:noProof/>
                <w:color w:val="000000"/>
                <w:szCs w:val="20"/>
                <w:highlight w:val="black"/>
              </w:rPr>
              <w:t>'''''</w:t>
            </w:r>
            <w:r w:rsidR="00A30160">
              <w:rPr>
                <w:vertAlign w:val="superscript"/>
              </w:rPr>
              <w:t>1</w:t>
            </w:r>
            <w:r w:rsidRPr="00BE6650">
              <w:rPr>
                <w:iCs/>
                <w:szCs w:val="20"/>
              </w:rPr>
              <w:t xml:space="preserve"> patients will be grandfathered. </w:t>
            </w:r>
          </w:p>
        </w:tc>
      </w:tr>
      <w:tr w:rsidR="00A91908" w:rsidRPr="00BE6650" w14:paraId="5EB50401" w14:textId="77777777" w:rsidTr="002636FA">
        <w:tc>
          <w:tcPr>
            <w:tcW w:w="1028" w:type="pct"/>
            <w:shd w:val="clear" w:color="auto" w:fill="auto"/>
            <w:vAlign w:val="center"/>
          </w:tcPr>
          <w:p w14:paraId="5E9C3D76" w14:textId="77777777" w:rsidR="00A91908" w:rsidRPr="00BE6650" w:rsidRDefault="00A91908" w:rsidP="002636FA">
            <w:pPr>
              <w:pStyle w:val="TableText0"/>
            </w:pPr>
            <w:r w:rsidRPr="00BE6650">
              <w:t>Uptake rate</w:t>
            </w:r>
          </w:p>
        </w:tc>
        <w:tc>
          <w:tcPr>
            <w:tcW w:w="2192" w:type="pct"/>
            <w:shd w:val="clear" w:color="auto" w:fill="auto"/>
            <w:vAlign w:val="center"/>
          </w:tcPr>
          <w:p w14:paraId="2AEED347" w14:textId="77777777" w:rsidR="00A91908" w:rsidRPr="00BE6650" w:rsidRDefault="00D66DBB" w:rsidP="002636FA">
            <w:pPr>
              <w:pStyle w:val="TableText0"/>
            </w:pPr>
            <w:r>
              <w:rPr>
                <w:noProof/>
                <w:color w:val="000000"/>
                <w:highlight w:val="black"/>
              </w:rPr>
              <w:t>'''''</w:t>
            </w:r>
            <w:r w:rsidR="00A91908" w:rsidRPr="00BE6650">
              <w:t>%</w:t>
            </w:r>
          </w:p>
        </w:tc>
        <w:tc>
          <w:tcPr>
            <w:tcW w:w="1780" w:type="pct"/>
            <w:shd w:val="clear" w:color="auto" w:fill="auto"/>
            <w:vAlign w:val="center"/>
          </w:tcPr>
          <w:p w14:paraId="272C047D" w14:textId="77777777" w:rsidR="00A91908" w:rsidRPr="00BE6650" w:rsidRDefault="00E26A48" w:rsidP="002636FA">
            <w:pPr>
              <w:pStyle w:val="TableText0"/>
            </w:pPr>
            <w:r w:rsidRPr="00BE6650">
              <w:t>DUSC considered that the uptake rate was substantially over</w:t>
            </w:r>
            <w:r w:rsidR="00A91908" w:rsidRPr="00BE6650">
              <w:t xml:space="preserve">estimated </w:t>
            </w:r>
            <w:r w:rsidRPr="00BE6650">
              <w:t>given the toxicity profile of selinexor.</w:t>
            </w:r>
          </w:p>
        </w:tc>
      </w:tr>
      <w:tr w:rsidR="00A91908" w:rsidRPr="00BE6650" w14:paraId="40DEB81E" w14:textId="77777777" w:rsidTr="002636FA">
        <w:tc>
          <w:tcPr>
            <w:tcW w:w="1028" w:type="pct"/>
            <w:shd w:val="clear" w:color="auto" w:fill="auto"/>
            <w:vAlign w:val="center"/>
          </w:tcPr>
          <w:p w14:paraId="616776F9" w14:textId="77777777" w:rsidR="00A91908" w:rsidRPr="00BE6650" w:rsidRDefault="00A91908" w:rsidP="002636FA">
            <w:pPr>
              <w:pStyle w:val="TableText0"/>
            </w:pPr>
            <w:r w:rsidRPr="00BE6650">
              <w:t>Duration of Sd treatment</w:t>
            </w:r>
          </w:p>
        </w:tc>
        <w:tc>
          <w:tcPr>
            <w:tcW w:w="2192" w:type="pct"/>
            <w:shd w:val="clear" w:color="auto" w:fill="auto"/>
            <w:vAlign w:val="center"/>
          </w:tcPr>
          <w:p w14:paraId="594C1BC7" w14:textId="77777777" w:rsidR="00A91908" w:rsidRPr="00A30160" w:rsidRDefault="00A91908" w:rsidP="00A30160">
            <w:pPr>
              <w:pStyle w:val="TableText0"/>
              <w:rPr>
                <w:vertAlign w:val="superscript"/>
              </w:rPr>
            </w:pPr>
            <w:r w:rsidRPr="00BE6650">
              <w:t>3.07 months</w:t>
            </w:r>
          </w:p>
        </w:tc>
        <w:tc>
          <w:tcPr>
            <w:tcW w:w="1780" w:type="pct"/>
            <w:shd w:val="clear" w:color="auto" w:fill="auto"/>
            <w:vAlign w:val="center"/>
          </w:tcPr>
          <w:p w14:paraId="57D27BA8" w14:textId="77777777" w:rsidR="00A91908" w:rsidRPr="00BE6650" w:rsidRDefault="00E26A48" w:rsidP="002636FA">
            <w:pPr>
              <w:pStyle w:val="TableText0"/>
            </w:pPr>
            <w:r w:rsidRPr="00BE6650">
              <w:t>DUSC considered that this was overestimated given the toxicity profile of selinexor.</w:t>
            </w:r>
          </w:p>
        </w:tc>
      </w:tr>
      <w:tr w:rsidR="00A91908" w:rsidRPr="00BE6650" w14:paraId="0B8CBFD4" w14:textId="77777777" w:rsidTr="002636FA">
        <w:tc>
          <w:tcPr>
            <w:tcW w:w="1028" w:type="pct"/>
            <w:shd w:val="clear" w:color="auto" w:fill="auto"/>
            <w:vAlign w:val="center"/>
          </w:tcPr>
          <w:p w14:paraId="3B4A39CE" w14:textId="77777777" w:rsidR="00A91908" w:rsidRPr="00BE6650" w:rsidRDefault="00A91908" w:rsidP="002636FA">
            <w:pPr>
              <w:pStyle w:val="TableText0"/>
            </w:pPr>
            <w:r w:rsidRPr="00BE6650">
              <w:t>Compliance rate</w:t>
            </w:r>
          </w:p>
        </w:tc>
        <w:tc>
          <w:tcPr>
            <w:tcW w:w="2192" w:type="pct"/>
            <w:shd w:val="clear" w:color="auto" w:fill="auto"/>
            <w:vAlign w:val="center"/>
          </w:tcPr>
          <w:p w14:paraId="299864AF" w14:textId="77777777" w:rsidR="00A91908" w:rsidRPr="00BE6650" w:rsidRDefault="00A91908" w:rsidP="002636FA">
            <w:pPr>
              <w:pStyle w:val="TableText0"/>
            </w:pPr>
            <w:r w:rsidRPr="00BE6650">
              <w:t>98.4% (STORM)</w:t>
            </w:r>
          </w:p>
        </w:tc>
        <w:tc>
          <w:tcPr>
            <w:tcW w:w="1780" w:type="pct"/>
            <w:shd w:val="clear" w:color="auto" w:fill="auto"/>
            <w:vAlign w:val="center"/>
          </w:tcPr>
          <w:p w14:paraId="565B670A" w14:textId="77777777" w:rsidR="00A91908" w:rsidRPr="00BE6650" w:rsidRDefault="008E61F9" w:rsidP="002636FA">
            <w:pPr>
              <w:pStyle w:val="TableText0"/>
            </w:pPr>
            <w:r w:rsidRPr="00BE6650">
              <w:t xml:space="preserve"> DUSC considered that this was overestimated given the toxicity profile of selinexor.</w:t>
            </w:r>
          </w:p>
        </w:tc>
      </w:tr>
    </w:tbl>
    <w:p w14:paraId="31A7EFA6" w14:textId="77777777" w:rsidR="00A91908" w:rsidRPr="00BE6650" w:rsidRDefault="00A91908" w:rsidP="00A91908">
      <w:pPr>
        <w:pStyle w:val="TableFigureFooter"/>
      </w:pPr>
      <w:r w:rsidRPr="00BE6650">
        <w:t>Source: Table 4-1, p166, Table 4-2, p167; Table 4-3, p168; Table 4-4, p170; Table 4-5, p170; Table 4-7, p172 of the submission.</w:t>
      </w:r>
    </w:p>
    <w:p w14:paraId="12A17FA9" w14:textId="77777777" w:rsidR="00A91908" w:rsidRDefault="00A91908" w:rsidP="00A91908">
      <w:pPr>
        <w:pStyle w:val="TableFigureFooter"/>
      </w:pPr>
      <w:r w:rsidRPr="00BE6650">
        <w:t xml:space="preserve">2L = second-line treatment, 3L = third-line treatment; 4L = fourth-line treatment; AIHW = Australian Institute of Health and Welfare; DBd = daratumumab </w:t>
      </w:r>
      <w:r w:rsidR="001A0E9A" w:rsidRPr="00BE6650">
        <w:t>plus</w:t>
      </w:r>
      <w:r w:rsidRPr="00BE6650">
        <w:t xml:space="preserve"> bortezomib and dexamethasone; </w:t>
      </w:r>
      <w:r w:rsidR="001A0E9A" w:rsidRPr="00BE6650">
        <w:t xml:space="preserve">DUSC = Drug Utilisation Sub-Committee; </w:t>
      </w:r>
      <w:r w:rsidRPr="00BE6650">
        <w:t>MRDR = Myeloma and Related Diseases Registry; PBAC = Pharmaceutical Benefits Advisory Committee; PBS = Pharmaceutical Benefits Scheme; PSD = public summary</w:t>
      </w:r>
      <w:r w:rsidR="001A0E9A" w:rsidRPr="00BE6650">
        <w:t xml:space="preserve"> document</w:t>
      </w:r>
      <w:r w:rsidRPr="00BE6650">
        <w:t xml:space="preserve">; </w:t>
      </w:r>
      <w:r w:rsidR="001A0E9A" w:rsidRPr="00BE6650">
        <w:t xml:space="preserve">Sd = selinexor plus dexamethasone; </w:t>
      </w:r>
      <w:r w:rsidRPr="00BE6650">
        <w:t xml:space="preserve">TTNT = time to next treatment </w:t>
      </w:r>
    </w:p>
    <w:p w14:paraId="58AB2D64" w14:textId="77777777" w:rsidR="00A30160" w:rsidRDefault="00A30160" w:rsidP="00A30160">
      <w:pPr>
        <w:pStyle w:val="TableFigureFooter"/>
        <w:spacing w:after="0"/>
        <w:contextualSpacing w:val="0"/>
        <w:rPr>
          <w:i/>
        </w:rPr>
      </w:pPr>
      <w:r w:rsidRPr="009868C4">
        <w:rPr>
          <w:i/>
        </w:rPr>
        <w:t>The redacted values correspond to the following ranges</w:t>
      </w:r>
      <w:r>
        <w:rPr>
          <w:i/>
        </w:rPr>
        <w:t xml:space="preserve">: </w:t>
      </w:r>
    </w:p>
    <w:p w14:paraId="39F93B9B" w14:textId="77777777" w:rsidR="00A30160" w:rsidRPr="00870C5D" w:rsidRDefault="00A30160" w:rsidP="00A30160">
      <w:pPr>
        <w:pStyle w:val="TableFigureFooter"/>
        <w:spacing w:after="0"/>
        <w:contextualSpacing w:val="0"/>
      </w:pPr>
      <w:r>
        <w:rPr>
          <w:i/>
          <w:vertAlign w:val="superscript"/>
        </w:rPr>
        <w:t>1</w:t>
      </w:r>
      <w:r>
        <w:rPr>
          <w:i/>
        </w:rPr>
        <w:t xml:space="preserve"> &lt; 500</w:t>
      </w:r>
    </w:p>
    <w:p w14:paraId="297080D4" w14:textId="77777777" w:rsidR="00A30160" w:rsidRPr="00BE6650" w:rsidRDefault="00A30160" w:rsidP="00A91908">
      <w:pPr>
        <w:pStyle w:val="TableFigureFooter"/>
      </w:pPr>
    </w:p>
    <w:p w14:paraId="5C0AFE7C" w14:textId="77777777" w:rsidR="00A91908" w:rsidRPr="00BE6650" w:rsidRDefault="00A91908" w:rsidP="00A30160">
      <w:pPr>
        <w:pStyle w:val="3-BodyText"/>
      </w:pPr>
      <w:r w:rsidRPr="00BE6650">
        <w:t xml:space="preserve">The submission estimated the number of patients on second-line treatment to be </w:t>
      </w:r>
      <w:r w:rsidR="00A30160" w:rsidRPr="00A30160">
        <w:rPr>
          <w:iCs/>
        </w:rPr>
        <w:t>500 to &lt; 5,000</w:t>
      </w:r>
      <w:r w:rsidR="00A30160">
        <w:rPr>
          <w:iCs/>
        </w:rPr>
        <w:t xml:space="preserve"> </w:t>
      </w:r>
      <w:r w:rsidRPr="00BE6650">
        <w:t>patients in Year 1</w:t>
      </w:r>
      <w:r w:rsidR="00BD17DB" w:rsidRPr="00BE6650">
        <w:t>; whereas,</w:t>
      </w:r>
      <w:r w:rsidRPr="00BE6650">
        <w:t xml:space="preserve"> the PBS data</w:t>
      </w:r>
      <w:r w:rsidR="00685DAA" w:rsidRPr="00BE6650">
        <w:t xml:space="preserve"> considered by</w:t>
      </w:r>
      <w:r w:rsidRPr="00BE6650">
        <w:t xml:space="preserve"> the PBAC </w:t>
      </w:r>
      <w:r w:rsidR="00685DAA" w:rsidRPr="00BE6650">
        <w:t>for the</w:t>
      </w:r>
      <w:r w:rsidRPr="00BE6650">
        <w:t xml:space="preserve"> daratumumab </w:t>
      </w:r>
      <w:r w:rsidR="00685DAA" w:rsidRPr="00BE6650">
        <w:t xml:space="preserve">submission indicated that </w:t>
      </w:r>
      <w:r w:rsidRPr="00BE6650">
        <w:t xml:space="preserve">the total number of patients accessing second-line treatment </w:t>
      </w:r>
      <w:r w:rsidR="00685DAA" w:rsidRPr="00BE6650">
        <w:t>was</w:t>
      </w:r>
      <w:r w:rsidRPr="00BE6650">
        <w:t xml:space="preserve"> 1,127 in 2018 (paragraph 6.63. daratumumab PSD, November 2019). </w:t>
      </w:r>
    </w:p>
    <w:p w14:paraId="2CD1C11A" w14:textId="77777777" w:rsidR="00A91908" w:rsidRPr="00BE6650" w:rsidRDefault="00A91908" w:rsidP="00A91908">
      <w:pPr>
        <w:pStyle w:val="3-BodyText"/>
        <w:rPr>
          <w:iCs/>
        </w:rPr>
      </w:pPr>
      <w:r w:rsidRPr="00BE6650">
        <w:rPr>
          <w:iCs/>
        </w:rPr>
        <w:t xml:space="preserve">The uptake of </w:t>
      </w:r>
      <w:r w:rsidR="00D66DBB">
        <w:rPr>
          <w:iCs/>
          <w:noProof/>
          <w:color w:val="000000"/>
          <w:highlight w:val="black"/>
        </w:rPr>
        <w:t>''''''</w:t>
      </w:r>
      <w:r w:rsidRPr="00BE6650">
        <w:rPr>
          <w:iCs/>
        </w:rPr>
        <w:t xml:space="preserve">% appeared to be overestimated given that Sd appeared to have high toxicity. The PBAC previously considered that </w:t>
      </w:r>
      <w:r w:rsidR="000C4AF4" w:rsidRPr="00BE6650">
        <w:rPr>
          <w:iCs/>
        </w:rPr>
        <w:t xml:space="preserve">an </w:t>
      </w:r>
      <w:r w:rsidRPr="00BE6650">
        <w:rPr>
          <w:iCs/>
        </w:rPr>
        <w:t>uptake rate of 81.9% and 45% for third-line treatment and fourth-line treatment respectively of plitidepsin were overestimated (Table 22, plitidepsin, PSD, March 2020 PBAC meeting).</w:t>
      </w:r>
    </w:p>
    <w:p w14:paraId="05E9C50F" w14:textId="77777777" w:rsidR="00A91908" w:rsidRPr="00BE6650" w:rsidRDefault="00A91908" w:rsidP="00A91908">
      <w:pPr>
        <w:pStyle w:val="3-BodyText"/>
      </w:pPr>
      <w:r w:rsidRPr="00BE6650">
        <w:t>A summary of the estimated use and financial implications of selinexor is presented in Table 16.</w:t>
      </w:r>
    </w:p>
    <w:p w14:paraId="74399648" w14:textId="77777777" w:rsidR="00A91908" w:rsidRPr="00BE6650" w:rsidRDefault="00A91908" w:rsidP="00A91908">
      <w:pPr>
        <w:pStyle w:val="TableFigureHeading"/>
      </w:pPr>
      <w:r w:rsidRPr="00BE6650">
        <w:rPr>
          <w:rStyle w:val="CommentReference"/>
          <w:b/>
          <w:szCs w:val="24"/>
        </w:rPr>
        <w:t>Table 16: Estimated use and financial implications (effective)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A91908" w:rsidRPr="00BE6650" w14:paraId="69E8613F" w14:textId="77777777" w:rsidTr="002636FA">
        <w:trPr>
          <w:tblHeader/>
        </w:trPr>
        <w:tc>
          <w:tcPr>
            <w:tcW w:w="1118" w:type="pct"/>
            <w:shd w:val="clear" w:color="auto" w:fill="auto"/>
            <w:vAlign w:val="center"/>
          </w:tcPr>
          <w:p w14:paraId="60472D15" w14:textId="77777777" w:rsidR="00A91908" w:rsidRPr="00BE6650" w:rsidRDefault="00A91908" w:rsidP="002636FA">
            <w:pPr>
              <w:pStyle w:val="In-tableHeading"/>
              <w:jc w:val="center"/>
              <w:rPr>
                <w:lang w:val="en-AU"/>
              </w:rPr>
            </w:pPr>
          </w:p>
        </w:tc>
        <w:tc>
          <w:tcPr>
            <w:tcW w:w="647" w:type="pct"/>
            <w:shd w:val="clear" w:color="auto" w:fill="auto"/>
            <w:vAlign w:val="center"/>
          </w:tcPr>
          <w:p w14:paraId="2599723F" w14:textId="77777777" w:rsidR="00A91908" w:rsidRPr="00BE6650" w:rsidRDefault="00A91908" w:rsidP="002636FA">
            <w:pPr>
              <w:pStyle w:val="In-tableHeading"/>
              <w:jc w:val="center"/>
              <w:rPr>
                <w:lang w:val="en-AU"/>
              </w:rPr>
            </w:pPr>
            <w:r w:rsidRPr="00BE6650">
              <w:rPr>
                <w:lang w:val="en-AU"/>
              </w:rPr>
              <w:t>Year 1</w:t>
            </w:r>
          </w:p>
        </w:tc>
        <w:tc>
          <w:tcPr>
            <w:tcW w:w="647" w:type="pct"/>
            <w:shd w:val="clear" w:color="auto" w:fill="auto"/>
            <w:vAlign w:val="center"/>
          </w:tcPr>
          <w:p w14:paraId="0AC098C8" w14:textId="77777777" w:rsidR="00A91908" w:rsidRPr="00BE6650" w:rsidRDefault="00A91908" w:rsidP="002636FA">
            <w:pPr>
              <w:pStyle w:val="In-tableHeading"/>
              <w:jc w:val="center"/>
              <w:rPr>
                <w:lang w:val="en-AU"/>
              </w:rPr>
            </w:pPr>
            <w:r w:rsidRPr="00BE6650">
              <w:rPr>
                <w:lang w:val="en-AU"/>
              </w:rPr>
              <w:t>Year 2</w:t>
            </w:r>
          </w:p>
        </w:tc>
        <w:tc>
          <w:tcPr>
            <w:tcW w:w="647" w:type="pct"/>
            <w:shd w:val="clear" w:color="auto" w:fill="auto"/>
            <w:vAlign w:val="center"/>
          </w:tcPr>
          <w:p w14:paraId="19B1E57C" w14:textId="77777777" w:rsidR="00A91908" w:rsidRPr="00BE6650" w:rsidRDefault="00A91908" w:rsidP="002636FA">
            <w:pPr>
              <w:pStyle w:val="In-tableHeading"/>
              <w:jc w:val="center"/>
              <w:rPr>
                <w:lang w:val="en-AU"/>
              </w:rPr>
            </w:pPr>
            <w:r w:rsidRPr="00BE6650">
              <w:rPr>
                <w:lang w:val="en-AU"/>
              </w:rPr>
              <w:t>Year 3</w:t>
            </w:r>
          </w:p>
        </w:tc>
        <w:tc>
          <w:tcPr>
            <w:tcW w:w="647" w:type="pct"/>
            <w:shd w:val="clear" w:color="auto" w:fill="auto"/>
            <w:vAlign w:val="center"/>
          </w:tcPr>
          <w:p w14:paraId="58BD7BB2" w14:textId="77777777" w:rsidR="00A91908" w:rsidRPr="00BE6650" w:rsidRDefault="00A91908" w:rsidP="002636FA">
            <w:pPr>
              <w:pStyle w:val="In-tableHeading"/>
              <w:jc w:val="center"/>
              <w:rPr>
                <w:lang w:val="en-AU"/>
              </w:rPr>
            </w:pPr>
            <w:r w:rsidRPr="00BE6650">
              <w:rPr>
                <w:lang w:val="en-AU"/>
              </w:rPr>
              <w:t>Year 4</w:t>
            </w:r>
          </w:p>
        </w:tc>
        <w:tc>
          <w:tcPr>
            <w:tcW w:w="647" w:type="pct"/>
            <w:shd w:val="clear" w:color="auto" w:fill="auto"/>
            <w:vAlign w:val="center"/>
          </w:tcPr>
          <w:p w14:paraId="783F3799" w14:textId="77777777" w:rsidR="00A91908" w:rsidRPr="00BE6650" w:rsidRDefault="00A91908" w:rsidP="002636FA">
            <w:pPr>
              <w:pStyle w:val="In-tableHeading"/>
              <w:jc w:val="center"/>
              <w:rPr>
                <w:lang w:val="en-AU"/>
              </w:rPr>
            </w:pPr>
            <w:r w:rsidRPr="00BE6650">
              <w:rPr>
                <w:lang w:val="en-AU"/>
              </w:rPr>
              <w:t>Year 5</w:t>
            </w:r>
          </w:p>
        </w:tc>
        <w:tc>
          <w:tcPr>
            <w:tcW w:w="647" w:type="pct"/>
          </w:tcPr>
          <w:p w14:paraId="2C44E3EA" w14:textId="77777777" w:rsidR="00A91908" w:rsidRPr="00BE6650" w:rsidRDefault="00A91908" w:rsidP="002636FA">
            <w:pPr>
              <w:pStyle w:val="In-tableHeading"/>
              <w:jc w:val="center"/>
              <w:rPr>
                <w:lang w:val="en-AU"/>
              </w:rPr>
            </w:pPr>
            <w:r w:rsidRPr="00BE6650">
              <w:rPr>
                <w:lang w:val="en-AU"/>
              </w:rPr>
              <w:t>Year 6</w:t>
            </w:r>
          </w:p>
        </w:tc>
      </w:tr>
      <w:tr w:rsidR="00A91908" w:rsidRPr="00BE6650" w14:paraId="593A4620" w14:textId="77777777" w:rsidTr="002636FA">
        <w:tc>
          <w:tcPr>
            <w:tcW w:w="5000" w:type="pct"/>
            <w:gridSpan w:val="7"/>
            <w:shd w:val="clear" w:color="auto" w:fill="auto"/>
            <w:vAlign w:val="center"/>
          </w:tcPr>
          <w:p w14:paraId="12E7948B" w14:textId="77777777" w:rsidR="00A91908" w:rsidRPr="00BE6650" w:rsidRDefault="00A91908" w:rsidP="002636FA">
            <w:pPr>
              <w:pStyle w:val="In-tableHeading"/>
              <w:rPr>
                <w:bCs/>
                <w:color w:val="000000"/>
                <w:lang w:val="en-AU"/>
              </w:rPr>
            </w:pPr>
            <w:r w:rsidRPr="00BE6650">
              <w:rPr>
                <w:bCs/>
                <w:color w:val="000000"/>
                <w:lang w:val="en-AU"/>
              </w:rPr>
              <w:t>Estimated extent of use</w:t>
            </w:r>
          </w:p>
        </w:tc>
      </w:tr>
      <w:tr w:rsidR="00A91908" w:rsidRPr="00BE6650" w14:paraId="60119FCA" w14:textId="77777777" w:rsidTr="002636FA">
        <w:tc>
          <w:tcPr>
            <w:tcW w:w="1118" w:type="pct"/>
            <w:shd w:val="clear" w:color="auto" w:fill="auto"/>
            <w:vAlign w:val="center"/>
          </w:tcPr>
          <w:p w14:paraId="2BA12B38" w14:textId="77777777" w:rsidR="00A91908" w:rsidRPr="00BE6650" w:rsidRDefault="00A91908" w:rsidP="002636FA">
            <w:pPr>
              <w:pStyle w:val="TableText0"/>
              <w:rPr>
                <w:rFonts w:ascii="Times" w:hAnsi="Times"/>
              </w:rPr>
            </w:pPr>
            <w:r w:rsidRPr="00BE6650">
              <w:t>Number of patients treated</w:t>
            </w:r>
          </w:p>
        </w:tc>
        <w:tc>
          <w:tcPr>
            <w:tcW w:w="647" w:type="pct"/>
            <w:shd w:val="clear" w:color="auto" w:fill="auto"/>
            <w:vAlign w:val="center"/>
          </w:tcPr>
          <w:p w14:paraId="6103C4E8"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68A5CFA5"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3C1BE534"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1534C3D3"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24493784"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vAlign w:val="center"/>
          </w:tcPr>
          <w:p w14:paraId="27E38FD5"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r>
      <w:tr w:rsidR="00A91908" w:rsidRPr="00BE6650" w14:paraId="270BEC4A" w14:textId="77777777" w:rsidTr="002636FA">
        <w:tc>
          <w:tcPr>
            <w:tcW w:w="1118" w:type="pct"/>
            <w:shd w:val="clear" w:color="auto" w:fill="auto"/>
            <w:vAlign w:val="center"/>
          </w:tcPr>
          <w:p w14:paraId="1F2BF82E" w14:textId="77777777" w:rsidR="00A91908" w:rsidRPr="00BE6650" w:rsidRDefault="00A91908" w:rsidP="00A30160">
            <w:pPr>
              <w:pStyle w:val="TableText0"/>
              <w:rPr>
                <w:rFonts w:ascii="Times" w:hAnsi="Times"/>
              </w:rPr>
            </w:pPr>
            <w:r w:rsidRPr="00BE6650">
              <w:t>Number of scripts dispensed</w:t>
            </w:r>
          </w:p>
        </w:tc>
        <w:tc>
          <w:tcPr>
            <w:tcW w:w="647" w:type="pct"/>
            <w:shd w:val="clear" w:color="auto" w:fill="auto"/>
            <w:vAlign w:val="center"/>
          </w:tcPr>
          <w:p w14:paraId="74DCB07C"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516B7297"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2217FA47"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1</w:t>
            </w:r>
          </w:p>
        </w:tc>
        <w:tc>
          <w:tcPr>
            <w:tcW w:w="647" w:type="pct"/>
            <w:shd w:val="clear" w:color="auto" w:fill="auto"/>
            <w:vAlign w:val="center"/>
          </w:tcPr>
          <w:p w14:paraId="0CE92D18"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2</w:t>
            </w:r>
          </w:p>
        </w:tc>
        <w:tc>
          <w:tcPr>
            <w:tcW w:w="647" w:type="pct"/>
            <w:shd w:val="clear" w:color="auto" w:fill="auto"/>
            <w:vAlign w:val="center"/>
          </w:tcPr>
          <w:p w14:paraId="6873A724"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2</w:t>
            </w:r>
          </w:p>
        </w:tc>
        <w:tc>
          <w:tcPr>
            <w:tcW w:w="647" w:type="pct"/>
            <w:vAlign w:val="center"/>
          </w:tcPr>
          <w:p w14:paraId="37DFFD79"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2</w:t>
            </w:r>
          </w:p>
        </w:tc>
      </w:tr>
      <w:tr w:rsidR="00A91908" w:rsidRPr="00BE6650" w14:paraId="09CB2A1E" w14:textId="77777777" w:rsidTr="002636FA">
        <w:tc>
          <w:tcPr>
            <w:tcW w:w="5000" w:type="pct"/>
            <w:gridSpan w:val="7"/>
            <w:shd w:val="clear" w:color="auto" w:fill="auto"/>
            <w:vAlign w:val="center"/>
          </w:tcPr>
          <w:p w14:paraId="0F74AADA" w14:textId="77777777" w:rsidR="00A91908" w:rsidRPr="00BE6650" w:rsidRDefault="00A91908" w:rsidP="002636FA">
            <w:pPr>
              <w:pStyle w:val="In-tableHeading"/>
              <w:rPr>
                <w:lang w:val="en-AU"/>
              </w:rPr>
            </w:pPr>
            <w:r w:rsidRPr="00BE6650">
              <w:rPr>
                <w:lang w:val="en-AU"/>
              </w:rPr>
              <w:t>Estimated financial implications of selinexor</w:t>
            </w:r>
          </w:p>
        </w:tc>
      </w:tr>
      <w:tr w:rsidR="00A91908" w:rsidRPr="00BE6650" w14:paraId="207C7A26" w14:textId="77777777" w:rsidTr="002636FA">
        <w:tc>
          <w:tcPr>
            <w:tcW w:w="1118" w:type="pct"/>
            <w:shd w:val="clear" w:color="auto" w:fill="auto"/>
            <w:vAlign w:val="center"/>
          </w:tcPr>
          <w:p w14:paraId="521B67DC" w14:textId="77777777" w:rsidR="00A91908" w:rsidRPr="00BE6650" w:rsidRDefault="00A91908" w:rsidP="002636FA">
            <w:pPr>
              <w:pStyle w:val="TableText0"/>
              <w:rPr>
                <w:sz w:val="19"/>
                <w:szCs w:val="19"/>
              </w:rPr>
            </w:pPr>
            <w:r w:rsidRPr="00BE6650">
              <w:rPr>
                <w:sz w:val="19"/>
                <w:szCs w:val="19"/>
              </w:rPr>
              <w:t>Cost to PBS/RPBS less copayments</w:t>
            </w:r>
          </w:p>
        </w:tc>
        <w:tc>
          <w:tcPr>
            <w:tcW w:w="647" w:type="pct"/>
            <w:shd w:val="clear" w:color="auto" w:fill="auto"/>
            <w:vAlign w:val="center"/>
          </w:tcPr>
          <w:p w14:paraId="006C4E26" w14:textId="77777777" w:rsidR="00A91908" w:rsidRPr="00BE6650" w:rsidRDefault="00A91908" w:rsidP="00A30160">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55FEB882"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27F92F9E"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1DA47DEB"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4A7F58B8"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vAlign w:val="center"/>
          </w:tcPr>
          <w:p w14:paraId="127B551A"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r>
      <w:tr w:rsidR="00A91908" w:rsidRPr="00BE6650" w14:paraId="1B7AC0D8" w14:textId="77777777" w:rsidTr="002636FA">
        <w:tc>
          <w:tcPr>
            <w:tcW w:w="5000" w:type="pct"/>
            <w:gridSpan w:val="7"/>
            <w:shd w:val="clear" w:color="auto" w:fill="auto"/>
            <w:vAlign w:val="center"/>
          </w:tcPr>
          <w:p w14:paraId="6266C404" w14:textId="77777777" w:rsidR="00A91908" w:rsidRPr="00BE6650" w:rsidRDefault="00A91908" w:rsidP="002636FA">
            <w:pPr>
              <w:pStyle w:val="TableText0"/>
            </w:pPr>
            <w:r w:rsidRPr="00BE6650">
              <w:t>Estimated financial implications for other medicines</w:t>
            </w:r>
          </w:p>
        </w:tc>
      </w:tr>
      <w:tr w:rsidR="00A91908" w:rsidRPr="00BE6650" w14:paraId="65265BA6" w14:textId="77777777" w:rsidTr="002636FA">
        <w:tc>
          <w:tcPr>
            <w:tcW w:w="1118" w:type="pct"/>
            <w:shd w:val="clear" w:color="auto" w:fill="auto"/>
            <w:vAlign w:val="center"/>
          </w:tcPr>
          <w:p w14:paraId="4F44EDD1" w14:textId="77777777" w:rsidR="00A91908" w:rsidRPr="00BE6650" w:rsidRDefault="00A91908" w:rsidP="002636FA">
            <w:pPr>
              <w:pStyle w:val="TableText0"/>
              <w:rPr>
                <w:sz w:val="19"/>
                <w:szCs w:val="19"/>
              </w:rPr>
            </w:pPr>
            <w:r w:rsidRPr="00BE6650">
              <w:rPr>
                <w:sz w:val="19"/>
                <w:szCs w:val="19"/>
              </w:rPr>
              <w:t>Cost to PBS/RPBS less copayments</w:t>
            </w:r>
          </w:p>
        </w:tc>
        <w:tc>
          <w:tcPr>
            <w:tcW w:w="647" w:type="pct"/>
            <w:shd w:val="clear" w:color="auto" w:fill="auto"/>
            <w:vAlign w:val="center"/>
          </w:tcPr>
          <w:p w14:paraId="2264527B"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7DBCED34"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53E4F0C1"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10F5088A"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2355433E"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c>
          <w:tcPr>
            <w:tcW w:w="647" w:type="pct"/>
            <w:vAlign w:val="center"/>
          </w:tcPr>
          <w:p w14:paraId="19016257" w14:textId="77777777" w:rsidR="00A91908" w:rsidRPr="00BE6650" w:rsidRDefault="00A91908" w:rsidP="002636FA">
            <w:pPr>
              <w:pStyle w:val="TableText0"/>
              <w:jc w:val="center"/>
            </w:pPr>
            <w:r w:rsidRPr="00BE6650">
              <w:rPr>
                <w:rFonts w:cs="Arial"/>
                <w:szCs w:val="20"/>
              </w:rPr>
              <w:t>-$</w:t>
            </w:r>
            <w:r w:rsidR="00D66DBB">
              <w:rPr>
                <w:rFonts w:cstheme="minorHAnsi"/>
                <w:noProof/>
                <w:color w:val="000000"/>
                <w:szCs w:val="20"/>
                <w:highlight w:val="black"/>
              </w:rPr>
              <w:t>''''''''''''''''''''</w:t>
            </w:r>
            <w:r w:rsidR="00A30160">
              <w:rPr>
                <w:vertAlign w:val="superscript"/>
              </w:rPr>
              <w:t>3</w:t>
            </w:r>
          </w:p>
        </w:tc>
      </w:tr>
      <w:tr w:rsidR="00A91908" w:rsidRPr="00BE6650" w14:paraId="37ABA8B2" w14:textId="77777777" w:rsidTr="002636FA">
        <w:tc>
          <w:tcPr>
            <w:tcW w:w="5000" w:type="pct"/>
            <w:gridSpan w:val="7"/>
            <w:shd w:val="clear" w:color="auto" w:fill="auto"/>
            <w:vAlign w:val="center"/>
          </w:tcPr>
          <w:p w14:paraId="0B96EA6A" w14:textId="77777777" w:rsidR="00A91908" w:rsidRPr="00BE6650" w:rsidRDefault="00A91908" w:rsidP="002636FA">
            <w:pPr>
              <w:pStyle w:val="In-tableHeading"/>
              <w:rPr>
                <w:lang w:val="en-AU"/>
              </w:rPr>
            </w:pPr>
            <w:r w:rsidRPr="00BE6650">
              <w:rPr>
                <w:lang w:val="en-AU"/>
              </w:rPr>
              <w:t>Net financial implications</w:t>
            </w:r>
            <w:r w:rsidRPr="00BE6650">
              <w:rPr>
                <w:color w:val="4BACC6" w:themeColor="accent5"/>
                <w:lang w:val="en-AU"/>
              </w:rPr>
              <w:t xml:space="preserve"> </w:t>
            </w:r>
          </w:p>
        </w:tc>
      </w:tr>
      <w:tr w:rsidR="00A91908" w:rsidRPr="00BE6650" w14:paraId="550A9371" w14:textId="77777777" w:rsidTr="002636FA">
        <w:tc>
          <w:tcPr>
            <w:tcW w:w="1118" w:type="pct"/>
            <w:shd w:val="clear" w:color="auto" w:fill="auto"/>
            <w:vAlign w:val="center"/>
          </w:tcPr>
          <w:p w14:paraId="4F737361" w14:textId="77777777" w:rsidR="00A91908" w:rsidRPr="00BE6650" w:rsidRDefault="00A91908" w:rsidP="002636FA">
            <w:pPr>
              <w:pStyle w:val="TableText0"/>
              <w:rPr>
                <w:sz w:val="19"/>
                <w:szCs w:val="19"/>
              </w:rPr>
            </w:pPr>
            <w:r w:rsidRPr="00BE6650">
              <w:rPr>
                <w:sz w:val="19"/>
                <w:szCs w:val="19"/>
              </w:rPr>
              <w:t>Net cost to PBS/RPBS</w:t>
            </w:r>
          </w:p>
        </w:tc>
        <w:tc>
          <w:tcPr>
            <w:tcW w:w="647" w:type="pct"/>
            <w:shd w:val="clear" w:color="auto" w:fill="auto"/>
            <w:vAlign w:val="center"/>
          </w:tcPr>
          <w:p w14:paraId="1B1E2B5B" w14:textId="77777777" w:rsidR="00A91908" w:rsidRPr="00BE6650" w:rsidRDefault="00A91908" w:rsidP="002636FA">
            <w:pPr>
              <w:pStyle w:val="TableText0"/>
              <w:jc w:val="center"/>
            </w:pPr>
            <w:r w:rsidRPr="00BE6650">
              <w:rPr>
                <w:rFonts w:cs="Calibr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6F71F0BD" w14:textId="77777777" w:rsidR="00A91908" w:rsidRPr="00BE6650" w:rsidRDefault="00A91908" w:rsidP="002636FA">
            <w:pPr>
              <w:pStyle w:val="TableText0"/>
              <w:jc w:val="center"/>
            </w:pPr>
            <w:r w:rsidRPr="00BE6650">
              <w:rPr>
                <w:rFonts w:cs="Calibr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012D62B9" w14:textId="77777777" w:rsidR="00A91908" w:rsidRPr="00D66DBB" w:rsidRDefault="00D66DBB" w:rsidP="002636FA">
            <w:pPr>
              <w:pStyle w:val="TableText0"/>
              <w:jc w:val="center"/>
              <w:rPr>
                <w:rFonts w:cstheme="minorHAnsi"/>
                <w:color w:val="000000"/>
                <w:szCs w:val="20"/>
              </w:rPr>
            </w:pPr>
            <w:r>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45310196" w14:textId="77777777" w:rsidR="00A91908" w:rsidRPr="00BE6650" w:rsidRDefault="00A91908" w:rsidP="002636FA">
            <w:pPr>
              <w:pStyle w:val="TableText0"/>
              <w:jc w:val="center"/>
            </w:pPr>
            <w:r w:rsidRPr="00BE6650">
              <w:rPr>
                <w:rFonts w:cs="Calibr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vAlign w:val="center"/>
          </w:tcPr>
          <w:p w14:paraId="0416C20C" w14:textId="77777777" w:rsidR="00A91908" w:rsidRPr="00BE6650" w:rsidRDefault="00A91908" w:rsidP="002636FA">
            <w:pPr>
              <w:pStyle w:val="TableText0"/>
              <w:jc w:val="center"/>
            </w:pPr>
            <w:r w:rsidRPr="00BE6650">
              <w:rPr>
                <w:rFonts w:cs="Calibri"/>
                <w:szCs w:val="20"/>
              </w:rPr>
              <w:t>$</w:t>
            </w:r>
            <w:r w:rsidR="00D66DBB">
              <w:rPr>
                <w:rFonts w:cstheme="minorHAnsi"/>
                <w:noProof/>
                <w:color w:val="000000"/>
                <w:szCs w:val="20"/>
                <w:highlight w:val="black"/>
              </w:rPr>
              <w:t>''''''''''''''''''''''''''</w:t>
            </w:r>
            <w:r w:rsidR="00A30160">
              <w:rPr>
                <w:vertAlign w:val="superscript"/>
              </w:rPr>
              <w:t>3</w:t>
            </w:r>
          </w:p>
        </w:tc>
        <w:tc>
          <w:tcPr>
            <w:tcW w:w="647" w:type="pct"/>
            <w:vAlign w:val="center"/>
          </w:tcPr>
          <w:p w14:paraId="781EEA2C" w14:textId="77777777" w:rsidR="00A91908" w:rsidRPr="00BE6650" w:rsidRDefault="00A91908" w:rsidP="002636FA">
            <w:pPr>
              <w:pStyle w:val="TableText0"/>
              <w:jc w:val="center"/>
            </w:pPr>
            <w:r w:rsidRPr="00BE6650">
              <w:rPr>
                <w:rFonts w:cs="Calibri"/>
                <w:szCs w:val="20"/>
              </w:rPr>
              <w:t>$</w:t>
            </w:r>
            <w:r w:rsidR="00D66DBB">
              <w:rPr>
                <w:rFonts w:cstheme="minorHAnsi"/>
                <w:noProof/>
                <w:color w:val="000000"/>
                <w:szCs w:val="20"/>
                <w:highlight w:val="black"/>
              </w:rPr>
              <w:t>''''''''''''''''''''''</w:t>
            </w:r>
            <w:r w:rsidR="00A30160">
              <w:rPr>
                <w:vertAlign w:val="superscript"/>
              </w:rPr>
              <w:t>3</w:t>
            </w:r>
          </w:p>
        </w:tc>
      </w:tr>
      <w:tr w:rsidR="00A91908" w:rsidRPr="00BE6650" w14:paraId="00E51FCF" w14:textId="77777777" w:rsidTr="002636FA">
        <w:tc>
          <w:tcPr>
            <w:tcW w:w="1118" w:type="pct"/>
            <w:shd w:val="clear" w:color="auto" w:fill="auto"/>
            <w:vAlign w:val="center"/>
          </w:tcPr>
          <w:p w14:paraId="11C740D4" w14:textId="77777777" w:rsidR="00A91908" w:rsidRPr="00BE6650" w:rsidRDefault="00A91908" w:rsidP="002636FA">
            <w:pPr>
              <w:pStyle w:val="TableText0"/>
              <w:rPr>
                <w:rFonts w:ascii="Times" w:hAnsi="Times"/>
              </w:rPr>
            </w:pPr>
            <w:r w:rsidRPr="00BE6650">
              <w:rPr>
                <w:sz w:val="19"/>
                <w:szCs w:val="19"/>
              </w:rPr>
              <w:t>Net cost to MBS</w:t>
            </w:r>
          </w:p>
        </w:tc>
        <w:tc>
          <w:tcPr>
            <w:tcW w:w="647" w:type="pct"/>
            <w:shd w:val="clear" w:color="auto" w:fill="auto"/>
          </w:tcPr>
          <w:p w14:paraId="240EB246"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62D9F62D"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5EC618E0"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70B5453B"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752DCBEF"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tcPr>
          <w:p w14:paraId="78F5986A"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r>
      <w:tr w:rsidR="00A91908" w:rsidRPr="00BE6650" w14:paraId="77D1EF05" w14:textId="77777777" w:rsidTr="002636FA">
        <w:tc>
          <w:tcPr>
            <w:tcW w:w="1118" w:type="pct"/>
            <w:shd w:val="clear" w:color="auto" w:fill="auto"/>
            <w:vAlign w:val="center"/>
          </w:tcPr>
          <w:p w14:paraId="71020111" w14:textId="77777777" w:rsidR="00A91908" w:rsidRPr="00BE6650" w:rsidRDefault="00A91908" w:rsidP="002636FA">
            <w:pPr>
              <w:pStyle w:val="TableText0"/>
              <w:rPr>
                <w:sz w:val="19"/>
                <w:szCs w:val="19"/>
              </w:rPr>
            </w:pPr>
            <w:r w:rsidRPr="00BE6650">
              <w:rPr>
                <w:sz w:val="19"/>
                <w:szCs w:val="19"/>
              </w:rPr>
              <w:t>Net cost to PBS/RPBS/MBS</w:t>
            </w:r>
          </w:p>
        </w:tc>
        <w:tc>
          <w:tcPr>
            <w:tcW w:w="647" w:type="pct"/>
            <w:shd w:val="clear" w:color="auto" w:fill="auto"/>
          </w:tcPr>
          <w:p w14:paraId="74EFE435"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3212B460"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129E88BD"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66F08789"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shd w:val="clear" w:color="auto" w:fill="auto"/>
          </w:tcPr>
          <w:p w14:paraId="348C7A8C"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c>
          <w:tcPr>
            <w:tcW w:w="647" w:type="pct"/>
          </w:tcPr>
          <w:p w14:paraId="0C46164B" w14:textId="77777777" w:rsidR="00A91908" w:rsidRPr="00BE6650" w:rsidRDefault="00A91908" w:rsidP="002636FA">
            <w:pPr>
              <w:pStyle w:val="TableText0"/>
              <w:jc w:val="center"/>
            </w:pPr>
            <w:r w:rsidRPr="00BE6650">
              <w:rPr>
                <w:rFonts w:cstheme="minorHAnsi"/>
                <w:szCs w:val="20"/>
              </w:rPr>
              <w:t>$</w:t>
            </w:r>
            <w:r w:rsidR="00D66DBB">
              <w:rPr>
                <w:rFonts w:cstheme="minorHAnsi"/>
                <w:noProof/>
                <w:color w:val="000000"/>
                <w:szCs w:val="20"/>
                <w:highlight w:val="black"/>
              </w:rPr>
              <w:t>''''''''''''''''''''''''''</w:t>
            </w:r>
            <w:r w:rsidR="00A30160">
              <w:rPr>
                <w:vertAlign w:val="superscript"/>
              </w:rPr>
              <w:t>3</w:t>
            </w:r>
          </w:p>
        </w:tc>
      </w:tr>
    </w:tbl>
    <w:p w14:paraId="4BCB805C" w14:textId="77777777" w:rsidR="00A91908" w:rsidRPr="00BE6650" w:rsidRDefault="00A91908" w:rsidP="00A91908">
      <w:pPr>
        <w:pStyle w:val="TableFigureFooter"/>
      </w:pPr>
      <w:r w:rsidRPr="00BE6650">
        <w:t xml:space="preserve">Source: financial worksheet; Table 4-6, p17; Table 4-8, p172; Table 4-11, p173; </w:t>
      </w:r>
      <w:r w:rsidRPr="00BE6650">
        <w:rPr>
          <w:szCs w:val="18"/>
        </w:rPr>
        <w:t>Table 4-21, p180 of the submission</w:t>
      </w:r>
      <w:r w:rsidRPr="00BE6650">
        <w:t>.</w:t>
      </w:r>
    </w:p>
    <w:p w14:paraId="590838D7" w14:textId="77777777" w:rsidR="00A91908" w:rsidRDefault="00A91908" w:rsidP="00A91908">
      <w:pPr>
        <w:pStyle w:val="TableFigureFooter"/>
        <w:rPr>
          <w:szCs w:val="18"/>
        </w:rPr>
      </w:pPr>
      <w:r w:rsidRPr="00BE6650">
        <w:rPr>
          <w:szCs w:val="18"/>
        </w:rPr>
        <w:t>MBS = Medicare Benefits Schedule; PBS = Pharmaceutical Benefits Scheme; RPBS = Repatriation Pharmaceutical Benefits Scheme</w:t>
      </w:r>
    </w:p>
    <w:p w14:paraId="2B796DC4" w14:textId="77777777" w:rsidR="00316F10" w:rsidRDefault="00316F10" w:rsidP="00316F10">
      <w:pPr>
        <w:pStyle w:val="TableFigureFooter"/>
        <w:spacing w:after="0"/>
        <w:contextualSpacing w:val="0"/>
        <w:rPr>
          <w:i/>
        </w:rPr>
      </w:pPr>
      <w:r w:rsidRPr="009868C4">
        <w:rPr>
          <w:i/>
        </w:rPr>
        <w:t>The redacted values correspond to the following ranges</w:t>
      </w:r>
      <w:r>
        <w:rPr>
          <w:i/>
        </w:rPr>
        <w:t xml:space="preserve">: </w:t>
      </w:r>
    </w:p>
    <w:p w14:paraId="6C74D3FD" w14:textId="77777777" w:rsidR="00316F10" w:rsidRPr="00870C5D" w:rsidRDefault="00316F10" w:rsidP="00316F10">
      <w:pPr>
        <w:pStyle w:val="TableFigureFooter"/>
        <w:spacing w:after="0"/>
        <w:contextualSpacing w:val="0"/>
      </w:pPr>
      <w:r>
        <w:rPr>
          <w:i/>
          <w:vertAlign w:val="superscript"/>
        </w:rPr>
        <w:t>1</w:t>
      </w:r>
      <w:r>
        <w:rPr>
          <w:i/>
        </w:rPr>
        <w:t xml:space="preserve"> </w:t>
      </w:r>
      <w:r w:rsidRPr="00316F10">
        <w:rPr>
          <w:i/>
        </w:rPr>
        <w:t>&lt; 500</w:t>
      </w:r>
    </w:p>
    <w:p w14:paraId="58F57E4E" w14:textId="77777777" w:rsidR="00316F10" w:rsidRPr="00870C5D" w:rsidRDefault="00316F10" w:rsidP="00316F10">
      <w:pPr>
        <w:pStyle w:val="TableFigureFooter"/>
        <w:spacing w:after="0"/>
        <w:contextualSpacing w:val="0"/>
      </w:pPr>
      <w:r>
        <w:rPr>
          <w:i/>
          <w:vertAlign w:val="superscript"/>
        </w:rPr>
        <w:t>2</w:t>
      </w:r>
      <w:r>
        <w:rPr>
          <w:i/>
        </w:rPr>
        <w:t xml:space="preserve"> </w:t>
      </w:r>
      <w:r w:rsidRPr="00316F10">
        <w:rPr>
          <w:i/>
        </w:rPr>
        <w:t>500 to &lt; 5,000</w:t>
      </w:r>
    </w:p>
    <w:p w14:paraId="5CFB57AB" w14:textId="77777777" w:rsidR="00316F10" w:rsidRPr="00870C5D" w:rsidRDefault="00316F10" w:rsidP="00316F10">
      <w:pPr>
        <w:pStyle w:val="TableFigureFooter"/>
        <w:spacing w:after="0"/>
        <w:contextualSpacing w:val="0"/>
      </w:pPr>
      <w:r>
        <w:rPr>
          <w:i/>
          <w:vertAlign w:val="superscript"/>
        </w:rPr>
        <w:t>3</w:t>
      </w:r>
      <w:r>
        <w:rPr>
          <w:i/>
        </w:rPr>
        <w:t xml:space="preserve"> </w:t>
      </w:r>
      <w:r w:rsidRPr="00316F10">
        <w:rPr>
          <w:i/>
        </w:rPr>
        <w:t>$0 to &lt; $10 million</w:t>
      </w:r>
    </w:p>
    <w:p w14:paraId="315F1317" w14:textId="77777777" w:rsidR="00316F10" w:rsidRPr="00BE6650" w:rsidRDefault="00316F10" w:rsidP="00A91908">
      <w:pPr>
        <w:pStyle w:val="TableFigureFooter"/>
        <w:rPr>
          <w:rStyle w:val="CommentReference"/>
        </w:rPr>
      </w:pPr>
    </w:p>
    <w:p w14:paraId="276C1646" w14:textId="77777777" w:rsidR="00A91908" w:rsidRPr="00BE6650" w:rsidRDefault="00A91908" w:rsidP="00A30160">
      <w:pPr>
        <w:pStyle w:val="3-BodyText"/>
      </w:pPr>
      <w:r w:rsidRPr="00BE6650">
        <w:t xml:space="preserve">The total cost to the PBS/RPBS of listing selinexor was estimated to be </w:t>
      </w:r>
      <w:r w:rsidR="00A30160" w:rsidRPr="00A30160">
        <w:t>$0 to &lt; $10 million</w:t>
      </w:r>
      <w:r w:rsidR="00A30160" w:rsidRPr="00A30160" w:rsidDel="00A30160">
        <w:t xml:space="preserve"> </w:t>
      </w:r>
      <w:r w:rsidRPr="00BE6650">
        <w:t xml:space="preserve">in Year 6, and a total of </w:t>
      </w:r>
      <w:r w:rsidR="00A30160" w:rsidRPr="00A30160">
        <w:t>$30 million to &lt; $40 million</w:t>
      </w:r>
      <w:r w:rsidR="00A30160">
        <w:t xml:space="preserve"> </w:t>
      </w:r>
      <w:r w:rsidRPr="00BE6650">
        <w:t xml:space="preserve">in the first 6 years of listing. </w:t>
      </w:r>
    </w:p>
    <w:p w14:paraId="789F48C1" w14:textId="77777777" w:rsidR="00A91908" w:rsidRPr="00BE6650" w:rsidRDefault="00A91908" w:rsidP="00A91908">
      <w:pPr>
        <w:pStyle w:val="3-BodyText"/>
        <w:rPr>
          <w:iCs/>
          <w:color w:val="0066FF"/>
        </w:rPr>
      </w:pPr>
      <w:r w:rsidRPr="00BE6650">
        <w:rPr>
          <w:iCs/>
        </w:rPr>
        <w:t xml:space="preserve">The </w:t>
      </w:r>
      <w:r w:rsidR="008E61F9" w:rsidRPr="00BE6650">
        <w:rPr>
          <w:iCs/>
        </w:rPr>
        <w:t xml:space="preserve">DUSC considered that the </w:t>
      </w:r>
      <w:r w:rsidRPr="00BE6650">
        <w:rPr>
          <w:iCs/>
        </w:rPr>
        <w:t>net financial implications were likely overestimated,</w:t>
      </w:r>
      <w:r w:rsidR="008E61F9" w:rsidRPr="00BE6650">
        <w:rPr>
          <w:iCs/>
        </w:rPr>
        <w:t xml:space="preserve"> as:</w:t>
      </w:r>
    </w:p>
    <w:p w14:paraId="11B6FF57" w14:textId="77777777" w:rsidR="008E61F9" w:rsidRPr="00BE6650" w:rsidRDefault="008E61F9" w:rsidP="008E61F9">
      <w:pPr>
        <w:pStyle w:val="ListParagraph"/>
        <w:numPr>
          <w:ilvl w:val="0"/>
          <w:numId w:val="29"/>
        </w:numPr>
        <w:ind w:left="1077" w:hanging="357"/>
      </w:pPr>
      <w:r w:rsidRPr="00BE6650">
        <w:t>the number of patients receiving second-line daratumumab treatment was overestimated;</w:t>
      </w:r>
    </w:p>
    <w:p w14:paraId="346E5D63" w14:textId="77777777" w:rsidR="008E61F9" w:rsidRPr="00BE6650" w:rsidRDefault="008E61F9" w:rsidP="008E61F9">
      <w:pPr>
        <w:pStyle w:val="ListParagraph"/>
        <w:numPr>
          <w:ilvl w:val="0"/>
          <w:numId w:val="29"/>
        </w:numPr>
        <w:ind w:left="1077" w:hanging="357"/>
      </w:pPr>
      <w:r w:rsidRPr="00BE6650">
        <w:t xml:space="preserve">it was unclear how many of the </w:t>
      </w:r>
      <w:r w:rsidR="00D83FD1">
        <w:t>&lt; 500</w:t>
      </w:r>
      <w:r w:rsidR="00D83FD1" w:rsidRPr="00BE6650">
        <w:t xml:space="preserve"> </w:t>
      </w:r>
      <w:r w:rsidRPr="00BE6650">
        <w:t xml:space="preserve">patients from the Myeloma and Related Diseases Registry (MRDR) who received daratumumab would be considered second-line use or compassionate use of third-line or subsequent lines of therapy. DUSC considered that </w:t>
      </w:r>
      <w:r w:rsidR="00D83FD1">
        <w:t>&lt; 500</w:t>
      </w:r>
      <w:r w:rsidR="00D83FD1" w:rsidRPr="00BE6650">
        <w:t xml:space="preserve"> </w:t>
      </w:r>
      <w:r w:rsidRPr="00BE6650">
        <w:t xml:space="preserve">patients in Year 1 was an overestimate and suggested that the number would be closer to </w:t>
      </w:r>
      <w:r w:rsidR="00D83FD1">
        <w:t>&lt; 500</w:t>
      </w:r>
      <w:r w:rsidR="00D83FD1" w:rsidRPr="00BE6650">
        <w:t xml:space="preserve"> </w:t>
      </w:r>
      <w:r w:rsidRPr="00BE6650">
        <w:t>patients in the first year</w:t>
      </w:r>
      <w:r w:rsidR="004843F1" w:rsidRPr="00BE6650">
        <w:t xml:space="preserve">. The pre-PBAC response noted that </w:t>
      </w:r>
      <w:r w:rsidR="00D83FD1">
        <w:t>&lt; 500</w:t>
      </w:r>
      <w:r w:rsidR="00D83FD1" w:rsidRPr="00BE6650">
        <w:t xml:space="preserve"> </w:t>
      </w:r>
      <w:r w:rsidR="004843F1" w:rsidRPr="00BE6650">
        <w:t>patients had accessed daratumumab via the compassionate/early access program or via clinical trials since 2016</w:t>
      </w:r>
      <w:r w:rsidRPr="00BE6650">
        <w:t>;</w:t>
      </w:r>
    </w:p>
    <w:p w14:paraId="09015BF6" w14:textId="77777777" w:rsidR="008E61F9" w:rsidRPr="00BE6650" w:rsidRDefault="008E61F9" w:rsidP="008E61F9">
      <w:pPr>
        <w:pStyle w:val="ListParagraph"/>
        <w:numPr>
          <w:ilvl w:val="0"/>
          <w:numId w:val="29"/>
        </w:numPr>
        <w:ind w:left="1077" w:hanging="357"/>
      </w:pPr>
      <w:r w:rsidRPr="00BE6650">
        <w:t xml:space="preserve">the uptake rate was substantially overestimated. DUSC commented that there was an unclear benefit and a high toxicity associated with selinexor. DUSC noted that the estimates were sensitive to the uptake rates applied; </w:t>
      </w:r>
    </w:p>
    <w:p w14:paraId="14319A4D" w14:textId="77777777" w:rsidR="008E61F9" w:rsidRPr="00BE6650" w:rsidRDefault="008E61F9" w:rsidP="008E61F9">
      <w:pPr>
        <w:pStyle w:val="ListParagraph"/>
        <w:numPr>
          <w:ilvl w:val="0"/>
          <w:numId w:val="29"/>
        </w:numPr>
        <w:ind w:left="1077" w:hanging="357"/>
      </w:pPr>
      <w:r w:rsidRPr="00BE6650">
        <w:t>patients would be frailer in real word practice and the treatment duration of 3.1 months proposed in the submission was likely overestimated;</w:t>
      </w:r>
    </w:p>
    <w:p w14:paraId="4DF93CB6" w14:textId="77777777" w:rsidR="008E61F9" w:rsidRPr="00BE6650" w:rsidRDefault="008E61F9" w:rsidP="008E61F9">
      <w:pPr>
        <w:pStyle w:val="ListParagraph"/>
        <w:numPr>
          <w:ilvl w:val="0"/>
          <w:numId w:val="29"/>
        </w:numPr>
        <w:ind w:left="1077" w:hanging="357"/>
      </w:pPr>
      <w:r w:rsidRPr="00BE6650">
        <w:t xml:space="preserve">the compliance rate of 98.4% was likely overestimated. DUSC considered that given the toxicity profile </w:t>
      </w:r>
      <w:r w:rsidR="00E26A48" w:rsidRPr="00BE6650">
        <w:t>of selinexor, patients were likely to omit doses or elect to stop treatment. DUSC considered that a compliance rate of 80% would be more appropriate.</w:t>
      </w:r>
      <w:r w:rsidRPr="00BE6650">
        <w:t xml:space="preserve"> </w:t>
      </w:r>
    </w:p>
    <w:p w14:paraId="6D9AE98E" w14:textId="77777777" w:rsidR="00A91908" w:rsidRPr="00BE6650" w:rsidRDefault="00A91908" w:rsidP="00A91908">
      <w:pPr>
        <w:pStyle w:val="4-SubsectionHeading"/>
      </w:pPr>
      <w:bookmarkStart w:id="28" w:name="_Toc22897648"/>
      <w:bookmarkStart w:id="29" w:name="_Toc72323744"/>
      <w:r w:rsidRPr="00BE6650">
        <w:t>Quality Use of Medicines</w:t>
      </w:r>
      <w:bookmarkEnd w:id="28"/>
      <w:bookmarkEnd w:id="29"/>
    </w:p>
    <w:p w14:paraId="6AFEEBD0" w14:textId="77777777" w:rsidR="008C0D8E" w:rsidRPr="00BE6650" w:rsidRDefault="008C0D8E" w:rsidP="008C0D8E">
      <w:pPr>
        <w:pStyle w:val="3-BodyText"/>
      </w:pPr>
      <w:r w:rsidRPr="00BE6650">
        <w:t xml:space="preserve">The submission did not provide discussion of quality use of medicines. DUSC expressed concern that the quality use of medicines issues for this first in class medication with significant toxicities was not addressed in the submission. DUSC considered that as the sponsor has knowledge of both </w:t>
      </w:r>
      <w:r w:rsidR="008953C0" w:rsidRPr="00BE6650">
        <w:t xml:space="preserve">study </w:t>
      </w:r>
      <w:r w:rsidRPr="00BE6650">
        <w:t xml:space="preserve">data and overseas use, this should form a comprehensive training and education program such that practitioners are well-equipped to handle selinexor’s adverse event profile.     </w:t>
      </w:r>
    </w:p>
    <w:p w14:paraId="50A974E3" w14:textId="77777777" w:rsidR="008C0D8E" w:rsidRPr="00BE6650" w:rsidRDefault="008C0D8E" w:rsidP="008C0D8E">
      <w:pPr>
        <w:pStyle w:val="3-BodyText"/>
        <w:keepNext/>
        <w:rPr>
          <w:i/>
          <w:iCs/>
        </w:rPr>
      </w:pPr>
      <w:r w:rsidRPr="00BE6650">
        <w:t>The pre-PBAC response indicated that the sponsor was preparing a multi-stakeholder quality use of medicines approach for haematologists, nurses, pharmacists and patients to ensure minimisation of adverse events and optimised treatment.</w:t>
      </w:r>
    </w:p>
    <w:p w14:paraId="0FF5F8B7" w14:textId="77777777" w:rsidR="00C04575" w:rsidRPr="00BE6650" w:rsidRDefault="00C04575" w:rsidP="00A91908">
      <w:pPr>
        <w:pStyle w:val="3-BodyText"/>
        <w:numPr>
          <w:ilvl w:val="0"/>
          <w:numId w:val="0"/>
        </w:numPr>
        <w:ind w:left="720"/>
        <w:rPr>
          <w:i/>
        </w:rPr>
      </w:pPr>
      <w:r w:rsidRPr="00BE6650">
        <w:rPr>
          <w:i/>
        </w:rPr>
        <w:t>For more detail on PBAC’s view, see section 7 PBAC outcome.</w:t>
      </w:r>
    </w:p>
    <w:p w14:paraId="6A534C8F" w14:textId="77777777" w:rsidR="00617366" w:rsidRPr="00BE6650" w:rsidRDefault="00617366" w:rsidP="002601CD">
      <w:pPr>
        <w:pStyle w:val="2-SectionHeading"/>
      </w:pPr>
      <w:bookmarkStart w:id="30" w:name="_Hlk76381249"/>
      <w:bookmarkStart w:id="31" w:name="_Hlk76377955"/>
      <w:r w:rsidRPr="00BE6650">
        <w:t>PBAC Outcome</w:t>
      </w:r>
    </w:p>
    <w:p w14:paraId="18AD001D" w14:textId="77777777" w:rsidR="00580A49" w:rsidRPr="00BE6650" w:rsidRDefault="00617366"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did not recommend</w:t>
      </w:r>
      <w:r w:rsidR="00580A49" w:rsidRPr="00BE6650">
        <w:rPr>
          <w:rFonts w:asciiTheme="minorHAnsi" w:hAnsiTheme="minorHAnsi"/>
          <w:snapToGrid w:val="0"/>
        </w:rPr>
        <w:t xml:space="preserve"> selinexor, for use in combination with dexamethasone (Sd), for the treatment of triple class refractory and penta-refractory multiple myeloma (TCR/PR MM). </w:t>
      </w:r>
      <w:r w:rsidR="00580A49" w:rsidRPr="00BE6650">
        <w:rPr>
          <w:rFonts w:asciiTheme="minorHAnsi" w:hAnsiTheme="minorHAnsi"/>
          <w:bCs/>
          <w:snapToGrid w:val="0"/>
        </w:rPr>
        <w:t xml:space="preserve">The PBAC, noting the lack of comparative data between </w:t>
      </w:r>
      <w:r w:rsidR="00D81ACC" w:rsidRPr="00BE6650">
        <w:rPr>
          <w:rFonts w:asciiTheme="minorHAnsi" w:hAnsiTheme="minorHAnsi"/>
          <w:bCs/>
          <w:snapToGrid w:val="0"/>
        </w:rPr>
        <w:t>Sd</w:t>
      </w:r>
      <w:r w:rsidR="00580A49" w:rsidRPr="00BE6650">
        <w:rPr>
          <w:rFonts w:asciiTheme="minorHAnsi" w:hAnsiTheme="minorHAnsi"/>
          <w:bCs/>
          <w:snapToGrid w:val="0"/>
        </w:rPr>
        <w:t xml:space="preserve"> and the nominated comparator, salvage chemotherapy consisting of </w:t>
      </w:r>
      <w:r w:rsidR="00F539C5" w:rsidRPr="00BE6650">
        <w:rPr>
          <w:rFonts w:asciiTheme="minorHAnsi" w:hAnsiTheme="minorHAnsi"/>
          <w:bCs/>
          <w:snapToGrid w:val="0"/>
        </w:rPr>
        <w:t>dexamethasone, cyclophosphamide, etoposide and cisplatin (DCEP</w:t>
      </w:r>
      <w:r w:rsidR="00580A49" w:rsidRPr="00BE6650">
        <w:rPr>
          <w:rFonts w:asciiTheme="minorHAnsi" w:hAnsiTheme="minorHAnsi"/>
          <w:bCs/>
          <w:snapToGrid w:val="0"/>
        </w:rPr>
        <w:t xml:space="preserve">), considered that the clinical claims of superior efficacy and safety </w:t>
      </w:r>
      <w:r w:rsidR="004460B5" w:rsidRPr="00BE6650">
        <w:rPr>
          <w:rFonts w:asciiTheme="minorHAnsi" w:hAnsiTheme="minorHAnsi"/>
          <w:bCs/>
          <w:snapToGrid w:val="0"/>
        </w:rPr>
        <w:t>were</w:t>
      </w:r>
      <w:r w:rsidR="00580A49" w:rsidRPr="00BE6650">
        <w:rPr>
          <w:rFonts w:asciiTheme="minorHAnsi" w:hAnsiTheme="minorHAnsi"/>
          <w:bCs/>
          <w:snapToGrid w:val="0"/>
        </w:rPr>
        <w:t xml:space="preserve"> not supported. The PBAC considered that the economic model was unreliable for decision making and that </w:t>
      </w:r>
      <w:r w:rsidR="00B561CA" w:rsidRPr="00BE6650">
        <w:rPr>
          <w:rFonts w:asciiTheme="minorHAnsi" w:hAnsiTheme="minorHAnsi"/>
          <w:bCs/>
          <w:snapToGrid w:val="0"/>
        </w:rPr>
        <w:t>the</w:t>
      </w:r>
      <w:r w:rsidR="00580A49" w:rsidRPr="00BE6650">
        <w:rPr>
          <w:rFonts w:asciiTheme="minorHAnsi" w:hAnsiTheme="minorHAnsi"/>
          <w:bCs/>
          <w:snapToGrid w:val="0"/>
        </w:rPr>
        <w:t xml:space="preserve"> financial impact estimates were </w:t>
      </w:r>
      <w:r w:rsidR="00F539C5" w:rsidRPr="00BE6650">
        <w:rPr>
          <w:rFonts w:asciiTheme="minorHAnsi" w:hAnsiTheme="minorHAnsi"/>
          <w:bCs/>
          <w:snapToGrid w:val="0"/>
        </w:rPr>
        <w:t>likely overestimated</w:t>
      </w:r>
      <w:r w:rsidR="00580A49" w:rsidRPr="00BE6650">
        <w:rPr>
          <w:rFonts w:asciiTheme="minorHAnsi" w:hAnsiTheme="minorHAnsi"/>
          <w:bCs/>
          <w:snapToGrid w:val="0"/>
        </w:rPr>
        <w:t>.</w:t>
      </w:r>
    </w:p>
    <w:p w14:paraId="3FEA1D2B" w14:textId="77777777" w:rsidR="00F539C5" w:rsidRPr="00BE6650" w:rsidRDefault="00F539C5"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The PBAC noted the consumer comments describing the ongoing </w:t>
      </w:r>
      <w:r w:rsidR="00B561CA" w:rsidRPr="00BE6650">
        <w:rPr>
          <w:rFonts w:asciiTheme="minorHAnsi" w:hAnsiTheme="minorHAnsi"/>
          <w:snapToGrid w:val="0"/>
        </w:rPr>
        <w:t>need</w:t>
      </w:r>
      <w:r w:rsidRPr="00BE6650">
        <w:rPr>
          <w:rFonts w:asciiTheme="minorHAnsi" w:hAnsiTheme="minorHAnsi"/>
          <w:snapToGrid w:val="0"/>
        </w:rPr>
        <w:t xml:space="preserve"> for</w:t>
      </w:r>
      <w:r w:rsidR="00B561CA" w:rsidRPr="00BE6650">
        <w:rPr>
          <w:rFonts w:asciiTheme="minorHAnsi" w:hAnsiTheme="minorHAnsi"/>
          <w:snapToGrid w:val="0"/>
        </w:rPr>
        <w:t xml:space="preserve"> new</w:t>
      </w:r>
      <w:r w:rsidRPr="00BE6650">
        <w:rPr>
          <w:rFonts w:asciiTheme="minorHAnsi" w:hAnsiTheme="minorHAnsi"/>
          <w:snapToGrid w:val="0"/>
        </w:rPr>
        <w:t xml:space="preserve"> therapies for the treatment of MM.</w:t>
      </w:r>
    </w:p>
    <w:p w14:paraId="136DE326" w14:textId="77777777" w:rsidR="00F539C5" w:rsidRPr="00BE6650" w:rsidRDefault="00F539C5"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noted that the proposed place in therapy of Sd was as a salvage therapy following late relapse</w:t>
      </w:r>
      <w:r w:rsidR="002601CD" w:rsidRPr="00BE6650">
        <w:rPr>
          <w:rFonts w:asciiTheme="minorHAnsi" w:hAnsiTheme="minorHAnsi"/>
          <w:snapToGrid w:val="0"/>
        </w:rPr>
        <w:t xml:space="preserve"> in patients who have received at least four prior therapies and whose disease is refractory to at least two proteasome inhibitors, at least two immunomodulatory agents and at least one anti-CD38 monoclonal antibody</w:t>
      </w:r>
      <w:r w:rsidRPr="00BE6650">
        <w:rPr>
          <w:rFonts w:asciiTheme="minorHAnsi" w:hAnsiTheme="minorHAnsi"/>
          <w:snapToGrid w:val="0"/>
        </w:rPr>
        <w:t>. The PBAC</w:t>
      </w:r>
      <w:r w:rsidR="002601CD" w:rsidRPr="00BE6650">
        <w:rPr>
          <w:rFonts w:asciiTheme="minorHAnsi" w:hAnsiTheme="minorHAnsi"/>
          <w:snapToGrid w:val="0"/>
        </w:rPr>
        <w:t>, noting that the requested restriction was narrower than the proposed TGA indication,</w:t>
      </w:r>
      <w:r w:rsidRPr="00BE6650">
        <w:rPr>
          <w:rFonts w:asciiTheme="minorHAnsi" w:hAnsiTheme="minorHAnsi"/>
          <w:snapToGrid w:val="0"/>
        </w:rPr>
        <w:t xml:space="preserve"> considered that this was reasonable.</w:t>
      </w:r>
    </w:p>
    <w:p w14:paraId="79AFEB30" w14:textId="77777777" w:rsidR="00F539C5" w:rsidRPr="00BE6650" w:rsidRDefault="00F539C5"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noted that the submission nominated salvage chemotherapy, represented by DCEP, as the primary comparator. The PBAC, noting that there was no standard therapy for patients with TCR/PR MM, considered that DCEP was representative of last-line care.</w:t>
      </w:r>
    </w:p>
    <w:p w14:paraId="6CDE8E17" w14:textId="77777777" w:rsidR="00F539C5" w:rsidRPr="00BE6650" w:rsidRDefault="002B7624"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The PBAC noted the submission was based on data from a </w:t>
      </w:r>
      <w:r w:rsidR="00797FAC" w:rsidRPr="00BE6650">
        <w:rPr>
          <w:rFonts w:asciiTheme="minorHAnsi" w:hAnsiTheme="minorHAnsi"/>
          <w:snapToGrid w:val="0"/>
        </w:rPr>
        <w:t xml:space="preserve">non-randomised, </w:t>
      </w:r>
      <w:r w:rsidRPr="00BE6650">
        <w:rPr>
          <w:rFonts w:asciiTheme="minorHAnsi" w:hAnsiTheme="minorHAnsi"/>
          <w:snapToGrid w:val="0"/>
        </w:rPr>
        <w:t>single arm</w:t>
      </w:r>
      <w:r w:rsidR="00797FAC" w:rsidRPr="00BE6650">
        <w:rPr>
          <w:rFonts w:asciiTheme="minorHAnsi" w:hAnsiTheme="minorHAnsi"/>
          <w:snapToGrid w:val="0"/>
        </w:rPr>
        <w:t>, open-label</w:t>
      </w:r>
      <w:r w:rsidRPr="00BE6650">
        <w:rPr>
          <w:rFonts w:asciiTheme="minorHAnsi" w:hAnsiTheme="minorHAnsi"/>
          <w:snapToGrid w:val="0"/>
        </w:rPr>
        <w:t xml:space="preserve"> study, STORM, that included patients with penta-exposed (PE) MM who received Sd. </w:t>
      </w:r>
      <w:r w:rsidR="00797FAC" w:rsidRPr="00BE6650">
        <w:rPr>
          <w:rFonts w:asciiTheme="minorHAnsi" w:hAnsiTheme="minorHAnsi"/>
          <w:snapToGrid w:val="0"/>
        </w:rPr>
        <w:t xml:space="preserve">The PBAC noted that data were presented for a </w:t>
      </w:r>
      <w:r w:rsidRPr="00BE6650">
        <w:rPr>
          <w:rFonts w:asciiTheme="minorHAnsi" w:hAnsiTheme="minorHAnsi"/>
          <w:snapToGrid w:val="0"/>
        </w:rPr>
        <w:t>subgroup of patients who had TCR/PR MM</w:t>
      </w:r>
      <w:r w:rsidR="00797FAC" w:rsidRPr="00BE6650">
        <w:rPr>
          <w:rFonts w:asciiTheme="minorHAnsi" w:hAnsiTheme="minorHAnsi"/>
          <w:snapToGrid w:val="0"/>
        </w:rPr>
        <w:t xml:space="preserve">. In addition, the PBAC noted that the submission presented </w:t>
      </w:r>
      <w:r w:rsidRPr="00BE6650">
        <w:rPr>
          <w:rFonts w:asciiTheme="minorHAnsi" w:hAnsiTheme="minorHAnsi"/>
          <w:snapToGrid w:val="0"/>
        </w:rPr>
        <w:t xml:space="preserve">naïve indirect </w:t>
      </w:r>
      <w:r w:rsidR="00635D0B" w:rsidRPr="00BE6650">
        <w:rPr>
          <w:rFonts w:asciiTheme="minorHAnsi" w:hAnsiTheme="minorHAnsi"/>
          <w:snapToGrid w:val="0"/>
        </w:rPr>
        <w:t xml:space="preserve">treatment </w:t>
      </w:r>
      <w:r w:rsidRPr="00BE6650">
        <w:rPr>
          <w:rFonts w:asciiTheme="minorHAnsi" w:hAnsiTheme="minorHAnsi"/>
          <w:snapToGrid w:val="0"/>
        </w:rPr>
        <w:t>comparison</w:t>
      </w:r>
      <w:r w:rsidR="00F61B10" w:rsidRPr="00BE6650">
        <w:rPr>
          <w:rFonts w:asciiTheme="minorHAnsi" w:hAnsiTheme="minorHAnsi"/>
          <w:snapToGrid w:val="0"/>
        </w:rPr>
        <w:t>s</w:t>
      </w:r>
      <w:r w:rsidRPr="00BE6650">
        <w:rPr>
          <w:rFonts w:asciiTheme="minorHAnsi" w:hAnsiTheme="minorHAnsi"/>
          <w:snapToGrid w:val="0"/>
        </w:rPr>
        <w:t xml:space="preserve"> </w:t>
      </w:r>
      <w:r w:rsidR="00635D0B" w:rsidRPr="00BE6650">
        <w:rPr>
          <w:rFonts w:asciiTheme="minorHAnsi" w:hAnsiTheme="minorHAnsi"/>
          <w:snapToGrid w:val="0"/>
        </w:rPr>
        <w:t xml:space="preserve">(ITCs) for overall survival (OS) and overall response rate (ORR) </w:t>
      </w:r>
      <w:r w:rsidR="00797FAC" w:rsidRPr="00BE6650">
        <w:rPr>
          <w:rFonts w:asciiTheme="minorHAnsi" w:hAnsiTheme="minorHAnsi"/>
          <w:snapToGrid w:val="0"/>
        </w:rPr>
        <w:t xml:space="preserve">between </w:t>
      </w:r>
      <w:r w:rsidRPr="00BE6650">
        <w:rPr>
          <w:rFonts w:asciiTheme="minorHAnsi" w:hAnsiTheme="minorHAnsi"/>
          <w:snapToGrid w:val="0"/>
        </w:rPr>
        <w:t>another subgroup of STORM, those with TCR/PE MM</w:t>
      </w:r>
      <w:r w:rsidR="00F61B10" w:rsidRPr="00BE6650">
        <w:rPr>
          <w:rFonts w:asciiTheme="minorHAnsi" w:hAnsiTheme="minorHAnsi"/>
          <w:snapToGrid w:val="0"/>
        </w:rPr>
        <w:t xml:space="preserve"> receiving Sd as the next subsequent treatment, and patients from two retrospective studies, MAMMOTH and FLATIRON.</w:t>
      </w:r>
      <w:r w:rsidR="00BD17DB" w:rsidRPr="00BE6650">
        <w:rPr>
          <w:rFonts w:asciiTheme="minorHAnsi" w:hAnsiTheme="minorHAnsi"/>
          <w:snapToGrid w:val="0"/>
        </w:rPr>
        <w:t xml:space="preserve"> The PBAC noted that the TCR/PE subgroup from STORM was used </w:t>
      </w:r>
      <w:r w:rsidR="00384F9A" w:rsidRPr="00BE6650">
        <w:rPr>
          <w:rFonts w:asciiTheme="minorHAnsi" w:hAnsiTheme="minorHAnsi"/>
          <w:snapToGrid w:val="0"/>
        </w:rPr>
        <w:t>to align with patients from MAMMOTH who had TCR/PE MM and received at least one further line of conventional therapy.</w:t>
      </w:r>
    </w:p>
    <w:p w14:paraId="30FDF9B9" w14:textId="77777777" w:rsidR="00F61B10" w:rsidRPr="00BE6650" w:rsidRDefault="00F61B10"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noted that for the TCR/PR MM subgroup</w:t>
      </w:r>
      <w:r w:rsidR="00B561CA" w:rsidRPr="00BE6650">
        <w:rPr>
          <w:rFonts w:asciiTheme="minorHAnsi" w:hAnsiTheme="minorHAnsi"/>
          <w:snapToGrid w:val="0"/>
        </w:rPr>
        <w:t xml:space="preserve"> treated with Sd</w:t>
      </w:r>
      <w:r w:rsidRPr="00BE6650">
        <w:rPr>
          <w:rFonts w:asciiTheme="minorHAnsi" w:hAnsiTheme="minorHAnsi"/>
          <w:snapToGrid w:val="0"/>
        </w:rPr>
        <w:t xml:space="preserve">, the median OS was 8.4 months (95% CI: 6.2, 11.2), median progression free survival (PFS) was 2.8 months (95% CI: 1.9, 4.3) </w:t>
      </w:r>
      <w:r w:rsidR="006F1B84" w:rsidRPr="00BE6650">
        <w:rPr>
          <w:rFonts w:asciiTheme="minorHAnsi" w:hAnsiTheme="minorHAnsi"/>
          <w:snapToGrid w:val="0"/>
        </w:rPr>
        <w:t>and the ORR was 25.3% (95% CI: 16.4%, 36.0%).</w:t>
      </w:r>
      <w:r w:rsidR="00384F9A" w:rsidRPr="00BE6650">
        <w:rPr>
          <w:rFonts w:asciiTheme="minorHAnsi" w:hAnsiTheme="minorHAnsi"/>
          <w:snapToGrid w:val="0"/>
        </w:rPr>
        <w:t xml:space="preserve"> For the TCR/PE MM subgroup who received Sd as the next subsequent treatment, the PBAC noted that median OS was 10.4 months (95% CI: 7.2, 13.7) and the ORR was 32.8% (95% CI: NR, NR). </w:t>
      </w:r>
    </w:p>
    <w:p w14:paraId="1A62014E" w14:textId="77777777" w:rsidR="00BC555A" w:rsidRPr="00BE6650" w:rsidRDefault="0009645A"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The PBAC </w:t>
      </w:r>
      <w:r w:rsidR="00BC555A" w:rsidRPr="00BE6650">
        <w:rPr>
          <w:rFonts w:asciiTheme="minorHAnsi" w:hAnsiTheme="minorHAnsi"/>
          <w:snapToGrid w:val="0"/>
        </w:rPr>
        <w:t xml:space="preserve">considered that the naïve ITCs between the TCR/PE subgroup of STORM and the MAMMOTH and FLATIRON retrospective studies were highly uncertain as: </w:t>
      </w:r>
    </w:p>
    <w:p w14:paraId="3CD8D1AC" w14:textId="77777777" w:rsidR="00797FAC" w:rsidRPr="00BE6650" w:rsidRDefault="00797FAC" w:rsidP="00BC555A">
      <w:pPr>
        <w:widowControl w:val="0"/>
        <w:numPr>
          <w:ilvl w:val="1"/>
          <w:numId w:val="31"/>
        </w:numPr>
        <w:spacing w:after="120"/>
        <w:ind w:left="1077" w:hanging="357"/>
        <w:rPr>
          <w:rFonts w:asciiTheme="minorHAnsi" w:hAnsiTheme="minorHAnsi"/>
          <w:snapToGrid w:val="0"/>
        </w:rPr>
      </w:pPr>
      <w:r w:rsidRPr="00BE6650">
        <w:rPr>
          <w:rFonts w:asciiTheme="minorHAnsi" w:hAnsiTheme="minorHAnsi"/>
          <w:snapToGrid w:val="0"/>
        </w:rPr>
        <w:t>no comparative PFS data were presented;</w:t>
      </w:r>
    </w:p>
    <w:p w14:paraId="64F08022" w14:textId="77777777" w:rsidR="003A0562" w:rsidRPr="00BE6650" w:rsidRDefault="00797FAC" w:rsidP="003A0562">
      <w:pPr>
        <w:widowControl w:val="0"/>
        <w:numPr>
          <w:ilvl w:val="1"/>
          <w:numId w:val="31"/>
        </w:numPr>
        <w:spacing w:after="120"/>
        <w:ind w:left="1077" w:hanging="357"/>
        <w:rPr>
          <w:rFonts w:asciiTheme="minorHAnsi" w:hAnsiTheme="minorHAnsi"/>
          <w:snapToGrid w:val="0"/>
        </w:rPr>
      </w:pPr>
      <w:r w:rsidRPr="00BE6650">
        <w:rPr>
          <w:rFonts w:asciiTheme="minorHAnsi" w:hAnsiTheme="minorHAnsi"/>
          <w:snapToGrid w:val="0"/>
        </w:rPr>
        <w:t xml:space="preserve">there were </w:t>
      </w:r>
      <w:r w:rsidR="00BC555A" w:rsidRPr="00BE6650">
        <w:rPr>
          <w:rFonts w:asciiTheme="minorHAnsi" w:hAnsiTheme="minorHAnsi"/>
          <w:snapToGrid w:val="0"/>
        </w:rPr>
        <w:t xml:space="preserve">differences between the patient populations </w:t>
      </w:r>
      <w:r w:rsidRPr="00BE6650">
        <w:rPr>
          <w:rFonts w:asciiTheme="minorHAnsi" w:hAnsiTheme="minorHAnsi"/>
          <w:snapToGrid w:val="0"/>
        </w:rPr>
        <w:t xml:space="preserve">that indicated that STORM patients were healthier and had less advanced disease than those in MAMMOTH and FLATIRON </w:t>
      </w:r>
      <w:r w:rsidR="00BC555A" w:rsidRPr="00BE6650">
        <w:rPr>
          <w:rFonts w:asciiTheme="minorHAnsi" w:hAnsiTheme="minorHAnsi"/>
          <w:snapToGrid w:val="0"/>
        </w:rPr>
        <w:t>(see paragraph 6.12); and</w:t>
      </w:r>
    </w:p>
    <w:p w14:paraId="79709195" w14:textId="77777777" w:rsidR="006F1B84" w:rsidRPr="00BE6650" w:rsidRDefault="00797FAC" w:rsidP="003A0562">
      <w:pPr>
        <w:widowControl w:val="0"/>
        <w:numPr>
          <w:ilvl w:val="1"/>
          <w:numId w:val="31"/>
        </w:numPr>
        <w:spacing w:after="120"/>
        <w:ind w:left="1077" w:hanging="357"/>
        <w:rPr>
          <w:rFonts w:asciiTheme="minorHAnsi" w:hAnsiTheme="minorHAnsi"/>
          <w:snapToGrid w:val="0"/>
        </w:rPr>
      </w:pPr>
      <w:r w:rsidRPr="00BE6650">
        <w:rPr>
          <w:rFonts w:asciiTheme="minorHAnsi" w:hAnsiTheme="minorHAnsi"/>
          <w:snapToGrid w:val="0"/>
        </w:rPr>
        <w:t xml:space="preserve">there were </w:t>
      </w:r>
      <w:r w:rsidR="00BC555A" w:rsidRPr="00BE6650">
        <w:rPr>
          <w:rFonts w:asciiTheme="minorHAnsi" w:hAnsiTheme="minorHAnsi"/>
          <w:snapToGrid w:val="0"/>
        </w:rPr>
        <w:t>applicability issues including that</w:t>
      </w:r>
      <w:r w:rsidRPr="00BE6650">
        <w:rPr>
          <w:rFonts w:asciiTheme="minorHAnsi" w:hAnsiTheme="minorHAnsi"/>
          <w:snapToGrid w:val="0"/>
        </w:rPr>
        <w:t xml:space="preserve"> </w:t>
      </w:r>
      <w:r w:rsidR="003A0562" w:rsidRPr="00BE6650">
        <w:rPr>
          <w:rFonts w:asciiTheme="minorHAnsi" w:hAnsiTheme="minorHAnsi"/>
          <w:snapToGrid w:val="0"/>
        </w:rPr>
        <w:t xml:space="preserve">(i) </w:t>
      </w:r>
      <w:r w:rsidR="00BC555A" w:rsidRPr="00BE6650">
        <w:rPr>
          <w:rFonts w:asciiTheme="minorHAnsi" w:hAnsiTheme="minorHAnsi"/>
          <w:snapToGrid w:val="0"/>
        </w:rPr>
        <w:t xml:space="preserve">the TCR/PE subgroup of STORM was not the PBS-proposed population, and </w:t>
      </w:r>
      <w:r w:rsidR="003A0562" w:rsidRPr="00BE6650">
        <w:rPr>
          <w:rFonts w:asciiTheme="minorHAnsi" w:hAnsiTheme="minorHAnsi"/>
          <w:snapToGrid w:val="0"/>
        </w:rPr>
        <w:t xml:space="preserve">(ii) </w:t>
      </w:r>
      <w:r w:rsidR="00BC555A" w:rsidRPr="00BE6650">
        <w:rPr>
          <w:rFonts w:asciiTheme="minorHAnsi" w:hAnsiTheme="minorHAnsi"/>
          <w:snapToGrid w:val="0"/>
        </w:rPr>
        <w:t>MAMMOTH and FLATIRON did not represent the clinical outcomes of the proposed comparator (DCEP), but of conventional care (see paragraph 6.14)</w:t>
      </w:r>
      <w:r w:rsidRPr="00BE6650">
        <w:rPr>
          <w:rFonts w:asciiTheme="minorHAnsi" w:hAnsiTheme="minorHAnsi"/>
          <w:snapToGrid w:val="0"/>
        </w:rPr>
        <w:t>.</w:t>
      </w:r>
      <w:r w:rsidR="00BC555A" w:rsidRPr="00BE6650">
        <w:rPr>
          <w:rFonts w:asciiTheme="minorHAnsi" w:hAnsiTheme="minorHAnsi"/>
          <w:snapToGrid w:val="0"/>
        </w:rPr>
        <w:t xml:space="preserve"> </w:t>
      </w:r>
      <w:r w:rsidR="00635D0B" w:rsidRPr="00BE6650">
        <w:rPr>
          <w:rFonts w:asciiTheme="minorHAnsi" w:hAnsiTheme="minorHAnsi"/>
          <w:snapToGrid w:val="0"/>
        </w:rPr>
        <w:t xml:space="preserve">  </w:t>
      </w:r>
    </w:p>
    <w:p w14:paraId="6E8DFD48" w14:textId="77777777" w:rsidR="00384F9A" w:rsidRPr="00BE6650" w:rsidRDefault="00384F9A"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In addition, the PBAC noted that the results for the TCR/PE subgroup </w:t>
      </w:r>
      <w:r w:rsidR="00B6297F" w:rsidRPr="00BE6650">
        <w:rPr>
          <w:rFonts w:asciiTheme="minorHAnsi" w:hAnsiTheme="minorHAnsi"/>
          <w:snapToGrid w:val="0"/>
        </w:rPr>
        <w:t>from STORM were improved compared to the TCR/PR subgroup. The PBAC considered that it would be informative to see a comparison using data from the TRC/PR subgroup, as this was the proposed PBS population.</w:t>
      </w:r>
    </w:p>
    <w:p w14:paraId="583AB29C" w14:textId="77777777" w:rsidR="00797FAC" w:rsidRPr="00BE6650" w:rsidRDefault="00797FAC"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Overall, the PBAC considered that the submission</w:t>
      </w:r>
      <w:r w:rsidR="00DA06B9" w:rsidRPr="00BE6650">
        <w:rPr>
          <w:rFonts w:asciiTheme="minorHAnsi" w:hAnsiTheme="minorHAnsi"/>
          <w:snapToGrid w:val="0"/>
        </w:rPr>
        <w:t>’</w:t>
      </w:r>
      <w:r w:rsidRPr="00BE6650">
        <w:rPr>
          <w:rFonts w:asciiTheme="minorHAnsi" w:hAnsiTheme="minorHAnsi"/>
          <w:snapToGrid w:val="0"/>
        </w:rPr>
        <w:t>s claim that Sd was superior compared to DCEP in terms of efficacy was not supported.</w:t>
      </w:r>
    </w:p>
    <w:p w14:paraId="5EE2E376" w14:textId="77777777" w:rsidR="00797FAC" w:rsidRPr="00BE6650" w:rsidRDefault="00797FAC"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The PBAC noted that the majority of patients in the STORM study experienced </w:t>
      </w:r>
      <w:r w:rsidR="008B0825" w:rsidRPr="00BE6650">
        <w:rPr>
          <w:rFonts w:asciiTheme="minorHAnsi" w:hAnsiTheme="minorHAnsi"/>
          <w:snapToGrid w:val="0"/>
        </w:rPr>
        <w:t xml:space="preserve">a Grade </w:t>
      </w:r>
      <w:r w:rsidR="008B0825" w:rsidRPr="00BE6650">
        <w:rPr>
          <w:rFonts w:asciiTheme="minorHAnsi" w:hAnsiTheme="minorHAnsi" w:cstheme="minorHAnsi"/>
          <w:snapToGrid w:val="0"/>
        </w:rPr>
        <w:t>≥</w:t>
      </w:r>
      <w:r w:rsidR="008B0825" w:rsidRPr="00BE6650">
        <w:rPr>
          <w:rFonts w:asciiTheme="minorHAnsi" w:hAnsiTheme="minorHAnsi"/>
          <w:snapToGrid w:val="0"/>
        </w:rPr>
        <w:t xml:space="preserve"> 3 adverse event (93.5%), with patients experiencing high rates of Grade </w:t>
      </w:r>
      <w:r w:rsidR="008B0825" w:rsidRPr="00BE6650">
        <w:rPr>
          <w:rFonts w:asciiTheme="minorHAnsi" w:hAnsiTheme="minorHAnsi" w:cstheme="minorHAnsi"/>
          <w:snapToGrid w:val="0"/>
        </w:rPr>
        <w:t>≥</w:t>
      </w:r>
      <w:r w:rsidR="008B0825" w:rsidRPr="00BE6650">
        <w:rPr>
          <w:rFonts w:asciiTheme="minorHAnsi" w:hAnsiTheme="minorHAnsi"/>
          <w:snapToGrid w:val="0"/>
        </w:rPr>
        <w:t xml:space="preserve"> 3 haematological and gastrointestinal adverse events and events resulting in dose modifications or discontinuation. The PBAC noted that no comparative safety data were presented for DCEP. Therefore, the PBAC considered that the submission</w:t>
      </w:r>
      <w:r w:rsidR="00783CA1" w:rsidRPr="00BE6650">
        <w:rPr>
          <w:rFonts w:asciiTheme="minorHAnsi" w:hAnsiTheme="minorHAnsi"/>
          <w:snapToGrid w:val="0"/>
        </w:rPr>
        <w:t>’</w:t>
      </w:r>
      <w:r w:rsidR="008B0825" w:rsidRPr="00BE6650">
        <w:rPr>
          <w:rFonts w:asciiTheme="minorHAnsi" w:hAnsiTheme="minorHAnsi"/>
          <w:snapToGrid w:val="0"/>
        </w:rPr>
        <w:t xml:space="preserve">s claim that Sd was superior to DCEP in terms of </w:t>
      </w:r>
      <w:r w:rsidR="00DA06B9" w:rsidRPr="00BE6650">
        <w:rPr>
          <w:rFonts w:asciiTheme="minorHAnsi" w:hAnsiTheme="minorHAnsi"/>
          <w:snapToGrid w:val="0"/>
        </w:rPr>
        <w:t>safety</w:t>
      </w:r>
      <w:r w:rsidR="008B0825" w:rsidRPr="00BE6650">
        <w:rPr>
          <w:rFonts w:asciiTheme="minorHAnsi" w:hAnsiTheme="minorHAnsi"/>
          <w:snapToGrid w:val="0"/>
        </w:rPr>
        <w:t xml:space="preserve"> </w:t>
      </w:r>
      <w:r w:rsidR="00783CA1" w:rsidRPr="00BE6650">
        <w:rPr>
          <w:rFonts w:asciiTheme="minorHAnsi" w:hAnsiTheme="minorHAnsi"/>
          <w:snapToGrid w:val="0"/>
        </w:rPr>
        <w:t>was</w:t>
      </w:r>
      <w:r w:rsidR="008B0825" w:rsidRPr="00BE6650">
        <w:rPr>
          <w:rFonts w:asciiTheme="minorHAnsi" w:hAnsiTheme="minorHAnsi"/>
          <w:snapToGrid w:val="0"/>
        </w:rPr>
        <w:t xml:space="preserve"> not supported.</w:t>
      </w:r>
    </w:p>
    <w:p w14:paraId="413D0913" w14:textId="77777777" w:rsidR="008B0825" w:rsidRPr="00BE6650" w:rsidRDefault="002601CD"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 xml:space="preserve">The PBAC considered that as the clinical data presented in the submission did not support the claims that Sd was superior in terms of efficacy and safety compared to DCEP, the cost utility analysis was not </w:t>
      </w:r>
      <w:r w:rsidR="00E31C20" w:rsidRPr="00BE6650">
        <w:rPr>
          <w:rFonts w:asciiTheme="minorHAnsi" w:hAnsiTheme="minorHAnsi"/>
          <w:snapToGrid w:val="0"/>
        </w:rPr>
        <w:t>justified.</w:t>
      </w:r>
      <w:r w:rsidRPr="00BE6650">
        <w:rPr>
          <w:rFonts w:asciiTheme="minorHAnsi" w:hAnsiTheme="minorHAnsi"/>
          <w:snapToGrid w:val="0"/>
        </w:rPr>
        <w:t xml:space="preserve"> </w:t>
      </w:r>
      <w:r w:rsidR="00E31C20" w:rsidRPr="00BE6650">
        <w:rPr>
          <w:rFonts w:asciiTheme="minorHAnsi" w:hAnsiTheme="minorHAnsi"/>
          <w:snapToGrid w:val="0"/>
        </w:rPr>
        <w:t>In addition, the PBAC noted that the clinical outcomes used in the economic model, although consistent with the proposed PBS population, were based on the TCR/PR MM subgroup from STORM</w:t>
      </w:r>
      <w:r w:rsidR="00783CA1" w:rsidRPr="00BE6650">
        <w:rPr>
          <w:rFonts w:asciiTheme="minorHAnsi" w:hAnsiTheme="minorHAnsi"/>
          <w:snapToGrid w:val="0"/>
        </w:rPr>
        <w:t xml:space="preserve"> whereas</w:t>
      </w:r>
      <w:r w:rsidR="00E31C20" w:rsidRPr="00BE6650">
        <w:rPr>
          <w:rFonts w:asciiTheme="minorHAnsi" w:hAnsiTheme="minorHAnsi"/>
          <w:snapToGrid w:val="0"/>
        </w:rPr>
        <w:t xml:space="preserve"> the naïve ITC was based on the TCR/PE MM subgroup. The PBAC noted other uncertainties, including</w:t>
      </w:r>
      <w:r w:rsidR="00023391" w:rsidRPr="00BE6650">
        <w:rPr>
          <w:rFonts w:asciiTheme="minorHAnsi" w:hAnsiTheme="minorHAnsi"/>
          <w:snapToGrid w:val="0"/>
        </w:rPr>
        <w:t xml:space="preserve"> the</w:t>
      </w:r>
      <w:r w:rsidR="00E31C20" w:rsidRPr="00BE6650">
        <w:rPr>
          <w:rFonts w:asciiTheme="minorHAnsi" w:hAnsiTheme="minorHAnsi"/>
          <w:snapToGrid w:val="0"/>
        </w:rPr>
        <w:t>:</w:t>
      </w:r>
    </w:p>
    <w:p w14:paraId="5D91E442" w14:textId="77777777" w:rsidR="00E31C20" w:rsidRPr="00BE6650" w:rsidRDefault="00E31C20" w:rsidP="00023391">
      <w:pPr>
        <w:widowControl w:val="0"/>
        <w:numPr>
          <w:ilvl w:val="1"/>
          <w:numId w:val="33"/>
        </w:numPr>
        <w:spacing w:after="120"/>
        <w:ind w:left="1077" w:hanging="357"/>
        <w:rPr>
          <w:rFonts w:asciiTheme="minorHAnsi" w:hAnsiTheme="minorHAnsi"/>
          <w:snapToGrid w:val="0"/>
        </w:rPr>
      </w:pPr>
      <w:r w:rsidRPr="00BE6650">
        <w:rPr>
          <w:rFonts w:asciiTheme="minorHAnsi" w:hAnsiTheme="minorHAnsi"/>
          <w:snapToGrid w:val="0"/>
        </w:rPr>
        <w:t>time horizon of 7 years. The PBAC considered that a 5</w:t>
      </w:r>
      <w:r w:rsidR="00D81ACC" w:rsidRPr="00BE6650">
        <w:rPr>
          <w:rFonts w:asciiTheme="minorHAnsi" w:hAnsiTheme="minorHAnsi"/>
          <w:snapToGrid w:val="0"/>
        </w:rPr>
        <w:t>-</w:t>
      </w:r>
      <w:r w:rsidRPr="00BE6650">
        <w:rPr>
          <w:rFonts w:asciiTheme="minorHAnsi" w:hAnsiTheme="minorHAnsi"/>
          <w:snapToGrid w:val="0"/>
        </w:rPr>
        <w:t>year time horizon would be more appropriate given STORM had limited follow up and there were no long</w:t>
      </w:r>
      <w:r w:rsidR="00D81ACC" w:rsidRPr="00BE6650">
        <w:rPr>
          <w:rFonts w:asciiTheme="minorHAnsi" w:hAnsiTheme="minorHAnsi"/>
          <w:snapToGrid w:val="0"/>
        </w:rPr>
        <w:t>-</w:t>
      </w:r>
      <w:r w:rsidRPr="00BE6650">
        <w:rPr>
          <w:rFonts w:asciiTheme="minorHAnsi" w:hAnsiTheme="minorHAnsi"/>
          <w:snapToGrid w:val="0"/>
        </w:rPr>
        <w:t>term data for OS outcomes;</w:t>
      </w:r>
    </w:p>
    <w:p w14:paraId="40EEA752" w14:textId="77777777" w:rsidR="00E31C20" w:rsidRPr="00BE6650" w:rsidRDefault="008F3807" w:rsidP="00023391">
      <w:pPr>
        <w:widowControl w:val="0"/>
        <w:numPr>
          <w:ilvl w:val="1"/>
          <w:numId w:val="33"/>
        </w:numPr>
        <w:spacing w:after="120"/>
        <w:ind w:left="1077" w:hanging="357"/>
        <w:rPr>
          <w:rFonts w:asciiTheme="minorHAnsi" w:hAnsiTheme="minorHAnsi"/>
          <w:snapToGrid w:val="0"/>
        </w:rPr>
      </w:pPr>
      <w:r w:rsidRPr="00BE6650">
        <w:rPr>
          <w:rFonts w:asciiTheme="minorHAnsi" w:hAnsiTheme="minorHAnsi"/>
          <w:snapToGrid w:val="0"/>
        </w:rPr>
        <w:t>modelled survival benefit</w:t>
      </w:r>
      <w:r w:rsidR="00464DC7" w:rsidRPr="00BE6650">
        <w:rPr>
          <w:rFonts w:asciiTheme="minorHAnsi" w:hAnsiTheme="minorHAnsi"/>
          <w:snapToGrid w:val="0"/>
        </w:rPr>
        <w:t xml:space="preserve"> that resulted in 3.2% of Sd patients alive at the end of the 7</w:t>
      </w:r>
      <w:r w:rsidR="00D81ACC" w:rsidRPr="00BE6650">
        <w:rPr>
          <w:rFonts w:asciiTheme="minorHAnsi" w:hAnsiTheme="minorHAnsi"/>
          <w:snapToGrid w:val="0"/>
        </w:rPr>
        <w:t>-</w:t>
      </w:r>
      <w:r w:rsidR="00464DC7" w:rsidRPr="00BE6650">
        <w:rPr>
          <w:rFonts w:asciiTheme="minorHAnsi" w:hAnsiTheme="minorHAnsi"/>
          <w:snapToGrid w:val="0"/>
        </w:rPr>
        <w:t xml:space="preserve">year time horizon. The PBAC, noting that 81% of the life years gained were in the progressed disease state, considered that the modelled survival benefit was </w:t>
      </w:r>
      <w:r w:rsidR="00DA06B9" w:rsidRPr="00BE6650">
        <w:rPr>
          <w:rFonts w:asciiTheme="minorHAnsi" w:hAnsiTheme="minorHAnsi"/>
          <w:snapToGrid w:val="0"/>
        </w:rPr>
        <w:t xml:space="preserve">optimistic and </w:t>
      </w:r>
      <w:r w:rsidR="00464DC7" w:rsidRPr="00BE6650">
        <w:rPr>
          <w:rFonts w:asciiTheme="minorHAnsi" w:hAnsiTheme="minorHAnsi"/>
          <w:snapToGrid w:val="0"/>
        </w:rPr>
        <w:t>not reasonable;</w:t>
      </w:r>
    </w:p>
    <w:p w14:paraId="1E95CB7C" w14:textId="77777777" w:rsidR="00E31C20" w:rsidRPr="00BE6650" w:rsidRDefault="00464DC7" w:rsidP="00023391">
      <w:pPr>
        <w:widowControl w:val="0"/>
        <w:numPr>
          <w:ilvl w:val="1"/>
          <w:numId w:val="33"/>
        </w:numPr>
        <w:spacing w:after="120"/>
        <w:ind w:left="1077" w:hanging="357"/>
        <w:rPr>
          <w:rFonts w:asciiTheme="minorHAnsi" w:hAnsiTheme="minorHAnsi"/>
          <w:snapToGrid w:val="0"/>
        </w:rPr>
      </w:pPr>
      <w:r w:rsidRPr="00BE6650">
        <w:rPr>
          <w:rFonts w:asciiTheme="minorHAnsi" w:hAnsiTheme="minorHAnsi"/>
          <w:snapToGrid w:val="0"/>
        </w:rPr>
        <w:t>modelled benefit in PFS was not supported by the evidence presented,</w:t>
      </w:r>
      <w:r w:rsidR="00023391" w:rsidRPr="00BE6650">
        <w:rPr>
          <w:rFonts w:asciiTheme="minorHAnsi" w:hAnsiTheme="minorHAnsi"/>
          <w:snapToGrid w:val="0"/>
        </w:rPr>
        <w:t xml:space="preserve"> as PFS was not reported for the MAMMOTH population; </w:t>
      </w:r>
    </w:p>
    <w:p w14:paraId="73AC0D97" w14:textId="77777777" w:rsidR="00B6297F" w:rsidRPr="00BE6650" w:rsidRDefault="00464DC7" w:rsidP="00023391">
      <w:pPr>
        <w:widowControl w:val="0"/>
        <w:numPr>
          <w:ilvl w:val="1"/>
          <w:numId w:val="33"/>
        </w:numPr>
        <w:spacing w:after="120"/>
        <w:ind w:left="1077" w:hanging="357"/>
        <w:rPr>
          <w:rFonts w:asciiTheme="minorHAnsi" w:hAnsiTheme="minorHAnsi"/>
          <w:snapToGrid w:val="0"/>
        </w:rPr>
      </w:pPr>
      <w:r w:rsidRPr="00BE6650">
        <w:rPr>
          <w:rFonts w:asciiTheme="minorHAnsi" w:hAnsiTheme="minorHAnsi"/>
          <w:snapToGrid w:val="0"/>
        </w:rPr>
        <w:t>model did not account for post progression treatment costs despite 50% of patients in STORM receiving subsequent treatment following Sd</w:t>
      </w:r>
      <w:r w:rsidR="00B6297F" w:rsidRPr="00BE6650">
        <w:rPr>
          <w:rFonts w:asciiTheme="minorHAnsi" w:hAnsiTheme="minorHAnsi"/>
          <w:snapToGrid w:val="0"/>
        </w:rPr>
        <w:t xml:space="preserve">; and </w:t>
      </w:r>
    </w:p>
    <w:p w14:paraId="2A9246E1" w14:textId="77777777" w:rsidR="00E31C20" w:rsidRPr="00BE6650" w:rsidRDefault="00B6297F" w:rsidP="00023391">
      <w:pPr>
        <w:widowControl w:val="0"/>
        <w:numPr>
          <w:ilvl w:val="1"/>
          <w:numId w:val="33"/>
        </w:numPr>
        <w:spacing w:after="120"/>
        <w:ind w:left="1077" w:hanging="357"/>
        <w:rPr>
          <w:rFonts w:asciiTheme="minorHAnsi" w:hAnsiTheme="minorHAnsi"/>
          <w:snapToGrid w:val="0"/>
        </w:rPr>
      </w:pPr>
      <w:r w:rsidRPr="00BE6650">
        <w:rPr>
          <w:rFonts w:asciiTheme="minorHAnsi" w:hAnsiTheme="minorHAnsi"/>
          <w:snapToGrid w:val="0"/>
        </w:rPr>
        <w:t>underestimation of adverse events costs associated with Sd</w:t>
      </w:r>
      <w:r w:rsidR="008C0407" w:rsidRPr="00BE6650">
        <w:rPr>
          <w:rFonts w:asciiTheme="minorHAnsi" w:hAnsiTheme="minorHAnsi"/>
          <w:snapToGrid w:val="0"/>
        </w:rPr>
        <w:t xml:space="preserve"> as the model assumed patients experienced an event only once and that events were resolved within one treatment cycle</w:t>
      </w:r>
      <w:r w:rsidR="00023391" w:rsidRPr="00BE6650">
        <w:rPr>
          <w:rFonts w:asciiTheme="minorHAnsi" w:hAnsiTheme="minorHAnsi"/>
          <w:snapToGrid w:val="0"/>
        </w:rPr>
        <w:t>.</w:t>
      </w:r>
    </w:p>
    <w:p w14:paraId="48B5E44E" w14:textId="77777777" w:rsidR="008953C0" w:rsidRPr="00BE6650" w:rsidRDefault="00023391" w:rsidP="00A30160">
      <w:pPr>
        <w:pStyle w:val="3-BodyText"/>
      </w:pPr>
      <w:r w:rsidRPr="00BE6650">
        <w:t xml:space="preserve">The PBAC considered that the resultant </w:t>
      </w:r>
      <w:r w:rsidR="00942086" w:rsidRPr="00BE6650">
        <w:t>incremental cost effectiveness ratio (</w:t>
      </w:r>
      <w:r w:rsidRPr="00BE6650">
        <w:t>ICER</w:t>
      </w:r>
      <w:r w:rsidR="00942086" w:rsidRPr="00BE6650">
        <w:t>)</w:t>
      </w:r>
      <w:r w:rsidRPr="00BE6650">
        <w:t xml:space="preserve"> of </w:t>
      </w:r>
      <w:r w:rsidR="00A30160" w:rsidRPr="00A30160">
        <w:t xml:space="preserve">$55,000 to &lt; $75,000 </w:t>
      </w:r>
      <w:r w:rsidRPr="00BE6650">
        <w:t xml:space="preserve">per </w:t>
      </w:r>
      <w:r w:rsidR="00942086" w:rsidRPr="00BE6650">
        <w:t>quality adjusted life year (</w:t>
      </w:r>
      <w:r w:rsidRPr="00BE6650">
        <w:t>QALY</w:t>
      </w:r>
      <w:r w:rsidR="00942086" w:rsidRPr="00BE6650">
        <w:t>)</w:t>
      </w:r>
      <w:r w:rsidRPr="00BE6650">
        <w:t xml:space="preserve"> was highly uncertain and likely underestimated. The PBAC noted that the pre-PBAC response presented a revised base case which (i) applied a 5 year time horizon, (ii) incorporated post progression treatment costs, (iii) assumed no PFS benefit, (iv) applied OS convergence from years 4 to 5, and (v) applied a reduced </w:t>
      </w:r>
      <w:r w:rsidR="00942086" w:rsidRPr="00BE6650">
        <w:t>price</w:t>
      </w:r>
      <w:r w:rsidRPr="00BE6650">
        <w:t xml:space="preserve"> for selinexor. The PBAC noted that the revised base case resulted an ICER of </w:t>
      </w:r>
      <w:r w:rsidR="00A30160" w:rsidRPr="00A30160">
        <w:t>$75,000 to &lt; $95,000</w:t>
      </w:r>
      <w:r w:rsidR="00A30160">
        <w:t xml:space="preserve"> </w:t>
      </w:r>
      <w:r w:rsidRPr="00BE6650">
        <w:t xml:space="preserve">per QALY. </w:t>
      </w:r>
      <w:bookmarkStart w:id="32" w:name="_Hlk79062682"/>
      <w:r w:rsidRPr="00BE6650">
        <w:t xml:space="preserve">The PBAC considered that </w:t>
      </w:r>
      <w:r w:rsidR="00B4592C" w:rsidRPr="00BE6650">
        <w:t xml:space="preserve">the revised base case </w:t>
      </w:r>
      <w:r w:rsidR="00B6297F" w:rsidRPr="00BE6650">
        <w:t xml:space="preserve">ICER remained unacceptably uncertain and, in this context, considered the ICER to be high. </w:t>
      </w:r>
      <w:bookmarkEnd w:id="32"/>
    </w:p>
    <w:p w14:paraId="05045184" w14:textId="77777777" w:rsidR="008953C0" w:rsidRPr="00BE6650" w:rsidRDefault="008953C0"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In terms of the utilisation and financial impact estimates, the PBAC agreed with the DUSC and considered that these were overestimated for the reasons outlined in paragraph 6.55.</w:t>
      </w:r>
    </w:p>
    <w:p w14:paraId="11B7EBE1" w14:textId="77777777" w:rsidR="008953C0" w:rsidRPr="00BE6650" w:rsidRDefault="008953C0"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noted that the submission did not propose a Risk Sharing Arrangement.</w:t>
      </w:r>
    </w:p>
    <w:p w14:paraId="57E0CFAF" w14:textId="77777777" w:rsidR="008953C0" w:rsidRPr="00BE6650" w:rsidRDefault="008953C0" w:rsidP="00617366">
      <w:pPr>
        <w:widowControl w:val="0"/>
        <w:numPr>
          <w:ilvl w:val="1"/>
          <w:numId w:val="1"/>
        </w:numPr>
        <w:spacing w:after="120"/>
        <w:ind w:left="720"/>
        <w:rPr>
          <w:rFonts w:asciiTheme="minorHAnsi" w:hAnsiTheme="minorHAnsi"/>
          <w:snapToGrid w:val="0"/>
        </w:rPr>
      </w:pPr>
      <w:r w:rsidRPr="00BE6650">
        <w:rPr>
          <w:rFonts w:asciiTheme="minorHAnsi" w:hAnsiTheme="minorHAnsi"/>
          <w:snapToGrid w:val="0"/>
        </w:rPr>
        <w:t>The PBAC considered that any future resubmission for Sd should present:</w:t>
      </w:r>
    </w:p>
    <w:p w14:paraId="668C4836" w14:textId="77777777" w:rsidR="008953C0" w:rsidRPr="00BE6650" w:rsidRDefault="00723330" w:rsidP="00723330">
      <w:pPr>
        <w:widowControl w:val="0"/>
        <w:numPr>
          <w:ilvl w:val="1"/>
          <w:numId w:val="34"/>
        </w:numPr>
        <w:spacing w:after="120"/>
        <w:ind w:left="1077" w:hanging="357"/>
        <w:rPr>
          <w:rFonts w:asciiTheme="minorHAnsi" w:hAnsiTheme="minorHAnsi"/>
          <w:snapToGrid w:val="0"/>
        </w:rPr>
      </w:pPr>
      <w:r w:rsidRPr="00BE6650">
        <w:rPr>
          <w:rFonts w:asciiTheme="minorHAnsi" w:hAnsiTheme="minorHAnsi"/>
          <w:snapToGrid w:val="0"/>
        </w:rPr>
        <w:t>e</w:t>
      </w:r>
      <w:r w:rsidR="008953C0" w:rsidRPr="00BE6650">
        <w:rPr>
          <w:rFonts w:asciiTheme="minorHAnsi" w:hAnsiTheme="minorHAnsi"/>
          <w:snapToGrid w:val="0"/>
        </w:rPr>
        <w:t>fficacy data for the proposed PBS population</w:t>
      </w:r>
      <w:r w:rsidR="00B6297F" w:rsidRPr="00BE6650">
        <w:rPr>
          <w:rFonts w:asciiTheme="minorHAnsi" w:hAnsiTheme="minorHAnsi"/>
          <w:snapToGrid w:val="0"/>
        </w:rPr>
        <w:t xml:space="preserve"> in the ITC</w:t>
      </w:r>
      <w:r w:rsidR="008953C0" w:rsidRPr="00BE6650">
        <w:rPr>
          <w:rFonts w:asciiTheme="minorHAnsi" w:hAnsiTheme="minorHAnsi"/>
          <w:snapToGrid w:val="0"/>
        </w:rPr>
        <w:t>;</w:t>
      </w:r>
    </w:p>
    <w:p w14:paraId="2EBB1F14" w14:textId="77777777" w:rsidR="008953C0" w:rsidRPr="00BE6650" w:rsidRDefault="00723330" w:rsidP="00723330">
      <w:pPr>
        <w:widowControl w:val="0"/>
        <w:numPr>
          <w:ilvl w:val="1"/>
          <w:numId w:val="34"/>
        </w:numPr>
        <w:spacing w:after="120"/>
        <w:ind w:left="1077" w:hanging="357"/>
        <w:rPr>
          <w:rFonts w:asciiTheme="minorHAnsi" w:hAnsiTheme="minorHAnsi"/>
          <w:snapToGrid w:val="0"/>
        </w:rPr>
      </w:pPr>
      <w:r w:rsidRPr="00BE6650">
        <w:rPr>
          <w:rFonts w:asciiTheme="minorHAnsi" w:hAnsiTheme="minorHAnsi"/>
          <w:snapToGrid w:val="0"/>
        </w:rPr>
        <w:t>c</w:t>
      </w:r>
      <w:r w:rsidR="008953C0" w:rsidRPr="00BE6650">
        <w:rPr>
          <w:rFonts w:asciiTheme="minorHAnsi" w:hAnsiTheme="minorHAnsi"/>
          <w:snapToGrid w:val="0"/>
        </w:rPr>
        <w:t>omparative safety data;</w:t>
      </w:r>
    </w:p>
    <w:p w14:paraId="5BA4057A" w14:textId="77777777" w:rsidR="008953C0" w:rsidRPr="00BE6650" w:rsidRDefault="00723330" w:rsidP="00723330">
      <w:pPr>
        <w:widowControl w:val="0"/>
        <w:numPr>
          <w:ilvl w:val="1"/>
          <w:numId w:val="34"/>
        </w:numPr>
        <w:spacing w:after="120"/>
        <w:ind w:left="1077" w:hanging="357"/>
        <w:rPr>
          <w:rFonts w:asciiTheme="minorHAnsi" w:hAnsiTheme="minorHAnsi"/>
          <w:snapToGrid w:val="0"/>
        </w:rPr>
      </w:pPr>
      <w:r w:rsidRPr="00BE6650">
        <w:rPr>
          <w:rFonts w:asciiTheme="minorHAnsi" w:hAnsiTheme="minorHAnsi"/>
          <w:snapToGrid w:val="0"/>
        </w:rPr>
        <w:t>a</w:t>
      </w:r>
      <w:r w:rsidR="008953C0" w:rsidRPr="00BE6650">
        <w:rPr>
          <w:rFonts w:asciiTheme="minorHAnsi" w:hAnsiTheme="minorHAnsi"/>
          <w:snapToGrid w:val="0"/>
        </w:rPr>
        <w:t xml:space="preserve"> revised economic model </w:t>
      </w:r>
      <w:r w:rsidR="00B6297F" w:rsidRPr="00BE6650">
        <w:rPr>
          <w:rFonts w:asciiTheme="minorHAnsi" w:hAnsiTheme="minorHAnsi"/>
          <w:snapToGrid w:val="0"/>
        </w:rPr>
        <w:t xml:space="preserve">which </w:t>
      </w:r>
      <w:r w:rsidR="00E21801" w:rsidRPr="00BE6650">
        <w:rPr>
          <w:rFonts w:asciiTheme="minorHAnsi" w:hAnsiTheme="minorHAnsi"/>
          <w:snapToGrid w:val="0"/>
        </w:rPr>
        <w:t>addressed the uncertainties outlined in paragraph 7.1</w:t>
      </w:r>
      <w:r w:rsidR="007E4CB0" w:rsidRPr="00BE6650">
        <w:rPr>
          <w:rFonts w:asciiTheme="minorHAnsi" w:hAnsiTheme="minorHAnsi"/>
          <w:snapToGrid w:val="0"/>
        </w:rPr>
        <w:t>1</w:t>
      </w:r>
      <w:r w:rsidR="00E21801" w:rsidRPr="00BE6650">
        <w:rPr>
          <w:rFonts w:asciiTheme="minorHAnsi" w:hAnsiTheme="minorHAnsi"/>
          <w:snapToGrid w:val="0"/>
        </w:rPr>
        <w:t xml:space="preserve"> and </w:t>
      </w:r>
      <w:r w:rsidR="008953C0" w:rsidRPr="00BE6650">
        <w:rPr>
          <w:rFonts w:asciiTheme="minorHAnsi" w:hAnsiTheme="minorHAnsi"/>
          <w:snapToGrid w:val="0"/>
        </w:rPr>
        <w:t xml:space="preserve">that </w:t>
      </w:r>
      <w:r w:rsidR="00E21801" w:rsidRPr="00BE6650">
        <w:rPr>
          <w:rFonts w:asciiTheme="minorHAnsi" w:hAnsiTheme="minorHAnsi"/>
          <w:snapToGrid w:val="0"/>
        </w:rPr>
        <w:t>wa</w:t>
      </w:r>
      <w:r w:rsidR="008953C0" w:rsidRPr="00BE6650">
        <w:rPr>
          <w:rFonts w:asciiTheme="minorHAnsi" w:hAnsiTheme="minorHAnsi"/>
          <w:snapToGrid w:val="0"/>
        </w:rPr>
        <w:t>s conservative in its assumptions</w:t>
      </w:r>
      <w:r w:rsidR="00E21801" w:rsidRPr="00BE6650">
        <w:rPr>
          <w:rFonts w:asciiTheme="minorHAnsi" w:hAnsiTheme="minorHAnsi"/>
          <w:snapToGrid w:val="0"/>
        </w:rPr>
        <w:t xml:space="preserve">. The PBAC considered that the revised model should </w:t>
      </w:r>
      <w:r w:rsidR="008953C0" w:rsidRPr="00BE6650">
        <w:rPr>
          <w:rFonts w:asciiTheme="minorHAnsi" w:hAnsiTheme="minorHAnsi"/>
          <w:snapToGrid w:val="0"/>
        </w:rPr>
        <w:t xml:space="preserve">result in a base case ICER </w:t>
      </w:r>
      <w:r w:rsidR="00B6297F" w:rsidRPr="00BE6650">
        <w:rPr>
          <w:rFonts w:asciiTheme="minorHAnsi" w:hAnsiTheme="minorHAnsi"/>
          <w:snapToGrid w:val="0"/>
        </w:rPr>
        <w:t xml:space="preserve">which appropriately </w:t>
      </w:r>
      <w:r w:rsidR="008953C0" w:rsidRPr="00BE6650">
        <w:rPr>
          <w:rFonts w:asciiTheme="minorHAnsi" w:hAnsiTheme="minorHAnsi"/>
          <w:snapToGrid w:val="0"/>
        </w:rPr>
        <w:t>account</w:t>
      </w:r>
      <w:r w:rsidRPr="00BE6650">
        <w:rPr>
          <w:rFonts w:asciiTheme="minorHAnsi" w:hAnsiTheme="minorHAnsi"/>
          <w:snapToGrid w:val="0"/>
        </w:rPr>
        <w:t>ed</w:t>
      </w:r>
      <w:r w:rsidR="008953C0" w:rsidRPr="00BE6650">
        <w:rPr>
          <w:rFonts w:asciiTheme="minorHAnsi" w:hAnsiTheme="minorHAnsi"/>
          <w:snapToGrid w:val="0"/>
        </w:rPr>
        <w:t xml:space="preserve"> for the uncertain</w:t>
      </w:r>
      <w:r w:rsidR="00E21801" w:rsidRPr="00BE6650">
        <w:rPr>
          <w:rFonts w:asciiTheme="minorHAnsi" w:hAnsiTheme="minorHAnsi"/>
          <w:snapToGrid w:val="0"/>
        </w:rPr>
        <w:t>ties in the clinical data;</w:t>
      </w:r>
      <w:r w:rsidR="00C057F6" w:rsidRPr="00BE6650">
        <w:rPr>
          <w:rFonts w:asciiTheme="minorHAnsi" w:hAnsiTheme="minorHAnsi"/>
          <w:snapToGrid w:val="0"/>
        </w:rPr>
        <w:t xml:space="preserve"> and</w:t>
      </w:r>
    </w:p>
    <w:p w14:paraId="3E72F08A" w14:textId="77777777" w:rsidR="00E21801" w:rsidRPr="00BE6650" w:rsidRDefault="00D13D91" w:rsidP="00723330">
      <w:pPr>
        <w:widowControl w:val="0"/>
        <w:numPr>
          <w:ilvl w:val="1"/>
          <w:numId w:val="34"/>
        </w:numPr>
        <w:spacing w:after="120"/>
        <w:ind w:left="1077" w:hanging="357"/>
        <w:rPr>
          <w:rFonts w:asciiTheme="minorHAnsi" w:hAnsiTheme="minorHAnsi"/>
          <w:snapToGrid w:val="0"/>
        </w:rPr>
      </w:pPr>
      <w:r w:rsidRPr="00BE6650">
        <w:rPr>
          <w:rFonts w:asciiTheme="minorHAnsi" w:hAnsiTheme="minorHAnsi"/>
          <w:snapToGrid w:val="0"/>
        </w:rPr>
        <w:t>r</w:t>
      </w:r>
      <w:r w:rsidR="00E21801" w:rsidRPr="00BE6650">
        <w:rPr>
          <w:rFonts w:asciiTheme="minorHAnsi" w:hAnsiTheme="minorHAnsi"/>
          <w:snapToGrid w:val="0"/>
        </w:rPr>
        <w:t>evised utilisation and financial impact estimates which incorporate the advice provided by DUSC (paragraph 6.55)</w:t>
      </w:r>
      <w:r w:rsidR="00C057F6" w:rsidRPr="00BE6650">
        <w:rPr>
          <w:rFonts w:asciiTheme="minorHAnsi" w:hAnsiTheme="minorHAnsi"/>
          <w:snapToGrid w:val="0"/>
        </w:rPr>
        <w:t>.</w:t>
      </w:r>
    </w:p>
    <w:p w14:paraId="5A82A217" w14:textId="77777777" w:rsidR="00E21801" w:rsidRPr="00BE6650" w:rsidRDefault="00E21801" w:rsidP="00E21801">
      <w:pPr>
        <w:widowControl w:val="0"/>
        <w:numPr>
          <w:ilvl w:val="1"/>
          <w:numId w:val="1"/>
        </w:numPr>
        <w:spacing w:after="120"/>
        <w:ind w:left="720"/>
        <w:rPr>
          <w:rFonts w:asciiTheme="minorHAnsi" w:hAnsiTheme="minorHAnsi"/>
          <w:bCs/>
          <w:snapToGrid w:val="0"/>
        </w:rPr>
      </w:pPr>
      <w:r w:rsidRPr="00BE6650">
        <w:rPr>
          <w:rFonts w:asciiTheme="minorHAnsi" w:hAnsiTheme="minorHAnsi"/>
          <w:bCs/>
          <w:snapToGrid w:val="0"/>
        </w:rPr>
        <w:t>The resubmission may be lodged at any future standard due date for PBAC submission using the standard re-entry pathway.</w:t>
      </w:r>
    </w:p>
    <w:p w14:paraId="609142E4" w14:textId="77777777" w:rsidR="00E21801" w:rsidRPr="00BE6650" w:rsidRDefault="00E21801" w:rsidP="00E21801">
      <w:pPr>
        <w:widowControl w:val="0"/>
        <w:numPr>
          <w:ilvl w:val="1"/>
          <w:numId w:val="1"/>
        </w:numPr>
        <w:spacing w:after="120"/>
        <w:ind w:left="720"/>
        <w:rPr>
          <w:rFonts w:asciiTheme="minorHAnsi" w:hAnsiTheme="minorHAnsi"/>
          <w:bCs/>
          <w:snapToGrid w:val="0"/>
        </w:rPr>
      </w:pPr>
      <w:r w:rsidRPr="00BE6650">
        <w:rPr>
          <w:rFonts w:asciiTheme="minorHAnsi" w:hAnsiTheme="minorHAnsi"/>
          <w:bCs/>
          <w:snapToGrid w:val="0"/>
        </w:rPr>
        <w:t>The PBAC advised that this submission is eligible for an Independent Review.</w:t>
      </w:r>
    </w:p>
    <w:p w14:paraId="3FC00C4E" w14:textId="77777777" w:rsidR="00617366" w:rsidRPr="00BE6650" w:rsidRDefault="00617366" w:rsidP="00617366">
      <w:pPr>
        <w:spacing w:before="240"/>
        <w:rPr>
          <w:rFonts w:asciiTheme="minorHAnsi" w:hAnsiTheme="minorHAnsi"/>
          <w:b/>
          <w:bCs/>
          <w:snapToGrid w:val="0"/>
        </w:rPr>
      </w:pPr>
      <w:r w:rsidRPr="00BE6650">
        <w:rPr>
          <w:rFonts w:asciiTheme="minorHAnsi" w:hAnsiTheme="minorHAnsi"/>
          <w:b/>
          <w:bCs/>
          <w:snapToGrid w:val="0"/>
        </w:rPr>
        <w:t>Outcome:</w:t>
      </w:r>
    </w:p>
    <w:p w14:paraId="45A4E041" w14:textId="77777777" w:rsidR="00617366" w:rsidRPr="00BE6650" w:rsidRDefault="00617366" w:rsidP="00617366">
      <w:pPr>
        <w:rPr>
          <w:rFonts w:asciiTheme="minorHAnsi" w:hAnsiTheme="minorHAnsi"/>
          <w:bCs/>
          <w:snapToGrid w:val="0"/>
        </w:rPr>
      </w:pPr>
      <w:r w:rsidRPr="00BE6650">
        <w:rPr>
          <w:rFonts w:asciiTheme="minorHAnsi" w:hAnsiTheme="minorHAnsi"/>
          <w:bCs/>
          <w:snapToGrid w:val="0"/>
        </w:rPr>
        <w:t xml:space="preserve">Not recommended </w:t>
      </w:r>
    </w:p>
    <w:bookmarkEnd w:id="30"/>
    <w:bookmarkEnd w:id="31"/>
    <w:p w14:paraId="613C083C" w14:textId="77777777" w:rsidR="00617366" w:rsidRDefault="00617366" w:rsidP="00617366">
      <w:pPr>
        <w:widowControl w:val="0"/>
        <w:rPr>
          <w:rFonts w:asciiTheme="minorHAnsi" w:hAnsiTheme="minorHAnsi"/>
          <w:b/>
          <w:bCs/>
          <w:snapToGrid w:val="0"/>
        </w:rPr>
      </w:pPr>
    </w:p>
    <w:p w14:paraId="5714D1D8" w14:textId="77777777" w:rsidR="00713E55" w:rsidRPr="00713E55" w:rsidRDefault="00713E55" w:rsidP="00713E55">
      <w:pPr>
        <w:pStyle w:val="2-SectionHeading"/>
        <w:numPr>
          <w:ilvl w:val="0"/>
          <w:numId w:val="1"/>
        </w:numPr>
      </w:pPr>
      <w:r w:rsidRPr="00713E55">
        <w:t>Context for Decision</w:t>
      </w:r>
    </w:p>
    <w:p w14:paraId="54C32276" w14:textId="77777777" w:rsidR="00713E55" w:rsidRPr="007129F2" w:rsidRDefault="00713E55" w:rsidP="00713E55">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D0DDE49" w14:textId="77777777" w:rsidR="00713E55" w:rsidRPr="00713E55" w:rsidRDefault="00713E55" w:rsidP="00713E55">
      <w:pPr>
        <w:pStyle w:val="2-SectionHeading"/>
        <w:numPr>
          <w:ilvl w:val="0"/>
          <w:numId w:val="1"/>
        </w:numPr>
      </w:pPr>
      <w:r>
        <w:t>Sponsor’s Comment</w:t>
      </w:r>
    </w:p>
    <w:p w14:paraId="7815730E" w14:textId="77777777" w:rsidR="00713E55" w:rsidRPr="001179AC" w:rsidRDefault="00137D86" w:rsidP="00137D86">
      <w:pPr>
        <w:spacing w:after="120"/>
        <w:ind w:left="720"/>
        <w:rPr>
          <w:bCs/>
        </w:rPr>
      </w:pPr>
      <w:r w:rsidRPr="00137D86">
        <w:rPr>
          <w:bCs/>
        </w:rPr>
        <w:t>Antengene is committed to working with the PBAC to secure equitable access to selinexor for patients and physicians in penta-refractory multiple myeloma.  Patients at this late stage have very limited options and it is important for them to have access to novel agents with a new mechanism of action.  We wish to thank and acknowledge the contribution of clinicians, patients, and advocacy groups in supporting this submission.</w:t>
      </w:r>
    </w:p>
    <w:p w14:paraId="69EBC670" w14:textId="77777777" w:rsidR="00713E55" w:rsidRPr="00BE6650" w:rsidRDefault="00713E55" w:rsidP="00617366">
      <w:pPr>
        <w:widowControl w:val="0"/>
        <w:rPr>
          <w:rFonts w:asciiTheme="minorHAnsi" w:hAnsiTheme="minorHAnsi"/>
          <w:b/>
          <w:bCs/>
          <w:snapToGrid w:val="0"/>
        </w:rPr>
      </w:pPr>
    </w:p>
    <w:sectPr w:rsidR="00713E55" w:rsidRPr="00BE6650" w:rsidSect="009969F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B2A8" w14:textId="77777777" w:rsidR="00D66DBB" w:rsidRDefault="00D66DBB" w:rsidP="00124A51">
      <w:r>
        <w:separator/>
      </w:r>
    </w:p>
    <w:p w14:paraId="45B8AD6C" w14:textId="77777777" w:rsidR="00D66DBB" w:rsidRDefault="00D66DBB"/>
  </w:endnote>
  <w:endnote w:type="continuationSeparator" w:id="0">
    <w:p w14:paraId="6F2607FE" w14:textId="77777777" w:rsidR="00D66DBB" w:rsidRDefault="00D66DBB" w:rsidP="00124A51">
      <w:r>
        <w:continuationSeparator/>
      </w:r>
    </w:p>
    <w:p w14:paraId="210D7EA1" w14:textId="77777777" w:rsidR="00D66DBB" w:rsidRDefault="00D66DBB"/>
  </w:endnote>
  <w:endnote w:type="continuationNotice" w:id="1">
    <w:p w14:paraId="5F73317F" w14:textId="77777777" w:rsidR="00D66DBB" w:rsidRDefault="00D6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UI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F7D0" w14:textId="77777777" w:rsidR="00160ADA" w:rsidRDefault="0016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C0B8" w14:textId="77777777" w:rsidR="00713E55" w:rsidRDefault="00713E55">
    <w:pPr>
      <w:pStyle w:val="Footer"/>
    </w:pPr>
  </w:p>
  <w:bookmarkStart w:id="33" w:name="_Hlk76375156"/>
  <w:p w14:paraId="0DD0268B" w14:textId="7B2DE820" w:rsidR="00713E55" w:rsidRPr="00C04575" w:rsidRDefault="00713E55" w:rsidP="00C0457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9E7024">
      <w:rPr>
        <w:b/>
        <w:noProof/>
      </w:rPr>
      <w:t>22</w:t>
    </w:r>
    <w:r w:rsidRPr="00836F75">
      <w:rPr>
        <w:b/>
        <w:noProof/>
      </w:rPr>
      <w:fldChar w:fldCharType="end"/>
    </w:r>
    <w:bookmarkEnd w:id="3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364F" w14:textId="77777777" w:rsidR="00160ADA" w:rsidRDefault="0016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1875" w14:textId="77777777" w:rsidR="00D66DBB" w:rsidRDefault="00D66DBB" w:rsidP="00124A51">
      <w:r>
        <w:separator/>
      </w:r>
    </w:p>
    <w:p w14:paraId="5EAA2774" w14:textId="77777777" w:rsidR="00D66DBB" w:rsidRDefault="00D66DBB"/>
  </w:footnote>
  <w:footnote w:type="continuationSeparator" w:id="0">
    <w:p w14:paraId="00A65694" w14:textId="77777777" w:rsidR="00D66DBB" w:rsidRDefault="00D66DBB" w:rsidP="00124A51">
      <w:r>
        <w:continuationSeparator/>
      </w:r>
    </w:p>
    <w:p w14:paraId="08542697" w14:textId="77777777" w:rsidR="00D66DBB" w:rsidRDefault="00D66DBB"/>
  </w:footnote>
  <w:footnote w:type="continuationNotice" w:id="1">
    <w:p w14:paraId="37286F57" w14:textId="77777777" w:rsidR="00D66DBB" w:rsidRDefault="00D66D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0EA4" w14:textId="77777777" w:rsidR="00160ADA" w:rsidRDefault="00160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E181" w14:textId="77777777" w:rsidR="00713E55" w:rsidRPr="00056684" w:rsidRDefault="00713E55" w:rsidP="00C04575">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2021</w:t>
    </w:r>
    <w:r w:rsidRPr="00056684">
      <w:rPr>
        <w:rFonts w:asciiTheme="minorHAnsi" w:hAnsiTheme="minorHAnsi"/>
        <w:i/>
        <w:color w:val="808080"/>
      </w:rPr>
      <w:t xml:space="preserve"> PBAC Meeting</w:t>
    </w:r>
  </w:p>
  <w:p w14:paraId="1D9F0555" w14:textId="77777777" w:rsidR="00713E55" w:rsidRDefault="00713E5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EA3E" w14:textId="77777777" w:rsidR="00160ADA" w:rsidRDefault="0016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14294A"/>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E848F2"/>
    <w:multiLevelType w:val="multilevel"/>
    <w:tmpl w:val="1EC6D65A"/>
    <w:lvl w:ilvl="0">
      <w:start w:val="1"/>
      <w:numFmt w:val="bullet"/>
      <w:lvlText w:val=""/>
      <w:lvlJc w:val="left"/>
      <w:pPr>
        <w:ind w:left="720" w:hanging="720"/>
      </w:pPr>
      <w:rPr>
        <w:rFonts w:ascii="Symbol" w:hAnsi="Symbol" w:hint="default"/>
        <w:b/>
      </w:rPr>
    </w:lvl>
    <w:lvl w:ilvl="1">
      <w:start w:val="1"/>
      <w:numFmt w:val="decimal"/>
      <w:lvlText w:val="%1.%2"/>
      <w:lvlJc w:val="left"/>
      <w:pPr>
        <w:ind w:left="454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6F44"/>
    <w:multiLevelType w:val="hybridMultilevel"/>
    <w:tmpl w:val="F31E510A"/>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33F03"/>
    <w:multiLevelType w:val="multilevel"/>
    <w:tmpl w:val="1EC6D65A"/>
    <w:lvl w:ilvl="0">
      <w:start w:val="1"/>
      <w:numFmt w:val="bullet"/>
      <w:lvlText w:val=""/>
      <w:lvlJc w:val="left"/>
      <w:pPr>
        <w:ind w:left="720" w:hanging="720"/>
      </w:pPr>
      <w:rPr>
        <w:rFonts w:ascii="Symbol" w:hAnsi="Symbol" w:hint="default"/>
        <w:b/>
      </w:rPr>
    </w:lvl>
    <w:lvl w:ilvl="1">
      <w:start w:val="1"/>
      <w:numFmt w:val="decimal"/>
      <w:lvlText w:val="%1.%2"/>
      <w:lvlJc w:val="left"/>
      <w:pPr>
        <w:ind w:left="454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774F2"/>
    <w:multiLevelType w:val="multilevel"/>
    <w:tmpl w:val="926E27C8"/>
    <w:lvl w:ilvl="0">
      <w:start w:val="1"/>
      <w:numFmt w:val="decimal"/>
      <w:lvlText w:val="%1"/>
      <w:lvlJc w:val="left"/>
      <w:pPr>
        <w:ind w:left="720" w:hanging="720"/>
      </w:pPr>
      <w:rPr>
        <w:rFonts w:hint="default"/>
        <w:b/>
      </w:rPr>
    </w:lvl>
    <w:lvl w:ilvl="1">
      <w:start w:val="1"/>
      <w:numFmt w:val="lowerRoman"/>
      <w:lvlText w:val="%2."/>
      <w:lvlJc w:val="right"/>
      <w:pPr>
        <w:ind w:left="4547"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9313F6"/>
    <w:multiLevelType w:val="hybridMultilevel"/>
    <w:tmpl w:val="E7CC05DA"/>
    <w:lvl w:ilvl="0" w:tplc="B840FD3E">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0859FC"/>
    <w:multiLevelType w:val="multilevel"/>
    <w:tmpl w:val="1EC6D65A"/>
    <w:lvl w:ilvl="0">
      <w:start w:val="1"/>
      <w:numFmt w:val="bullet"/>
      <w:lvlText w:val=""/>
      <w:lvlJc w:val="left"/>
      <w:pPr>
        <w:ind w:left="720" w:hanging="720"/>
      </w:pPr>
      <w:rPr>
        <w:rFonts w:ascii="Symbol" w:hAnsi="Symbol" w:hint="default"/>
        <w:b/>
      </w:rPr>
    </w:lvl>
    <w:lvl w:ilvl="1">
      <w:start w:val="1"/>
      <w:numFmt w:val="decimal"/>
      <w:lvlText w:val="%1.%2"/>
      <w:lvlJc w:val="left"/>
      <w:pPr>
        <w:ind w:left="454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D5FCD"/>
    <w:multiLevelType w:val="multilevel"/>
    <w:tmpl w:val="0ACEE564"/>
    <w:lvl w:ilvl="0">
      <w:start w:val="1"/>
      <w:numFmt w:val="decimal"/>
      <w:lvlText w:val="%1"/>
      <w:lvlJc w:val="left"/>
      <w:pPr>
        <w:ind w:left="720" w:hanging="720"/>
      </w:pPr>
      <w:rPr>
        <w:rFonts w:hint="default"/>
        <w:b/>
      </w:rPr>
    </w:lvl>
    <w:lvl w:ilvl="1">
      <w:start w:val="1"/>
      <w:numFmt w:val="bullet"/>
      <w:lvlText w:val=""/>
      <w:lvlJc w:val="left"/>
      <w:pPr>
        <w:ind w:left="4547"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D05A1"/>
    <w:multiLevelType w:val="hybridMultilevel"/>
    <w:tmpl w:val="276C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11DE6"/>
    <w:multiLevelType w:val="hybridMultilevel"/>
    <w:tmpl w:val="6AEA01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3F5DD1"/>
    <w:multiLevelType w:val="hybridMultilevel"/>
    <w:tmpl w:val="E402D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0B6ECC"/>
    <w:multiLevelType w:val="hybridMultilevel"/>
    <w:tmpl w:val="C23E7B90"/>
    <w:lvl w:ilvl="0" w:tplc="ED1E5F1E">
      <w:start w:val="1"/>
      <w:numFmt w:val="bullet"/>
      <w:pStyle w:val="NormalBullets"/>
      <w:lvlText w:val=""/>
      <w:lvlJc w:val="left"/>
      <w:pPr>
        <w:ind w:left="3600" w:hanging="360"/>
      </w:pPr>
      <w:rPr>
        <w:rFonts w:ascii="Symbol" w:hAnsi="Symbol" w:hint="default"/>
      </w:rPr>
    </w:lvl>
    <w:lvl w:ilvl="1" w:tplc="9452778A" w:tentative="1">
      <w:start w:val="1"/>
      <w:numFmt w:val="bullet"/>
      <w:lvlText w:val="o"/>
      <w:lvlJc w:val="left"/>
      <w:pPr>
        <w:ind w:left="4320" w:hanging="360"/>
      </w:pPr>
      <w:rPr>
        <w:rFonts w:ascii="Courier New" w:hAnsi="Courier New" w:cs="Courier New" w:hint="default"/>
      </w:rPr>
    </w:lvl>
    <w:lvl w:ilvl="2" w:tplc="87E4D1D6" w:tentative="1">
      <w:start w:val="1"/>
      <w:numFmt w:val="bullet"/>
      <w:lvlText w:val=""/>
      <w:lvlJc w:val="left"/>
      <w:pPr>
        <w:ind w:left="5040" w:hanging="360"/>
      </w:pPr>
      <w:rPr>
        <w:rFonts w:ascii="Wingdings" w:hAnsi="Wingdings" w:hint="default"/>
      </w:rPr>
    </w:lvl>
    <w:lvl w:ilvl="3" w:tplc="B26EBE3C" w:tentative="1">
      <w:start w:val="1"/>
      <w:numFmt w:val="bullet"/>
      <w:lvlText w:val=""/>
      <w:lvlJc w:val="left"/>
      <w:pPr>
        <w:ind w:left="5760" w:hanging="360"/>
      </w:pPr>
      <w:rPr>
        <w:rFonts w:ascii="Symbol" w:hAnsi="Symbol" w:hint="default"/>
      </w:rPr>
    </w:lvl>
    <w:lvl w:ilvl="4" w:tplc="AF3E72D2" w:tentative="1">
      <w:start w:val="1"/>
      <w:numFmt w:val="bullet"/>
      <w:lvlText w:val="o"/>
      <w:lvlJc w:val="left"/>
      <w:pPr>
        <w:ind w:left="6480" w:hanging="360"/>
      </w:pPr>
      <w:rPr>
        <w:rFonts w:ascii="Courier New" w:hAnsi="Courier New" w:cs="Courier New" w:hint="default"/>
      </w:rPr>
    </w:lvl>
    <w:lvl w:ilvl="5" w:tplc="79F2BED2" w:tentative="1">
      <w:start w:val="1"/>
      <w:numFmt w:val="bullet"/>
      <w:lvlText w:val=""/>
      <w:lvlJc w:val="left"/>
      <w:pPr>
        <w:ind w:left="7200" w:hanging="360"/>
      </w:pPr>
      <w:rPr>
        <w:rFonts w:ascii="Wingdings" w:hAnsi="Wingdings" w:hint="default"/>
      </w:rPr>
    </w:lvl>
    <w:lvl w:ilvl="6" w:tplc="19321076" w:tentative="1">
      <w:start w:val="1"/>
      <w:numFmt w:val="bullet"/>
      <w:lvlText w:val=""/>
      <w:lvlJc w:val="left"/>
      <w:pPr>
        <w:ind w:left="7920" w:hanging="360"/>
      </w:pPr>
      <w:rPr>
        <w:rFonts w:ascii="Symbol" w:hAnsi="Symbol" w:hint="default"/>
      </w:rPr>
    </w:lvl>
    <w:lvl w:ilvl="7" w:tplc="C7A826BC" w:tentative="1">
      <w:start w:val="1"/>
      <w:numFmt w:val="bullet"/>
      <w:lvlText w:val="o"/>
      <w:lvlJc w:val="left"/>
      <w:pPr>
        <w:ind w:left="8640" w:hanging="360"/>
      </w:pPr>
      <w:rPr>
        <w:rFonts w:ascii="Courier New" w:hAnsi="Courier New" w:cs="Courier New" w:hint="default"/>
      </w:rPr>
    </w:lvl>
    <w:lvl w:ilvl="8" w:tplc="6F3A9138" w:tentative="1">
      <w:start w:val="1"/>
      <w:numFmt w:val="bullet"/>
      <w:lvlText w:val=""/>
      <w:lvlJc w:val="left"/>
      <w:pPr>
        <w:ind w:left="9360" w:hanging="360"/>
      </w:pPr>
      <w:rPr>
        <w:rFonts w:ascii="Wingdings" w:hAnsi="Wingdings" w:hint="default"/>
      </w:rPr>
    </w:lvl>
  </w:abstractNum>
  <w:abstractNum w:abstractNumId="18" w15:restartNumberingAfterBreak="0">
    <w:nsid w:val="42376C72"/>
    <w:multiLevelType w:val="hybridMultilevel"/>
    <w:tmpl w:val="C060BE9E"/>
    <w:lvl w:ilvl="0" w:tplc="EA1CC9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90598"/>
    <w:multiLevelType w:val="hybridMultilevel"/>
    <w:tmpl w:val="7972700C"/>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B4445"/>
    <w:multiLevelType w:val="multilevel"/>
    <w:tmpl w:val="878EEE02"/>
    <w:lvl w:ilvl="0">
      <w:start w:val="1"/>
      <w:numFmt w:val="bullet"/>
      <w:lvlText w:val=""/>
      <w:lvlJc w:val="left"/>
      <w:pPr>
        <w:ind w:left="720" w:hanging="720"/>
      </w:pPr>
      <w:rPr>
        <w:rFonts w:ascii="Symbol" w:hAnsi="Symbol" w:hint="default"/>
        <w:b/>
      </w:rPr>
    </w:lvl>
    <w:lvl w:ilvl="1">
      <w:start w:val="1"/>
      <w:numFmt w:val="bullet"/>
      <w:lvlText w:val=""/>
      <w:lvlJc w:val="left"/>
      <w:pPr>
        <w:ind w:left="4547"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ED32E0"/>
    <w:multiLevelType w:val="hybridMultilevel"/>
    <w:tmpl w:val="0A4EA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083511B"/>
    <w:multiLevelType w:val="hybridMultilevel"/>
    <w:tmpl w:val="EC1C9FB8"/>
    <w:lvl w:ilvl="0" w:tplc="5F08147A">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DF4685"/>
    <w:multiLevelType w:val="hybridMultilevel"/>
    <w:tmpl w:val="319CAB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44148"/>
    <w:multiLevelType w:val="multilevel"/>
    <w:tmpl w:val="72E403BA"/>
    <w:lvl w:ilvl="0">
      <w:start w:val="1"/>
      <w:numFmt w:val="decimal"/>
      <w:lvlText w:val="%1"/>
      <w:lvlJc w:val="left"/>
      <w:pPr>
        <w:ind w:left="720" w:hanging="720"/>
      </w:pPr>
      <w:rPr>
        <w:rFonts w:hint="default"/>
        <w:b/>
      </w:rPr>
    </w:lvl>
    <w:lvl w:ilvl="1">
      <w:start w:val="1"/>
      <w:numFmt w:val="bullet"/>
      <w:lvlText w:val=""/>
      <w:lvlJc w:val="left"/>
      <w:pPr>
        <w:ind w:left="4547"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0E60CA"/>
    <w:multiLevelType w:val="hybridMultilevel"/>
    <w:tmpl w:val="BF7EB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454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9"/>
  </w:num>
  <w:num w:numId="3">
    <w:abstractNumId w:val="0"/>
  </w:num>
  <w:num w:numId="4">
    <w:abstractNumId w:val="32"/>
  </w:num>
  <w:num w:numId="5">
    <w:abstractNumId w:val="18"/>
  </w:num>
  <w:num w:numId="6">
    <w:abstractNumId w:val="5"/>
  </w:num>
  <w:num w:numId="7">
    <w:abstractNumId w:val="17"/>
  </w:num>
  <w:num w:numId="8">
    <w:abstractNumId w:val="31"/>
  </w:num>
  <w:num w:numId="9">
    <w:abstractNumId w:val="27"/>
  </w:num>
  <w:num w:numId="10">
    <w:abstractNumId w:val="15"/>
  </w:num>
  <w:num w:numId="11">
    <w:abstractNumId w:val="26"/>
  </w:num>
  <w:num w:numId="12">
    <w:abstractNumId w:val="8"/>
  </w:num>
  <w:num w:numId="13">
    <w:abstractNumId w:val="20"/>
  </w:num>
  <w:num w:numId="14">
    <w:abstractNumId w:val="3"/>
  </w:num>
  <w:num w:numId="15">
    <w:abstractNumId w:val="28"/>
  </w:num>
  <w:num w:numId="16">
    <w:abstractNumId w:val="16"/>
  </w:num>
  <w:num w:numId="17">
    <w:abstractNumId w:val="24"/>
  </w:num>
  <w:num w:numId="18">
    <w:abstractNumId w:val="14"/>
  </w:num>
  <w:num w:numId="19">
    <w:abstractNumId w:val="22"/>
  </w:num>
  <w:num w:numId="20">
    <w:abstractNumId w:val="23"/>
  </w:num>
  <w:num w:numId="21">
    <w:abstractNumId w:val="4"/>
  </w:num>
  <w:num w:numId="22">
    <w:abstractNumId w:val="1"/>
  </w:num>
  <w:num w:numId="23">
    <w:abstractNumId w:val="10"/>
  </w:num>
  <w:num w:numId="24">
    <w:abstractNumId w:val="13"/>
  </w:num>
  <w:num w:numId="25">
    <w:abstractNumId w:val="9"/>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6"/>
  </w:num>
  <w:num w:numId="29">
    <w:abstractNumId w:val="11"/>
  </w:num>
  <w:num w:numId="30">
    <w:abstractNumId w:val="2"/>
  </w:num>
  <w:num w:numId="31">
    <w:abstractNumId w:val="21"/>
  </w:num>
  <w:num w:numId="32">
    <w:abstractNumId w:val="7"/>
  </w:num>
  <w:num w:numId="33">
    <w:abstractNumId w:val="12"/>
  </w:num>
  <w:num w:numId="34">
    <w:abstractNumId w:val="29"/>
  </w:num>
  <w:num w:numId="35">
    <w:abstractNumId w:val="32"/>
  </w:num>
  <w:num w:numId="3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07B"/>
    <w:rsid w:val="0000007D"/>
    <w:rsid w:val="000001B6"/>
    <w:rsid w:val="000001C2"/>
    <w:rsid w:val="000002C2"/>
    <w:rsid w:val="00000567"/>
    <w:rsid w:val="00000790"/>
    <w:rsid w:val="00000838"/>
    <w:rsid w:val="00000DD6"/>
    <w:rsid w:val="0000110B"/>
    <w:rsid w:val="00001786"/>
    <w:rsid w:val="0000187D"/>
    <w:rsid w:val="000018E4"/>
    <w:rsid w:val="00001C30"/>
    <w:rsid w:val="00001C85"/>
    <w:rsid w:val="00001E35"/>
    <w:rsid w:val="00001E58"/>
    <w:rsid w:val="00001F24"/>
    <w:rsid w:val="00001F8A"/>
    <w:rsid w:val="00002483"/>
    <w:rsid w:val="000033B0"/>
    <w:rsid w:val="00003483"/>
    <w:rsid w:val="00003499"/>
    <w:rsid w:val="000034A9"/>
    <w:rsid w:val="00003607"/>
    <w:rsid w:val="000039B7"/>
    <w:rsid w:val="00003DEC"/>
    <w:rsid w:val="00003E6D"/>
    <w:rsid w:val="0000409D"/>
    <w:rsid w:val="000041FA"/>
    <w:rsid w:val="000042B8"/>
    <w:rsid w:val="00004321"/>
    <w:rsid w:val="00004392"/>
    <w:rsid w:val="000044C7"/>
    <w:rsid w:val="000046FA"/>
    <w:rsid w:val="0000481C"/>
    <w:rsid w:val="000048C7"/>
    <w:rsid w:val="00004950"/>
    <w:rsid w:val="000049AB"/>
    <w:rsid w:val="00004EB8"/>
    <w:rsid w:val="000052D9"/>
    <w:rsid w:val="0000548E"/>
    <w:rsid w:val="000054F1"/>
    <w:rsid w:val="0000639A"/>
    <w:rsid w:val="00006574"/>
    <w:rsid w:val="00006818"/>
    <w:rsid w:val="00006BDE"/>
    <w:rsid w:val="00006CC4"/>
    <w:rsid w:val="00006CF5"/>
    <w:rsid w:val="00006E20"/>
    <w:rsid w:val="00006F39"/>
    <w:rsid w:val="0000770C"/>
    <w:rsid w:val="00007C97"/>
    <w:rsid w:val="00007EB8"/>
    <w:rsid w:val="00010093"/>
    <w:rsid w:val="00010124"/>
    <w:rsid w:val="00010179"/>
    <w:rsid w:val="000102CD"/>
    <w:rsid w:val="0001030A"/>
    <w:rsid w:val="000103BE"/>
    <w:rsid w:val="000106B5"/>
    <w:rsid w:val="00010A99"/>
    <w:rsid w:val="00010F01"/>
    <w:rsid w:val="000114B2"/>
    <w:rsid w:val="0001163A"/>
    <w:rsid w:val="000117B1"/>
    <w:rsid w:val="0001199E"/>
    <w:rsid w:val="00011A49"/>
    <w:rsid w:val="00011D21"/>
    <w:rsid w:val="000121E2"/>
    <w:rsid w:val="0001230C"/>
    <w:rsid w:val="0001234E"/>
    <w:rsid w:val="000124CC"/>
    <w:rsid w:val="00012C34"/>
    <w:rsid w:val="00012CD7"/>
    <w:rsid w:val="00012E33"/>
    <w:rsid w:val="0001307D"/>
    <w:rsid w:val="00013247"/>
    <w:rsid w:val="0001334E"/>
    <w:rsid w:val="000137C1"/>
    <w:rsid w:val="00013BC6"/>
    <w:rsid w:val="00013ECD"/>
    <w:rsid w:val="00014092"/>
    <w:rsid w:val="000144F0"/>
    <w:rsid w:val="00014652"/>
    <w:rsid w:val="0001479E"/>
    <w:rsid w:val="00014937"/>
    <w:rsid w:val="00015181"/>
    <w:rsid w:val="00015886"/>
    <w:rsid w:val="00015AAE"/>
    <w:rsid w:val="00016286"/>
    <w:rsid w:val="000162EF"/>
    <w:rsid w:val="000163E8"/>
    <w:rsid w:val="0001688D"/>
    <w:rsid w:val="000168BC"/>
    <w:rsid w:val="00016FF4"/>
    <w:rsid w:val="000172CD"/>
    <w:rsid w:val="0001745E"/>
    <w:rsid w:val="00017466"/>
    <w:rsid w:val="00017544"/>
    <w:rsid w:val="000175C5"/>
    <w:rsid w:val="0002014E"/>
    <w:rsid w:val="0002047E"/>
    <w:rsid w:val="0002071E"/>
    <w:rsid w:val="000207C9"/>
    <w:rsid w:val="00020C6E"/>
    <w:rsid w:val="00020C9A"/>
    <w:rsid w:val="00020E17"/>
    <w:rsid w:val="000210B2"/>
    <w:rsid w:val="000210F1"/>
    <w:rsid w:val="000213CF"/>
    <w:rsid w:val="00021466"/>
    <w:rsid w:val="00021677"/>
    <w:rsid w:val="00021717"/>
    <w:rsid w:val="0002183A"/>
    <w:rsid w:val="00021937"/>
    <w:rsid w:val="00021A45"/>
    <w:rsid w:val="00021BAE"/>
    <w:rsid w:val="00021C36"/>
    <w:rsid w:val="00022180"/>
    <w:rsid w:val="0002225F"/>
    <w:rsid w:val="0002236E"/>
    <w:rsid w:val="000224B2"/>
    <w:rsid w:val="00022962"/>
    <w:rsid w:val="00022B22"/>
    <w:rsid w:val="00022E01"/>
    <w:rsid w:val="00022E9E"/>
    <w:rsid w:val="00022FEB"/>
    <w:rsid w:val="0002303C"/>
    <w:rsid w:val="00023391"/>
    <w:rsid w:val="0002349F"/>
    <w:rsid w:val="00023763"/>
    <w:rsid w:val="00023AC9"/>
    <w:rsid w:val="00024016"/>
    <w:rsid w:val="0002418C"/>
    <w:rsid w:val="000242C4"/>
    <w:rsid w:val="000242EB"/>
    <w:rsid w:val="000243C9"/>
    <w:rsid w:val="00024870"/>
    <w:rsid w:val="00024B6F"/>
    <w:rsid w:val="00024DAF"/>
    <w:rsid w:val="00024F0F"/>
    <w:rsid w:val="00024F44"/>
    <w:rsid w:val="0002518C"/>
    <w:rsid w:val="000251EA"/>
    <w:rsid w:val="00025576"/>
    <w:rsid w:val="00025879"/>
    <w:rsid w:val="000260F9"/>
    <w:rsid w:val="0002615F"/>
    <w:rsid w:val="000261A0"/>
    <w:rsid w:val="000265CE"/>
    <w:rsid w:val="000274B8"/>
    <w:rsid w:val="000274F8"/>
    <w:rsid w:val="00027C6C"/>
    <w:rsid w:val="00027EE2"/>
    <w:rsid w:val="00030057"/>
    <w:rsid w:val="000300D9"/>
    <w:rsid w:val="00030435"/>
    <w:rsid w:val="00030CA3"/>
    <w:rsid w:val="00030FC5"/>
    <w:rsid w:val="0003104B"/>
    <w:rsid w:val="000312B7"/>
    <w:rsid w:val="000314D9"/>
    <w:rsid w:val="00031791"/>
    <w:rsid w:val="000320CA"/>
    <w:rsid w:val="000323EF"/>
    <w:rsid w:val="00032BCB"/>
    <w:rsid w:val="00032C49"/>
    <w:rsid w:val="00032D98"/>
    <w:rsid w:val="000331F1"/>
    <w:rsid w:val="0003332F"/>
    <w:rsid w:val="00033559"/>
    <w:rsid w:val="00033784"/>
    <w:rsid w:val="00033863"/>
    <w:rsid w:val="00033D30"/>
    <w:rsid w:val="00033F62"/>
    <w:rsid w:val="00033F71"/>
    <w:rsid w:val="00034038"/>
    <w:rsid w:val="0003410D"/>
    <w:rsid w:val="0003437D"/>
    <w:rsid w:val="0003438F"/>
    <w:rsid w:val="00034497"/>
    <w:rsid w:val="000344B7"/>
    <w:rsid w:val="00034B5F"/>
    <w:rsid w:val="00034E5C"/>
    <w:rsid w:val="00034F8F"/>
    <w:rsid w:val="0003529B"/>
    <w:rsid w:val="00035725"/>
    <w:rsid w:val="00035817"/>
    <w:rsid w:val="0003590F"/>
    <w:rsid w:val="00035DBC"/>
    <w:rsid w:val="00035DC0"/>
    <w:rsid w:val="00036290"/>
    <w:rsid w:val="00036304"/>
    <w:rsid w:val="000366BA"/>
    <w:rsid w:val="00036829"/>
    <w:rsid w:val="00036D61"/>
    <w:rsid w:val="00036D6F"/>
    <w:rsid w:val="00036EE9"/>
    <w:rsid w:val="0003707A"/>
    <w:rsid w:val="000371EE"/>
    <w:rsid w:val="00037612"/>
    <w:rsid w:val="0003763E"/>
    <w:rsid w:val="00037670"/>
    <w:rsid w:val="00037984"/>
    <w:rsid w:val="00037A49"/>
    <w:rsid w:val="00040182"/>
    <w:rsid w:val="000401EE"/>
    <w:rsid w:val="000407CF"/>
    <w:rsid w:val="00040895"/>
    <w:rsid w:val="00040A9C"/>
    <w:rsid w:val="00041053"/>
    <w:rsid w:val="000413D1"/>
    <w:rsid w:val="000414DF"/>
    <w:rsid w:val="00041C08"/>
    <w:rsid w:val="00041EAF"/>
    <w:rsid w:val="0004212D"/>
    <w:rsid w:val="000421A4"/>
    <w:rsid w:val="000426FC"/>
    <w:rsid w:val="000427ED"/>
    <w:rsid w:val="00042964"/>
    <w:rsid w:val="00042D39"/>
    <w:rsid w:val="00042F84"/>
    <w:rsid w:val="000431EC"/>
    <w:rsid w:val="000434D8"/>
    <w:rsid w:val="000435EE"/>
    <w:rsid w:val="00043778"/>
    <w:rsid w:val="00043887"/>
    <w:rsid w:val="00043ACE"/>
    <w:rsid w:val="00043C37"/>
    <w:rsid w:val="00043DE6"/>
    <w:rsid w:val="00043F30"/>
    <w:rsid w:val="00044008"/>
    <w:rsid w:val="0004412D"/>
    <w:rsid w:val="00044513"/>
    <w:rsid w:val="00044732"/>
    <w:rsid w:val="00044C15"/>
    <w:rsid w:val="00044D8F"/>
    <w:rsid w:val="00045017"/>
    <w:rsid w:val="000456C1"/>
    <w:rsid w:val="00045A2B"/>
    <w:rsid w:val="00045B37"/>
    <w:rsid w:val="00045CC6"/>
    <w:rsid w:val="0004600C"/>
    <w:rsid w:val="000461E1"/>
    <w:rsid w:val="0004639F"/>
    <w:rsid w:val="000465D1"/>
    <w:rsid w:val="00046721"/>
    <w:rsid w:val="0004698F"/>
    <w:rsid w:val="00046BB3"/>
    <w:rsid w:val="00046D90"/>
    <w:rsid w:val="00046DFF"/>
    <w:rsid w:val="0004745E"/>
    <w:rsid w:val="000474FE"/>
    <w:rsid w:val="00047AAB"/>
    <w:rsid w:val="00047AB2"/>
    <w:rsid w:val="00047D30"/>
    <w:rsid w:val="00047D73"/>
    <w:rsid w:val="00047D7D"/>
    <w:rsid w:val="00050110"/>
    <w:rsid w:val="00050123"/>
    <w:rsid w:val="0005054C"/>
    <w:rsid w:val="0005062B"/>
    <w:rsid w:val="00050771"/>
    <w:rsid w:val="000507D1"/>
    <w:rsid w:val="00050A49"/>
    <w:rsid w:val="00050C24"/>
    <w:rsid w:val="00050D9E"/>
    <w:rsid w:val="00051990"/>
    <w:rsid w:val="00051AA8"/>
    <w:rsid w:val="00051BC3"/>
    <w:rsid w:val="00051BE8"/>
    <w:rsid w:val="00051E2F"/>
    <w:rsid w:val="000521AA"/>
    <w:rsid w:val="00052362"/>
    <w:rsid w:val="000524D1"/>
    <w:rsid w:val="000527F6"/>
    <w:rsid w:val="00052917"/>
    <w:rsid w:val="00052A83"/>
    <w:rsid w:val="0005301C"/>
    <w:rsid w:val="000539D0"/>
    <w:rsid w:val="000541C0"/>
    <w:rsid w:val="000541E3"/>
    <w:rsid w:val="00054621"/>
    <w:rsid w:val="000546B5"/>
    <w:rsid w:val="000546D7"/>
    <w:rsid w:val="00054B3B"/>
    <w:rsid w:val="00055015"/>
    <w:rsid w:val="0005558D"/>
    <w:rsid w:val="00055720"/>
    <w:rsid w:val="00055748"/>
    <w:rsid w:val="00055E10"/>
    <w:rsid w:val="00055E3A"/>
    <w:rsid w:val="00055E4C"/>
    <w:rsid w:val="00056640"/>
    <w:rsid w:val="00056749"/>
    <w:rsid w:val="00056E5D"/>
    <w:rsid w:val="00056ECF"/>
    <w:rsid w:val="00056FE6"/>
    <w:rsid w:val="000572E3"/>
    <w:rsid w:val="000574DB"/>
    <w:rsid w:val="000575A2"/>
    <w:rsid w:val="00057667"/>
    <w:rsid w:val="000577EF"/>
    <w:rsid w:val="00057849"/>
    <w:rsid w:val="00057C0F"/>
    <w:rsid w:val="00060255"/>
    <w:rsid w:val="000604DF"/>
    <w:rsid w:val="000605CC"/>
    <w:rsid w:val="000606A5"/>
    <w:rsid w:val="00060C6A"/>
    <w:rsid w:val="00060ED6"/>
    <w:rsid w:val="00061133"/>
    <w:rsid w:val="00061307"/>
    <w:rsid w:val="00061660"/>
    <w:rsid w:val="00061791"/>
    <w:rsid w:val="00061834"/>
    <w:rsid w:val="00062B0C"/>
    <w:rsid w:val="00063006"/>
    <w:rsid w:val="00063549"/>
    <w:rsid w:val="00063B8C"/>
    <w:rsid w:val="00063DCE"/>
    <w:rsid w:val="0006426C"/>
    <w:rsid w:val="00064281"/>
    <w:rsid w:val="0006429C"/>
    <w:rsid w:val="0006434E"/>
    <w:rsid w:val="00064A45"/>
    <w:rsid w:val="00064B21"/>
    <w:rsid w:val="00064C35"/>
    <w:rsid w:val="00064D4A"/>
    <w:rsid w:val="00064FE4"/>
    <w:rsid w:val="000653B5"/>
    <w:rsid w:val="0006579C"/>
    <w:rsid w:val="000658E9"/>
    <w:rsid w:val="000659DB"/>
    <w:rsid w:val="00065AC8"/>
    <w:rsid w:val="00065D40"/>
    <w:rsid w:val="00065DAD"/>
    <w:rsid w:val="00066058"/>
    <w:rsid w:val="00066222"/>
    <w:rsid w:val="00066360"/>
    <w:rsid w:val="0006671C"/>
    <w:rsid w:val="0006676B"/>
    <w:rsid w:val="00066868"/>
    <w:rsid w:val="000669EA"/>
    <w:rsid w:val="00066A23"/>
    <w:rsid w:val="00066AF8"/>
    <w:rsid w:val="00066E13"/>
    <w:rsid w:val="00067020"/>
    <w:rsid w:val="0006721E"/>
    <w:rsid w:val="0006728D"/>
    <w:rsid w:val="00067630"/>
    <w:rsid w:val="000676BF"/>
    <w:rsid w:val="000679D4"/>
    <w:rsid w:val="00067D53"/>
    <w:rsid w:val="00070021"/>
    <w:rsid w:val="000708AF"/>
    <w:rsid w:val="00070A3F"/>
    <w:rsid w:val="00070E14"/>
    <w:rsid w:val="00071248"/>
    <w:rsid w:val="00071255"/>
    <w:rsid w:val="000717F4"/>
    <w:rsid w:val="00071830"/>
    <w:rsid w:val="0007201A"/>
    <w:rsid w:val="00072054"/>
    <w:rsid w:val="000720B9"/>
    <w:rsid w:val="000727D5"/>
    <w:rsid w:val="00072A5D"/>
    <w:rsid w:val="00072E9E"/>
    <w:rsid w:val="00073449"/>
    <w:rsid w:val="0007353E"/>
    <w:rsid w:val="000737F7"/>
    <w:rsid w:val="00073B5C"/>
    <w:rsid w:val="00074BD7"/>
    <w:rsid w:val="00074C6F"/>
    <w:rsid w:val="000752F1"/>
    <w:rsid w:val="00075564"/>
    <w:rsid w:val="00075AF9"/>
    <w:rsid w:val="0007609D"/>
    <w:rsid w:val="000760A5"/>
    <w:rsid w:val="000760D4"/>
    <w:rsid w:val="000761A7"/>
    <w:rsid w:val="0007624E"/>
    <w:rsid w:val="00076603"/>
    <w:rsid w:val="0007672F"/>
    <w:rsid w:val="00076780"/>
    <w:rsid w:val="00076892"/>
    <w:rsid w:val="00076B54"/>
    <w:rsid w:val="00076BAE"/>
    <w:rsid w:val="00076BC6"/>
    <w:rsid w:val="00076E32"/>
    <w:rsid w:val="00076F19"/>
    <w:rsid w:val="000771EF"/>
    <w:rsid w:val="00077345"/>
    <w:rsid w:val="000774F0"/>
    <w:rsid w:val="00077B3E"/>
    <w:rsid w:val="00077CA3"/>
    <w:rsid w:val="00077DDA"/>
    <w:rsid w:val="00077E55"/>
    <w:rsid w:val="000806C4"/>
    <w:rsid w:val="0008078B"/>
    <w:rsid w:val="00080909"/>
    <w:rsid w:val="00080974"/>
    <w:rsid w:val="00080A65"/>
    <w:rsid w:val="00080DE8"/>
    <w:rsid w:val="00080F05"/>
    <w:rsid w:val="000812CA"/>
    <w:rsid w:val="000818C8"/>
    <w:rsid w:val="00081B15"/>
    <w:rsid w:val="00081C04"/>
    <w:rsid w:val="00081CB4"/>
    <w:rsid w:val="00081E63"/>
    <w:rsid w:val="0008202F"/>
    <w:rsid w:val="00082062"/>
    <w:rsid w:val="000822BF"/>
    <w:rsid w:val="000823E3"/>
    <w:rsid w:val="000824A2"/>
    <w:rsid w:val="0008258D"/>
    <w:rsid w:val="00082955"/>
    <w:rsid w:val="00082BBF"/>
    <w:rsid w:val="00082DD4"/>
    <w:rsid w:val="00082E50"/>
    <w:rsid w:val="00082EF0"/>
    <w:rsid w:val="0008330D"/>
    <w:rsid w:val="000834BF"/>
    <w:rsid w:val="0008362E"/>
    <w:rsid w:val="00083DCC"/>
    <w:rsid w:val="00083E99"/>
    <w:rsid w:val="00083F9B"/>
    <w:rsid w:val="0008419D"/>
    <w:rsid w:val="000842D7"/>
    <w:rsid w:val="00084375"/>
    <w:rsid w:val="00084682"/>
    <w:rsid w:val="00084847"/>
    <w:rsid w:val="00084BBE"/>
    <w:rsid w:val="00084FA8"/>
    <w:rsid w:val="0008512C"/>
    <w:rsid w:val="000855D0"/>
    <w:rsid w:val="000856C5"/>
    <w:rsid w:val="00085AD6"/>
    <w:rsid w:val="00085B80"/>
    <w:rsid w:val="00085C31"/>
    <w:rsid w:val="00085C4E"/>
    <w:rsid w:val="00085F8C"/>
    <w:rsid w:val="000860FD"/>
    <w:rsid w:val="00086186"/>
    <w:rsid w:val="000864A7"/>
    <w:rsid w:val="00086A66"/>
    <w:rsid w:val="00086AD8"/>
    <w:rsid w:val="00086B1B"/>
    <w:rsid w:val="00086D13"/>
    <w:rsid w:val="000870D4"/>
    <w:rsid w:val="00087492"/>
    <w:rsid w:val="0008794C"/>
    <w:rsid w:val="00087A01"/>
    <w:rsid w:val="00087C76"/>
    <w:rsid w:val="000902A7"/>
    <w:rsid w:val="000902D9"/>
    <w:rsid w:val="00090422"/>
    <w:rsid w:val="00090492"/>
    <w:rsid w:val="0009057F"/>
    <w:rsid w:val="00090C7E"/>
    <w:rsid w:val="00090EBE"/>
    <w:rsid w:val="00091210"/>
    <w:rsid w:val="0009162D"/>
    <w:rsid w:val="00091683"/>
    <w:rsid w:val="0009190B"/>
    <w:rsid w:val="00091A3A"/>
    <w:rsid w:val="00091EDA"/>
    <w:rsid w:val="00091FC5"/>
    <w:rsid w:val="00092059"/>
    <w:rsid w:val="00092600"/>
    <w:rsid w:val="0009262B"/>
    <w:rsid w:val="00092CFA"/>
    <w:rsid w:val="00093047"/>
    <w:rsid w:val="00093310"/>
    <w:rsid w:val="0009332B"/>
    <w:rsid w:val="000935B6"/>
    <w:rsid w:val="000937D0"/>
    <w:rsid w:val="000938BA"/>
    <w:rsid w:val="00093F46"/>
    <w:rsid w:val="000942FB"/>
    <w:rsid w:val="0009445C"/>
    <w:rsid w:val="00094515"/>
    <w:rsid w:val="00094D77"/>
    <w:rsid w:val="00094E2B"/>
    <w:rsid w:val="00095200"/>
    <w:rsid w:val="000953B8"/>
    <w:rsid w:val="00095465"/>
    <w:rsid w:val="00095469"/>
    <w:rsid w:val="00095504"/>
    <w:rsid w:val="0009555D"/>
    <w:rsid w:val="00095710"/>
    <w:rsid w:val="000959C7"/>
    <w:rsid w:val="00095C97"/>
    <w:rsid w:val="00095E5B"/>
    <w:rsid w:val="00095EE4"/>
    <w:rsid w:val="00095F53"/>
    <w:rsid w:val="00095F6B"/>
    <w:rsid w:val="00095FE5"/>
    <w:rsid w:val="00096284"/>
    <w:rsid w:val="0009645A"/>
    <w:rsid w:val="00096494"/>
    <w:rsid w:val="00096A77"/>
    <w:rsid w:val="00096DB4"/>
    <w:rsid w:val="000971E0"/>
    <w:rsid w:val="0009729E"/>
    <w:rsid w:val="0009773D"/>
    <w:rsid w:val="00097B4B"/>
    <w:rsid w:val="000A03F6"/>
    <w:rsid w:val="000A050D"/>
    <w:rsid w:val="000A080D"/>
    <w:rsid w:val="000A1070"/>
    <w:rsid w:val="000A1085"/>
    <w:rsid w:val="000A10F4"/>
    <w:rsid w:val="000A12B5"/>
    <w:rsid w:val="000A1370"/>
    <w:rsid w:val="000A1529"/>
    <w:rsid w:val="000A174F"/>
    <w:rsid w:val="000A1BC0"/>
    <w:rsid w:val="000A1CA4"/>
    <w:rsid w:val="000A1E1A"/>
    <w:rsid w:val="000A22F1"/>
    <w:rsid w:val="000A286D"/>
    <w:rsid w:val="000A294E"/>
    <w:rsid w:val="000A2B14"/>
    <w:rsid w:val="000A2BCA"/>
    <w:rsid w:val="000A32F7"/>
    <w:rsid w:val="000A3573"/>
    <w:rsid w:val="000A35C9"/>
    <w:rsid w:val="000A372B"/>
    <w:rsid w:val="000A3E65"/>
    <w:rsid w:val="000A3E6F"/>
    <w:rsid w:val="000A4A44"/>
    <w:rsid w:val="000A4AC3"/>
    <w:rsid w:val="000A4CC5"/>
    <w:rsid w:val="000A5589"/>
    <w:rsid w:val="000A5F49"/>
    <w:rsid w:val="000A5F7A"/>
    <w:rsid w:val="000A5FF1"/>
    <w:rsid w:val="000A6039"/>
    <w:rsid w:val="000A6390"/>
    <w:rsid w:val="000A69A8"/>
    <w:rsid w:val="000A6A19"/>
    <w:rsid w:val="000A6CE0"/>
    <w:rsid w:val="000A6D38"/>
    <w:rsid w:val="000A6DF8"/>
    <w:rsid w:val="000A6F39"/>
    <w:rsid w:val="000A7125"/>
    <w:rsid w:val="000A71D6"/>
    <w:rsid w:val="000A7453"/>
    <w:rsid w:val="000A7633"/>
    <w:rsid w:val="000A778A"/>
    <w:rsid w:val="000A78A8"/>
    <w:rsid w:val="000A7CBB"/>
    <w:rsid w:val="000A7D08"/>
    <w:rsid w:val="000A7E2E"/>
    <w:rsid w:val="000A7F1E"/>
    <w:rsid w:val="000B0121"/>
    <w:rsid w:val="000B023F"/>
    <w:rsid w:val="000B0670"/>
    <w:rsid w:val="000B0747"/>
    <w:rsid w:val="000B07B8"/>
    <w:rsid w:val="000B0821"/>
    <w:rsid w:val="000B0B7F"/>
    <w:rsid w:val="000B0DF5"/>
    <w:rsid w:val="000B0E75"/>
    <w:rsid w:val="000B0FB9"/>
    <w:rsid w:val="000B1568"/>
    <w:rsid w:val="000B1682"/>
    <w:rsid w:val="000B16C7"/>
    <w:rsid w:val="000B16DD"/>
    <w:rsid w:val="000B186A"/>
    <w:rsid w:val="000B1B1A"/>
    <w:rsid w:val="000B1D7C"/>
    <w:rsid w:val="000B1E64"/>
    <w:rsid w:val="000B1F78"/>
    <w:rsid w:val="000B2382"/>
    <w:rsid w:val="000B23E4"/>
    <w:rsid w:val="000B2DCB"/>
    <w:rsid w:val="000B304D"/>
    <w:rsid w:val="000B35EC"/>
    <w:rsid w:val="000B387F"/>
    <w:rsid w:val="000B38CD"/>
    <w:rsid w:val="000B3B74"/>
    <w:rsid w:val="000B3B8A"/>
    <w:rsid w:val="000B3CDF"/>
    <w:rsid w:val="000B3F89"/>
    <w:rsid w:val="000B42D8"/>
    <w:rsid w:val="000B4463"/>
    <w:rsid w:val="000B4509"/>
    <w:rsid w:val="000B469D"/>
    <w:rsid w:val="000B4B37"/>
    <w:rsid w:val="000B4FB9"/>
    <w:rsid w:val="000B5383"/>
    <w:rsid w:val="000B5911"/>
    <w:rsid w:val="000B5CE0"/>
    <w:rsid w:val="000B614B"/>
    <w:rsid w:val="000B61BD"/>
    <w:rsid w:val="000B631E"/>
    <w:rsid w:val="000B6739"/>
    <w:rsid w:val="000B6B06"/>
    <w:rsid w:val="000B6CAC"/>
    <w:rsid w:val="000B6EB7"/>
    <w:rsid w:val="000B735D"/>
    <w:rsid w:val="000B740A"/>
    <w:rsid w:val="000B7612"/>
    <w:rsid w:val="000B76B2"/>
    <w:rsid w:val="000B78AE"/>
    <w:rsid w:val="000B7DCB"/>
    <w:rsid w:val="000B7FCC"/>
    <w:rsid w:val="000C0172"/>
    <w:rsid w:val="000C0280"/>
    <w:rsid w:val="000C0540"/>
    <w:rsid w:val="000C0679"/>
    <w:rsid w:val="000C0A97"/>
    <w:rsid w:val="000C1404"/>
    <w:rsid w:val="000C193B"/>
    <w:rsid w:val="000C1D9E"/>
    <w:rsid w:val="000C1E73"/>
    <w:rsid w:val="000C1FC1"/>
    <w:rsid w:val="000C2523"/>
    <w:rsid w:val="000C25F4"/>
    <w:rsid w:val="000C2681"/>
    <w:rsid w:val="000C29B6"/>
    <w:rsid w:val="000C2F0D"/>
    <w:rsid w:val="000C351C"/>
    <w:rsid w:val="000C352E"/>
    <w:rsid w:val="000C3813"/>
    <w:rsid w:val="000C3DF9"/>
    <w:rsid w:val="000C4876"/>
    <w:rsid w:val="000C4A1C"/>
    <w:rsid w:val="000C4AF4"/>
    <w:rsid w:val="000C5105"/>
    <w:rsid w:val="000C516B"/>
    <w:rsid w:val="000C541A"/>
    <w:rsid w:val="000C5427"/>
    <w:rsid w:val="000C590C"/>
    <w:rsid w:val="000C5E3B"/>
    <w:rsid w:val="000C6713"/>
    <w:rsid w:val="000C6882"/>
    <w:rsid w:val="000C688C"/>
    <w:rsid w:val="000C6929"/>
    <w:rsid w:val="000C7285"/>
    <w:rsid w:val="000C7972"/>
    <w:rsid w:val="000C7A8D"/>
    <w:rsid w:val="000D01CA"/>
    <w:rsid w:val="000D0292"/>
    <w:rsid w:val="000D0778"/>
    <w:rsid w:val="000D0C22"/>
    <w:rsid w:val="000D0E48"/>
    <w:rsid w:val="000D1184"/>
    <w:rsid w:val="000D1360"/>
    <w:rsid w:val="000D1535"/>
    <w:rsid w:val="000D15E6"/>
    <w:rsid w:val="000D1BFC"/>
    <w:rsid w:val="000D1C96"/>
    <w:rsid w:val="000D1D5D"/>
    <w:rsid w:val="000D1FD2"/>
    <w:rsid w:val="000D1FF1"/>
    <w:rsid w:val="000D20E7"/>
    <w:rsid w:val="000D214C"/>
    <w:rsid w:val="000D257C"/>
    <w:rsid w:val="000D281A"/>
    <w:rsid w:val="000D2830"/>
    <w:rsid w:val="000D2848"/>
    <w:rsid w:val="000D2A08"/>
    <w:rsid w:val="000D2AE3"/>
    <w:rsid w:val="000D326A"/>
    <w:rsid w:val="000D32F9"/>
    <w:rsid w:val="000D3968"/>
    <w:rsid w:val="000D3AE0"/>
    <w:rsid w:val="000D3E07"/>
    <w:rsid w:val="000D3FD4"/>
    <w:rsid w:val="000D4023"/>
    <w:rsid w:val="000D435E"/>
    <w:rsid w:val="000D451B"/>
    <w:rsid w:val="000D46C5"/>
    <w:rsid w:val="000D4704"/>
    <w:rsid w:val="000D4AB6"/>
    <w:rsid w:val="000D4D54"/>
    <w:rsid w:val="000D5124"/>
    <w:rsid w:val="000D518F"/>
    <w:rsid w:val="000D51FB"/>
    <w:rsid w:val="000D5CD1"/>
    <w:rsid w:val="000D60F6"/>
    <w:rsid w:val="000D61A3"/>
    <w:rsid w:val="000D621A"/>
    <w:rsid w:val="000D62C8"/>
    <w:rsid w:val="000D63BB"/>
    <w:rsid w:val="000D6B3A"/>
    <w:rsid w:val="000D6CBD"/>
    <w:rsid w:val="000D6DEF"/>
    <w:rsid w:val="000D7126"/>
    <w:rsid w:val="000D71A5"/>
    <w:rsid w:val="000D72A5"/>
    <w:rsid w:val="000D7B01"/>
    <w:rsid w:val="000E00B5"/>
    <w:rsid w:val="000E0108"/>
    <w:rsid w:val="000E026B"/>
    <w:rsid w:val="000E0276"/>
    <w:rsid w:val="000E0640"/>
    <w:rsid w:val="000E0692"/>
    <w:rsid w:val="000E0909"/>
    <w:rsid w:val="000E0D7B"/>
    <w:rsid w:val="000E135D"/>
    <w:rsid w:val="000E1575"/>
    <w:rsid w:val="000E15DF"/>
    <w:rsid w:val="000E1B21"/>
    <w:rsid w:val="000E2010"/>
    <w:rsid w:val="000E2553"/>
    <w:rsid w:val="000E256B"/>
    <w:rsid w:val="000E292F"/>
    <w:rsid w:val="000E2955"/>
    <w:rsid w:val="000E2A3E"/>
    <w:rsid w:val="000E2AA7"/>
    <w:rsid w:val="000E2AED"/>
    <w:rsid w:val="000E2CD3"/>
    <w:rsid w:val="000E2D37"/>
    <w:rsid w:val="000E2DA3"/>
    <w:rsid w:val="000E2DDB"/>
    <w:rsid w:val="000E2FE6"/>
    <w:rsid w:val="000E32F9"/>
    <w:rsid w:val="000E331A"/>
    <w:rsid w:val="000E3630"/>
    <w:rsid w:val="000E3B15"/>
    <w:rsid w:val="000E3C57"/>
    <w:rsid w:val="000E3D42"/>
    <w:rsid w:val="000E3FA4"/>
    <w:rsid w:val="000E4412"/>
    <w:rsid w:val="000E46F3"/>
    <w:rsid w:val="000E4C05"/>
    <w:rsid w:val="000E4F69"/>
    <w:rsid w:val="000E4FD3"/>
    <w:rsid w:val="000E51BC"/>
    <w:rsid w:val="000E51D2"/>
    <w:rsid w:val="000E523D"/>
    <w:rsid w:val="000E53DA"/>
    <w:rsid w:val="000E5C64"/>
    <w:rsid w:val="000E5C82"/>
    <w:rsid w:val="000E5F95"/>
    <w:rsid w:val="000E5FDB"/>
    <w:rsid w:val="000E62AF"/>
    <w:rsid w:val="000E704B"/>
    <w:rsid w:val="000E75BA"/>
    <w:rsid w:val="000E7708"/>
    <w:rsid w:val="000E785E"/>
    <w:rsid w:val="000E7912"/>
    <w:rsid w:val="000E7A2D"/>
    <w:rsid w:val="000E7DE9"/>
    <w:rsid w:val="000E7F04"/>
    <w:rsid w:val="000E7F55"/>
    <w:rsid w:val="000E7F71"/>
    <w:rsid w:val="000F00BA"/>
    <w:rsid w:val="000F02B0"/>
    <w:rsid w:val="000F0317"/>
    <w:rsid w:val="000F040C"/>
    <w:rsid w:val="000F0411"/>
    <w:rsid w:val="000F04DB"/>
    <w:rsid w:val="000F0691"/>
    <w:rsid w:val="000F0C75"/>
    <w:rsid w:val="000F1626"/>
    <w:rsid w:val="000F18B2"/>
    <w:rsid w:val="000F1971"/>
    <w:rsid w:val="000F1ABF"/>
    <w:rsid w:val="000F228A"/>
    <w:rsid w:val="000F231E"/>
    <w:rsid w:val="000F2523"/>
    <w:rsid w:val="000F27A3"/>
    <w:rsid w:val="000F2979"/>
    <w:rsid w:val="000F2B01"/>
    <w:rsid w:val="000F2D94"/>
    <w:rsid w:val="000F316A"/>
    <w:rsid w:val="000F325C"/>
    <w:rsid w:val="000F3393"/>
    <w:rsid w:val="000F38B7"/>
    <w:rsid w:val="000F3A63"/>
    <w:rsid w:val="000F3C74"/>
    <w:rsid w:val="000F3CAA"/>
    <w:rsid w:val="000F3DB8"/>
    <w:rsid w:val="000F3F87"/>
    <w:rsid w:val="000F408A"/>
    <w:rsid w:val="000F4481"/>
    <w:rsid w:val="000F4760"/>
    <w:rsid w:val="000F4BB8"/>
    <w:rsid w:val="000F4FA9"/>
    <w:rsid w:val="000F50C9"/>
    <w:rsid w:val="000F5245"/>
    <w:rsid w:val="000F5272"/>
    <w:rsid w:val="000F53FB"/>
    <w:rsid w:val="000F581C"/>
    <w:rsid w:val="000F5F66"/>
    <w:rsid w:val="000F6499"/>
    <w:rsid w:val="000F69DB"/>
    <w:rsid w:val="000F7127"/>
    <w:rsid w:val="000F7549"/>
    <w:rsid w:val="000F7B54"/>
    <w:rsid w:val="0010009E"/>
    <w:rsid w:val="00100310"/>
    <w:rsid w:val="00100763"/>
    <w:rsid w:val="001008FF"/>
    <w:rsid w:val="00100ACE"/>
    <w:rsid w:val="00100C46"/>
    <w:rsid w:val="00100F8A"/>
    <w:rsid w:val="001010C6"/>
    <w:rsid w:val="001010CC"/>
    <w:rsid w:val="001010CF"/>
    <w:rsid w:val="001011B6"/>
    <w:rsid w:val="001012CA"/>
    <w:rsid w:val="001012ED"/>
    <w:rsid w:val="0010182A"/>
    <w:rsid w:val="0010187B"/>
    <w:rsid w:val="00101A40"/>
    <w:rsid w:val="00101DA7"/>
    <w:rsid w:val="00101DAB"/>
    <w:rsid w:val="001020A2"/>
    <w:rsid w:val="00102111"/>
    <w:rsid w:val="001027A6"/>
    <w:rsid w:val="00102913"/>
    <w:rsid w:val="0010299D"/>
    <w:rsid w:val="001029A3"/>
    <w:rsid w:val="0010339D"/>
    <w:rsid w:val="00103607"/>
    <w:rsid w:val="00103635"/>
    <w:rsid w:val="00103B06"/>
    <w:rsid w:val="00103E2D"/>
    <w:rsid w:val="00103EC4"/>
    <w:rsid w:val="00104010"/>
    <w:rsid w:val="0010421F"/>
    <w:rsid w:val="0010452E"/>
    <w:rsid w:val="001049BA"/>
    <w:rsid w:val="001049F4"/>
    <w:rsid w:val="001055A4"/>
    <w:rsid w:val="001056C8"/>
    <w:rsid w:val="001057B1"/>
    <w:rsid w:val="0010584C"/>
    <w:rsid w:val="00105AE2"/>
    <w:rsid w:val="001060C6"/>
    <w:rsid w:val="00106316"/>
    <w:rsid w:val="001064B9"/>
    <w:rsid w:val="0010662C"/>
    <w:rsid w:val="001067BA"/>
    <w:rsid w:val="001068E3"/>
    <w:rsid w:val="00106B80"/>
    <w:rsid w:val="00106EB9"/>
    <w:rsid w:val="00106FF6"/>
    <w:rsid w:val="00107240"/>
    <w:rsid w:val="001075AD"/>
    <w:rsid w:val="0010785C"/>
    <w:rsid w:val="001079C5"/>
    <w:rsid w:val="00107C52"/>
    <w:rsid w:val="00107C86"/>
    <w:rsid w:val="0011032E"/>
    <w:rsid w:val="00110594"/>
    <w:rsid w:val="001106FD"/>
    <w:rsid w:val="00110BD2"/>
    <w:rsid w:val="00110D38"/>
    <w:rsid w:val="00110E48"/>
    <w:rsid w:val="0011146E"/>
    <w:rsid w:val="001115E6"/>
    <w:rsid w:val="001116C8"/>
    <w:rsid w:val="001120D3"/>
    <w:rsid w:val="001124F3"/>
    <w:rsid w:val="00112893"/>
    <w:rsid w:val="00113047"/>
    <w:rsid w:val="00113099"/>
    <w:rsid w:val="0011309D"/>
    <w:rsid w:val="001130AC"/>
    <w:rsid w:val="00113356"/>
    <w:rsid w:val="001133D8"/>
    <w:rsid w:val="001133DA"/>
    <w:rsid w:val="0011348B"/>
    <w:rsid w:val="00113978"/>
    <w:rsid w:val="00113EE8"/>
    <w:rsid w:val="00114016"/>
    <w:rsid w:val="00114AFD"/>
    <w:rsid w:val="00115084"/>
    <w:rsid w:val="0011512F"/>
    <w:rsid w:val="001151BB"/>
    <w:rsid w:val="001152EE"/>
    <w:rsid w:val="0011586E"/>
    <w:rsid w:val="00115901"/>
    <w:rsid w:val="00115982"/>
    <w:rsid w:val="00115AEB"/>
    <w:rsid w:val="00115B36"/>
    <w:rsid w:val="00115B7F"/>
    <w:rsid w:val="00115DFD"/>
    <w:rsid w:val="001165B8"/>
    <w:rsid w:val="001166E3"/>
    <w:rsid w:val="00116ABE"/>
    <w:rsid w:val="00116C53"/>
    <w:rsid w:val="00116E7F"/>
    <w:rsid w:val="00116EA8"/>
    <w:rsid w:val="00116F67"/>
    <w:rsid w:val="001170D3"/>
    <w:rsid w:val="00117255"/>
    <w:rsid w:val="0011770E"/>
    <w:rsid w:val="00117C3F"/>
    <w:rsid w:val="00117D49"/>
    <w:rsid w:val="00117E15"/>
    <w:rsid w:val="00120050"/>
    <w:rsid w:val="001200E0"/>
    <w:rsid w:val="00120327"/>
    <w:rsid w:val="00120410"/>
    <w:rsid w:val="0012064D"/>
    <w:rsid w:val="00120AF4"/>
    <w:rsid w:val="001211B6"/>
    <w:rsid w:val="001212B3"/>
    <w:rsid w:val="0012136F"/>
    <w:rsid w:val="00121486"/>
    <w:rsid w:val="00121542"/>
    <w:rsid w:val="001216E1"/>
    <w:rsid w:val="0012170E"/>
    <w:rsid w:val="00121799"/>
    <w:rsid w:val="001217C4"/>
    <w:rsid w:val="001218BE"/>
    <w:rsid w:val="00121C60"/>
    <w:rsid w:val="00121D66"/>
    <w:rsid w:val="00122018"/>
    <w:rsid w:val="001222FC"/>
    <w:rsid w:val="0012248B"/>
    <w:rsid w:val="001227E9"/>
    <w:rsid w:val="0012286B"/>
    <w:rsid w:val="001229B7"/>
    <w:rsid w:val="00123254"/>
    <w:rsid w:val="00123480"/>
    <w:rsid w:val="00123902"/>
    <w:rsid w:val="001239E9"/>
    <w:rsid w:val="00123A6C"/>
    <w:rsid w:val="00123AE8"/>
    <w:rsid w:val="00123F4B"/>
    <w:rsid w:val="00123FBC"/>
    <w:rsid w:val="0012428A"/>
    <w:rsid w:val="001249E2"/>
    <w:rsid w:val="00124A51"/>
    <w:rsid w:val="00124A96"/>
    <w:rsid w:val="00124BBD"/>
    <w:rsid w:val="00124C85"/>
    <w:rsid w:val="00124D5A"/>
    <w:rsid w:val="00124E20"/>
    <w:rsid w:val="001252B8"/>
    <w:rsid w:val="00125555"/>
    <w:rsid w:val="00125960"/>
    <w:rsid w:val="00125E00"/>
    <w:rsid w:val="00125E79"/>
    <w:rsid w:val="00125E8A"/>
    <w:rsid w:val="00126053"/>
    <w:rsid w:val="00126198"/>
    <w:rsid w:val="001262CB"/>
    <w:rsid w:val="00126621"/>
    <w:rsid w:val="001266C3"/>
    <w:rsid w:val="001266C5"/>
    <w:rsid w:val="001267D3"/>
    <w:rsid w:val="00126B1D"/>
    <w:rsid w:val="00126B3B"/>
    <w:rsid w:val="00126D93"/>
    <w:rsid w:val="00126DD0"/>
    <w:rsid w:val="00127000"/>
    <w:rsid w:val="0012705E"/>
    <w:rsid w:val="001273B4"/>
    <w:rsid w:val="0012749F"/>
    <w:rsid w:val="001274A4"/>
    <w:rsid w:val="0012759F"/>
    <w:rsid w:val="001276C4"/>
    <w:rsid w:val="001277D4"/>
    <w:rsid w:val="00127D35"/>
    <w:rsid w:val="0013007E"/>
    <w:rsid w:val="001301E9"/>
    <w:rsid w:val="0013039C"/>
    <w:rsid w:val="001307EC"/>
    <w:rsid w:val="00130908"/>
    <w:rsid w:val="00130B9D"/>
    <w:rsid w:val="00130C12"/>
    <w:rsid w:val="001319CF"/>
    <w:rsid w:val="00131D82"/>
    <w:rsid w:val="001320A7"/>
    <w:rsid w:val="0013239E"/>
    <w:rsid w:val="001326E8"/>
    <w:rsid w:val="00132867"/>
    <w:rsid w:val="00132B22"/>
    <w:rsid w:val="001336D4"/>
    <w:rsid w:val="001337BE"/>
    <w:rsid w:val="00133922"/>
    <w:rsid w:val="00133D36"/>
    <w:rsid w:val="00133D72"/>
    <w:rsid w:val="00134745"/>
    <w:rsid w:val="00134C4F"/>
    <w:rsid w:val="001352D4"/>
    <w:rsid w:val="00135406"/>
    <w:rsid w:val="00135411"/>
    <w:rsid w:val="001355A4"/>
    <w:rsid w:val="001355CA"/>
    <w:rsid w:val="00135BDA"/>
    <w:rsid w:val="00135CFC"/>
    <w:rsid w:val="00135DD2"/>
    <w:rsid w:val="0013639B"/>
    <w:rsid w:val="001364E6"/>
    <w:rsid w:val="0013650B"/>
    <w:rsid w:val="001366CA"/>
    <w:rsid w:val="00136827"/>
    <w:rsid w:val="001368A6"/>
    <w:rsid w:val="00136982"/>
    <w:rsid w:val="00136ED9"/>
    <w:rsid w:val="001374AF"/>
    <w:rsid w:val="00137645"/>
    <w:rsid w:val="00137C94"/>
    <w:rsid w:val="00137D86"/>
    <w:rsid w:val="0014015A"/>
    <w:rsid w:val="001408FB"/>
    <w:rsid w:val="00140B25"/>
    <w:rsid w:val="00140DCA"/>
    <w:rsid w:val="00140E99"/>
    <w:rsid w:val="00141066"/>
    <w:rsid w:val="001412D6"/>
    <w:rsid w:val="0014137E"/>
    <w:rsid w:val="001414FE"/>
    <w:rsid w:val="001415AE"/>
    <w:rsid w:val="001416AA"/>
    <w:rsid w:val="00141764"/>
    <w:rsid w:val="001423D6"/>
    <w:rsid w:val="001428DB"/>
    <w:rsid w:val="00142D0A"/>
    <w:rsid w:val="00142FC8"/>
    <w:rsid w:val="0014331C"/>
    <w:rsid w:val="00143366"/>
    <w:rsid w:val="00143371"/>
    <w:rsid w:val="001433D4"/>
    <w:rsid w:val="001434DC"/>
    <w:rsid w:val="00143A26"/>
    <w:rsid w:val="00143D7B"/>
    <w:rsid w:val="00143F67"/>
    <w:rsid w:val="001445EC"/>
    <w:rsid w:val="001446A9"/>
    <w:rsid w:val="00144747"/>
    <w:rsid w:val="00144A97"/>
    <w:rsid w:val="00144C48"/>
    <w:rsid w:val="00144D53"/>
    <w:rsid w:val="00144D9D"/>
    <w:rsid w:val="00144FD6"/>
    <w:rsid w:val="0014519F"/>
    <w:rsid w:val="00145251"/>
    <w:rsid w:val="00145383"/>
    <w:rsid w:val="0014551E"/>
    <w:rsid w:val="00145540"/>
    <w:rsid w:val="001456B0"/>
    <w:rsid w:val="00145804"/>
    <w:rsid w:val="00145A45"/>
    <w:rsid w:val="00145B53"/>
    <w:rsid w:val="001464C4"/>
    <w:rsid w:val="001468B5"/>
    <w:rsid w:val="00146C0F"/>
    <w:rsid w:val="00146D71"/>
    <w:rsid w:val="0014709B"/>
    <w:rsid w:val="001473D8"/>
    <w:rsid w:val="001474D1"/>
    <w:rsid w:val="00147D0E"/>
    <w:rsid w:val="00147E83"/>
    <w:rsid w:val="00147FE8"/>
    <w:rsid w:val="001509C5"/>
    <w:rsid w:val="00150D4A"/>
    <w:rsid w:val="00151B79"/>
    <w:rsid w:val="00151C3D"/>
    <w:rsid w:val="00151CCB"/>
    <w:rsid w:val="00152A0B"/>
    <w:rsid w:val="00152F3A"/>
    <w:rsid w:val="001532F7"/>
    <w:rsid w:val="001533F3"/>
    <w:rsid w:val="0015353F"/>
    <w:rsid w:val="001539C2"/>
    <w:rsid w:val="00153B73"/>
    <w:rsid w:val="001540CE"/>
    <w:rsid w:val="001541FD"/>
    <w:rsid w:val="00154384"/>
    <w:rsid w:val="001546D7"/>
    <w:rsid w:val="00154A19"/>
    <w:rsid w:val="00154F39"/>
    <w:rsid w:val="0015585D"/>
    <w:rsid w:val="00155C9C"/>
    <w:rsid w:val="0015607F"/>
    <w:rsid w:val="0015630D"/>
    <w:rsid w:val="00156E33"/>
    <w:rsid w:val="00156F8F"/>
    <w:rsid w:val="00156FBC"/>
    <w:rsid w:val="00157130"/>
    <w:rsid w:val="00157215"/>
    <w:rsid w:val="001576B1"/>
    <w:rsid w:val="00157B26"/>
    <w:rsid w:val="00157CD6"/>
    <w:rsid w:val="00157EC7"/>
    <w:rsid w:val="00157F70"/>
    <w:rsid w:val="001600B5"/>
    <w:rsid w:val="001602F6"/>
    <w:rsid w:val="00160409"/>
    <w:rsid w:val="0016045B"/>
    <w:rsid w:val="0016047B"/>
    <w:rsid w:val="001606E1"/>
    <w:rsid w:val="00160A13"/>
    <w:rsid w:val="00160A4C"/>
    <w:rsid w:val="00160ADA"/>
    <w:rsid w:val="00160CAC"/>
    <w:rsid w:val="00160CCB"/>
    <w:rsid w:val="00160D46"/>
    <w:rsid w:val="00161578"/>
    <w:rsid w:val="001617C9"/>
    <w:rsid w:val="0016183B"/>
    <w:rsid w:val="001618B3"/>
    <w:rsid w:val="001618E2"/>
    <w:rsid w:val="00161B9F"/>
    <w:rsid w:val="00161BC9"/>
    <w:rsid w:val="00162012"/>
    <w:rsid w:val="00162159"/>
    <w:rsid w:val="001621B6"/>
    <w:rsid w:val="001624D1"/>
    <w:rsid w:val="0016272F"/>
    <w:rsid w:val="00162913"/>
    <w:rsid w:val="00162AC4"/>
    <w:rsid w:val="00162B58"/>
    <w:rsid w:val="00162EB7"/>
    <w:rsid w:val="00163007"/>
    <w:rsid w:val="0016320D"/>
    <w:rsid w:val="00163766"/>
    <w:rsid w:val="0016398E"/>
    <w:rsid w:val="00163D44"/>
    <w:rsid w:val="00163EFF"/>
    <w:rsid w:val="00163F66"/>
    <w:rsid w:val="00164AB0"/>
    <w:rsid w:val="00164E88"/>
    <w:rsid w:val="00164FE8"/>
    <w:rsid w:val="00165423"/>
    <w:rsid w:val="00165A48"/>
    <w:rsid w:val="00165D11"/>
    <w:rsid w:val="00165DA6"/>
    <w:rsid w:val="001661FB"/>
    <w:rsid w:val="0016621A"/>
    <w:rsid w:val="00166781"/>
    <w:rsid w:val="00166DFA"/>
    <w:rsid w:val="0016703A"/>
    <w:rsid w:val="001671A0"/>
    <w:rsid w:val="001673F3"/>
    <w:rsid w:val="00167564"/>
    <w:rsid w:val="00167675"/>
    <w:rsid w:val="0016767F"/>
    <w:rsid w:val="00167855"/>
    <w:rsid w:val="00167881"/>
    <w:rsid w:val="001679A5"/>
    <w:rsid w:val="00167C06"/>
    <w:rsid w:val="00167DA3"/>
    <w:rsid w:val="00170216"/>
    <w:rsid w:val="00170252"/>
    <w:rsid w:val="00170815"/>
    <w:rsid w:val="00170909"/>
    <w:rsid w:val="0017099B"/>
    <w:rsid w:val="00170A65"/>
    <w:rsid w:val="00171140"/>
    <w:rsid w:val="00171152"/>
    <w:rsid w:val="0017119E"/>
    <w:rsid w:val="00171285"/>
    <w:rsid w:val="00171346"/>
    <w:rsid w:val="00171C42"/>
    <w:rsid w:val="001720F1"/>
    <w:rsid w:val="00172313"/>
    <w:rsid w:val="00172884"/>
    <w:rsid w:val="00172A96"/>
    <w:rsid w:val="00172B82"/>
    <w:rsid w:val="00172BC0"/>
    <w:rsid w:val="00172D32"/>
    <w:rsid w:val="00172F16"/>
    <w:rsid w:val="001730C7"/>
    <w:rsid w:val="0017317F"/>
    <w:rsid w:val="00173193"/>
    <w:rsid w:val="00173565"/>
    <w:rsid w:val="00173728"/>
    <w:rsid w:val="0017388E"/>
    <w:rsid w:val="00173908"/>
    <w:rsid w:val="00173B07"/>
    <w:rsid w:val="00173D7A"/>
    <w:rsid w:val="00173E5C"/>
    <w:rsid w:val="00174285"/>
    <w:rsid w:val="0017439F"/>
    <w:rsid w:val="00174869"/>
    <w:rsid w:val="00174D96"/>
    <w:rsid w:val="00175161"/>
    <w:rsid w:val="001751FA"/>
    <w:rsid w:val="001753E9"/>
    <w:rsid w:val="0017547D"/>
    <w:rsid w:val="00175925"/>
    <w:rsid w:val="00175EA5"/>
    <w:rsid w:val="00175EF3"/>
    <w:rsid w:val="00176142"/>
    <w:rsid w:val="00176458"/>
    <w:rsid w:val="00176A5A"/>
    <w:rsid w:val="00176A71"/>
    <w:rsid w:val="00176D7F"/>
    <w:rsid w:val="00176D89"/>
    <w:rsid w:val="0017766A"/>
    <w:rsid w:val="001776A4"/>
    <w:rsid w:val="00177B19"/>
    <w:rsid w:val="00177B45"/>
    <w:rsid w:val="001800D4"/>
    <w:rsid w:val="00180A78"/>
    <w:rsid w:val="00180B24"/>
    <w:rsid w:val="00180C90"/>
    <w:rsid w:val="00180CDF"/>
    <w:rsid w:val="00180E07"/>
    <w:rsid w:val="00180FB0"/>
    <w:rsid w:val="00181B20"/>
    <w:rsid w:val="00181D9C"/>
    <w:rsid w:val="0018211B"/>
    <w:rsid w:val="0018240F"/>
    <w:rsid w:val="001828BF"/>
    <w:rsid w:val="00182BDF"/>
    <w:rsid w:val="00182DC3"/>
    <w:rsid w:val="0018355D"/>
    <w:rsid w:val="0018365A"/>
    <w:rsid w:val="00183A36"/>
    <w:rsid w:val="00183F1F"/>
    <w:rsid w:val="00184005"/>
    <w:rsid w:val="00184154"/>
    <w:rsid w:val="00184284"/>
    <w:rsid w:val="001848A3"/>
    <w:rsid w:val="001849D8"/>
    <w:rsid w:val="00184B00"/>
    <w:rsid w:val="00184B0E"/>
    <w:rsid w:val="00184D30"/>
    <w:rsid w:val="0018531B"/>
    <w:rsid w:val="001853C3"/>
    <w:rsid w:val="001856E8"/>
    <w:rsid w:val="0018570A"/>
    <w:rsid w:val="001857A4"/>
    <w:rsid w:val="001858BD"/>
    <w:rsid w:val="00185BB4"/>
    <w:rsid w:val="00185BD4"/>
    <w:rsid w:val="00185F40"/>
    <w:rsid w:val="00186067"/>
    <w:rsid w:val="001860B6"/>
    <w:rsid w:val="00186188"/>
    <w:rsid w:val="001862A7"/>
    <w:rsid w:val="00186718"/>
    <w:rsid w:val="001869BA"/>
    <w:rsid w:val="00186DC1"/>
    <w:rsid w:val="00187177"/>
    <w:rsid w:val="00187368"/>
    <w:rsid w:val="0018752F"/>
    <w:rsid w:val="001876F0"/>
    <w:rsid w:val="00187751"/>
    <w:rsid w:val="001879E6"/>
    <w:rsid w:val="001879F6"/>
    <w:rsid w:val="00187A81"/>
    <w:rsid w:val="00187BDE"/>
    <w:rsid w:val="001900EA"/>
    <w:rsid w:val="001901DE"/>
    <w:rsid w:val="00190499"/>
    <w:rsid w:val="00190585"/>
    <w:rsid w:val="001907EA"/>
    <w:rsid w:val="0019097A"/>
    <w:rsid w:val="00190FF2"/>
    <w:rsid w:val="00191482"/>
    <w:rsid w:val="00191573"/>
    <w:rsid w:val="00191821"/>
    <w:rsid w:val="00191829"/>
    <w:rsid w:val="0019191A"/>
    <w:rsid w:val="00191B7A"/>
    <w:rsid w:val="00191BF5"/>
    <w:rsid w:val="00191C92"/>
    <w:rsid w:val="00192037"/>
    <w:rsid w:val="001921E3"/>
    <w:rsid w:val="001922CA"/>
    <w:rsid w:val="001923F0"/>
    <w:rsid w:val="00192A1F"/>
    <w:rsid w:val="00192A7C"/>
    <w:rsid w:val="00192ADB"/>
    <w:rsid w:val="00192DCE"/>
    <w:rsid w:val="00193259"/>
    <w:rsid w:val="00193366"/>
    <w:rsid w:val="001933F2"/>
    <w:rsid w:val="0019340F"/>
    <w:rsid w:val="00193838"/>
    <w:rsid w:val="00193B60"/>
    <w:rsid w:val="00193B87"/>
    <w:rsid w:val="00194200"/>
    <w:rsid w:val="001943FA"/>
    <w:rsid w:val="0019442B"/>
    <w:rsid w:val="00194A79"/>
    <w:rsid w:val="00194AD8"/>
    <w:rsid w:val="00194EED"/>
    <w:rsid w:val="00195222"/>
    <w:rsid w:val="00195BF3"/>
    <w:rsid w:val="00195D49"/>
    <w:rsid w:val="001962B3"/>
    <w:rsid w:val="001962D8"/>
    <w:rsid w:val="0019695F"/>
    <w:rsid w:val="00196D6C"/>
    <w:rsid w:val="001975D8"/>
    <w:rsid w:val="001976F3"/>
    <w:rsid w:val="0019780D"/>
    <w:rsid w:val="001978DE"/>
    <w:rsid w:val="00197A16"/>
    <w:rsid w:val="00197A54"/>
    <w:rsid w:val="00197B58"/>
    <w:rsid w:val="00197E6C"/>
    <w:rsid w:val="001A003C"/>
    <w:rsid w:val="001A050E"/>
    <w:rsid w:val="001A08F6"/>
    <w:rsid w:val="001A08FA"/>
    <w:rsid w:val="001A09EE"/>
    <w:rsid w:val="001A0E9A"/>
    <w:rsid w:val="001A1021"/>
    <w:rsid w:val="001A102D"/>
    <w:rsid w:val="001A1512"/>
    <w:rsid w:val="001A178E"/>
    <w:rsid w:val="001A1BDE"/>
    <w:rsid w:val="001A1CCE"/>
    <w:rsid w:val="001A1D89"/>
    <w:rsid w:val="001A1EEE"/>
    <w:rsid w:val="001A1F51"/>
    <w:rsid w:val="001A1FFB"/>
    <w:rsid w:val="001A20D1"/>
    <w:rsid w:val="001A2534"/>
    <w:rsid w:val="001A25F3"/>
    <w:rsid w:val="001A2743"/>
    <w:rsid w:val="001A29E3"/>
    <w:rsid w:val="001A29F9"/>
    <w:rsid w:val="001A2A4D"/>
    <w:rsid w:val="001A2BA3"/>
    <w:rsid w:val="001A2D52"/>
    <w:rsid w:val="001A2DE3"/>
    <w:rsid w:val="001A3269"/>
    <w:rsid w:val="001A34D5"/>
    <w:rsid w:val="001A38DB"/>
    <w:rsid w:val="001A3991"/>
    <w:rsid w:val="001A42A0"/>
    <w:rsid w:val="001A43FA"/>
    <w:rsid w:val="001A47C5"/>
    <w:rsid w:val="001A47DF"/>
    <w:rsid w:val="001A4953"/>
    <w:rsid w:val="001A50DB"/>
    <w:rsid w:val="001A518C"/>
    <w:rsid w:val="001A547D"/>
    <w:rsid w:val="001A59FB"/>
    <w:rsid w:val="001A5C5F"/>
    <w:rsid w:val="001A5D02"/>
    <w:rsid w:val="001A5E62"/>
    <w:rsid w:val="001A5E9E"/>
    <w:rsid w:val="001A6354"/>
    <w:rsid w:val="001A6366"/>
    <w:rsid w:val="001A6764"/>
    <w:rsid w:val="001A68AA"/>
    <w:rsid w:val="001A68B3"/>
    <w:rsid w:val="001A6CF3"/>
    <w:rsid w:val="001A6D0F"/>
    <w:rsid w:val="001A72C8"/>
    <w:rsid w:val="001A73A8"/>
    <w:rsid w:val="001A73C2"/>
    <w:rsid w:val="001A744B"/>
    <w:rsid w:val="001A7AE8"/>
    <w:rsid w:val="001A7BD0"/>
    <w:rsid w:val="001A7DF3"/>
    <w:rsid w:val="001A7FF5"/>
    <w:rsid w:val="001B02A5"/>
    <w:rsid w:val="001B0338"/>
    <w:rsid w:val="001B068A"/>
    <w:rsid w:val="001B0691"/>
    <w:rsid w:val="001B0AFE"/>
    <w:rsid w:val="001B0C3D"/>
    <w:rsid w:val="001B0DA6"/>
    <w:rsid w:val="001B1191"/>
    <w:rsid w:val="001B1AAD"/>
    <w:rsid w:val="001B204E"/>
    <w:rsid w:val="001B21E9"/>
    <w:rsid w:val="001B2252"/>
    <w:rsid w:val="001B2372"/>
    <w:rsid w:val="001B2416"/>
    <w:rsid w:val="001B241A"/>
    <w:rsid w:val="001B24F4"/>
    <w:rsid w:val="001B26C4"/>
    <w:rsid w:val="001B2777"/>
    <w:rsid w:val="001B2958"/>
    <w:rsid w:val="001B2A8D"/>
    <w:rsid w:val="001B2E6B"/>
    <w:rsid w:val="001B333B"/>
    <w:rsid w:val="001B3443"/>
    <w:rsid w:val="001B346A"/>
    <w:rsid w:val="001B3642"/>
    <w:rsid w:val="001B375A"/>
    <w:rsid w:val="001B39FE"/>
    <w:rsid w:val="001B3EEE"/>
    <w:rsid w:val="001B454A"/>
    <w:rsid w:val="001B4A84"/>
    <w:rsid w:val="001B4BA5"/>
    <w:rsid w:val="001B4D20"/>
    <w:rsid w:val="001B57B4"/>
    <w:rsid w:val="001B6101"/>
    <w:rsid w:val="001B6116"/>
    <w:rsid w:val="001B6130"/>
    <w:rsid w:val="001B6F29"/>
    <w:rsid w:val="001B70BA"/>
    <w:rsid w:val="001B7299"/>
    <w:rsid w:val="001B7511"/>
    <w:rsid w:val="001B7BD5"/>
    <w:rsid w:val="001B7E1B"/>
    <w:rsid w:val="001C002F"/>
    <w:rsid w:val="001C010A"/>
    <w:rsid w:val="001C037E"/>
    <w:rsid w:val="001C126E"/>
    <w:rsid w:val="001C15AD"/>
    <w:rsid w:val="001C15B4"/>
    <w:rsid w:val="001C1EB3"/>
    <w:rsid w:val="001C247C"/>
    <w:rsid w:val="001C2722"/>
    <w:rsid w:val="001C2A9B"/>
    <w:rsid w:val="001C2CF0"/>
    <w:rsid w:val="001C31A9"/>
    <w:rsid w:val="001C31B1"/>
    <w:rsid w:val="001C3564"/>
    <w:rsid w:val="001C3A86"/>
    <w:rsid w:val="001C3C43"/>
    <w:rsid w:val="001C3E63"/>
    <w:rsid w:val="001C3EF3"/>
    <w:rsid w:val="001C421B"/>
    <w:rsid w:val="001C4266"/>
    <w:rsid w:val="001C4299"/>
    <w:rsid w:val="001C45BD"/>
    <w:rsid w:val="001C464B"/>
    <w:rsid w:val="001C470D"/>
    <w:rsid w:val="001C4874"/>
    <w:rsid w:val="001C4B0E"/>
    <w:rsid w:val="001C5009"/>
    <w:rsid w:val="001C5204"/>
    <w:rsid w:val="001C5A26"/>
    <w:rsid w:val="001C5A61"/>
    <w:rsid w:val="001C5AD3"/>
    <w:rsid w:val="001C5CED"/>
    <w:rsid w:val="001C5F94"/>
    <w:rsid w:val="001C5FF4"/>
    <w:rsid w:val="001C602C"/>
    <w:rsid w:val="001C6575"/>
    <w:rsid w:val="001C6B28"/>
    <w:rsid w:val="001C6E66"/>
    <w:rsid w:val="001C6F4F"/>
    <w:rsid w:val="001C6FBE"/>
    <w:rsid w:val="001C70C7"/>
    <w:rsid w:val="001C73C3"/>
    <w:rsid w:val="001C75F4"/>
    <w:rsid w:val="001C7824"/>
    <w:rsid w:val="001C7ACB"/>
    <w:rsid w:val="001D0030"/>
    <w:rsid w:val="001D0519"/>
    <w:rsid w:val="001D0892"/>
    <w:rsid w:val="001D0B49"/>
    <w:rsid w:val="001D0F2D"/>
    <w:rsid w:val="001D1100"/>
    <w:rsid w:val="001D1194"/>
    <w:rsid w:val="001D1316"/>
    <w:rsid w:val="001D1391"/>
    <w:rsid w:val="001D1633"/>
    <w:rsid w:val="001D16BB"/>
    <w:rsid w:val="001D1CF1"/>
    <w:rsid w:val="001D1D7B"/>
    <w:rsid w:val="001D22BB"/>
    <w:rsid w:val="001D25D7"/>
    <w:rsid w:val="001D2A87"/>
    <w:rsid w:val="001D2C9D"/>
    <w:rsid w:val="001D2CFD"/>
    <w:rsid w:val="001D2DAD"/>
    <w:rsid w:val="001D38A6"/>
    <w:rsid w:val="001D394F"/>
    <w:rsid w:val="001D3ABD"/>
    <w:rsid w:val="001D3B1C"/>
    <w:rsid w:val="001D3BAB"/>
    <w:rsid w:val="001D3F81"/>
    <w:rsid w:val="001D3FAA"/>
    <w:rsid w:val="001D44A9"/>
    <w:rsid w:val="001D470A"/>
    <w:rsid w:val="001D4AFF"/>
    <w:rsid w:val="001D4CB2"/>
    <w:rsid w:val="001D4D6E"/>
    <w:rsid w:val="001D4F69"/>
    <w:rsid w:val="001D4FD6"/>
    <w:rsid w:val="001D50B2"/>
    <w:rsid w:val="001D5905"/>
    <w:rsid w:val="001D5C1C"/>
    <w:rsid w:val="001D601E"/>
    <w:rsid w:val="001D6036"/>
    <w:rsid w:val="001D6114"/>
    <w:rsid w:val="001D6149"/>
    <w:rsid w:val="001D61A5"/>
    <w:rsid w:val="001D64D8"/>
    <w:rsid w:val="001D6958"/>
    <w:rsid w:val="001D6CF3"/>
    <w:rsid w:val="001D70F2"/>
    <w:rsid w:val="001D71B3"/>
    <w:rsid w:val="001D727D"/>
    <w:rsid w:val="001D729F"/>
    <w:rsid w:val="001D7645"/>
    <w:rsid w:val="001D7883"/>
    <w:rsid w:val="001D7DF2"/>
    <w:rsid w:val="001D7E4D"/>
    <w:rsid w:val="001E07C0"/>
    <w:rsid w:val="001E0858"/>
    <w:rsid w:val="001E0893"/>
    <w:rsid w:val="001E09A2"/>
    <w:rsid w:val="001E150B"/>
    <w:rsid w:val="001E19B8"/>
    <w:rsid w:val="001E1B13"/>
    <w:rsid w:val="001E1C9F"/>
    <w:rsid w:val="001E1D9C"/>
    <w:rsid w:val="001E1E86"/>
    <w:rsid w:val="001E2085"/>
    <w:rsid w:val="001E2134"/>
    <w:rsid w:val="001E2179"/>
    <w:rsid w:val="001E22C3"/>
    <w:rsid w:val="001E238E"/>
    <w:rsid w:val="001E2394"/>
    <w:rsid w:val="001E2483"/>
    <w:rsid w:val="001E2B1E"/>
    <w:rsid w:val="001E2CFF"/>
    <w:rsid w:val="001E2F24"/>
    <w:rsid w:val="001E30D4"/>
    <w:rsid w:val="001E31DF"/>
    <w:rsid w:val="001E34DF"/>
    <w:rsid w:val="001E385B"/>
    <w:rsid w:val="001E3952"/>
    <w:rsid w:val="001E3A1F"/>
    <w:rsid w:val="001E3E24"/>
    <w:rsid w:val="001E3F8A"/>
    <w:rsid w:val="001E41A6"/>
    <w:rsid w:val="001E422B"/>
    <w:rsid w:val="001E43B2"/>
    <w:rsid w:val="001E45F3"/>
    <w:rsid w:val="001E46C4"/>
    <w:rsid w:val="001E489B"/>
    <w:rsid w:val="001E49C5"/>
    <w:rsid w:val="001E4D67"/>
    <w:rsid w:val="001E4DE5"/>
    <w:rsid w:val="001E4E7D"/>
    <w:rsid w:val="001E5096"/>
    <w:rsid w:val="001E52EB"/>
    <w:rsid w:val="001E536F"/>
    <w:rsid w:val="001E5655"/>
    <w:rsid w:val="001E566F"/>
    <w:rsid w:val="001E599A"/>
    <w:rsid w:val="001E5A1B"/>
    <w:rsid w:val="001E5A9D"/>
    <w:rsid w:val="001E5B0E"/>
    <w:rsid w:val="001E5CFC"/>
    <w:rsid w:val="001E5D08"/>
    <w:rsid w:val="001E5F45"/>
    <w:rsid w:val="001E61D2"/>
    <w:rsid w:val="001E6656"/>
    <w:rsid w:val="001E68A0"/>
    <w:rsid w:val="001E6B42"/>
    <w:rsid w:val="001E6B5F"/>
    <w:rsid w:val="001E6BC4"/>
    <w:rsid w:val="001E6CB9"/>
    <w:rsid w:val="001E6CEC"/>
    <w:rsid w:val="001E6F22"/>
    <w:rsid w:val="001E72C1"/>
    <w:rsid w:val="001E740C"/>
    <w:rsid w:val="001E7477"/>
    <w:rsid w:val="001E74BB"/>
    <w:rsid w:val="001E76A3"/>
    <w:rsid w:val="001E7AA5"/>
    <w:rsid w:val="001E7B52"/>
    <w:rsid w:val="001E7CE0"/>
    <w:rsid w:val="001E7EAD"/>
    <w:rsid w:val="001F0890"/>
    <w:rsid w:val="001F0D59"/>
    <w:rsid w:val="001F113B"/>
    <w:rsid w:val="001F1235"/>
    <w:rsid w:val="001F163D"/>
    <w:rsid w:val="001F1762"/>
    <w:rsid w:val="001F177C"/>
    <w:rsid w:val="001F1CB3"/>
    <w:rsid w:val="001F24FE"/>
    <w:rsid w:val="001F2575"/>
    <w:rsid w:val="001F29DF"/>
    <w:rsid w:val="001F2A4E"/>
    <w:rsid w:val="001F2CBE"/>
    <w:rsid w:val="001F2D96"/>
    <w:rsid w:val="001F2E5A"/>
    <w:rsid w:val="001F2EFA"/>
    <w:rsid w:val="001F2FFD"/>
    <w:rsid w:val="001F3088"/>
    <w:rsid w:val="001F3105"/>
    <w:rsid w:val="001F3329"/>
    <w:rsid w:val="001F36AA"/>
    <w:rsid w:val="001F36D9"/>
    <w:rsid w:val="001F38B5"/>
    <w:rsid w:val="001F3B5E"/>
    <w:rsid w:val="001F3B75"/>
    <w:rsid w:val="001F3DF3"/>
    <w:rsid w:val="001F3FDC"/>
    <w:rsid w:val="001F4081"/>
    <w:rsid w:val="001F40DE"/>
    <w:rsid w:val="001F4333"/>
    <w:rsid w:val="001F46DB"/>
    <w:rsid w:val="001F4745"/>
    <w:rsid w:val="001F4D3C"/>
    <w:rsid w:val="001F4DB7"/>
    <w:rsid w:val="001F4E19"/>
    <w:rsid w:val="001F4E46"/>
    <w:rsid w:val="001F52E9"/>
    <w:rsid w:val="001F530D"/>
    <w:rsid w:val="001F54A7"/>
    <w:rsid w:val="001F5953"/>
    <w:rsid w:val="001F59E3"/>
    <w:rsid w:val="001F59E6"/>
    <w:rsid w:val="001F5A1F"/>
    <w:rsid w:val="001F5A2A"/>
    <w:rsid w:val="001F5C53"/>
    <w:rsid w:val="001F6009"/>
    <w:rsid w:val="001F6552"/>
    <w:rsid w:val="001F66D4"/>
    <w:rsid w:val="001F67D2"/>
    <w:rsid w:val="001F698D"/>
    <w:rsid w:val="001F6BC1"/>
    <w:rsid w:val="001F6E67"/>
    <w:rsid w:val="001F7360"/>
    <w:rsid w:val="001F7361"/>
    <w:rsid w:val="001F73DB"/>
    <w:rsid w:val="001F757B"/>
    <w:rsid w:val="001F76A1"/>
    <w:rsid w:val="001F7861"/>
    <w:rsid w:val="001F7AD4"/>
    <w:rsid w:val="001F7B8E"/>
    <w:rsid w:val="00200104"/>
    <w:rsid w:val="0020026B"/>
    <w:rsid w:val="0020027C"/>
    <w:rsid w:val="00200517"/>
    <w:rsid w:val="00200611"/>
    <w:rsid w:val="002009AD"/>
    <w:rsid w:val="00200B9A"/>
    <w:rsid w:val="00200C0B"/>
    <w:rsid w:val="00200EA1"/>
    <w:rsid w:val="00201037"/>
    <w:rsid w:val="002011B0"/>
    <w:rsid w:val="002016AB"/>
    <w:rsid w:val="00201894"/>
    <w:rsid w:val="00201ACB"/>
    <w:rsid w:val="00202081"/>
    <w:rsid w:val="00202179"/>
    <w:rsid w:val="002021EC"/>
    <w:rsid w:val="00202AEE"/>
    <w:rsid w:val="00202BCC"/>
    <w:rsid w:val="00202FBB"/>
    <w:rsid w:val="00203181"/>
    <w:rsid w:val="00203244"/>
    <w:rsid w:val="002032FD"/>
    <w:rsid w:val="00203738"/>
    <w:rsid w:val="00203783"/>
    <w:rsid w:val="0020379A"/>
    <w:rsid w:val="0020385F"/>
    <w:rsid w:val="00203B43"/>
    <w:rsid w:val="00203B58"/>
    <w:rsid w:val="00203C11"/>
    <w:rsid w:val="00203CBA"/>
    <w:rsid w:val="00204810"/>
    <w:rsid w:val="002048FA"/>
    <w:rsid w:val="00204CD2"/>
    <w:rsid w:val="00204E3B"/>
    <w:rsid w:val="00205274"/>
    <w:rsid w:val="00205589"/>
    <w:rsid w:val="0020561B"/>
    <w:rsid w:val="00205A6E"/>
    <w:rsid w:val="00205C1B"/>
    <w:rsid w:val="00205EC1"/>
    <w:rsid w:val="00205FBA"/>
    <w:rsid w:val="002060AB"/>
    <w:rsid w:val="002060AD"/>
    <w:rsid w:val="00206464"/>
    <w:rsid w:val="002068A0"/>
    <w:rsid w:val="002068B9"/>
    <w:rsid w:val="00206972"/>
    <w:rsid w:val="00206BD5"/>
    <w:rsid w:val="00206C3D"/>
    <w:rsid w:val="00206D6A"/>
    <w:rsid w:val="00206E10"/>
    <w:rsid w:val="00207021"/>
    <w:rsid w:val="0020732F"/>
    <w:rsid w:val="00207357"/>
    <w:rsid w:val="002074FF"/>
    <w:rsid w:val="00207696"/>
    <w:rsid w:val="002076E5"/>
    <w:rsid w:val="00207846"/>
    <w:rsid w:val="00207C9B"/>
    <w:rsid w:val="00207D00"/>
    <w:rsid w:val="00207D27"/>
    <w:rsid w:val="002105C1"/>
    <w:rsid w:val="002108B8"/>
    <w:rsid w:val="00210A9B"/>
    <w:rsid w:val="00210CDD"/>
    <w:rsid w:val="00210DA7"/>
    <w:rsid w:val="00210EB6"/>
    <w:rsid w:val="00211184"/>
    <w:rsid w:val="0021131D"/>
    <w:rsid w:val="0021189B"/>
    <w:rsid w:val="00211B95"/>
    <w:rsid w:val="00211E95"/>
    <w:rsid w:val="00212306"/>
    <w:rsid w:val="00212E0C"/>
    <w:rsid w:val="00212E7E"/>
    <w:rsid w:val="00212FFE"/>
    <w:rsid w:val="00213350"/>
    <w:rsid w:val="00213393"/>
    <w:rsid w:val="002138A4"/>
    <w:rsid w:val="002138FB"/>
    <w:rsid w:val="0021391E"/>
    <w:rsid w:val="00213B22"/>
    <w:rsid w:val="00213EF5"/>
    <w:rsid w:val="00214747"/>
    <w:rsid w:val="002150F0"/>
    <w:rsid w:val="00215433"/>
    <w:rsid w:val="002155CD"/>
    <w:rsid w:val="002159F2"/>
    <w:rsid w:val="00215B63"/>
    <w:rsid w:val="00215BFE"/>
    <w:rsid w:val="00215CE1"/>
    <w:rsid w:val="00215E1B"/>
    <w:rsid w:val="0021623B"/>
    <w:rsid w:val="00216455"/>
    <w:rsid w:val="0021662D"/>
    <w:rsid w:val="00216868"/>
    <w:rsid w:val="002168C5"/>
    <w:rsid w:val="002168F5"/>
    <w:rsid w:val="00216BF5"/>
    <w:rsid w:val="002175A1"/>
    <w:rsid w:val="00217B87"/>
    <w:rsid w:val="00217B95"/>
    <w:rsid w:val="00217F2A"/>
    <w:rsid w:val="00217F53"/>
    <w:rsid w:val="00217FBA"/>
    <w:rsid w:val="002201D0"/>
    <w:rsid w:val="0022033E"/>
    <w:rsid w:val="002206DD"/>
    <w:rsid w:val="00220756"/>
    <w:rsid w:val="00220904"/>
    <w:rsid w:val="00220ADB"/>
    <w:rsid w:val="00220B1D"/>
    <w:rsid w:val="00220C69"/>
    <w:rsid w:val="00220E55"/>
    <w:rsid w:val="0022105C"/>
    <w:rsid w:val="00221393"/>
    <w:rsid w:val="002213C1"/>
    <w:rsid w:val="00221459"/>
    <w:rsid w:val="00221542"/>
    <w:rsid w:val="002215DA"/>
    <w:rsid w:val="002215FA"/>
    <w:rsid w:val="002216C4"/>
    <w:rsid w:val="002217A8"/>
    <w:rsid w:val="00221A65"/>
    <w:rsid w:val="00221B5B"/>
    <w:rsid w:val="00222656"/>
    <w:rsid w:val="00222773"/>
    <w:rsid w:val="00222889"/>
    <w:rsid w:val="0022294C"/>
    <w:rsid w:val="00222B67"/>
    <w:rsid w:val="00222CC4"/>
    <w:rsid w:val="00222F5A"/>
    <w:rsid w:val="002235B5"/>
    <w:rsid w:val="00223B07"/>
    <w:rsid w:val="00223B49"/>
    <w:rsid w:val="00223D5A"/>
    <w:rsid w:val="002240B0"/>
    <w:rsid w:val="002242D3"/>
    <w:rsid w:val="00224641"/>
    <w:rsid w:val="00224DD4"/>
    <w:rsid w:val="00225357"/>
    <w:rsid w:val="00225981"/>
    <w:rsid w:val="00226013"/>
    <w:rsid w:val="0022665C"/>
    <w:rsid w:val="00226680"/>
    <w:rsid w:val="00226AF4"/>
    <w:rsid w:val="0022745E"/>
    <w:rsid w:val="00227505"/>
    <w:rsid w:val="00227779"/>
    <w:rsid w:val="002277CA"/>
    <w:rsid w:val="002278A0"/>
    <w:rsid w:val="00227C09"/>
    <w:rsid w:val="002301D0"/>
    <w:rsid w:val="00230381"/>
    <w:rsid w:val="00230383"/>
    <w:rsid w:val="002303E2"/>
    <w:rsid w:val="00230933"/>
    <w:rsid w:val="002309CC"/>
    <w:rsid w:val="00230AE9"/>
    <w:rsid w:val="00230F1F"/>
    <w:rsid w:val="00230F90"/>
    <w:rsid w:val="00231004"/>
    <w:rsid w:val="0023124E"/>
    <w:rsid w:val="00231393"/>
    <w:rsid w:val="0023167E"/>
    <w:rsid w:val="0023189D"/>
    <w:rsid w:val="002318FC"/>
    <w:rsid w:val="00231C70"/>
    <w:rsid w:val="00232058"/>
    <w:rsid w:val="0023209F"/>
    <w:rsid w:val="00232611"/>
    <w:rsid w:val="00232615"/>
    <w:rsid w:val="002326A7"/>
    <w:rsid w:val="00232AD5"/>
    <w:rsid w:val="00232CEA"/>
    <w:rsid w:val="00233107"/>
    <w:rsid w:val="00233215"/>
    <w:rsid w:val="00233576"/>
    <w:rsid w:val="00233A73"/>
    <w:rsid w:val="00233C01"/>
    <w:rsid w:val="0023413A"/>
    <w:rsid w:val="0023413C"/>
    <w:rsid w:val="002346F0"/>
    <w:rsid w:val="00234902"/>
    <w:rsid w:val="00234D4B"/>
    <w:rsid w:val="00235996"/>
    <w:rsid w:val="00235BF3"/>
    <w:rsid w:val="00235D95"/>
    <w:rsid w:val="0023607C"/>
    <w:rsid w:val="0023629D"/>
    <w:rsid w:val="00236365"/>
    <w:rsid w:val="002364FF"/>
    <w:rsid w:val="00236723"/>
    <w:rsid w:val="002367B7"/>
    <w:rsid w:val="002368D7"/>
    <w:rsid w:val="0023690A"/>
    <w:rsid w:val="00236928"/>
    <w:rsid w:val="00236A0D"/>
    <w:rsid w:val="00236EF9"/>
    <w:rsid w:val="00237233"/>
    <w:rsid w:val="00237255"/>
    <w:rsid w:val="00237978"/>
    <w:rsid w:val="00237C7A"/>
    <w:rsid w:val="00237E4F"/>
    <w:rsid w:val="00237FAA"/>
    <w:rsid w:val="0024030F"/>
    <w:rsid w:val="00240853"/>
    <w:rsid w:val="002409FD"/>
    <w:rsid w:val="00240A32"/>
    <w:rsid w:val="00240A69"/>
    <w:rsid w:val="00240C3B"/>
    <w:rsid w:val="00240E25"/>
    <w:rsid w:val="00241043"/>
    <w:rsid w:val="00241254"/>
    <w:rsid w:val="00241985"/>
    <w:rsid w:val="00241B82"/>
    <w:rsid w:val="00242253"/>
    <w:rsid w:val="0024233E"/>
    <w:rsid w:val="002424AF"/>
    <w:rsid w:val="002424E2"/>
    <w:rsid w:val="002425A8"/>
    <w:rsid w:val="002426A6"/>
    <w:rsid w:val="00242790"/>
    <w:rsid w:val="00242877"/>
    <w:rsid w:val="002428C3"/>
    <w:rsid w:val="0024312A"/>
    <w:rsid w:val="00243199"/>
    <w:rsid w:val="002433D1"/>
    <w:rsid w:val="0024341B"/>
    <w:rsid w:val="002437C3"/>
    <w:rsid w:val="002438D7"/>
    <w:rsid w:val="002439DC"/>
    <w:rsid w:val="00243E02"/>
    <w:rsid w:val="00244128"/>
    <w:rsid w:val="002441D2"/>
    <w:rsid w:val="0024427F"/>
    <w:rsid w:val="002444BC"/>
    <w:rsid w:val="00244624"/>
    <w:rsid w:val="00244864"/>
    <w:rsid w:val="0024487C"/>
    <w:rsid w:val="002448D3"/>
    <w:rsid w:val="00244D91"/>
    <w:rsid w:val="00244DC0"/>
    <w:rsid w:val="00244DC8"/>
    <w:rsid w:val="00245084"/>
    <w:rsid w:val="0024537C"/>
    <w:rsid w:val="002455CA"/>
    <w:rsid w:val="002458BA"/>
    <w:rsid w:val="00245960"/>
    <w:rsid w:val="00245CE9"/>
    <w:rsid w:val="00245D72"/>
    <w:rsid w:val="00245EAC"/>
    <w:rsid w:val="0024636C"/>
    <w:rsid w:val="002468BF"/>
    <w:rsid w:val="002469AC"/>
    <w:rsid w:val="00246BAF"/>
    <w:rsid w:val="00246C3B"/>
    <w:rsid w:val="00246C5E"/>
    <w:rsid w:val="00246F53"/>
    <w:rsid w:val="00247000"/>
    <w:rsid w:val="0024716E"/>
    <w:rsid w:val="002472F3"/>
    <w:rsid w:val="0024736C"/>
    <w:rsid w:val="00247720"/>
    <w:rsid w:val="002477E3"/>
    <w:rsid w:val="00247925"/>
    <w:rsid w:val="00247D8D"/>
    <w:rsid w:val="00250130"/>
    <w:rsid w:val="0025015F"/>
    <w:rsid w:val="002501C9"/>
    <w:rsid w:val="002503B6"/>
    <w:rsid w:val="002503F8"/>
    <w:rsid w:val="00250594"/>
    <w:rsid w:val="002505C0"/>
    <w:rsid w:val="002507BA"/>
    <w:rsid w:val="00250A84"/>
    <w:rsid w:val="00250BB5"/>
    <w:rsid w:val="00251006"/>
    <w:rsid w:val="002510BA"/>
    <w:rsid w:val="00251301"/>
    <w:rsid w:val="00251562"/>
    <w:rsid w:val="002515ED"/>
    <w:rsid w:val="0025161B"/>
    <w:rsid w:val="00251D02"/>
    <w:rsid w:val="00251DA9"/>
    <w:rsid w:val="00251E72"/>
    <w:rsid w:val="002520CE"/>
    <w:rsid w:val="002521E6"/>
    <w:rsid w:val="002524D5"/>
    <w:rsid w:val="00252561"/>
    <w:rsid w:val="002525F1"/>
    <w:rsid w:val="00252851"/>
    <w:rsid w:val="00252E79"/>
    <w:rsid w:val="0025335C"/>
    <w:rsid w:val="002533DB"/>
    <w:rsid w:val="00253857"/>
    <w:rsid w:val="00253987"/>
    <w:rsid w:val="002539D1"/>
    <w:rsid w:val="00253B1D"/>
    <w:rsid w:val="00253E09"/>
    <w:rsid w:val="00253F02"/>
    <w:rsid w:val="00254A23"/>
    <w:rsid w:val="00254C6C"/>
    <w:rsid w:val="00254DCF"/>
    <w:rsid w:val="00254E5D"/>
    <w:rsid w:val="0025504D"/>
    <w:rsid w:val="0025534B"/>
    <w:rsid w:val="002553D3"/>
    <w:rsid w:val="002554BE"/>
    <w:rsid w:val="0025579D"/>
    <w:rsid w:val="0025591C"/>
    <w:rsid w:val="00255A63"/>
    <w:rsid w:val="00255BB7"/>
    <w:rsid w:val="00255F4B"/>
    <w:rsid w:val="00256268"/>
    <w:rsid w:val="002564F1"/>
    <w:rsid w:val="0025654E"/>
    <w:rsid w:val="002566B0"/>
    <w:rsid w:val="00256B79"/>
    <w:rsid w:val="00256C34"/>
    <w:rsid w:val="00256C4A"/>
    <w:rsid w:val="00256E83"/>
    <w:rsid w:val="00257442"/>
    <w:rsid w:val="00257541"/>
    <w:rsid w:val="00257A06"/>
    <w:rsid w:val="00257A39"/>
    <w:rsid w:val="00257AC4"/>
    <w:rsid w:val="00257AD3"/>
    <w:rsid w:val="00257BA5"/>
    <w:rsid w:val="00257F18"/>
    <w:rsid w:val="002601CD"/>
    <w:rsid w:val="00260769"/>
    <w:rsid w:val="00260782"/>
    <w:rsid w:val="002607BE"/>
    <w:rsid w:val="00260B1B"/>
    <w:rsid w:val="00260C86"/>
    <w:rsid w:val="00260CB9"/>
    <w:rsid w:val="00261191"/>
    <w:rsid w:val="0026139B"/>
    <w:rsid w:val="0026162E"/>
    <w:rsid w:val="00261702"/>
    <w:rsid w:val="0026190D"/>
    <w:rsid w:val="0026195D"/>
    <w:rsid w:val="00261982"/>
    <w:rsid w:val="00261A2E"/>
    <w:rsid w:val="00261BEF"/>
    <w:rsid w:val="00261C32"/>
    <w:rsid w:val="00261EEF"/>
    <w:rsid w:val="00262712"/>
    <w:rsid w:val="0026286F"/>
    <w:rsid w:val="00262A1A"/>
    <w:rsid w:val="00262A87"/>
    <w:rsid w:val="00262E76"/>
    <w:rsid w:val="00263012"/>
    <w:rsid w:val="002630A9"/>
    <w:rsid w:val="0026358C"/>
    <w:rsid w:val="0026368F"/>
    <w:rsid w:val="002636FA"/>
    <w:rsid w:val="00263931"/>
    <w:rsid w:val="00263942"/>
    <w:rsid w:val="002649F0"/>
    <w:rsid w:val="00264D26"/>
    <w:rsid w:val="00264EB4"/>
    <w:rsid w:val="002653EE"/>
    <w:rsid w:val="002656CE"/>
    <w:rsid w:val="002658C1"/>
    <w:rsid w:val="00265936"/>
    <w:rsid w:val="0026603E"/>
    <w:rsid w:val="002661B7"/>
    <w:rsid w:val="002665F4"/>
    <w:rsid w:val="0026674C"/>
    <w:rsid w:val="00266EA0"/>
    <w:rsid w:val="00266FBB"/>
    <w:rsid w:val="0026717E"/>
    <w:rsid w:val="002674AF"/>
    <w:rsid w:val="002674B4"/>
    <w:rsid w:val="0026750A"/>
    <w:rsid w:val="00267642"/>
    <w:rsid w:val="002678C9"/>
    <w:rsid w:val="00267A3C"/>
    <w:rsid w:val="00267AEA"/>
    <w:rsid w:val="00267D2F"/>
    <w:rsid w:val="002700E6"/>
    <w:rsid w:val="00270322"/>
    <w:rsid w:val="00270847"/>
    <w:rsid w:val="002708C9"/>
    <w:rsid w:val="002708FF"/>
    <w:rsid w:val="00270FBE"/>
    <w:rsid w:val="00271216"/>
    <w:rsid w:val="002712BC"/>
    <w:rsid w:val="002715B6"/>
    <w:rsid w:val="00272754"/>
    <w:rsid w:val="0027293C"/>
    <w:rsid w:val="0027294B"/>
    <w:rsid w:val="00272C2F"/>
    <w:rsid w:val="00272C4B"/>
    <w:rsid w:val="00272CE6"/>
    <w:rsid w:val="00272E23"/>
    <w:rsid w:val="0027394A"/>
    <w:rsid w:val="002739CF"/>
    <w:rsid w:val="00273AEC"/>
    <w:rsid w:val="00273BCA"/>
    <w:rsid w:val="00273DC1"/>
    <w:rsid w:val="00273EB4"/>
    <w:rsid w:val="00274026"/>
    <w:rsid w:val="002742FF"/>
    <w:rsid w:val="0027444B"/>
    <w:rsid w:val="0027449C"/>
    <w:rsid w:val="00274682"/>
    <w:rsid w:val="00274AD7"/>
    <w:rsid w:val="00274B08"/>
    <w:rsid w:val="00274D0D"/>
    <w:rsid w:val="00274E0A"/>
    <w:rsid w:val="0027510E"/>
    <w:rsid w:val="002754CF"/>
    <w:rsid w:val="002757EF"/>
    <w:rsid w:val="00275C5A"/>
    <w:rsid w:val="00276002"/>
    <w:rsid w:val="00276669"/>
    <w:rsid w:val="00276BF3"/>
    <w:rsid w:val="00276BF7"/>
    <w:rsid w:val="00276E4F"/>
    <w:rsid w:val="00276F95"/>
    <w:rsid w:val="002772AE"/>
    <w:rsid w:val="00277307"/>
    <w:rsid w:val="00277642"/>
    <w:rsid w:val="002777B4"/>
    <w:rsid w:val="00277825"/>
    <w:rsid w:val="00277CF0"/>
    <w:rsid w:val="00280064"/>
    <w:rsid w:val="00280205"/>
    <w:rsid w:val="00280449"/>
    <w:rsid w:val="0028073E"/>
    <w:rsid w:val="00281014"/>
    <w:rsid w:val="00281C75"/>
    <w:rsid w:val="00281F8F"/>
    <w:rsid w:val="0028209F"/>
    <w:rsid w:val="0028234C"/>
    <w:rsid w:val="0028235E"/>
    <w:rsid w:val="00282497"/>
    <w:rsid w:val="0028283D"/>
    <w:rsid w:val="00282E85"/>
    <w:rsid w:val="00282F9B"/>
    <w:rsid w:val="002831B0"/>
    <w:rsid w:val="002835CE"/>
    <w:rsid w:val="002837DA"/>
    <w:rsid w:val="00283A54"/>
    <w:rsid w:val="00283BAB"/>
    <w:rsid w:val="00283CA3"/>
    <w:rsid w:val="00283D25"/>
    <w:rsid w:val="00283D4A"/>
    <w:rsid w:val="00283D57"/>
    <w:rsid w:val="0028444E"/>
    <w:rsid w:val="00284AD3"/>
    <w:rsid w:val="00284C90"/>
    <w:rsid w:val="00284DA0"/>
    <w:rsid w:val="002852DD"/>
    <w:rsid w:val="002854E2"/>
    <w:rsid w:val="002859A1"/>
    <w:rsid w:val="002860C3"/>
    <w:rsid w:val="0028664A"/>
    <w:rsid w:val="0028665D"/>
    <w:rsid w:val="00286669"/>
    <w:rsid w:val="00286998"/>
    <w:rsid w:val="00286F94"/>
    <w:rsid w:val="002872F4"/>
    <w:rsid w:val="0028759C"/>
    <w:rsid w:val="002878AA"/>
    <w:rsid w:val="00287A1D"/>
    <w:rsid w:val="00287AFA"/>
    <w:rsid w:val="00287DD4"/>
    <w:rsid w:val="00290116"/>
    <w:rsid w:val="002902C4"/>
    <w:rsid w:val="002903C6"/>
    <w:rsid w:val="00290747"/>
    <w:rsid w:val="002907D0"/>
    <w:rsid w:val="00290833"/>
    <w:rsid w:val="00290867"/>
    <w:rsid w:val="00290A34"/>
    <w:rsid w:val="00291028"/>
    <w:rsid w:val="00291074"/>
    <w:rsid w:val="00291404"/>
    <w:rsid w:val="0029141E"/>
    <w:rsid w:val="00291883"/>
    <w:rsid w:val="00291C56"/>
    <w:rsid w:val="00292164"/>
    <w:rsid w:val="0029220D"/>
    <w:rsid w:val="0029232D"/>
    <w:rsid w:val="00292448"/>
    <w:rsid w:val="00292919"/>
    <w:rsid w:val="00292A65"/>
    <w:rsid w:val="00292B37"/>
    <w:rsid w:val="00292B4E"/>
    <w:rsid w:val="00292C18"/>
    <w:rsid w:val="00292C50"/>
    <w:rsid w:val="002932E9"/>
    <w:rsid w:val="00293862"/>
    <w:rsid w:val="00293A98"/>
    <w:rsid w:val="00293C4B"/>
    <w:rsid w:val="00293FC4"/>
    <w:rsid w:val="00294426"/>
    <w:rsid w:val="002946B1"/>
    <w:rsid w:val="00294FE5"/>
    <w:rsid w:val="0029572D"/>
    <w:rsid w:val="002958C1"/>
    <w:rsid w:val="00295B0C"/>
    <w:rsid w:val="00295EB2"/>
    <w:rsid w:val="00295F33"/>
    <w:rsid w:val="00296F21"/>
    <w:rsid w:val="002970A2"/>
    <w:rsid w:val="002974BF"/>
    <w:rsid w:val="00297847"/>
    <w:rsid w:val="0029790F"/>
    <w:rsid w:val="00297CB0"/>
    <w:rsid w:val="002A0090"/>
    <w:rsid w:val="002A0BC3"/>
    <w:rsid w:val="002A0CEA"/>
    <w:rsid w:val="002A0D7A"/>
    <w:rsid w:val="002A117C"/>
    <w:rsid w:val="002A11FC"/>
    <w:rsid w:val="002A13B6"/>
    <w:rsid w:val="002A14AB"/>
    <w:rsid w:val="002A14DD"/>
    <w:rsid w:val="002A15C6"/>
    <w:rsid w:val="002A17A3"/>
    <w:rsid w:val="002A2211"/>
    <w:rsid w:val="002A23F0"/>
    <w:rsid w:val="002A2ACA"/>
    <w:rsid w:val="002A2ADE"/>
    <w:rsid w:val="002A2DA3"/>
    <w:rsid w:val="002A2EF4"/>
    <w:rsid w:val="002A2F50"/>
    <w:rsid w:val="002A3331"/>
    <w:rsid w:val="002A38C5"/>
    <w:rsid w:val="002A3E3C"/>
    <w:rsid w:val="002A3F08"/>
    <w:rsid w:val="002A415B"/>
    <w:rsid w:val="002A468B"/>
    <w:rsid w:val="002A4812"/>
    <w:rsid w:val="002A4A99"/>
    <w:rsid w:val="002A4E18"/>
    <w:rsid w:val="002A4EF2"/>
    <w:rsid w:val="002A5271"/>
    <w:rsid w:val="002A5D1C"/>
    <w:rsid w:val="002A5F1F"/>
    <w:rsid w:val="002A60A4"/>
    <w:rsid w:val="002A65B9"/>
    <w:rsid w:val="002A6FFA"/>
    <w:rsid w:val="002A7304"/>
    <w:rsid w:val="002A78F2"/>
    <w:rsid w:val="002A7B52"/>
    <w:rsid w:val="002A7C1A"/>
    <w:rsid w:val="002A7CAE"/>
    <w:rsid w:val="002B0346"/>
    <w:rsid w:val="002B05A1"/>
    <w:rsid w:val="002B089A"/>
    <w:rsid w:val="002B09A4"/>
    <w:rsid w:val="002B19F0"/>
    <w:rsid w:val="002B19FB"/>
    <w:rsid w:val="002B1B77"/>
    <w:rsid w:val="002B1C1F"/>
    <w:rsid w:val="002B1D7B"/>
    <w:rsid w:val="002B1EBD"/>
    <w:rsid w:val="002B1F9A"/>
    <w:rsid w:val="002B21EC"/>
    <w:rsid w:val="002B23F5"/>
    <w:rsid w:val="002B260E"/>
    <w:rsid w:val="002B299D"/>
    <w:rsid w:val="002B29A1"/>
    <w:rsid w:val="002B353E"/>
    <w:rsid w:val="002B37CD"/>
    <w:rsid w:val="002B38C8"/>
    <w:rsid w:val="002B3A2A"/>
    <w:rsid w:val="002B3C05"/>
    <w:rsid w:val="002B3E96"/>
    <w:rsid w:val="002B3E9F"/>
    <w:rsid w:val="002B41CF"/>
    <w:rsid w:val="002B432F"/>
    <w:rsid w:val="002B44DD"/>
    <w:rsid w:val="002B4E96"/>
    <w:rsid w:val="002B4F2A"/>
    <w:rsid w:val="002B4F32"/>
    <w:rsid w:val="002B500F"/>
    <w:rsid w:val="002B5143"/>
    <w:rsid w:val="002B5502"/>
    <w:rsid w:val="002B5558"/>
    <w:rsid w:val="002B55A0"/>
    <w:rsid w:val="002B5AF9"/>
    <w:rsid w:val="002B5D27"/>
    <w:rsid w:val="002B5E6A"/>
    <w:rsid w:val="002B5EF8"/>
    <w:rsid w:val="002B603F"/>
    <w:rsid w:val="002B62B3"/>
    <w:rsid w:val="002B6692"/>
    <w:rsid w:val="002B6696"/>
    <w:rsid w:val="002B6754"/>
    <w:rsid w:val="002B67E9"/>
    <w:rsid w:val="002B6A59"/>
    <w:rsid w:val="002B6BAB"/>
    <w:rsid w:val="002B6BFB"/>
    <w:rsid w:val="002B6C40"/>
    <w:rsid w:val="002B6CCE"/>
    <w:rsid w:val="002B6DC6"/>
    <w:rsid w:val="002B7040"/>
    <w:rsid w:val="002B7624"/>
    <w:rsid w:val="002B7C1C"/>
    <w:rsid w:val="002B7C78"/>
    <w:rsid w:val="002C080A"/>
    <w:rsid w:val="002C08FA"/>
    <w:rsid w:val="002C0DD5"/>
    <w:rsid w:val="002C0E82"/>
    <w:rsid w:val="002C0F76"/>
    <w:rsid w:val="002C1377"/>
    <w:rsid w:val="002C1700"/>
    <w:rsid w:val="002C175E"/>
    <w:rsid w:val="002C17D9"/>
    <w:rsid w:val="002C1AC8"/>
    <w:rsid w:val="002C1BF9"/>
    <w:rsid w:val="002C2510"/>
    <w:rsid w:val="002C2775"/>
    <w:rsid w:val="002C27C1"/>
    <w:rsid w:val="002C2974"/>
    <w:rsid w:val="002C2C4B"/>
    <w:rsid w:val="002C2E56"/>
    <w:rsid w:val="002C2E57"/>
    <w:rsid w:val="002C3221"/>
    <w:rsid w:val="002C3503"/>
    <w:rsid w:val="002C3645"/>
    <w:rsid w:val="002C367C"/>
    <w:rsid w:val="002C3908"/>
    <w:rsid w:val="002C3D52"/>
    <w:rsid w:val="002C3DA0"/>
    <w:rsid w:val="002C3E9E"/>
    <w:rsid w:val="002C3F70"/>
    <w:rsid w:val="002C41E5"/>
    <w:rsid w:val="002C42E6"/>
    <w:rsid w:val="002C46AA"/>
    <w:rsid w:val="002C476E"/>
    <w:rsid w:val="002C4997"/>
    <w:rsid w:val="002C5099"/>
    <w:rsid w:val="002C50A1"/>
    <w:rsid w:val="002C5570"/>
    <w:rsid w:val="002C56E4"/>
    <w:rsid w:val="002C5772"/>
    <w:rsid w:val="002C5889"/>
    <w:rsid w:val="002C5B35"/>
    <w:rsid w:val="002C5E1D"/>
    <w:rsid w:val="002C5F2C"/>
    <w:rsid w:val="002C5F63"/>
    <w:rsid w:val="002C6375"/>
    <w:rsid w:val="002C65F9"/>
    <w:rsid w:val="002C671F"/>
    <w:rsid w:val="002C6924"/>
    <w:rsid w:val="002C6C12"/>
    <w:rsid w:val="002C6C1A"/>
    <w:rsid w:val="002C6E56"/>
    <w:rsid w:val="002C6EDC"/>
    <w:rsid w:val="002C71CE"/>
    <w:rsid w:val="002C720E"/>
    <w:rsid w:val="002C7243"/>
    <w:rsid w:val="002C7404"/>
    <w:rsid w:val="002C74C6"/>
    <w:rsid w:val="002C77E0"/>
    <w:rsid w:val="002C7802"/>
    <w:rsid w:val="002C7A93"/>
    <w:rsid w:val="002C7CCB"/>
    <w:rsid w:val="002C7E6F"/>
    <w:rsid w:val="002D008C"/>
    <w:rsid w:val="002D0250"/>
    <w:rsid w:val="002D0342"/>
    <w:rsid w:val="002D040B"/>
    <w:rsid w:val="002D08F8"/>
    <w:rsid w:val="002D0FA8"/>
    <w:rsid w:val="002D104A"/>
    <w:rsid w:val="002D131B"/>
    <w:rsid w:val="002D18A2"/>
    <w:rsid w:val="002D1F07"/>
    <w:rsid w:val="002D1FA5"/>
    <w:rsid w:val="002D249C"/>
    <w:rsid w:val="002D259D"/>
    <w:rsid w:val="002D27ED"/>
    <w:rsid w:val="002D2E80"/>
    <w:rsid w:val="002D31F6"/>
    <w:rsid w:val="002D34FC"/>
    <w:rsid w:val="002D35EF"/>
    <w:rsid w:val="002D36B6"/>
    <w:rsid w:val="002D3A78"/>
    <w:rsid w:val="002D44B9"/>
    <w:rsid w:val="002D4996"/>
    <w:rsid w:val="002D4AF9"/>
    <w:rsid w:val="002D4B27"/>
    <w:rsid w:val="002D4C9D"/>
    <w:rsid w:val="002D4DBB"/>
    <w:rsid w:val="002D4FC6"/>
    <w:rsid w:val="002D4FD1"/>
    <w:rsid w:val="002D5286"/>
    <w:rsid w:val="002D54EB"/>
    <w:rsid w:val="002D577C"/>
    <w:rsid w:val="002D5831"/>
    <w:rsid w:val="002D584A"/>
    <w:rsid w:val="002D6068"/>
    <w:rsid w:val="002D612A"/>
    <w:rsid w:val="002D6211"/>
    <w:rsid w:val="002D674E"/>
    <w:rsid w:val="002D67DB"/>
    <w:rsid w:val="002D692C"/>
    <w:rsid w:val="002D6A0A"/>
    <w:rsid w:val="002D6C05"/>
    <w:rsid w:val="002D7823"/>
    <w:rsid w:val="002D78F0"/>
    <w:rsid w:val="002D7C2F"/>
    <w:rsid w:val="002D7FA7"/>
    <w:rsid w:val="002E00D9"/>
    <w:rsid w:val="002E0355"/>
    <w:rsid w:val="002E063A"/>
    <w:rsid w:val="002E068D"/>
    <w:rsid w:val="002E0795"/>
    <w:rsid w:val="002E083F"/>
    <w:rsid w:val="002E0E9B"/>
    <w:rsid w:val="002E1071"/>
    <w:rsid w:val="002E15B9"/>
    <w:rsid w:val="002E1796"/>
    <w:rsid w:val="002E17EC"/>
    <w:rsid w:val="002E2158"/>
    <w:rsid w:val="002E2246"/>
    <w:rsid w:val="002E2736"/>
    <w:rsid w:val="002E2ACD"/>
    <w:rsid w:val="002E2E36"/>
    <w:rsid w:val="002E2F93"/>
    <w:rsid w:val="002E3253"/>
    <w:rsid w:val="002E3A1F"/>
    <w:rsid w:val="002E3D7F"/>
    <w:rsid w:val="002E42A3"/>
    <w:rsid w:val="002E43A6"/>
    <w:rsid w:val="002E4AC0"/>
    <w:rsid w:val="002E4AEF"/>
    <w:rsid w:val="002E4C91"/>
    <w:rsid w:val="002E4EDC"/>
    <w:rsid w:val="002E4F02"/>
    <w:rsid w:val="002E5095"/>
    <w:rsid w:val="002E51FF"/>
    <w:rsid w:val="002E5527"/>
    <w:rsid w:val="002E556D"/>
    <w:rsid w:val="002E56F9"/>
    <w:rsid w:val="002E59D9"/>
    <w:rsid w:val="002E5B3C"/>
    <w:rsid w:val="002E5D50"/>
    <w:rsid w:val="002E5E8A"/>
    <w:rsid w:val="002E5F90"/>
    <w:rsid w:val="002E6135"/>
    <w:rsid w:val="002E6503"/>
    <w:rsid w:val="002E6670"/>
    <w:rsid w:val="002E679F"/>
    <w:rsid w:val="002E6C65"/>
    <w:rsid w:val="002E6CDC"/>
    <w:rsid w:val="002E6D9E"/>
    <w:rsid w:val="002E6F09"/>
    <w:rsid w:val="002E7669"/>
    <w:rsid w:val="002E7722"/>
    <w:rsid w:val="002E7983"/>
    <w:rsid w:val="002E7AEE"/>
    <w:rsid w:val="002E7AFC"/>
    <w:rsid w:val="002F0068"/>
    <w:rsid w:val="002F0178"/>
    <w:rsid w:val="002F0180"/>
    <w:rsid w:val="002F0254"/>
    <w:rsid w:val="002F0446"/>
    <w:rsid w:val="002F05F0"/>
    <w:rsid w:val="002F07BA"/>
    <w:rsid w:val="002F082A"/>
    <w:rsid w:val="002F0DA9"/>
    <w:rsid w:val="002F1014"/>
    <w:rsid w:val="002F124E"/>
    <w:rsid w:val="002F142A"/>
    <w:rsid w:val="002F184A"/>
    <w:rsid w:val="002F1852"/>
    <w:rsid w:val="002F1AF6"/>
    <w:rsid w:val="002F1DC7"/>
    <w:rsid w:val="002F1DDE"/>
    <w:rsid w:val="002F21B4"/>
    <w:rsid w:val="002F2537"/>
    <w:rsid w:val="002F2703"/>
    <w:rsid w:val="002F2A0B"/>
    <w:rsid w:val="002F2EFE"/>
    <w:rsid w:val="002F33F7"/>
    <w:rsid w:val="002F3511"/>
    <w:rsid w:val="002F3D37"/>
    <w:rsid w:val="002F3F1E"/>
    <w:rsid w:val="002F40C6"/>
    <w:rsid w:val="002F4878"/>
    <w:rsid w:val="002F4F37"/>
    <w:rsid w:val="002F4FEE"/>
    <w:rsid w:val="002F506E"/>
    <w:rsid w:val="002F5290"/>
    <w:rsid w:val="002F5593"/>
    <w:rsid w:val="002F5872"/>
    <w:rsid w:val="002F6047"/>
    <w:rsid w:val="002F621D"/>
    <w:rsid w:val="002F6253"/>
    <w:rsid w:val="002F633F"/>
    <w:rsid w:val="002F643C"/>
    <w:rsid w:val="002F673B"/>
    <w:rsid w:val="002F69B9"/>
    <w:rsid w:val="002F71C0"/>
    <w:rsid w:val="002F7471"/>
    <w:rsid w:val="002F74F1"/>
    <w:rsid w:val="002F78B3"/>
    <w:rsid w:val="002F7F9B"/>
    <w:rsid w:val="00300206"/>
    <w:rsid w:val="003002FE"/>
    <w:rsid w:val="0030047E"/>
    <w:rsid w:val="003006B3"/>
    <w:rsid w:val="003008AB"/>
    <w:rsid w:val="003009EF"/>
    <w:rsid w:val="00300CD8"/>
    <w:rsid w:val="00300F28"/>
    <w:rsid w:val="00301017"/>
    <w:rsid w:val="003011E1"/>
    <w:rsid w:val="0030155F"/>
    <w:rsid w:val="003016E7"/>
    <w:rsid w:val="0030194B"/>
    <w:rsid w:val="00301A8A"/>
    <w:rsid w:val="00301D71"/>
    <w:rsid w:val="003028DE"/>
    <w:rsid w:val="00302A55"/>
    <w:rsid w:val="00302E35"/>
    <w:rsid w:val="00302F3D"/>
    <w:rsid w:val="0030321C"/>
    <w:rsid w:val="0030331A"/>
    <w:rsid w:val="003037B6"/>
    <w:rsid w:val="00303BA2"/>
    <w:rsid w:val="00304308"/>
    <w:rsid w:val="00304782"/>
    <w:rsid w:val="0030482C"/>
    <w:rsid w:val="003049FE"/>
    <w:rsid w:val="00304CAA"/>
    <w:rsid w:val="00304D21"/>
    <w:rsid w:val="0030501E"/>
    <w:rsid w:val="003056E3"/>
    <w:rsid w:val="00305744"/>
    <w:rsid w:val="0030587B"/>
    <w:rsid w:val="003059BC"/>
    <w:rsid w:val="00305A47"/>
    <w:rsid w:val="00305ADE"/>
    <w:rsid w:val="0030605B"/>
    <w:rsid w:val="00306140"/>
    <w:rsid w:val="0030632F"/>
    <w:rsid w:val="003066AF"/>
    <w:rsid w:val="00306D98"/>
    <w:rsid w:val="0030786C"/>
    <w:rsid w:val="00307C30"/>
    <w:rsid w:val="00310075"/>
    <w:rsid w:val="003100EF"/>
    <w:rsid w:val="003102E1"/>
    <w:rsid w:val="0031031A"/>
    <w:rsid w:val="00310981"/>
    <w:rsid w:val="00310B60"/>
    <w:rsid w:val="00310B7C"/>
    <w:rsid w:val="00310CC1"/>
    <w:rsid w:val="00310DEC"/>
    <w:rsid w:val="003116D8"/>
    <w:rsid w:val="003117FE"/>
    <w:rsid w:val="00311B27"/>
    <w:rsid w:val="00312155"/>
    <w:rsid w:val="003124D9"/>
    <w:rsid w:val="00312594"/>
    <w:rsid w:val="00312BFC"/>
    <w:rsid w:val="00312C91"/>
    <w:rsid w:val="00312F90"/>
    <w:rsid w:val="00313090"/>
    <w:rsid w:val="0031378F"/>
    <w:rsid w:val="00313FDB"/>
    <w:rsid w:val="003140BA"/>
    <w:rsid w:val="00314157"/>
    <w:rsid w:val="00314234"/>
    <w:rsid w:val="00314944"/>
    <w:rsid w:val="0031498B"/>
    <w:rsid w:val="00314AC4"/>
    <w:rsid w:val="00314BB9"/>
    <w:rsid w:val="0031544F"/>
    <w:rsid w:val="00315498"/>
    <w:rsid w:val="00315751"/>
    <w:rsid w:val="003157A3"/>
    <w:rsid w:val="003158B8"/>
    <w:rsid w:val="003158F6"/>
    <w:rsid w:val="00315D41"/>
    <w:rsid w:val="00316374"/>
    <w:rsid w:val="00316474"/>
    <w:rsid w:val="003164B6"/>
    <w:rsid w:val="0031672D"/>
    <w:rsid w:val="0031693C"/>
    <w:rsid w:val="00316C20"/>
    <w:rsid w:val="00316F10"/>
    <w:rsid w:val="00317022"/>
    <w:rsid w:val="0031731D"/>
    <w:rsid w:val="00317641"/>
    <w:rsid w:val="00317C16"/>
    <w:rsid w:val="00317F3C"/>
    <w:rsid w:val="00317F4A"/>
    <w:rsid w:val="00320589"/>
    <w:rsid w:val="00320BC6"/>
    <w:rsid w:val="00320D6B"/>
    <w:rsid w:val="00320E05"/>
    <w:rsid w:val="00321403"/>
    <w:rsid w:val="00321447"/>
    <w:rsid w:val="003218D4"/>
    <w:rsid w:val="00321CD7"/>
    <w:rsid w:val="00322107"/>
    <w:rsid w:val="00322355"/>
    <w:rsid w:val="00322457"/>
    <w:rsid w:val="003226D3"/>
    <w:rsid w:val="00322755"/>
    <w:rsid w:val="00322846"/>
    <w:rsid w:val="00322AAB"/>
    <w:rsid w:val="00322B5D"/>
    <w:rsid w:val="00322CB8"/>
    <w:rsid w:val="00322F89"/>
    <w:rsid w:val="0032370B"/>
    <w:rsid w:val="003238F0"/>
    <w:rsid w:val="00323A21"/>
    <w:rsid w:val="00323F11"/>
    <w:rsid w:val="003240D0"/>
    <w:rsid w:val="0032412E"/>
    <w:rsid w:val="0032436F"/>
    <w:rsid w:val="003244F3"/>
    <w:rsid w:val="00324652"/>
    <w:rsid w:val="00324750"/>
    <w:rsid w:val="0032483A"/>
    <w:rsid w:val="00324BBC"/>
    <w:rsid w:val="00324EB2"/>
    <w:rsid w:val="00325525"/>
    <w:rsid w:val="00325541"/>
    <w:rsid w:val="0032555B"/>
    <w:rsid w:val="00325703"/>
    <w:rsid w:val="00325D93"/>
    <w:rsid w:val="00325DE8"/>
    <w:rsid w:val="0032667D"/>
    <w:rsid w:val="00326C4A"/>
    <w:rsid w:val="00326C85"/>
    <w:rsid w:val="00326DA7"/>
    <w:rsid w:val="00326E90"/>
    <w:rsid w:val="0032704E"/>
    <w:rsid w:val="003270E4"/>
    <w:rsid w:val="0032756B"/>
    <w:rsid w:val="00327BBB"/>
    <w:rsid w:val="00327CA1"/>
    <w:rsid w:val="00327FB8"/>
    <w:rsid w:val="00330121"/>
    <w:rsid w:val="00330657"/>
    <w:rsid w:val="00330825"/>
    <w:rsid w:val="00330A8C"/>
    <w:rsid w:val="00330C16"/>
    <w:rsid w:val="00330CEA"/>
    <w:rsid w:val="00330DAA"/>
    <w:rsid w:val="00330EC8"/>
    <w:rsid w:val="00330F5C"/>
    <w:rsid w:val="003314AA"/>
    <w:rsid w:val="003315E0"/>
    <w:rsid w:val="00331A99"/>
    <w:rsid w:val="00332680"/>
    <w:rsid w:val="0033295D"/>
    <w:rsid w:val="00332B39"/>
    <w:rsid w:val="003331AF"/>
    <w:rsid w:val="003334BB"/>
    <w:rsid w:val="00333770"/>
    <w:rsid w:val="00333A38"/>
    <w:rsid w:val="003341B5"/>
    <w:rsid w:val="0033433A"/>
    <w:rsid w:val="00334820"/>
    <w:rsid w:val="0033484C"/>
    <w:rsid w:val="00335155"/>
    <w:rsid w:val="003351AC"/>
    <w:rsid w:val="00335382"/>
    <w:rsid w:val="003355A1"/>
    <w:rsid w:val="0033583B"/>
    <w:rsid w:val="003360E1"/>
    <w:rsid w:val="003366C9"/>
    <w:rsid w:val="003368F8"/>
    <w:rsid w:val="00336B5D"/>
    <w:rsid w:val="00336B7B"/>
    <w:rsid w:val="00336DF1"/>
    <w:rsid w:val="00336E83"/>
    <w:rsid w:val="00336FCD"/>
    <w:rsid w:val="00337172"/>
    <w:rsid w:val="003371B0"/>
    <w:rsid w:val="00337661"/>
    <w:rsid w:val="00337A7B"/>
    <w:rsid w:val="00337CAF"/>
    <w:rsid w:val="00337EE0"/>
    <w:rsid w:val="00340089"/>
    <w:rsid w:val="0034020F"/>
    <w:rsid w:val="0034039E"/>
    <w:rsid w:val="00340DF1"/>
    <w:rsid w:val="00340E60"/>
    <w:rsid w:val="00340EAC"/>
    <w:rsid w:val="00340F48"/>
    <w:rsid w:val="003410DF"/>
    <w:rsid w:val="00341201"/>
    <w:rsid w:val="003413F5"/>
    <w:rsid w:val="003414BC"/>
    <w:rsid w:val="00341621"/>
    <w:rsid w:val="0034166F"/>
    <w:rsid w:val="00341DEE"/>
    <w:rsid w:val="00341EB4"/>
    <w:rsid w:val="003420E3"/>
    <w:rsid w:val="00342295"/>
    <w:rsid w:val="003422B5"/>
    <w:rsid w:val="0034244E"/>
    <w:rsid w:val="003425F5"/>
    <w:rsid w:val="00342C6E"/>
    <w:rsid w:val="00342DEB"/>
    <w:rsid w:val="00343233"/>
    <w:rsid w:val="00343667"/>
    <w:rsid w:val="0034382F"/>
    <w:rsid w:val="0034409E"/>
    <w:rsid w:val="0034437D"/>
    <w:rsid w:val="00344677"/>
    <w:rsid w:val="00344CE6"/>
    <w:rsid w:val="00344F5F"/>
    <w:rsid w:val="003453EE"/>
    <w:rsid w:val="003453F9"/>
    <w:rsid w:val="00345442"/>
    <w:rsid w:val="003454D2"/>
    <w:rsid w:val="003455FD"/>
    <w:rsid w:val="003457EB"/>
    <w:rsid w:val="00345990"/>
    <w:rsid w:val="00345BD7"/>
    <w:rsid w:val="00345CA9"/>
    <w:rsid w:val="00345CD9"/>
    <w:rsid w:val="00345E00"/>
    <w:rsid w:val="00345E3E"/>
    <w:rsid w:val="00346154"/>
    <w:rsid w:val="00346215"/>
    <w:rsid w:val="003462CF"/>
    <w:rsid w:val="00346873"/>
    <w:rsid w:val="00346A44"/>
    <w:rsid w:val="00346FC5"/>
    <w:rsid w:val="003475AE"/>
    <w:rsid w:val="0034764C"/>
    <w:rsid w:val="00347AE5"/>
    <w:rsid w:val="00347C30"/>
    <w:rsid w:val="00347DD5"/>
    <w:rsid w:val="00347E55"/>
    <w:rsid w:val="00350D56"/>
    <w:rsid w:val="00350E1B"/>
    <w:rsid w:val="00351464"/>
    <w:rsid w:val="003517F9"/>
    <w:rsid w:val="00351935"/>
    <w:rsid w:val="00351BA9"/>
    <w:rsid w:val="0035217A"/>
    <w:rsid w:val="00352923"/>
    <w:rsid w:val="00352C8A"/>
    <w:rsid w:val="00352CD2"/>
    <w:rsid w:val="00352E13"/>
    <w:rsid w:val="0035349C"/>
    <w:rsid w:val="003535EE"/>
    <w:rsid w:val="00353889"/>
    <w:rsid w:val="00353F82"/>
    <w:rsid w:val="003541E7"/>
    <w:rsid w:val="00354286"/>
    <w:rsid w:val="0035492D"/>
    <w:rsid w:val="00354B07"/>
    <w:rsid w:val="00354BEF"/>
    <w:rsid w:val="00354C1A"/>
    <w:rsid w:val="00354DF9"/>
    <w:rsid w:val="00354F64"/>
    <w:rsid w:val="003551FE"/>
    <w:rsid w:val="00355261"/>
    <w:rsid w:val="003553C7"/>
    <w:rsid w:val="00355517"/>
    <w:rsid w:val="0035551E"/>
    <w:rsid w:val="00355A84"/>
    <w:rsid w:val="00355AED"/>
    <w:rsid w:val="00355C98"/>
    <w:rsid w:val="00355D13"/>
    <w:rsid w:val="00355D76"/>
    <w:rsid w:val="0035610C"/>
    <w:rsid w:val="00356186"/>
    <w:rsid w:val="0035620E"/>
    <w:rsid w:val="0035631D"/>
    <w:rsid w:val="00356615"/>
    <w:rsid w:val="00356B14"/>
    <w:rsid w:val="00356B7B"/>
    <w:rsid w:val="00356BB2"/>
    <w:rsid w:val="00356CB6"/>
    <w:rsid w:val="00357970"/>
    <w:rsid w:val="003579E9"/>
    <w:rsid w:val="00357B97"/>
    <w:rsid w:val="00357C89"/>
    <w:rsid w:val="00357ECB"/>
    <w:rsid w:val="00357EDA"/>
    <w:rsid w:val="0036005C"/>
    <w:rsid w:val="00360105"/>
    <w:rsid w:val="00360345"/>
    <w:rsid w:val="003603A9"/>
    <w:rsid w:val="003605C1"/>
    <w:rsid w:val="00360A37"/>
    <w:rsid w:val="00360D74"/>
    <w:rsid w:val="00361037"/>
    <w:rsid w:val="0036114B"/>
    <w:rsid w:val="00361217"/>
    <w:rsid w:val="00361232"/>
    <w:rsid w:val="00361630"/>
    <w:rsid w:val="003619FF"/>
    <w:rsid w:val="00361A05"/>
    <w:rsid w:val="00361A29"/>
    <w:rsid w:val="00361AE2"/>
    <w:rsid w:val="00361D62"/>
    <w:rsid w:val="00361F14"/>
    <w:rsid w:val="003620BE"/>
    <w:rsid w:val="0036212F"/>
    <w:rsid w:val="003624C4"/>
    <w:rsid w:val="00362673"/>
    <w:rsid w:val="00362C36"/>
    <w:rsid w:val="00362C7C"/>
    <w:rsid w:val="00363562"/>
    <w:rsid w:val="00363A7E"/>
    <w:rsid w:val="00363B00"/>
    <w:rsid w:val="00363D13"/>
    <w:rsid w:val="00363E16"/>
    <w:rsid w:val="00363E39"/>
    <w:rsid w:val="00363E71"/>
    <w:rsid w:val="00363F42"/>
    <w:rsid w:val="0036447F"/>
    <w:rsid w:val="0036498B"/>
    <w:rsid w:val="00364B0F"/>
    <w:rsid w:val="00364E2B"/>
    <w:rsid w:val="00365123"/>
    <w:rsid w:val="003652AF"/>
    <w:rsid w:val="003654AC"/>
    <w:rsid w:val="003658A7"/>
    <w:rsid w:val="003658F0"/>
    <w:rsid w:val="0036594D"/>
    <w:rsid w:val="00365A90"/>
    <w:rsid w:val="00365B1D"/>
    <w:rsid w:val="00365FB2"/>
    <w:rsid w:val="00366432"/>
    <w:rsid w:val="00366505"/>
    <w:rsid w:val="0036672C"/>
    <w:rsid w:val="00366759"/>
    <w:rsid w:val="003668AA"/>
    <w:rsid w:val="003669E3"/>
    <w:rsid w:val="00366A50"/>
    <w:rsid w:val="00366CDC"/>
    <w:rsid w:val="0036758A"/>
    <w:rsid w:val="003677B5"/>
    <w:rsid w:val="003679EB"/>
    <w:rsid w:val="00367B08"/>
    <w:rsid w:val="00367DF2"/>
    <w:rsid w:val="003703EF"/>
    <w:rsid w:val="003703F2"/>
    <w:rsid w:val="003705EA"/>
    <w:rsid w:val="00370F8A"/>
    <w:rsid w:val="003710CF"/>
    <w:rsid w:val="0037191C"/>
    <w:rsid w:val="00371BCE"/>
    <w:rsid w:val="00371E7B"/>
    <w:rsid w:val="00371F6E"/>
    <w:rsid w:val="00371FC4"/>
    <w:rsid w:val="003722D7"/>
    <w:rsid w:val="0037264E"/>
    <w:rsid w:val="00372724"/>
    <w:rsid w:val="003729C5"/>
    <w:rsid w:val="00372B02"/>
    <w:rsid w:val="00372E78"/>
    <w:rsid w:val="00373022"/>
    <w:rsid w:val="0037314C"/>
    <w:rsid w:val="003734F4"/>
    <w:rsid w:val="0037358A"/>
    <w:rsid w:val="003735F4"/>
    <w:rsid w:val="00373B79"/>
    <w:rsid w:val="00373BAC"/>
    <w:rsid w:val="00373CF1"/>
    <w:rsid w:val="00373E8B"/>
    <w:rsid w:val="00373F3D"/>
    <w:rsid w:val="00373FA2"/>
    <w:rsid w:val="00373FD0"/>
    <w:rsid w:val="00374026"/>
    <w:rsid w:val="00374374"/>
    <w:rsid w:val="003743BB"/>
    <w:rsid w:val="00374607"/>
    <w:rsid w:val="003748CB"/>
    <w:rsid w:val="00374BE9"/>
    <w:rsid w:val="00374C0B"/>
    <w:rsid w:val="00374CE6"/>
    <w:rsid w:val="00374F0E"/>
    <w:rsid w:val="00374FBD"/>
    <w:rsid w:val="00374FE3"/>
    <w:rsid w:val="003750D1"/>
    <w:rsid w:val="003750F6"/>
    <w:rsid w:val="00375488"/>
    <w:rsid w:val="003754AF"/>
    <w:rsid w:val="0037556B"/>
    <w:rsid w:val="0037571F"/>
    <w:rsid w:val="00375AF8"/>
    <w:rsid w:val="00375C26"/>
    <w:rsid w:val="00375C28"/>
    <w:rsid w:val="00375D5D"/>
    <w:rsid w:val="00375D6C"/>
    <w:rsid w:val="00375E8F"/>
    <w:rsid w:val="003760FC"/>
    <w:rsid w:val="0037655D"/>
    <w:rsid w:val="00376A8B"/>
    <w:rsid w:val="00377164"/>
    <w:rsid w:val="00377565"/>
    <w:rsid w:val="0037756F"/>
    <w:rsid w:val="00377D99"/>
    <w:rsid w:val="00377E29"/>
    <w:rsid w:val="00377F97"/>
    <w:rsid w:val="0038006E"/>
    <w:rsid w:val="003800C3"/>
    <w:rsid w:val="00380352"/>
    <w:rsid w:val="0038056B"/>
    <w:rsid w:val="0038060B"/>
    <w:rsid w:val="0038069D"/>
    <w:rsid w:val="00380838"/>
    <w:rsid w:val="00380BDF"/>
    <w:rsid w:val="00380E17"/>
    <w:rsid w:val="00380E2A"/>
    <w:rsid w:val="00380FDB"/>
    <w:rsid w:val="003810C1"/>
    <w:rsid w:val="003816A4"/>
    <w:rsid w:val="0038189B"/>
    <w:rsid w:val="00381A17"/>
    <w:rsid w:val="00381DE0"/>
    <w:rsid w:val="00381F0A"/>
    <w:rsid w:val="003828C3"/>
    <w:rsid w:val="0038323D"/>
    <w:rsid w:val="003832BD"/>
    <w:rsid w:val="0038365C"/>
    <w:rsid w:val="0038369B"/>
    <w:rsid w:val="00383800"/>
    <w:rsid w:val="0038389B"/>
    <w:rsid w:val="00383967"/>
    <w:rsid w:val="003839FA"/>
    <w:rsid w:val="00383B78"/>
    <w:rsid w:val="00383FAC"/>
    <w:rsid w:val="00384822"/>
    <w:rsid w:val="00384952"/>
    <w:rsid w:val="00384F6D"/>
    <w:rsid w:val="00384F9A"/>
    <w:rsid w:val="003851E8"/>
    <w:rsid w:val="003853C2"/>
    <w:rsid w:val="00385587"/>
    <w:rsid w:val="003857FA"/>
    <w:rsid w:val="00385A9D"/>
    <w:rsid w:val="0038611E"/>
    <w:rsid w:val="003861CA"/>
    <w:rsid w:val="003867C7"/>
    <w:rsid w:val="00386842"/>
    <w:rsid w:val="00386891"/>
    <w:rsid w:val="0038689A"/>
    <w:rsid w:val="003871B0"/>
    <w:rsid w:val="00387959"/>
    <w:rsid w:val="00387AFB"/>
    <w:rsid w:val="00387D97"/>
    <w:rsid w:val="00387DA5"/>
    <w:rsid w:val="00387EFC"/>
    <w:rsid w:val="0039004D"/>
    <w:rsid w:val="003902B1"/>
    <w:rsid w:val="003906F3"/>
    <w:rsid w:val="00390C10"/>
    <w:rsid w:val="00390D15"/>
    <w:rsid w:val="00390FBA"/>
    <w:rsid w:val="00390FC9"/>
    <w:rsid w:val="00391202"/>
    <w:rsid w:val="00391717"/>
    <w:rsid w:val="0039179C"/>
    <w:rsid w:val="00392777"/>
    <w:rsid w:val="00392B9C"/>
    <w:rsid w:val="00392F6B"/>
    <w:rsid w:val="003930ED"/>
    <w:rsid w:val="00393149"/>
    <w:rsid w:val="003931DF"/>
    <w:rsid w:val="00393407"/>
    <w:rsid w:val="0039353D"/>
    <w:rsid w:val="00393C8C"/>
    <w:rsid w:val="00393DBD"/>
    <w:rsid w:val="00393FB4"/>
    <w:rsid w:val="0039451B"/>
    <w:rsid w:val="00394597"/>
    <w:rsid w:val="00394A52"/>
    <w:rsid w:val="00394AEF"/>
    <w:rsid w:val="00394CA7"/>
    <w:rsid w:val="00395489"/>
    <w:rsid w:val="003958BE"/>
    <w:rsid w:val="00395A24"/>
    <w:rsid w:val="00395A31"/>
    <w:rsid w:val="00396436"/>
    <w:rsid w:val="00396896"/>
    <w:rsid w:val="00396BF1"/>
    <w:rsid w:val="00396F48"/>
    <w:rsid w:val="00396FD0"/>
    <w:rsid w:val="00397581"/>
    <w:rsid w:val="003978A4"/>
    <w:rsid w:val="003979D2"/>
    <w:rsid w:val="00397C68"/>
    <w:rsid w:val="00397DF2"/>
    <w:rsid w:val="00397E72"/>
    <w:rsid w:val="003A0562"/>
    <w:rsid w:val="003A056C"/>
    <w:rsid w:val="003A0B2E"/>
    <w:rsid w:val="003A1005"/>
    <w:rsid w:val="003A145B"/>
    <w:rsid w:val="003A187C"/>
    <w:rsid w:val="003A18E6"/>
    <w:rsid w:val="003A19C5"/>
    <w:rsid w:val="003A1A7A"/>
    <w:rsid w:val="003A1A8B"/>
    <w:rsid w:val="003A1D7E"/>
    <w:rsid w:val="003A1E0E"/>
    <w:rsid w:val="003A2094"/>
    <w:rsid w:val="003A22AD"/>
    <w:rsid w:val="003A2392"/>
    <w:rsid w:val="003A26FD"/>
    <w:rsid w:val="003A2831"/>
    <w:rsid w:val="003A2CEE"/>
    <w:rsid w:val="003A2F4E"/>
    <w:rsid w:val="003A30FF"/>
    <w:rsid w:val="003A314D"/>
    <w:rsid w:val="003A337B"/>
    <w:rsid w:val="003A3742"/>
    <w:rsid w:val="003A3CB6"/>
    <w:rsid w:val="003A3ED1"/>
    <w:rsid w:val="003A3FD2"/>
    <w:rsid w:val="003A400C"/>
    <w:rsid w:val="003A44DB"/>
    <w:rsid w:val="003A453E"/>
    <w:rsid w:val="003A45F2"/>
    <w:rsid w:val="003A48FA"/>
    <w:rsid w:val="003A49FC"/>
    <w:rsid w:val="003A4A7F"/>
    <w:rsid w:val="003A4E70"/>
    <w:rsid w:val="003A5347"/>
    <w:rsid w:val="003A53F3"/>
    <w:rsid w:val="003A5818"/>
    <w:rsid w:val="003A58C0"/>
    <w:rsid w:val="003A5A2C"/>
    <w:rsid w:val="003A5B3A"/>
    <w:rsid w:val="003A5C34"/>
    <w:rsid w:val="003A5E33"/>
    <w:rsid w:val="003A611B"/>
    <w:rsid w:val="003A644A"/>
    <w:rsid w:val="003A6900"/>
    <w:rsid w:val="003A69FF"/>
    <w:rsid w:val="003A6AD3"/>
    <w:rsid w:val="003A6FCB"/>
    <w:rsid w:val="003A6FD3"/>
    <w:rsid w:val="003A75F4"/>
    <w:rsid w:val="003A7A86"/>
    <w:rsid w:val="003A7D7E"/>
    <w:rsid w:val="003B02C1"/>
    <w:rsid w:val="003B0451"/>
    <w:rsid w:val="003B099F"/>
    <w:rsid w:val="003B0DCD"/>
    <w:rsid w:val="003B0E22"/>
    <w:rsid w:val="003B0EA1"/>
    <w:rsid w:val="003B11BE"/>
    <w:rsid w:val="003B1237"/>
    <w:rsid w:val="003B1F5F"/>
    <w:rsid w:val="003B200D"/>
    <w:rsid w:val="003B233E"/>
    <w:rsid w:val="003B241C"/>
    <w:rsid w:val="003B2677"/>
    <w:rsid w:val="003B2725"/>
    <w:rsid w:val="003B29D6"/>
    <w:rsid w:val="003B2A1E"/>
    <w:rsid w:val="003B2B07"/>
    <w:rsid w:val="003B2F88"/>
    <w:rsid w:val="003B3350"/>
    <w:rsid w:val="003B3735"/>
    <w:rsid w:val="003B3971"/>
    <w:rsid w:val="003B418A"/>
    <w:rsid w:val="003B4365"/>
    <w:rsid w:val="003B43B2"/>
    <w:rsid w:val="003B4D58"/>
    <w:rsid w:val="003B4F88"/>
    <w:rsid w:val="003B53F0"/>
    <w:rsid w:val="003B54BA"/>
    <w:rsid w:val="003B55D1"/>
    <w:rsid w:val="003B5642"/>
    <w:rsid w:val="003B573B"/>
    <w:rsid w:val="003B579E"/>
    <w:rsid w:val="003B5B61"/>
    <w:rsid w:val="003B5DF5"/>
    <w:rsid w:val="003B5E16"/>
    <w:rsid w:val="003B61BD"/>
    <w:rsid w:val="003B6247"/>
    <w:rsid w:val="003B6854"/>
    <w:rsid w:val="003B69EC"/>
    <w:rsid w:val="003B6F88"/>
    <w:rsid w:val="003B71E8"/>
    <w:rsid w:val="003B7792"/>
    <w:rsid w:val="003B789E"/>
    <w:rsid w:val="003B7D30"/>
    <w:rsid w:val="003C0422"/>
    <w:rsid w:val="003C04F0"/>
    <w:rsid w:val="003C09CC"/>
    <w:rsid w:val="003C0B74"/>
    <w:rsid w:val="003C114A"/>
    <w:rsid w:val="003C11F5"/>
    <w:rsid w:val="003C145A"/>
    <w:rsid w:val="003C1654"/>
    <w:rsid w:val="003C1B35"/>
    <w:rsid w:val="003C1B57"/>
    <w:rsid w:val="003C20E7"/>
    <w:rsid w:val="003C296B"/>
    <w:rsid w:val="003C2A63"/>
    <w:rsid w:val="003C2B06"/>
    <w:rsid w:val="003C3262"/>
    <w:rsid w:val="003C35B6"/>
    <w:rsid w:val="003C3694"/>
    <w:rsid w:val="003C3B27"/>
    <w:rsid w:val="003C3B77"/>
    <w:rsid w:val="003C40D2"/>
    <w:rsid w:val="003C444F"/>
    <w:rsid w:val="003C4697"/>
    <w:rsid w:val="003C46AE"/>
    <w:rsid w:val="003C47CF"/>
    <w:rsid w:val="003C4801"/>
    <w:rsid w:val="003C4C24"/>
    <w:rsid w:val="003C4C48"/>
    <w:rsid w:val="003C4F33"/>
    <w:rsid w:val="003C5542"/>
    <w:rsid w:val="003C5544"/>
    <w:rsid w:val="003C57BE"/>
    <w:rsid w:val="003C5CBF"/>
    <w:rsid w:val="003C5E4B"/>
    <w:rsid w:val="003C62E4"/>
    <w:rsid w:val="003C6316"/>
    <w:rsid w:val="003C6401"/>
    <w:rsid w:val="003C6FED"/>
    <w:rsid w:val="003C7462"/>
    <w:rsid w:val="003C7ABC"/>
    <w:rsid w:val="003C7B09"/>
    <w:rsid w:val="003C7D19"/>
    <w:rsid w:val="003C7D2F"/>
    <w:rsid w:val="003C7E26"/>
    <w:rsid w:val="003C7EE4"/>
    <w:rsid w:val="003D013C"/>
    <w:rsid w:val="003D0371"/>
    <w:rsid w:val="003D03BB"/>
    <w:rsid w:val="003D086B"/>
    <w:rsid w:val="003D0A34"/>
    <w:rsid w:val="003D138C"/>
    <w:rsid w:val="003D13F1"/>
    <w:rsid w:val="003D14FA"/>
    <w:rsid w:val="003D17F0"/>
    <w:rsid w:val="003D1828"/>
    <w:rsid w:val="003D1D54"/>
    <w:rsid w:val="003D1DE4"/>
    <w:rsid w:val="003D1E9A"/>
    <w:rsid w:val="003D1F0F"/>
    <w:rsid w:val="003D2422"/>
    <w:rsid w:val="003D2803"/>
    <w:rsid w:val="003D2B93"/>
    <w:rsid w:val="003D325E"/>
    <w:rsid w:val="003D333F"/>
    <w:rsid w:val="003D34B5"/>
    <w:rsid w:val="003D35AD"/>
    <w:rsid w:val="003D39A1"/>
    <w:rsid w:val="003D3B9B"/>
    <w:rsid w:val="003D3ECC"/>
    <w:rsid w:val="003D3FBF"/>
    <w:rsid w:val="003D4077"/>
    <w:rsid w:val="003D4085"/>
    <w:rsid w:val="003D457F"/>
    <w:rsid w:val="003D49C8"/>
    <w:rsid w:val="003D4A30"/>
    <w:rsid w:val="003D4A75"/>
    <w:rsid w:val="003D4F66"/>
    <w:rsid w:val="003D5264"/>
    <w:rsid w:val="003D5528"/>
    <w:rsid w:val="003D5530"/>
    <w:rsid w:val="003D55FB"/>
    <w:rsid w:val="003D5B00"/>
    <w:rsid w:val="003D5B0D"/>
    <w:rsid w:val="003D5E05"/>
    <w:rsid w:val="003D618A"/>
    <w:rsid w:val="003D635F"/>
    <w:rsid w:val="003D6470"/>
    <w:rsid w:val="003D7080"/>
    <w:rsid w:val="003D708D"/>
    <w:rsid w:val="003D71FA"/>
    <w:rsid w:val="003D741C"/>
    <w:rsid w:val="003D7452"/>
    <w:rsid w:val="003D7613"/>
    <w:rsid w:val="003D78F3"/>
    <w:rsid w:val="003D79BB"/>
    <w:rsid w:val="003D7C98"/>
    <w:rsid w:val="003D7D9D"/>
    <w:rsid w:val="003E0149"/>
    <w:rsid w:val="003E0543"/>
    <w:rsid w:val="003E0D20"/>
    <w:rsid w:val="003E0F4D"/>
    <w:rsid w:val="003E0FFE"/>
    <w:rsid w:val="003E1106"/>
    <w:rsid w:val="003E17DC"/>
    <w:rsid w:val="003E185A"/>
    <w:rsid w:val="003E18A0"/>
    <w:rsid w:val="003E19E7"/>
    <w:rsid w:val="003E1E8D"/>
    <w:rsid w:val="003E22EF"/>
    <w:rsid w:val="003E25BE"/>
    <w:rsid w:val="003E269D"/>
    <w:rsid w:val="003E2887"/>
    <w:rsid w:val="003E29BD"/>
    <w:rsid w:val="003E2E18"/>
    <w:rsid w:val="003E320B"/>
    <w:rsid w:val="003E35E5"/>
    <w:rsid w:val="003E37EF"/>
    <w:rsid w:val="003E3947"/>
    <w:rsid w:val="003E3A1F"/>
    <w:rsid w:val="003E3EA2"/>
    <w:rsid w:val="003E4071"/>
    <w:rsid w:val="003E428A"/>
    <w:rsid w:val="003E444E"/>
    <w:rsid w:val="003E4BAB"/>
    <w:rsid w:val="003E4DD2"/>
    <w:rsid w:val="003E4DD6"/>
    <w:rsid w:val="003E4E0E"/>
    <w:rsid w:val="003E4E23"/>
    <w:rsid w:val="003E509E"/>
    <w:rsid w:val="003E50ED"/>
    <w:rsid w:val="003E50FF"/>
    <w:rsid w:val="003E52ED"/>
    <w:rsid w:val="003E5D23"/>
    <w:rsid w:val="003E6237"/>
    <w:rsid w:val="003E625F"/>
    <w:rsid w:val="003E675D"/>
    <w:rsid w:val="003E6C5D"/>
    <w:rsid w:val="003E6D17"/>
    <w:rsid w:val="003E7219"/>
    <w:rsid w:val="003E7282"/>
    <w:rsid w:val="003E749E"/>
    <w:rsid w:val="003E74F8"/>
    <w:rsid w:val="003E786B"/>
    <w:rsid w:val="003E7A3F"/>
    <w:rsid w:val="003E7D2A"/>
    <w:rsid w:val="003F02CE"/>
    <w:rsid w:val="003F055B"/>
    <w:rsid w:val="003F0716"/>
    <w:rsid w:val="003F08D4"/>
    <w:rsid w:val="003F09C3"/>
    <w:rsid w:val="003F0F7D"/>
    <w:rsid w:val="003F1231"/>
    <w:rsid w:val="003F1408"/>
    <w:rsid w:val="003F1529"/>
    <w:rsid w:val="003F159F"/>
    <w:rsid w:val="003F1CF7"/>
    <w:rsid w:val="003F1D95"/>
    <w:rsid w:val="003F1FDA"/>
    <w:rsid w:val="003F1FF8"/>
    <w:rsid w:val="003F2135"/>
    <w:rsid w:val="003F26C7"/>
    <w:rsid w:val="003F28D3"/>
    <w:rsid w:val="003F2926"/>
    <w:rsid w:val="003F2AC7"/>
    <w:rsid w:val="003F2D90"/>
    <w:rsid w:val="003F2F65"/>
    <w:rsid w:val="003F3414"/>
    <w:rsid w:val="003F34C3"/>
    <w:rsid w:val="003F3596"/>
    <w:rsid w:val="003F35D3"/>
    <w:rsid w:val="003F3B49"/>
    <w:rsid w:val="003F3D1B"/>
    <w:rsid w:val="003F3E9C"/>
    <w:rsid w:val="003F4156"/>
    <w:rsid w:val="003F4399"/>
    <w:rsid w:val="003F443E"/>
    <w:rsid w:val="003F45A2"/>
    <w:rsid w:val="003F46D4"/>
    <w:rsid w:val="003F488C"/>
    <w:rsid w:val="003F4A15"/>
    <w:rsid w:val="003F4E9D"/>
    <w:rsid w:val="003F554B"/>
    <w:rsid w:val="003F59A0"/>
    <w:rsid w:val="003F5ADF"/>
    <w:rsid w:val="003F5BCB"/>
    <w:rsid w:val="003F61A5"/>
    <w:rsid w:val="003F6299"/>
    <w:rsid w:val="003F62CD"/>
    <w:rsid w:val="003F6343"/>
    <w:rsid w:val="003F63D4"/>
    <w:rsid w:val="003F6502"/>
    <w:rsid w:val="003F663A"/>
    <w:rsid w:val="003F6C1C"/>
    <w:rsid w:val="003F739B"/>
    <w:rsid w:val="003F778F"/>
    <w:rsid w:val="003F7E5C"/>
    <w:rsid w:val="0040020A"/>
    <w:rsid w:val="00400AA9"/>
    <w:rsid w:val="00400AE5"/>
    <w:rsid w:val="00400B29"/>
    <w:rsid w:val="00400C9C"/>
    <w:rsid w:val="00400ECB"/>
    <w:rsid w:val="00400F7B"/>
    <w:rsid w:val="00400FF1"/>
    <w:rsid w:val="004010CF"/>
    <w:rsid w:val="0040159F"/>
    <w:rsid w:val="0040168F"/>
    <w:rsid w:val="00401696"/>
    <w:rsid w:val="00401BB5"/>
    <w:rsid w:val="00402119"/>
    <w:rsid w:val="004022AE"/>
    <w:rsid w:val="0040239B"/>
    <w:rsid w:val="00402413"/>
    <w:rsid w:val="004025F7"/>
    <w:rsid w:val="0040312B"/>
    <w:rsid w:val="0040326D"/>
    <w:rsid w:val="004033F1"/>
    <w:rsid w:val="0040353F"/>
    <w:rsid w:val="00403570"/>
    <w:rsid w:val="004035B6"/>
    <w:rsid w:val="00403B9A"/>
    <w:rsid w:val="00403C45"/>
    <w:rsid w:val="00403E37"/>
    <w:rsid w:val="00403F1B"/>
    <w:rsid w:val="00403F23"/>
    <w:rsid w:val="00403F6F"/>
    <w:rsid w:val="004040A0"/>
    <w:rsid w:val="00404212"/>
    <w:rsid w:val="0040428A"/>
    <w:rsid w:val="004046E6"/>
    <w:rsid w:val="0040473C"/>
    <w:rsid w:val="004048DA"/>
    <w:rsid w:val="00404964"/>
    <w:rsid w:val="00404FAD"/>
    <w:rsid w:val="0040504B"/>
    <w:rsid w:val="004056AD"/>
    <w:rsid w:val="004059F4"/>
    <w:rsid w:val="00405AB1"/>
    <w:rsid w:val="00406160"/>
    <w:rsid w:val="004063C3"/>
    <w:rsid w:val="00406B4C"/>
    <w:rsid w:val="00406D36"/>
    <w:rsid w:val="004077A1"/>
    <w:rsid w:val="00407C93"/>
    <w:rsid w:val="00407FAA"/>
    <w:rsid w:val="00407FE5"/>
    <w:rsid w:val="004101B0"/>
    <w:rsid w:val="00410326"/>
    <w:rsid w:val="00410708"/>
    <w:rsid w:val="0041098C"/>
    <w:rsid w:val="00410EC7"/>
    <w:rsid w:val="00411012"/>
    <w:rsid w:val="00411062"/>
    <w:rsid w:val="004112C0"/>
    <w:rsid w:val="004115DF"/>
    <w:rsid w:val="00411B39"/>
    <w:rsid w:val="00412158"/>
    <w:rsid w:val="00412261"/>
    <w:rsid w:val="004122D4"/>
    <w:rsid w:val="004127A7"/>
    <w:rsid w:val="00412BDC"/>
    <w:rsid w:val="00412C4C"/>
    <w:rsid w:val="0041322E"/>
    <w:rsid w:val="0041334B"/>
    <w:rsid w:val="00413A1E"/>
    <w:rsid w:val="00413A62"/>
    <w:rsid w:val="00414476"/>
    <w:rsid w:val="0041451F"/>
    <w:rsid w:val="00414766"/>
    <w:rsid w:val="004147B9"/>
    <w:rsid w:val="0041494B"/>
    <w:rsid w:val="00414C2E"/>
    <w:rsid w:val="00414CAC"/>
    <w:rsid w:val="00414DB7"/>
    <w:rsid w:val="00414FBC"/>
    <w:rsid w:val="004151CF"/>
    <w:rsid w:val="00415487"/>
    <w:rsid w:val="00415665"/>
    <w:rsid w:val="00415A3F"/>
    <w:rsid w:val="00415BF3"/>
    <w:rsid w:val="00415D78"/>
    <w:rsid w:val="00415E6E"/>
    <w:rsid w:val="00415E81"/>
    <w:rsid w:val="00415F26"/>
    <w:rsid w:val="00416176"/>
    <w:rsid w:val="00416364"/>
    <w:rsid w:val="00416925"/>
    <w:rsid w:val="00416B72"/>
    <w:rsid w:val="00416BAE"/>
    <w:rsid w:val="00416EBB"/>
    <w:rsid w:val="00416EE0"/>
    <w:rsid w:val="00417373"/>
    <w:rsid w:val="004174EC"/>
    <w:rsid w:val="00417623"/>
    <w:rsid w:val="00417686"/>
    <w:rsid w:val="004176A1"/>
    <w:rsid w:val="0041783E"/>
    <w:rsid w:val="00417929"/>
    <w:rsid w:val="00417940"/>
    <w:rsid w:val="004179E6"/>
    <w:rsid w:val="00417A61"/>
    <w:rsid w:val="00417EBC"/>
    <w:rsid w:val="0042047F"/>
    <w:rsid w:val="00420655"/>
    <w:rsid w:val="004207D2"/>
    <w:rsid w:val="00420AA6"/>
    <w:rsid w:val="00420B9F"/>
    <w:rsid w:val="00420BDC"/>
    <w:rsid w:val="00420FC3"/>
    <w:rsid w:val="0042126E"/>
    <w:rsid w:val="00421282"/>
    <w:rsid w:val="00421384"/>
    <w:rsid w:val="004213B4"/>
    <w:rsid w:val="004213C8"/>
    <w:rsid w:val="0042180F"/>
    <w:rsid w:val="0042192C"/>
    <w:rsid w:val="00421C2F"/>
    <w:rsid w:val="00421DCC"/>
    <w:rsid w:val="00421F62"/>
    <w:rsid w:val="0042215E"/>
    <w:rsid w:val="00422260"/>
    <w:rsid w:val="004225B9"/>
    <w:rsid w:val="004225FD"/>
    <w:rsid w:val="0042267C"/>
    <w:rsid w:val="00422BC5"/>
    <w:rsid w:val="00422CD3"/>
    <w:rsid w:val="00422FA1"/>
    <w:rsid w:val="00423107"/>
    <w:rsid w:val="004231F1"/>
    <w:rsid w:val="00423380"/>
    <w:rsid w:val="00423604"/>
    <w:rsid w:val="00423898"/>
    <w:rsid w:val="004239CD"/>
    <w:rsid w:val="0042413F"/>
    <w:rsid w:val="004243F7"/>
    <w:rsid w:val="00424648"/>
    <w:rsid w:val="00424649"/>
    <w:rsid w:val="00424880"/>
    <w:rsid w:val="004250CE"/>
    <w:rsid w:val="0042556E"/>
    <w:rsid w:val="00425650"/>
    <w:rsid w:val="0042576A"/>
    <w:rsid w:val="004258A0"/>
    <w:rsid w:val="00425ADB"/>
    <w:rsid w:val="00426459"/>
    <w:rsid w:val="004264A8"/>
    <w:rsid w:val="00426579"/>
    <w:rsid w:val="0042662E"/>
    <w:rsid w:val="00426A27"/>
    <w:rsid w:val="00426EB7"/>
    <w:rsid w:val="00426F0D"/>
    <w:rsid w:val="004271EE"/>
    <w:rsid w:val="00427589"/>
    <w:rsid w:val="004275B8"/>
    <w:rsid w:val="00427760"/>
    <w:rsid w:val="00430057"/>
    <w:rsid w:val="00430135"/>
    <w:rsid w:val="0043019F"/>
    <w:rsid w:val="004305E5"/>
    <w:rsid w:val="0043087F"/>
    <w:rsid w:val="004308EE"/>
    <w:rsid w:val="00430A9A"/>
    <w:rsid w:val="00430D3A"/>
    <w:rsid w:val="004318F8"/>
    <w:rsid w:val="004319F8"/>
    <w:rsid w:val="00431A09"/>
    <w:rsid w:val="00431B46"/>
    <w:rsid w:val="00431E55"/>
    <w:rsid w:val="00431E64"/>
    <w:rsid w:val="00431F83"/>
    <w:rsid w:val="00432046"/>
    <w:rsid w:val="004321F6"/>
    <w:rsid w:val="00432241"/>
    <w:rsid w:val="0043237F"/>
    <w:rsid w:val="00432462"/>
    <w:rsid w:val="004324EC"/>
    <w:rsid w:val="0043251F"/>
    <w:rsid w:val="00432819"/>
    <w:rsid w:val="00433044"/>
    <w:rsid w:val="004334FF"/>
    <w:rsid w:val="0043373E"/>
    <w:rsid w:val="0043382E"/>
    <w:rsid w:val="00433877"/>
    <w:rsid w:val="00433F5B"/>
    <w:rsid w:val="00434088"/>
    <w:rsid w:val="004341DC"/>
    <w:rsid w:val="004342AD"/>
    <w:rsid w:val="004346E8"/>
    <w:rsid w:val="00434879"/>
    <w:rsid w:val="00434A3F"/>
    <w:rsid w:val="00434C98"/>
    <w:rsid w:val="00434CDB"/>
    <w:rsid w:val="004351F2"/>
    <w:rsid w:val="0043546C"/>
    <w:rsid w:val="0043549E"/>
    <w:rsid w:val="00435649"/>
    <w:rsid w:val="0043599D"/>
    <w:rsid w:val="00435BC5"/>
    <w:rsid w:val="00435D33"/>
    <w:rsid w:val="00435FE8"/>
    <w:rsid w:val="0043600D"/>
    <w:rsid w:val="00436075"/>
    <w:rsid w:val="00436253"/>
    <w:rsid w:val="004365F8"/>
    <w:rsid w:val="00436748"/>
    <w:rsid w:val="004368A2"/>
    <w:rsid w:val="00436C41"/>
    <w:rsid w:val="004375B9"/>
    <w:rsid w:val="0043772F"/>
    <w:rsid w:val="004377B5"/>
    <w:rsid w:val="00437BE2"/>
    <w:rsid w:val="00437C37"/>
    <w:rsid w:val="0044030A"/>
    <w:rsid w:val="004403EC"/>
    <w:rsid w:val="004406C1"/>
    <w:rsid w:val="00440815"/>
    <w:rsid w:val="00440851"/>
    <w:rsid w:val="00440BFD"/>
    <w:rsid w:val="00441025"/>
    <w:rsid w:val="00441582"/>
    <w:rsid w:val="00441831"/>
    <w:rsid w:val="00441BE8"/>
    <w:rsid w:val="00441D77"/>
    <w:rsid w:val="004428D0"/>
    <w:rsid w:val="00442ADB"/>
    <w:rsid w:val="00442D08"/>
    <w:rsid w:val="00443105"/>
    <w:rsid w:val="00443245"/>
    <w:rsid w:val="004432AE"/>
    <w:rsid w:val="004433E8"/>
    <w:rsid w:val="004437B2"/>
    <w:rsid w:val="004438A0"/>
    <w:rsid w:val="00443C6B"/>
    <w:rsid w:val="00443ECC"/>
    <w:rsid w:val="00444002"/>
    <w:rsid w:val="00444185"/>
    <w:rsid w:val="004443A7"/>
    <w:rsid w:val="004443F0"/>
    <w:rsid w:val="0044442C"/>
    <w:rsid w:val="004444AD"/>
    <w:rsid w:val="004444D4"/>
    <w:rsid w:val="00444831"/>
    <w:rsid w:val="004448EA"/>
    <w:rsid w:val="004456EC"/>
    <w:rsid w:val="00445714"/>
    <w:rsid w:val="00445941"/>
    <w:rsid w:val="00445B66"/>
    <w:rsid w:val="00445D5C"/>
    <w:rsid w:val="004460B5"/>
    <w:rsid w:val="00446107"/>
    <w:rsid w:val="00446128"/>
    <w:rsid w:val="004461AD"/>
    <w:rsid w:val="004464EB"/>
    <w:rsid w:val="00446E2A"/>
    <w:rsid w:val="00446E2F"/>
    <w:rsid w:val="00446E47"/>
    <w:rsid w:val="00446E92"/>
    <w:rsid w:val="00447382"/>
    <w:rsid w:val="004475B0"/>
    <w:rsid w:val="00447885"/>
    <w:rsid w:val="00447BB3"/>
    <w:rsid w:val="00447BFA"/>
    <w:rsid w:val="00447D26"/>
    <w:rsid w:val="00447D6F"/>
    <w:rsid w:val="00447DFC"/>
    <w:rsid w:val="004502C2"/>
    <w:rsid w:val="004503C7"/>
    <w:rsid w:val="004507A4"/>
    <w:rsid w:val="004507EA"/>
    <w:rsid w:val="004508FC"/>
    <w:rsid w:val="00450D14"/>
    <w:rsid w:val="004512EB"/>
    <w:rsid w:val="00451304"/>
    <w:rsid w:val="00451611"/>
    <w:rsid w:val="00451C67"/>
    <w:rsid w:val="00451DBE"/>
    <w:rsid w:val="0045212F"/>
    <w:rsid w:val="004522C3"/>
    <w:rsid w:val="004525E1"/>
    <w:rsid w:val="00452603"/>
    <w:rsid w:val="00452750"/>
    <w:rsid w:val="0045280E"/>
    <w:rsid w:val="00452D16"/>
    <w:rsid w:val="00452EEB"/>
    <w:rsid w:val="00453081"/>
    <w:rsid w:val="0045310F"/>
    <w:rsid w:val="00453313"/>
    <w:rsid w:val="004536DF"/>
    <w:rsid w:val="00453897"/>
    <w:rsid w:val="004538DC"/>
    <w:rsid w:val="00453B34"/>
    <w:rsid w:val="00453CA6"/>
    <w:rsid w:val="00453D2F"/>
    <w:rsid w:val="00453DFE"/>
    <w:rsid w:val="00453E72"/>
    <w:rsid w:val="00453EAE"/>
    <w:rsid w:val="00454062"/>
    <w:rsid w:val="0045423A"/>
    <w:rsid w:val="004543C9"/>
    <w:rsid w:val="004543EF"/>
    <w:rsid w:val="004549EA"/>
    <w:rsid w:val="00454B60"/>
    <w:rsid w:val="00454D50"/>
    <w:rsid w:val="00454F05"/>
    <w:rsid w:val="00455087"/>
    <w:rsid w:val="00455250"/>
    <w:rsid w:val="004552E3"/>
    <w:rsid w:val="00455498"/>
    <w:rsid w:val="0045576D"/>
    <w:rsid w:val="004557AA"/>
    <w:rsid w:val="0045596B"/>
    <w:rsid w:val="00455CBB"/>
    <w:rsid w:val="00455D45"/>
    <w:rsid w:val="00455F88"/>
    <w:rsid w:val="00456465"/>
    <w:rsid w:val="004565CB"/>
    <w:rsid w:val="00456A53"/>
    <w:rsid w:val="00456D09"/>
    <w:rsid w:val="0045780C"/>
    <w:rsid w:val="00457844"/>
    <w:rsid w:val="00457930"/>
    <w:rsid w:val="00457EAB"/>
    <w:rsid w:val="00460685"/>
    <w:rsid w:val="00460BB6"/>
    <w:rsid w:val="00460FCE"/>
    <w:rsid w:val="00461095"/>
    <w:rsid w:val="004610BD"/>
    <w:rsid w:val="0046120D"/>
    <w:rsid w:val="004613F0"/>
    <w:rsid w:val="00461AB2"/>
    <w:rsid w:val="00461C02"/>
    <w:rsid w:val="00462227"/>
    <w:rsid w:val="00462421"/>
    <w:rsid w:val="0046251C"/>
    <w:rsid w:val="004625D3"/>
    <w:rsid w:val="0046282A"/>
    <w:rsid w:val="004628DA"/>
    <w:rsid w:val="00462D14"/>
    <w:rsid w:val="00462E8E"/>
    <w:rsid w:val="004630D2"/>
    <w:rsid w:val="004631DE"/>
    <w:rsid w:val="00463D8C"/>
    <w:rsid w:val="00463E5C"/>
    <w:rsid w:val="0046455B"/>
    <w:rsid w:val="00464595"/>
    <w:rsid w:val="0046462F"/>
    <w:rsid w:val="00464768"/>
    <w:rsid w:val="004647A3"/>
    <w:rsid w:val="004649AE"/>
    <w:rsid w:val="00464DC7"/>
    <w:rsid w:val="004656D8"/>
    <w:rsid w:val="004658B5"/>
    <w:rsid w:val="00465B43"/>
    <w:rsid w:val="00465B8C"/>
    <w:rsid w:val="00466055"/>
    <w:rsid w:val="0046609C"/>
    <w:rsid w:val="00466101"/>
    <w:rsid w:val="00466249"/>
    <w:rsid w:val="00466488"/>
    <w:rsid w:val="00466626"/>
    <w:rsid w:val="00467080"/>
    <w:rsid w:val="00467675"/>
    <w:rsid w:val="004679F0"/>
    <w:rsid w:val="00467B53"/>
    <w:rsid w:val="00467C85"/>
    <w:rsid w:val="00470309"/>
    <w:rsid w:val="004705B0"/>
    <w:rsid w:val="004707FA"/>
    <w:rsid w:val="00470895"/>
    <w:rsid w:val="00470935"/>
    <w:rsid w:val="00470D3F"/>
    <w:rsid w:val="004713CE"/>
    <w:rsid w:val="0047147F"/>
    <w:rsid w:val="00471676"/>
    <w:rsid w:val="004716DD"/>
    <w:rsid w:val="00471759"/>
    <w:rsid w:val="00471E04"/>
    <w:rsid w:val="00471EA5"/>
    <w:rsid w:val="00472253"/>
    <w:rsid w:val="00472517"/>
    <w:rsid w:val="0047257F"/>
    <w:rsid w:val="0047294D"/>
    <w:rsid w:val="00472A79"/>
    <w:rsid w:val="00472AE8"/>
    <w:rsid w:val="00472C58"/>
    <w:rsid w:val="00472CAA"/>
    <w:rsid w:val="00472E49"/>
    <w:rsid w:val="00472E58"/>
    <w:rsid w:val="00473214"/>
    <w:rsid w:val="0047348F"/>
    <w:rsid w:val="004736E2"/>
    <w:rsid w:val="004737A9"/>
    <w:rsid w:val="00473888"/>
    <w:rsid w:val="004739D0"/>
    <w:rsid w:val="00473AF4"/>
    <w:rsid w:val="00473E9D"/>
    <w:rsid w:val="00473F19"/>
    <w:rsid w:val="00474083"/>
    <w:rsid w:val="004740C9"/>
    <w:rsid w:val="00474103"/>
    <w:rsid w:val="00475134"/>
    <w:rsid w:val="00475529"/>
    <w:rsid w:val="004758C0"/>
    <w:rsid w:val="00475A17"/>
    <w:rsid w:val="00475E22"/>
    <w:rsid w:val="004764C5"/>
    <w:rsid w:val="00476650"/>
    <w:rsid w:val="00476C71"/>
    <w:rsid w:val="00476CEA"/>
    <w:rsid w:val="004772D3"/>
    <w:rsid w:val="00477445"/>
    <w:rsid w:val="00477B2A"/>
    <w:rsid w:val="00477E24"/>
    <w:rsid w:val="004806F1"/>
    <w:rsid w:val="004806FA"/>
    <w:rsid w:val="0048088E"/>
    <w:rsid w:val="004808A4"/>
    <w:rsid w:val="0048094F"/>
    <w:rsid w:val="00480D72"/>
    <w:rsid w:val="00480F2B"/>
    <w:rsid w:val="004814F4"/>
    <w:rsid w:val="004818E6"/>
    <w:rsid w:val="00481AEB"/>
    <w:rsid w:val="00481BD1"/>
    <w:rsid w:val="00481EC4"/>
    <w:rsid w:val="00481ECE"/>
    <w:rsid w:val="00482308"/>
    <w:rsid w:val="00482509"/>
    <w:rsid w:val="00482720"/>
    <w:rsid w:val="00482998"/>
    <w:rsid w:val="00482D6D"/>
    <w:rsid w:val="00482DA6"/>
    <w:rsid w:val="00482F87"/>
    <w:rsid w:val="00482FE3"/>
    <w:rsid w:val="004830C2"/>
    <w:rsid w:val="0048327D"/>
    <w:rsid w:val="004835E7"/>
    <w:rsid w:val="00483611"/>
    <w:rsid w:val="0048384E"/>
    <w:rsid w:val="00483A93"/>
    <w:rsid w:val="00483C11"/>
    <w:rsid w:val="00483C9F"/>
    <w:rsid w:val="00483E3F"/>
    <w:rsid w:val="00483E6D"/>
    <w:rsid w:val="00483EC1"/>
    <w:rsid w:val="00484043"/>
    <w:rsid w:val="0048413F"/>
    <w:rsid w:val="004843EC"/>
    <w:rsid w:val="004843F1"/>
    <w:rsid w:val="004844E8"/>
    <w:rsid w:val="004846C2"/>
    <w:rsid w:val="00484A48"/>
    <w:rsid w:val="00484B3D"/>
    <w:rsid w:val="00484F50"/>
    <w:rsid w:val="0048585B"/>
    <w:rsid w:val="004859FD"/>
    <w:rsid w:val="00485E25"/>
    <w:rsid w:val="00485FEB"/>
    <w:rsid w:val="00486188"/>
    <w:rsid w:val="00486231"/>
    <w:rsid w:val="0048656F"/>
    <w:rsid w:val="00486586"/>
    <w:rsid w:val="004867E2"/>
    <w:rsid w:val="004872C1"/>
    <w:rsid w:val="00487376"/>
    <w:rsid w:val="00487571"/>
    <w:rsid w:val="0048761A"/>
    <w:rsid w:val="00487626"/>
    <w:rsid w:val="00487871"/>
    <w:rsid w:val="00487915"/>
    <w:rsid w:val="00487C08"/>
    <w:rsid w:val="00487C81"/>
    <w:rsid w:val="00487CB6"/>
    <w:rsid w:val="00487CCE"/>
    <w:rsid w:val="00487E11"/>
    <w:rsid w:val="0049000D"/>
    <w:rsid w:val="004900DE"/>
    <w:rsid w:val="00490B17"/>
    <w:rsid w:val="00490E22"/>
    <w:rsid w:val="00490E81"/>
    <w:rsid w:val="00491250"/>
    <w:rsid w:val="00491405"/>
    <w:rsid w:val="004914E8"/>
    <w:rsid w:val="0049151B"/>
    <w:rsid w:val="00491905"/>
    <w:rsid w:val="00491B3A"/>
    <w:rsid w:val="00491BB0"/>
    <w:rsid w:val="00491DD8"/>
    <w:rsid w:val="0049203A"/>
    <w:rsid w:val="004921AC"/>
    <w:rsid w:val="0049242D"/>
    <w:rsid w:val="00492CFD"/>
    <w:rsid w:val="00493187"/>
    <w:rsid w:val="004932D9"/>
    <w:rsid w:val="004937FD"/>
    <w:rsid w:val="00493A98"/>
    <w:rsid w:val="00493AF0"/>
    <w:rsid w:val="00493E06"/>
    <w:rsid w:val="00493E2B"/>
    <w:rsid w:val="004941DE"/>
    <w:rsid w:val="00494207"/>
    <w:rsid w:val="0049473C"/>
    <w:rsid w:val="00494780"/>
    <w:rsid w:val="00494C27"/>
    <w:rsid w:val="00494D28"/>
    <w:rsid w:val="00494D2D"/>
    <w:rsid w:val="00494DD5"/>
    <w:rsid w:val="0049509A"/>
    <w:rsid w:val="004950F2"/>
    <w:rsid w:val="004951F3"/>
    <w:rsid w:val="0049580B"/>
    <w:rsid w:val="00495A72"/>
    <w:rsid w:val="004962D2"/>
    <w:rsid w:val="0049635A"/>
    <w:rsid w:val="0049638A"/>
    <w:rsid w:val="00496D4B"/>
    <w:rsid w:val="0049747D"/>
    <w:rsid w:val="00497A9F"/>
    <w:rsid w:val="00497BDA"/>
    <w:rsid w:val="00497C6C"/>
    <w:rsid w:val="00497DB0"/>
    <w:rsid w:val="004A09C8"/>
    <w:rsid w:val="004A0A09"/>
    <w:rsid w:val="004A0C80"/>
    <w:rsid w:val="004A0DA1"/>
    <w:rsid w:val="004A0F56"/>
    <w:rsid w:val="004A0F80"/>
    <w:rsid w:val="004A13D6"/>
    <w:rsid w:val="004A16AF"/>
    <w:rsid w:val="004A16B6"/>
    <w:rsid w:val="004A1CAF"/>
    <w:rsid w:val="004A21B8"/>
    <w:rsid w:val="004A2409"/>
    <w:rsid w:val="004A2C04"/>
    <w:rsid w:val="004A2C57"/>
    <w:rsid w:val="004A2FDD"/>
    <w:rsid w:val="004A381E"/>
    <w:rsid w:val="004A393D"/>
    <w:rsid w:val="004A3A9E"/>
    <w:rsid w:val="004A3DAF"/>
    <w:rsid w:val="004A3EDE"/>
    <w:rsid w:val="004A42EC"/>
    <w:rsid w:val="004A4753"/>
    <w:rsid w:val="004A4AAE"/>
    <w:rsid w:val="004A500B"/>
    <w:rsid w:val="004A529D"/>
    <w:rsid w:val="004A52E9"/>
    <w:rsid w:val="004A5614"/>
    <w:rsid w:val="004A56E3"/>
    <w:rsid w:val="004A5854"/>
    <w:rsid w:val="004A5C7B"/>
    <w:rsid w:val="004A5D63"/>
    <w:rsid w:val="004A5DC4"/>
    <w:rsid w:val="004A5EEF"/>
    <w:rsid w:val="004A6040"/>
    <w:rsid w:val="004A60D6"/>
    <w:rsid w:val="004A62BC"/>
    <w:rsid w:val="004A6597"/>
    <w:rsid w:val="004A6626"/>
    <w:rsid w:val="004A683E"/>
    <w:rsid w:val="004A6900"/>
    <w:rsid w:val="004A6933"/>
    <w:rsid w:val="004A6D2E"/>
    <w:rsid w:val="004A6DA8"/>
    <w:rsid w:val="004A6E35"/>
    <w:rsid w:val="004A77AF"/>
    <w:rsid w:val="004A7848"/>
    <w:rsid w:val="004A7A68"/>
    <w:rsid w:val="004A7B3F"/>
    <w:rsid w:val="004A7D0D"/>
    <w:rsid w:val="004B0222"/>
    <w:rsid w:val="004B0338"/>
    <w:rsid w:val="004B064D"/>
    <w:rsid w:val="004B089B"/>
    <w:rsid w:val="004B0CB1"/>
    <w:rsid w:val="004B0D76"/>
    <w:rsid w:val="004B0E30"/>
    <w:rsid w:val="004B117A"/>
    <w:rsid w:val="004B1467"/>
    <w:rsid w:val="004B14F6"/>
    <w:rsid w:val="004B1877"/>
    <w:rsid w:val="004B1CB4"/>
    <w:rsid w:val="004B1E31"/>
    <w:rsid w:val="004B20F7"/>
    <w:rsid w:val="004B22A6"/>
    <w:rsid w:val="004B2372"/>
    <w:rsid w:val="004B269F"/>
    <w:rsid w:val="004B2976"/>
    <w:rsid w:val="004B2DD1"/>
    <w:rsid w:val="004B2F18"/>
    <w:rsid w:val="004B3003"/>
    <w:rsid w:val="004B31CF"/>
    <w:rsid w:val="004B3664"/>
    <w:rsid w:val="004B39F4"/>
    <w:rsid w:val="004B3ACA"/>
    <w:rsid w:val="004B3D90"/>
    <w:rsid w:val="004B3DDB"/>
    <w:rsid w:val="004B3F9B"/>
    <w:rsid w:val="004B3FE2"/>
    <w:rsid w:val="004B406F"/>
    <w:rsid w:val="004B408C"/>
    <w:rsid w:val="004B44FD"/>
    <w:rsid w:val="004B461A"/>
    <w:rsid w:val="004B4A55"/>
    <w:rsid w:val="004B4AA1"/>
    <w:rsid w:val="004B4B59"/>
    <w:rsid w:val="004B4BB3"/>
    <w:rsid w:val="004B4EC5"/>
    <w:rsid w:val="004B4FD8"/>
    <w:rsid w:val="004B50B7"/>
    <w:rsid w:val="004B5178"/>
    <w:rsid w:val="004B5477"/>
    <w:rsid w:val="004B5973"/>
    <w:rsid w:val="004B5A09"/>
    <w:rsid w:val="004B5CDA"/>
    <w:rsid w:val="004B5CFC"/>
    <w:rsid w:val="004B627C"/>
    <w:rsid w:val="004B6359"/>
    <w:rsid w:val="004B6649"/>
    <w:rsid w:val="004B6670"/>
    <w:rsid w:val="004B6767"/>
    <w:rsid w:val="004B6CEA"/>
    <w:rsid w:val="004B6D25"/>
    <w:rsid w:val="004B6F79"/>
    <w:rsid w:val="004B7152"/>
    <w:rsid w:val="004B7464"/>
    <w:rsid w:val="004B774D"/>
    <w:rsid w:val="004B7893"/>
    <w:rsid w:val="004B7A44"/>
    <w:rsid w:val="004B7FB4"/>
    <w:rsid w:val="004C05C8"/>
    <w:rsid w:val="004C05E3"/>
    <w:rsid w:val="004C0A32"/>
    <w:rsid w:val="004C0C34"/>
    <w:rsid w:val="004C0C5B"/>
    <w:rsid w:val="004C0E02"/>
    <w:rsid w:val="004C1388"/>
    <w:rsid w:val="004C1503"/>
    <w:rsid w:val="004C165D"/>
    <w:rsid w:val="004C187A"/>
    <w:rsid w:val="004C1C93"/>
    <w:rsid w:val="004C1F3E"/>
    <w:rsid w:val="004C2274"/>
    <w:rsid w:val="004C2374"/>
    <w:rsid w:val="004C25B1"/>
    <w:rsid w:val="004C267D"/>
    <w:rsid w:val="004C2810"/>
    <w:rsid w:val="004C2A3F"/>
    <w:rsid w:val="004C2C6F"/>
    <w:rsid w:val="004C2C73"/>
    <w:rsid w:val="004C3225"/>
    <w:rsid w:val="004C3495"/>
    <w:rsid w:val="004C36FA"/>
    <w:rsid w:val="004C3AFB"/>
    <w:rsid w:val="004C3ECF"/>
    <w:rsid w:val="004C4048"/>
    <w:rsid w:val="004C455F"/>
    <w:rsid w:val="004C4AED"/>
    <w:rsid w:val="004C4B51"/>
    <w:rsid w:val="004C4C7F"/>
    <w:rsid w:val="004C4C9A"/>
    <w:rsid w:val="004C4D98"/>
    <w:rsid w:val="004C5391"/>
    <w:rsid w:val="004C543E"/>
    <w:rsid w:val="004C55D8"/>
    <w:rsid w:val="004C5726"/>
    <w:rsid w:val="004C582E"/>
    <w:rsid w:val="004C5B8B"/>
    <w:rsid w:val="004C5C33"/>
    <w:rsid w:val="004C5D51"/>
    <w:rsid w:val="004C60B8"/>
    <w:rsid w:val="004C6B02"/>
    <w:rsid w:val="004C6C7B"/>
    <w:rsid w:val="004C73E2"/>
    <w:rsid w:val="004C7433"/>
    <w:rsid w:val="004C74C8"/>
    <w:rsid w:val="004C7C8B"/>
    <w:rsid w:val="004C7D5D"/>
    <w:rsid w:val="004D00B5"/>
    <w:rsid w:val="004D01B9"/>
    <w:rsid w:val="004D02BE"/>
    <w:rsid w:val="004D05CE"/>
    <w:rsid w:val="004D086B"/>
    <w:rsid w:val="004D09FF"/>
    <w:rsid w:val="004D0E2E"/>
    <w:rsid w:val="004D13AE"/>
    <w:rsid w:val="004D1F60"/>
    <w:rsid w:val="004D2017"/>
    <w:rsid w:val="004D2193"/>
    <w:rsid w:val="004D232C"/>
    <w:rsid w:val="004D26AA"/>
    <w:rsid w:val="004D26DB"/>
    <w:rsid w:val="004D27EE"/>
    <w:rsid w:val="004D2C28"/>
    <w:rsid w:val="004D2C2D"/>
    <w:rsid w:val="004D2C39"/>
    <w:rsid w:val="004D2C59"/>
    <w:rsid w:val="004D2F01"/>
    <w:rsid w:val="004D35CE"/>
    <w:rsid w:val="004D3900"/>
    <w:rsid w:val="004D393E"/>
    <w:rsid w:val="004D3A25"/>
    <w:rsid w:val="004D3EC8"/>
    <w:rsid w:val="004D4B50"/>
    <w:rsid w:val="004D4CA2"/>
    <w:rsid w:val="004D4F3D"/>
    <w:rsid w:val="004D5026"/>
    <w:rsid w:val="004D55D4"/>
    <w:rsid w:val="004D5A26"/>
    <w:rsid w:val="004D619D"/>
    <w:rsid w:val="004D65A8"/>
    <w:rsid w:val="004D67C2"/>
    <w:rsid w:val="004D67F5"/>
    <w:rsid w:val="004D69B5"/>
    <w:rsid w:val="004D7227"/>
    <w:rsid w:val="004D7889"/>
    <w:rsid w:val="004D7D28"/>
    <w:rsid w:val="004D7E45"/>
    <w:rsid w:val="004D7FA1"/>
    <w:rsid w:val="004D7FE5"/>
    <w:rsid w:val="004E02B8"/>
    <w:rsid w:val="004E0486"/>
    <w:rsid w:val="004E073B"/>
    <w:rsid w:val="004E08C5"/>
    <w:rsid w:val="004E0B94"/>
    <w:rsid w:val="004E0C16"/>
    <w:rsid w:val="004E0E7F"/>
    <w:rsid w:val="004E0EB8"/>
    <w:rsid w:val="004E116D"/>
    <w:rsid w:val="004E151D"/>
    <w:rsid w:val="004E173A"/>
    <w:rsid w:val="004E18E9"/>
    <w:rsid w:val="004E19D5"/>
    <w:rsid w:val="004E1B3B"/>
    <w:rsid w:val="004E21A9"/>
    <w:rsid w:val="004E2303"/>
    <w:rsid w:val="004E26AC"/>
    <w:rsid w:val="004E27A3"/>
    <w:rsid w:val="004E2ADC"/>
    <w:rsid w:val="004E2B1E"/>
    <w:rsid w:val="004E34BF"/>
    <w:rsid w:val="004E39F4"/>
    <w:rsid w:val="004E3A2F"/>
    <w:rsid w:val="004E3B7A"/>
    <w:rsid w:val="004E4204"/>
    <w:rsid w:val="004E43B2"/>
    <w:rsid w:val="004E4B07"/>
    <w:rsid w:val="004E4C3F"/>
    <w:rsid w:val="004E5112"/>
    <w:rsid w:val="004E51F9"/>
    <w:rsid w:val="004E532E"/>
    <w:rsid w:val="004E56B6"/>
    <w:rsid w:val="004E5A0A"/>
    <w:rsid w:val="004E5AA8"/>
    <w:rsid w:val="004E5CE0"/>
    <w:rsid w:val="004E5CEE"/>
    <w:rsid w:val="004E5E95"/>
    <w:rsid w:val="004E60D7"/>
    <w:rsid w:val="004E6185"/>
    <w:rsid w:val="004E6455"/>
    <w:rsid w:val="004E65AD"/>
    <w:rsid w:val="004E672A"/>
    <w:rsid w:val="004E67F6"/>
    <w:rsid w:val="004E6A74"/>
    <w:rsid w:val="004E6B39"/>
    <w:rsid w:val="004E7171"/>
    <w:rsid w:val="004E7555"/>
    <w:rsid w:val="004E75F9"/>
    <w:rsid w:val="004F0085"/>
    <w:rsid w:val="004F037B"/>
    <w:rsid w:val="004F0463"/>
    <w:rsid w:val="004F06B1"/>
    <w:rsid w:val="004F06D4"/>
    <w:rsid w:val="004F071C"/>
    <w:rsid w:val="004F0D0A"/>
    <w:rsid w:val="004F1091"/>
    <w:rsid w:val="004F1205"/>
    <w:rsid w:val="004F1218"/>
    <w:rsid w:val="004F1448"/>
    <w:rsid w:val="004F15A1"/>
    <w:rsid w:val="004F164E"/>
    <w:rsid w:val="004F1975"/>
    <w:rsid w:val="004F19CA"/>
    <w:rsid w:val="004F1A86"/>
    <w:rsid w:val="004F1D02"/>
    <w:rsid w:val="004F1EB6"/>
    <w:rsid w:val="004F1F9C"/>
    <w:rsid w:val="004F211A"/>
    <w:rsid w:val="004F2262"/>
    <w:rsid w:val="004F23ED"/>
    <w:rsid w:val="004F2459"/>
    <w:rsid w:val="004F24A1"/>
    <w:rsid w:val="004F2679"/>
    <w:rsid w:val="004F29AC"/>
    <w:rsid w:val="004F2D1F"/>
    <w:rsid w:val="004F2D5E"/>
    <w:rsid w:val="004F2E05"/>
    <w:rsid w:val="004F2F21"/>
    <w:rsid w:val="004F2FB5"/>
    <w:rsid w:val="004F3A19"/>
    <w:rsid w:val="004F3C73"/>
    <w:rsid w:val="004F3DE5"/>
    <w:rsid w:val="004F3F7D"/>
    <w:rsid w:val="004F44AD"/>
    <w:rsid w:val="004F465E"/>
    <w:rsid w:val="004F4DC7"/>
    <w:rsid w:val="004F4F80"/>
    <w:rsid w:val="004F53DB"/>
    <w:rsid w:val="004F5446"/>
    <w:rsid w:val="004F5475"/>
    <w:rsid w:val="004F5854"/>
    <w:rsid w:val="004F5A9D"/>
    <w:rsid w:val="004F5B02"/>
    <w:rsid w:val="004F5C17"/>
    <w:rsid w:val="004F5DD9"/>
    <w:rsid w:val="004F6062"/>
    <w:rsid w:val="004F606D"/>
    <w:rsid w:val="004F654D"/>
    <w:rsid w:val="004F6871"/>
    <w:rsid w:val="004F6908"/>
    <w:rsid w:val="004F6913"/>
    <w:rsid w:val="004F6D79"/>
    <w:rsid w:val="004F6F27"/>
    <w:rsid w:val="004F7026"/>
    <w:rsid w:val="004F77A9"/>
    <w:rsid w:val="004F7865"/>
    <w:rsid w:val="004F7A75"/>
    <w:rsid w:val="004F7C7E"/>
    <w:rsid w:val="004F7DB6"/>
    <w:rsid w:val="004F7E39"/>
    <w:rsid w:val="005002F6"/>
    <w:rsid w:val="00500327"/>
    <w:rsid w:val="00500494"/>
    <w:rsid w:val="00500A29"/>
    <w:rsid w:val="00500D5E"/>
    <w:rsid w:val="00501227"/>
    <w:rsid w:val="00501424"/>
    <w:rsid w:val="005014C0"/>
    <w:rsid w:val="00501593"/>
    <w:rsid w:val="00501719"/>
    <w:rsid w:val="0050174E"/>
    <w:rsid w:val="0050184A"/>
    <w:rsid w:val="00501854"/>
    <w:rsid w:val="0050190F"/>
    <w:rsid w:val="00501B37"/>
    <w:rsid w:val="00501F77"/>
    <w:rsid w:val="00502086"/>
    <w:rsid w:val="00502103"/>
    <w:rsid w:val="0050219B"/>
    <w:rsid w:val="00502B54"/>
    <w:rsid w:val="00502CCD"/>
    <w:rsid w:val="00502D92"/>
    <w:rsid w:val="00502FDB"/>
    <w:rsid w:val="00503444"/>
    <w:rsid w:val="00503485"/>
    <w:rsid w:val="005034F7"/>
    <w:rsid w:val="00503963"/>
    <w:rsid w:val="00503F17"/>
    <w:rsid w:val="00504291"/>
    <w:rsid w:val="0050438B"/>
    <w:rsid w:val="0050458F"/>
    <w:rsid w:val="005047EB"/>
    <w:rsid w:val="00504939"/>
    <w:rsid w:val="00504A70"/>
    <w:rsid w:val="00504EA0"/>
    <w:rsid w:val="005050B6"/>
    <w:rsid w:val="0050513A"/>
    <w:rsid w:val="005051E4"/>
    <w:rsid w:val="0050528C"/>
    <w:rsid w:val="00505637"/>
    <w:rsid w:val="005057FC"/>
    <w:rsid w:val="00505BB9"/>
    <w:rsid w:val="00505D81"/>
    <w:rsid w:val="0050602D"/>
    <w:rsid w:val="005061D3"/>
    <w:rsid w:val="00506305"/>
    <w:rsid w:val="00506493"/>
    <w:rsid w:val="005065D9"/>
    <w:rsid w:val="00506705"/>
    <w:rsid w:val="00506793"/>
    <w:rsid w:val="00506928"/>
    <w:rsid w:val="00506C38"/>
    <w:rsid w:val="00506F86"/>
    <w:rsid w:val="00507740"/>
    <w:rsid w:val="005077EF"/>
    <w:rsid w:val="00507AF8"/>
    <w:rsid w:val="0051060E"/>
    <w:rsid w:val="005107D1"/>
    <w:rsid w:val="005107E2"/>
    <w:rsid w:val="0051088C"/>
    <w:rsid w:val="00510C84"/>
    <w:rsid w:val="00510E2E"/>
    <w:rsid w:val="0051144F"/>
    <w:rsid w:val="005114B4"/>
    <w:rsid w:val="00511AD5"/>
    <w:rsid w:val="00511BE9"/>
    <w:rsid w:val="00511DC7"/>
    <w:rsid w:val="005120F6"/>
    <w:rsid w:val="0051212A"/>
    <w:rsid w:val="00512218"/>
    <w:rsid w:val="00512242"/>
    <w:rsid w:val="0051227C"/>
    <w:rsid w:val="005124A4"/>
    <w:rsid w:val="005127E2"/>
    <w:rsid w:val="0051299E"/>
    <w:rsid w:val="00512BDA"/>
    <w:rsid w:val="00512C29"/>
    <w:rsid w:val="00512C62"/>
    <w:rsid w:val="00512E9B"/>
    <w:rsid w:val="0051321B"/>
    <w:rsid w:val="00513611"/>
    <w:rsid w:val="00513879"/>
    <w:rsid w:val="005139CF"/>
    <w:rsid w:val="00513B98"/>
    <w:rsid w:val="005142C5"/>
    <w:rsid w:val="00514933"/>
    <w:rsid w:val="00514A64"/>
    <w:rsid w:val="00514B7A"/>
    <w:rsid w:val="00514DAF"/>
    <w:rsid w:val="00514ED9"/>
    <w:rsid w:val="0051501B"/>
    <w:rsid w:val="005151C5"/>
    <w:rsid w:val="005152B5"/>
    <w:rsid w:val="00515385"/>
    <w:rsid w:val="00515411"/>
    <w:rsid w:val="00515648"/>
    <w:rsid w:val="00515771"/>
    <w:rsid w:val="005157BC"/>
    <w:rsid w:val="00515980"/>
    <w:rsid w:val="00515CF6"/>
    <w:rsid w:val="005165D2"/>
    <w:rsid w:val="00516DD6"/>
    <w:rsid w:val="00516F1F"/>
    <w:rsid w:val="00517065"/>
    <w:rsid w:val="005173B7"/>
    <w:rsid w:val="00517682"/>
    <w:rsid w:val="005176EF"/>
    <w:rsid w:val="00517949"/>
    <w:rsid w:val="00517F7C"/>
    <w:rsid w:val="00520098"/>
    <w:rsid w:val="00520149"/>
    <w:rsid w:val="005205B2"/>
    <w:rsid w:val="00520A5C"/>
    <w:rsid w:val="00520BBE"/>
    <w:rsid w:val="00520CB9"/>
    <w:rsid w:val="00520CCE"/>
    <w:rsid w:val="0052123C"/>
    <w:rsid w:val="00521319"/>
    <w:rsid w:val="0052133E"/>
    <w:rsid w:val="0052156F"/>
    <w:rsid w:val="0052174A"/>
    <w:rsid w:val="005218F0"/>
    <w:rsid w:val="00521A67"/>
    <w:rsid w:val="00521E02"/>
    <w:rsid w:val="00521EAF"/>
    <w:rsid w:val="00521F12"/>
    <w:rsid w:val="00522122"/>
    <w:rsid w:val="005221E9"/>
    <w:rsid w:val="005227FD"/>
    <w:rsid w:val="00522895"/>
    <w:rsid w:val="005229C6"/>
    <w:rsid w:val="00522A61"/>
    <w:rsid w:val="00522BC8"/>
    <w:rsid w:val="0052322E"/>
    <w:rsid w:val="0052326D"/>
    <w:rsid w:val="0052346D"/>
    <w:rsid w:val="005236C0"/>
    <w:rsid w:val="005237ED"/>
    <w:rsid w:val="00523818"/>
    <w:rsid w:val="00523869"/>
    <w:rsid w:val="005238BC"/>
    <w:rsid w:val="00523AD5"/>
    <w:rsid w:val="00523BCF"/>
    <w:rsid w:val="00523C28"/>
    <w:rsid w:val="00523D40"/>
    <w:rsid w:val="00523DC2"/>
    <w:rsid w:val="00523DCC"/>
    <w:rsid w:val="0052417A"/>
    <w:rsid w:val="00524B61"/>
    <w:rsid w:val="0052507B"/>
    <w:rsid w:val="00525088"/>
    <w:rsid w:val="00525844"/>
    <w:rsid w:val="00525979"/>
    <w:rsid w:val="00525A64"/>
    <w:rsid w:val="00525D14"/>
    <w:rsid w:val="00525F9A"/>
    <w:rsid w:val="00526139"/>
    <w:rsid w:val="005261E2"/>
    <w:rsid w:val="005264C8"/>
    <w:rsid w:val="00526E2C"/>
    <w:rsid w:val="00526E44"/>
    <w:rsid w:val="00526F4F"/>
    <w:rsid w:val="00527135"/>
    <w:rsid w:val="00527219"/>
    <w:rsid w:val="00527278"/>
    <w:rsid w:val="00527D18"/>
    <w:rsid w:val="00527F8A"/>
    <w:rsid w:val="0053038A"/>
    <w:rsid w:val="0053065A"/>
    <w:rsid w:val="005307C9"/>
    <w:rsid w:val="005309A5"/>
    <w:rsid w:val="00530AC2"/>
    <w:rsid w:val="005310BF"/>
    <w:rsid w:val="005310FC"/>
    <w:rsid w:val="00531723"/>
    <w:rsid w:val="0053176B"/>
    <w:rsid w:val="005319AB"/>
    <w:rsid w:val="00531A11"/>
    <w:rsid w:val="00531AA8"/>
    <w:rsid w:val="00531D58"/>
    <w:rsid w:val="00531F2B"/>
    <w:rsid w:val="00531F2C"/>
    <w:rsid w:val="00531F7C"/>
    <w:rsid w:val="00532297"/>
    <w:rsid w:val="00532520"/>
    <w:rsid w:val="005325FE"/>
    <w:rsid w:val="00532655"/>
    <w:rsid w:val="0053279B"/>
    <w:rsid w:val="00532DB0"/>
    <w:rsid w:val="005330AF"/>
    <w:rsid w:val="005337E5"/>
    <w:rsid w:val="00533A5D"/>
    <w:rsid w:val="00533B17"/>
    <w:rsid w:val="00533BBB"/>
    <w:rsid w:val="00533E64"/>
    <w:rsid w:val="00534030"/>
    <w:rsid w:val="005341FD"/>
    <w:rsid w:val="00534338"/>
    <w:rsid w:val="005347AB"/>
    <w:rsid w:val="00534B34"/>
    <w:rsid w:val="00534E0A"/>
    <w:rsid w:val="00534FAE"/>
    <w:rsid w:val="00535023"/>
    <w:rsid w:val="00535155"/>
    <w:rsid w:val="00535590"/>
    <w:rsid w:val="005355A3"/>
    <w:rsid w:val="005355EF"/>
    <w:rsid w:val="0053565D"/>
    <w:rsid w:val="00535744"/>
    <w:rsid w:val="00535E2B"/>
    <w:rsid w:val="00536097"/>
    <w:rsid w:val="0053648A"/>
    <w:rsid w:val="005364AB"/>
    <w:rsid w:val="005365F2"/>
    <w:rsid w:val="005369C7"/>
    <w:rsid w:val="00536AB8"/>
    <w:rsid w:val="00536BDD"/>
    <w:rsid w:val="00536C18"/>
    <w:rsid w:val="00536EFD"/>
    <w:rsid w:val="00536F42"/>
    <w:rsid w:val="00537182"/>
    <w:rsid w:val="00537293"/>
    <w:rsid w:val="00537DCD"/>
    <w:rsid w:val="005400ED"/>
    <w:rsid w:val="00540B66"/>
    <w:rsid w:val="00540D20"/>
    <w:rsid w:val="00540E05"/>
    <w:rsid w:val="00540E8D"/>
    <w:rsid w:val="00540F0F"/>
    <w:rsid w:val="00540F2F"/>
    <w:rsid w:val="00540F48"/>
    <w:rsid w:val="005417C2"/>
    <w:rsid w:val="00541864"/>
    <w:rsid w:val="00541EDD"/>
    <w:rsid w:val="0054214C"/>
    <w:rsid w:val="0054217D"/>
    <w:rsid w:val="00542193"/>
    <w:rsid w:val="0054248A"/>
    <w:rsid w:val="0054266D"/>
    <w:rsid w:val="00542743"/>
    <w:rsid w:val="00542954"/>
    <w:rsid w:val="00542C2D"/>
    <w:rsid w:val="00543061"/>
    <w:rsid w:val="005432D4"/>
    <w:rsid w:val="00543767"/>
    <w:rsid w:val="0054393F"/>
    <w:rsid w:val="00543BEA"/>
    <w:rsid w:val="00544046"/>
    <w:rsid w:val="00544340"/>
    <w:rsid w:val="005443B5"/>
    <w:rsid w:val="00544AF0"/>
    <w:rsid w:val="00544E70"/>
    <w:rsid w:val="00545640"/>
    <w:rsid w:val="00545642"/>
    <w:rsid w:val="00545A2C"/>
    <w:rsid w:val="00545CB7"/>
    <w:rsid w:val="00545DD8"/>
    <w:rsid w:val="00545DFE"/>
    <w:rsid w:val="00546986"/>
    <w:rsid w:val="00546CCC"/>
    <w:rsid w:val="00546F4E"/>
    <w:rsid w:val="0054763F"/>
    <w:rsid w:val="00547683"/>
    <w:rsid w:val="005478BD"/>
    <w:rsid w:val="005479E3"/>
    <w:rsid w:val="00547B42"/>
    <w:rsid w:val="00547EC1"/>
    <w:rsid w:val="005504EC"/>
    <w:rsid w:val="00550A52"/>
    <w:rsid w:val="00550EFE"/>
    <w:rsid w:val="0055105C"/>
    <w:rsid w:val="005510D8"/>
    <w:rsid w:val="00551388"/>
    <w:rsid w:val="005516B4"/>
    <w:rsid w:val="00551985"/>
    <w:rsid w:val="00551BEB"/>
    <w:rsid w:val="00551E7B"/>
    <w:rsid w:val="005520CD"/>
    <w:rsid w:val="00552585"/>
    <w:rsid w:val="00552A66"/>
    <w:rsid w:val="00552AE4"/>
    <w:rsid w:val="00552BD3"/>
    <w:rsid w:val="00552D7E"/>
    <w:rsid w:val="00552F37"/>
    <w:rsid w:val="005532A0"/>
    <w:rsid w:val="005534AD"/>
    <w:rsid w:val="00553A0E"/>
    <w:rsid w:val="00553C57"/>
    <w:rsid w:val="00553DCB"/>
    <w:rsid w:val="0055407F"/>
    <w:rsid w:val="0055408E"/>
    <w:rsid w:val="00554196"/>
    <w:rsid w:val="00554474"/>
    <w:rsid w:val="005546F5"/>
    <w:rsid w:val="00554914"/>
    <w:rsid w:val="00554D12"/>
    <w:rsid w:val="00554E43"/>
    <w:rsid w:val="00554FC4"/>
    <w:rsid w:val="00555101"/>
    <w:rsid w:val="00555109"/>
    <w:rsid w:val="00555128"/>
    <w:rsid w:val="00555175"/>
    <w:rsid w:val="005553B4"/>
    <w:rsid w:val="00555E0D"/>
    <w:rsid w:val="005561B4"/>
    <w:rsid w:val="0055638C"/>
    <w:rsid w:val="0055684C"/>
    <w:rsid w:val="005568A5"/>
    <w:rsid w:val="005568DD"/>
    <w:rsid w:val="00556B35"/>
    <w:rsid w:val="00556D11"/>
    <w:rsid w:val="00556E84"/>
    <w:rsid w:val="00556F20"/>
    <w:rsid w:val="00556F6E"/>
    <w:rsid w:val="00556FD4"/>
    <w:rsid w:val="005571BB"/>
    <w:rsid w:val="005573B8"/>
    <w:rsid w:val="005573DC"/>
    <w:rsid w:val="005573F4"/>
    <w:rsid w:val="0055741A"/>
    <w:rsid w:val="0055749D"/>
    <w:rsid w:val="00557BD7"/>
    <w:rsid w:val="005605F8"/>
    <w:rsid w:val="00560A6D"/>
    <w:rsid w:val="00560ABC"/>
    <w:rsid w:val="00560CF0"/>
    <w:rsid w:val="00560E60"/>
    <w:rsid w:val="005611B1"/>
    <w:rsid w:val="005611B7"/>
    <w:rsid w:val="0056124D"/>
    <w:rsid w:val="0056129B"/>
    <w:rsid w:val="00561651"/>
    <w:rsid w:val="005618D4"/>
    <w:rsid w:val="00561BF1"/>
    <w:rsid w:val="00561EE9"/>
    <w:rsid w:val="005620AA"/>
    <w:rsid w:val="00562394"/>
    <w:rsid w:val="00562413"/>
    <w:rsid w:val="005626BC"/>
    <w:rsid w:val="00562B42"/>
    <w:rsid w:val="00562C8C"/>
    <w:rsid w:val="00563758"/>
    <w:rsid w:val="005639DA"/>
    <w:rsid w:val="00563BEB"/>
    <w:rsid w:val="00563C7A"/>
    <w:rsid w:val="00563E02"/>
    <w:rsid w:val="0056420F"/>
    <w:rsid w:val="005642A1"/>
    <w:rsid w:val="00564339"/>
    <w:rsid w:val="00564A2E"/>
    <w:rsid w:val="00564C1B"/>
    <w:rsid w:val="00564E61"/>
    <w:rsid w:val="005651FB"/>
    <w:rsid w:val="005658FE"/>
    <w:rsid w:val="00565B5E"/>
    <w:rsid w:val="00565DF0"/>
    <w:rsid w:val="005660BC"/>
    <w:rsid w:val="005662A5"/>
    <w:rsid w:val="00566718"/>
    <w:rsid w:val="0056696F"/>
    <w:rsid w:val="00566994"/>
    <w:rsid w:val="00566A02"/>
    <w:rsid w:val="00566A1F"/>
    <w:rsid w:val="00566D07"/>
    <w:rsid w:val="00566DE5"/>
    <w:rsid w:val="005675C7"/>
    <w:rsid w:val="0056769B"/>
    <w:rsid w:val="005677D8"/>
    <w:rsid w:val="00567EE5"/>
    <w:rsid w:val="00567FAD"/>
    <w:rsid w:val="005703A6"/>
    <w:rsid w:val="00570B99"/>
    <w:rsid w:val="00570BD1"/>
    <w:rsid w:val="00570EF4"/>
    <w:rsid w:val="0057105F"/>
    <w:rsid w:val="0057112C"/>
    <w:rsid w:val="005712D4"/>
    <w:rsid w:val="00571715"/>
    <w:rsid w:val="0057171E"/>
    <w:rsid w:val="0057195F"/>
    <w:rsid w:val="00571AF2"/>
    <w:rsid w:val="00571C44"/>
    <w:rsid w:val="00571CCA"/>
    <w:rsid w:val="00572269"/>
    <w:rsid w:val="00572376"/>
    <w:rsid w:val="0057244A"/>
    <w:rsid w:val="00572800"/>
    <w:rsid w:val="00572A54"/>
    <w:rsid w:val="00572AB9"/>
    <w:rsid w:val="00572C8C"/>
    <w:rsid w:val="00572F26"/>
    <w:rsid w:val="0057308F"/>
    <w:rsid w:val="005731C3"/>
    <w:rsid w:val="005738B1"/>
    <w:rsid w:val="00573920"/>
    <w:rsid w:val="00573BDC"/>
    <w:rsid w:val="00573DBF"/>
    <w:rsid w:val="0057400B"/>
    <w:rsid w:val="005741CE"/>
    <w:rsid w:val="0057430F"/>
    <w:rsid w:val="00574435"/>
    <w:rsid w:val="005746DF"/>
    <w:rsid w:val="005747A9"/>
    <w:rsid w:val="00574B7E"/>
    <w:rsid w:val="00574C66"/>
    <w:rsid w:val="00574CF0"/>
    <w:rsid w:val="00574CF9"/>
    <w:rsid w:val="00574F46"/>
    <w:rsid w:val="005750B7"/>
    <w:rsid w:val="005750C5"/>
    <w:rsid w:val="00575105"/>
    <w:rsid w:val="005752DE"/>
    <w:rsid w:val="00575656"/>
    <w:rsid w:val="00575D8D"/>
    <w:rsid w:val="00575E8C"/>
    <w:rsid w:val="00576243"/>
    <w:rsid w:val="005763D8"/>
    <w:rsid w:val="005764F8"/>
    <w:rsid w:val="0057666E"/>
    <w:rsid w:val="0057678D"/>
    <w:rsid w:val="005768F8"/>
    <w:rsid w:val="00576972"/>
    <w:rsid w:val="00576989"/>
    <w:rsid w:val="00576B05"/>
    <w:rsid w:val="00576E8E"/>
    <w:rsid w:val="00576E9A"/>
    <w:rsid w:val="00576EB8"/>
    <w:rsid w:val="005777ED"/>
    <w:rsid w:val="00577A15"/>
    <w:rsid w:val="00577C38"/>
    <w:rsid w:val="00577CE8"/>
    <w:rsid w:val="00577FC5"/>
    <w:rsid w:val="0058017D"/>
    <w:rsid w:val="00580669"/>
    <w:rsid w:val="0058071A"/>
    <w:rsid w:val="00580853"/>
    <w:rsid w:val="00580A49"/>
    <w:rsid w:val="00580FF4"/>
    <w:rsid w:val="00581019"/>
    <w:rsid w:val="005813F3"/>
    <w:rsid w:val="005816CE"/>
    <w:rsid w:val="005817F6"/>
    <w:rsid w:val="0058181E"/>
    <w:rsid w:val="00581895"/>
    <w:rsid w:val="00581AE4"/>
    <w:rsid w:val="00582635"/>
    <w:rsid w:val="00582A3E"/>
    <w:rsid w:val="00582CC0"/>
    <w:rsid w:val="00582CDD"/>
    <w:rsid w:val="00582CF7"/>
    <w:rsid w:val="00582DB8"/>
    <w:rsid w:val="00583131"/>
    <w:rsid w:val="005834F2"/>
    <w:rsid w:val="0058367D"/>
    <w:rsid w:val="00583699"/>
    <w:rsid w:val="00583807"/>
    <w:rsid w:val="0058387B"/>
    <w:rsid w:val="00583A15"/>
    <w:rsid w:val="00583EBC"/>
    <w:rsid w:val="005841A6"/>
    <w:rsid w:val="005844A0"/>
    <w:rsid w:val="0058478A"/>
    <w:rsid w:val="00584849"/>
    <w:rsid w:val="005848E7"/>
    <w:rsid w:val="00584CB5"/>
    <w:rsid w:val="00584F30"/>
    <w:rsid w:val="00584FD3"/>
    <w:rsid w:val="00585C28"/>
    <w:rsid w:val="00585CDD"/>
    <w:rsid w:val="00585F18"/>
    <w:rsid w:val="00586034"/>
    <w:rsid w:val="005863B1"/>
    <w:rsid w:val="0058654F"/>
    <w:rsid w:val="0058662F"/>
    <w:rsid w:val="00586926"/>
    <w:rsid w:val="00586E71"/>
    <w:rsid w:val="00586EB1"/>
    <w:rsid w:val="00587058"/>
    <w:rsid w:val="00587278"/>
    <w:rsid w:val="00587619"/>
    <w:rsid w:val="0058777E"/>
    <w:rsid w:val="00587AAC"/>
    <w:rsid w:val="00587AD3"/>
    <w:rsid w:val="00587B21"/>
    <w:rsid w:val="00587E53"/>
    <w:rsid w:val="00587FF6"/>
    <w:rsid w:val="0059013E"/>
    <w:rsid w:val="00590154"/>
    <w:rsid w:val="00590155"/>
    <w:rsid w:val="00590242"/>
    <w:rsid w:val="005904D0"/>
    <w:rsid w:val="005908F9"/>
    <w:rsid w:val="0059092C"/>
    <w:rsid w:val="00590B14"/>
    <w:rsid w:val="00590E0A"/>
    <w:rsid w:val="005910B0"/>
    <w:rsid w:val="005915EC"/>
    <w:rsid w:val="0059164E"/>
    <w:rsid w:val="00591714"/>
    <w:rsid w:val="00591957"/>
    <w:rsid w:val="00591DCE"/>
    <w:rsid w:val="00591E78"/>
    <w:rsid w:val="00592013"/>
    <w:rsid w:val="005925A0"/>
    <w:rsid w:val="005927A3"/>
    <w:rsid w:val="00592847"/>
    <w:rsid w:val="00592A53"/>
    <w:rsid w:val="00592CDA"/>
    <w:rsid w:val="00592E44"/>
    <w:rsid w:val="0059313A"/>
    <w:rsid w:val="00593321"/>
    <w:rsid w:val="00593809"/>
    <w:rsid w:val="00593A6D"/>
    <w:rsid w:val="00593C7A"/>
    <w:rsid w:val="00593CE2"/>
    <w:rsid w:val="00593D63"/>
    <w:rsid w:val="00593F73"/>
    <w:rsid w:val="00593FDC"/>
    <w:rsid w:val="00594278"/>
    <w:rsid w:val="00594360"/>
    <w:rsid w:val="0059466A"/>
    <w:rsid w:val="005946FB"/>
    <w:rsid w:val="00594A67"/>
    <w:rsid w:val="00594BE0"/>
    <w:rsid w:val="00594E46"/>
    <w:rsid w:val="0059534E"/>
    <w:rsid w:val="00595409"/>
    <w:rsid w:val="005954FB"/>
    <w:rsid w:val="0059596E"/>
    <w:rsid w:val="005959E8"/>
    <w:rsid w:val="00595C17"/>
    <w:rsid w:val="00595ECE"/>
    <w:rsid w:val="0059633C"/>
    <w:rsid w:val="00596A7C"/>
    <w:rsid w:val="00596C93"/>
    <w:rsid w:val="00596CBD"/>
    <w:rsid w:val="00596F45"/>
    <w:rsid w:val="00597012"/>
    <w:rsid w:val="005976C1"/>
    <w:rsid w:val="005976EA"/>
    <w:rsid w:val="005977D2"/>
    <w:rsid w:val="00597A2A"/>
    <w:rsid w:val="00597A7D"/>
    <w:rsid w:val="00597AA1"/>
    <w:rsid w:val="00597BE6"/>
    <w:rsid w:val="00597BF9"/>
    <w:rsid w:val="00597C97"/>
    <w:rsid w:val="00597D79"/>
    <w:rsid w:val="00597E75"/>
    <w:rsid w:val="00597F8D"/>
    <w:rsid w:val="00597FA0"/>
    <w:rsid w:val="005A01F8"/>
    <w:rsid w:val="005A0300"/>
    <w:rsid w:val="005A08EA"/>
    <w:rsid w:val="005A0A06"/>
    <w:rsid w:val="005A0A31"/>
    <w:rsid w:val="005A0F7C"/>
    <w:rsid w:val="005A1059"/>
    <w:rsid w:val="005A108E"/>
    <w:rsid w:val="005A173D"/>
    <w:rsid w:val="005A17E2"/>
    <w:rsid w:val="005A1854"/>
    <w:rsid w:val="005A19AA"/>
    <w:rsid w:val="005A1DFA"/>
    <w:rsid w:val="005A1F1B"/>
    <w:rsid w:val="005A2005"/>
    <w:rsid w:val="005A200A"/>
    <w:rsid w:val="005A26F6"/>
    <w:rsid w:val="005A29C1"/>
    <w:rsid w:val="005A2AE9"/>
    <w:rsid w:val="005A2B29"/>
    <w:rsid w:val="005A2CC6"/>
    <w:rsid w:val="005A309A"/>
    <w:rsid w:val="005A30A9"/>
    <w:rsid w:val="005A32EC"/>
    <w:rsid w:val="005A373D"/>
    <w:rsid w:val="005A3D3E"/>
    <w:rsid w:val="005A425C"/>
    <w:rsid w:val="005A4371"/>
    <w:rsid w:val="005A43C7"/>
    <w:rsid w:val="005A4761"/>
    <w:rsid w:val="005A4D88"/>
    <w:rsid w:val="005A4F14"/>
    <w:rsid w:val="005A515C"/>
    <w:rsid w:val="005A5BD5"/>
    <w:rsid w:val="005A5EC4"/>
    <w:rsid w:val="005A6549"/>
    <w:rsid w:val="005A6665"/>
    <w:rsid w:val="005A66AD"/>
    <w:rsid w:val="005A6871"/>
    <w:rsid w:val="005A6C9C"/>
    <w:rsid w:val="005A6DC2"/>
    <w:rsid w:val="005A6FBF"/>
    <w:rsid w:val="005A7990"/>
    <w:rsid w:val="005A7AE2"/>
    <w:rsid w:val="005B01B7"/>
    <w:rsid w:val="005B0610"/>
    <w:rsid w:val="005B090C"/>
    <w:rsid w:val="005B09D4"/>
    <w:rsid w:val="005B0B58"/>
    <w:rsid w:val="005B0DBC"/>
    <w:rsid w:val="005B111D"/>
    <w:rsid w:val="005B11D0"/>
    <w:rsid w:val="005B1334"/>
    <w:rsid w:val="005B13F0"/>
    <w:rsid w:val="005B1618"/>
    <w:rsid w:val="005B1C05"/>
    <w:rsid w:val="005B1DAF"/>
    <w:rsid w:val="005B211D"/>
    <w:rsid w:val="005B2549"/>
    <w:rsid w:val="005B2A05"/>
    <w:rsid w:val="005B3755"/>
    <w:rsid w:val="005B37D3"/>
    <w:rsid w:val="005B3870"/>
    <w:rsid w:val="005B391D"/>
    <w:rsid w:val="005B3932"/>
    <w:rsid w:val="005B39ED"/>
    <w:rsid w:val="005B3E31"/>
    <w:rsid w:val="005B428C"/>
    <w:rsid w:val="005B44D5"/>
    <w:rsid w:val="005B47D1"/>
    <w:rsid w:val="005B4C5A"/>
    <w:rsid w:val="005B4E53"/>
    <w:rsid w:val="005B4ED1"/>
    <w:rsid w:val="005B4FE9"/>
    <w:rsid w:val="005B4FF0"/>
    <w:rsid w:val="005B52A8"/>
    <w:rsid w:val="005B571C"/>
    <w:rsid w:val="005B5857"/>
    <w:rsid w:val="005B587C"/>
    <w:rsid w:val="005B5A75"/>
    <w:rsid w:val="005B5B96"/>
    <w:rsid w:val="005B5CCC"/>
    <w:rsid w:val="005B5D7E"/>
    <w:rsid w:val="005B6033"/>
    <w:rsid w:val="005B63BB"/>
    <w:rsid w:val="005B6965"/>
    <w:rsid w:val="005B6972"/>
    <w:rsid w:val="005B69A8"/>
    <w:rsid w:val="005B7049"/>
    <w:rsid w:val="005B7365"/>
    <w:rsid w:val="005B75D8"/>
    <w:rsid w:val="005B7E52"/>
    <w:rsid w:val="005C0010"/>
    <w:rsid w:val="005C0064"/>
    <w:rsid w:val="005C0655"/>
    <w:rsid w:val="005C072E"/>
    <w:rsid w:val="005C0938"/>
    <w:rsid w:val="005C0C7C"/>
    <w:rsid w:val="005C0E03"/>
    <w:rsid w:val="005C0E05"/>
    <w:rsid w:val="005C1106"/>
    <w:rsid w:val="005C157E"/>
    <w:rsid w:val="005C17DE"/>
    <w:rsid w:val="005C198B"/>
    <w:rsid w:val="005C1B83"/>
    <w:rsid w:val="005C2300"/>
    <w:rsid w:val="005C2573"/>
    <w:rsid w:val="005C25FF"/>
    <w:rsid w:val="005C2B07"/>
    <w:rsid w:val="005C2BCB"/>
    <w:rsid w:val="005C2D55"/>
    <w:rsid w:val="005C31DB"/>
    <w:rsid w:val="005C3236"/>
    <w:rsid w:val="005C32A7"/>
    <w:rsid w:val="005C346B"/>
    <w:rsid w:val="005C3ABC"/>
    <w:rsid w:val="005C42A7"/>
    <w:rsid w:val="005C4951"/>
    <w:rsid w:val="005C4995"/>
    <w:rsid w:val="005C49A8"/>
    <w:rsid w:val="005C50FA"/>
    <w:rsid w:val="005C513E"/>
    <w:rsid w:val="005C54E3"/>
    <w:rsid w:val="005C5623"/>
    <w:rsid w:val="005C5803"/>
    <w:rsid w:val="005C5846"/>
    <w:rsid w:val="005C5963"/>
    <w:rsid w:val="005C5BE6"/>
    <w:rsid w:val="005C5F4D"/>
    <w:rsid w:val="005C61AC"/>
    <w:rsid w:val="005C664C"/>
    <w:rsid w:val="005C66D2"/>
    <w:rsid w:val="005C673A"/>
    <w:rsid w:val="005C6802"/>
    <w:rsid w:val="005C6A3F"/>
    <w:rsid w:val="005C71CD"/>
    <w:rsid w:val="005C75CB"/>
    <w:rsid w:val="005C7968"/>
    <w:rsid w:val="005C7A44"/>
    <w:rsid w:val="005C7A7D"/>
    <w:rsid w:val="005C7ABD"/>
    <w:rsid w:val="005C7C2F"/>
    <w:rsid w:val="005C7C51"/>
    <w:rsid w:val="005D044D"/>
    <w:rsid w:val="005D0ABD"/>
    <w:rsid w:val="005D130F"/>
    <w:rsid w:val="005D1588"/>
    <w:rsid w:val="005D1773"/>
    <w:rsid w:val="005D1842"/>
    <w:rsid w:val="005D18AD"/>
    <w:rsid w:val="005D1955"/>
    <w:rsid w:val="005D2473"/>
    <w:rsid w:val="005D26B4"/>
    <w:rsid w:val="005D26C0"/>
    <w:rsid w:val="005D277D"/>
    <w:rsid w:val="005D2B74"/>
    <w:rsid w:val="005D2DCB"/>
    <w:rsid w:val="005D33C0"/>
    <w:rsid w:val="005D3500"/>
    <w:rsid w:val="005D3826"/>
    <w:rsid w:val="005D3DF8"/>
    <w:rsid w:val="005D4336"/>
    <w:rsid w:val="005D4465"/>
    <w:rsid w:val="005D4629"/>
    <w:rsid w:val="005D491D"/>
    <w:rsid w:val="005D4B7C"/>
    <w:rsid w:val="005D4C69"/>
    <w:rsid w:val="005D5635"/>
    <w:rsid w:val="005D569E"/>
    <w:rsid w:val="005D585A"/>
    <w:rsid w:val="005D65FB"/>
    <w:rsid w:val="005D693B"/>
    <w:rsid w:val="005D6E9F"/>
    <w:rsid w:val="005D6EA5"/>
    <w:rsid w:val="005D716C"/>
    <w:rsid w:val="005D727D"/>
    <w:rsid w:val="005D7445"/>
    <w:rsid w:val="005D76F5"/>
    <w:rsid w:val="005D77B9"/>
    <w:rsid w:val="005D7BDC"/>
    <w:rsid w:val="005E00C7"/>
    <w:rsid w:val="005E0243"/>
    <w:rsid w:val="005E0293"/>
    <w:rsid w:val="005E06D4"/>
    <w:rsid w:val="005E097C"/>
    <w:rsid w:val="005E09E4"/>
    <w:rsid w:val="005E0D8E"/>
    <w:rsid w:val="005E12CD"/>
    <w:rsid w:val="005E145C"/>
    <w:rsid w:val="005E1503"/>
    <w:rsid w:val="005E16E7"/>
    <w:rsid w:val="005E1738"/>
    <w:rsid w:val="005E1B55"/>
    <w:rsid w:val="005E1F30"/>
    <w:rsid w:val="005E2174"/>
    <w:rsid w:val="005E2361"/>
    <w:rsid w:val="005E25AD"/>
    <w:rsid w:val="005E2A15"/>
    <w:rsid w:val="005E2CAB"/>
    <w:rsid w:val="005E2E04"/>
    <w:rsid w:val="005E2F19"/>
    <w:rsid w:val="005E2F97"/>
    <w:rsid w:val="005E3483"/>
    <w:rsid w:val="005E350B"/>
    <w:rsid w:val="005E37C9"/>
    <w:rsid w:val="005E4137"/>
    <w:rsid w:val="005E41E3"/>
    <w:rsid w:val="005E41F6"/>
    <w:rsid w:val="005E44F1"/>
    <w:rsid w:val="005E4686"/>
    <w:rsid w:val="005E476D"/>
    <w:rsid w:val="005E4F67"/>
    <w:rsid w:val="005E4FAB"/>
    <w:rsid w:val="005E5115"/>
    <w:rsid w:val="005E540D"/>
    <w:rsid w:val="005E56CD"/>
    <w:rsid w:val="005E59EF"/>
    <w:rsid w:val="005E5AB0"/>
    <w:rsid w:val="005E5C97"/>
    <w:rsid w:val="005E642D"/>
    <w:rsid w:val="005E6C75"/>
    <w:rsid w:val="005E6CBC"/>
    <w:rsid w:val="005E6E8F"/>
    <w:rsid w:val="005E6F13"/>
    <w:rsid w:val="005E72FF"/>
    <w:rsid w:val="005E73C0"/>
    <w:rsid w:val="005E7525"/>
    <w:rsid w:val="005E7DA4"/>
    <w:rsid w:val="005F04E0"/>
    <w:rsid w:val="005F09B1"/>
    <w:rsid w:val="005F0A43"/>
    <w:rsid w:val="005F0DB4"/>
    <w:rsid w:val="005F161A"/>
    <w:rsid w:val="005F1CB5"/>
    <w:rsid w:val="005F2286"/>
    <w:rsid w:val="005F2706"/>
    <w:rsid w:val="005F2964"/>
    <w:rsid w:val="005F2A6C"/>
    <w:rsid w:val="005F2BD8"/>
    <w:rsid w:val="005F2C94"/>
    <w:rsid w:val="005F3051"/>
    <w:rsid w:val="005F312D"/>
    <w:rsid w:val="005F338F"/>
    <w:rsid w:val="005F381C"/>
    <w:rsid w:val="005F383C"/>
    <w:rsid w:val="005F384C"/>
    <w:rsid w:val="005F3C0E"/>
    <w:rsid w:val="005F4156"/>
    <w:rsid w:val="005F421C"/>
    <w:rsid w:val="005F4686"/>
    <w:rsid w:val="005F4843"/>
    <w:rsid w:val="005F4A05"/>
    <w:rsid w:val="005F4FD3"/>
    <w:rsid w:val="005F54B4"/>
    <w:rsid w:val="005F571C"/>
    <w:rsid w:val="005F5938"/>
    <w:rsid w:val="005F5EB7"/>
    <w:rsid w:val="005F60EE"/>
    <w:rsid w:val="005F6237"/>
    <w:rsid w:val="005F6446"/>
    <w:rsid w:val="005F64B4"/>
    <w:rsid w:val="005F660D"/>
    <w:rsid w:val="005F67DA"/>
    <w:rsid w:val="005F6829"/>
    <w:rsid w:val="005F6A8F"/>
    <w:rsid w:val="005F6BB7"/>
    <w:rsid w:val="005F73CD"/>
    <w:rsid w:val="005F7588"/>
    <w:rsid w:val="005F762F"/>
    <w:rsid w:val="005F7AF9"/>
    <w:rsid w:val="005F7BB1"/>
    <w:rsid w:val="005F7E36"/>
    <w:rsid w:val="005F7E98"/>
    <w:rsid w:val="006001C1"/>
    <w:rsid w:val="0060058C"/>
    <w:rsid w:val="0060085B"/>
    <w:rsid w:val="00600A6B"/>
    <w:rsid w:val="00600B9A"/>
    <w:rsid w:val="0060110B"/>
    <w:rsid w:val="0060136F"/>
    <w:rsid w:val="00601A0C"/>
    <w:rsid w:val="00601C0D"/>
    <w:rsid w:val="0060297C"/>
    <w:rsid w:val="00602A3D"/>
    <w:rsid w:val="00602A46"/>
    <w:rsid w:val="00602FF1"/>
    <w:rsid w:val="0060333D"/>
    <w:rsid w:val="006033D9"/>
    <w:rsid w:val="00603729"/>
    <w:rsid w:val="0060374B"/>
    <w:rsid w:val="00603DB9"/>
    <w:rsid w:val="00604194"/>
    <w:rsid w:val="006045F0"/>
    <w:rsid w:val="006048DE"/>
    <w:rsid w:val="00604907"/>
    <w:rsid w:val="006049EA"/>
    <w:rsid w:val="0060505C"/>
    <w:rsid w:val="00605518"/>
    <w:rsid w:val="00605FEC"/>
    <w:rsid w:val="00606170"/>
    <w:rsid w:val="006067AD"/>
    <w:rsid w:val="00606858"/>
    <w:rsid w:val="00606A9C"/>
    <w:rsid w:val="00606B10"/>
    <w:rsid w:val="00606D7A"/>
    <w:rsid w:val="00606FBA"/>
    <w:rsid w:val="00607497"/>
    <w:rsid w:val="00607669"/>
    <w:rsid w:val="006076F4"/>
    <w:rsid w:val="00607948"/>
    <w:rsid w:val="00607A2E"/>
    <w:rsid w:val="00607A82"/>
    <w:rsid w:val="00607A9B"/>
    <w:rsid w:val="00607AFD"/>
    <w:rsid w:val="00607B46"/>
    <w:rsid w:val="00607D7E"/>
    <w:rsid w:val="00607DC0"/>
    <w:rsid w:val="00610268"/>
    <w:rsid w:val="006104B7"/>
    <w:rsid w:val="006105A2"/>
    <w:rsid w:val="006105CA"/>
    <w:rsid w:val="00610F6D"/>
    <w:rsid w:val="00610FB0"/>
    <w:rsid w:val="00611B9D"/>
    <w:rsid w:val="006120CE"/>
    <w:rsid w:val="0061222F"/>
    <w:rsid w:val="00612409"/>
    <w:rsid w:val="006128CF"/>
    <w:rsid w:val="00612EA4"/>
    <w:rsid w:val="00612F97"/>
    <w:rsid w:val="006133AC"/>
    <w:rsid w:val="0061345D"/>
    <w:rsid w:val="006136DC"/>
    <w:rsid w:val="0061390D"/>
    <w:rsid w:val="00613BB9"/>
    <w:rsid w:val="00614089"/>
    <w:rsid w:val="00614490"/>
    <w:rsid w:val="006144D7"/>
    <w:rsid w:val="00614596"/>
    <w:rsid w:val="006145C7"/>
    <w:rsid w:val="00614607"/>
    <w:rsid w:val="0061471F"/>
    <w:rsid w:val="00614D23"/>
    <w:rsid w:val="00614D84"/>
    <w:rsid w:val="00614EAB"/>
    <w:rsid w:val="00614F63"/>
    <w:rsid w:val="0061500C"/>
    <w:rsid w:val="00615457"/>
    <w:rsid w:val="0061549B"/>
    <w:rsid w:val="006154E9"/>
    <w:rsid w:val="006155D7"/>
    <w:rsid w:val="00615A48"/>
    <w:rsid w:val="00615B31"/>
    <w:rsid w:val="00615B67"/>
    <w:rsid w:val="00615CBD"/>
    <w:rsid w:val="006160C5"/>
    <w:rsid w:val="00616421"/>
    <w:rsid w:val="00616449"/>
    <w:rsid w:val="006165D0"/>
    <w:rsid w:val="00616721"/>
    <w:rsid w:val="00616802"/>
    <w:rsid w:val="0061680D"/>
    <w:rsid w:val="00616815"/>
    <w:rsid w:val="00616A36"/>
    <w:rsid w:val="00616A60"/>
    <w:rsid w:val="00616BD8"/>
    <w:rsid w:val="00616BDB"/>
    <w:rsid w:val="00616C1A"/>
    <w:rsid w:val="00616E53"/>
    <w:rsid w:val="00617366"/>
    <w:rsid w:val="0061738C"/>
    <w:rsid w:val="00617453"/>
    <w:rsid w:val="00617531"/>
    <w:rsid w:val="006177DA"/>
    <w:rsid w:val="0061795A"/>
    <w:rsid w:val="00617ABD"/>
    <w:rsid w:val="00617B1F"/>
    <w:rsid w:val="00617B5C"/>
    <w:rsid w:val="00617E12"/>
    <w:rsid w:val="00617E9C"/>
    <w:rsid w:val="00617F92"/>
    <w:rsid w:val="006200D6"/>
    <w:rsid w:val="006205EA"/>
    <w:rsid w:val="00620C25"/>
    <w:rsid w:val="00620D53"/>
    <w:rsid w:val="00620ED2"/>
    <w:rsid w:val="00621477"/>
    <w:rsid w:val="006217E5"/>
    <w:rsid w:val="00621A86"/>
    <w:rsid w:val="00621ADA"/>
    <w:rsid w:val="006220A4"/>
    <w:rsid w:val="00622619"/>
    <w:rsid w:val="00622AB6"/>
    <w:rsid w:val="00622B0E"/>
    <w:rsid w:val="006237F7"/>
    <w:rsid w:val="006239D5"/>
    <w:rsid w:val="00623C97"/>
    <w:rsid w:val="00623F7B"/>
    <w:rsid w:val="00624341"/>
    <w:rsid w:val="006244A0"/>
    <w:rsid w:val="00624670"/>
    <w:rsid w:val="00624798"/>
    <w:rsid w:val="006248B3"/>
    <w:rsid w:val="00624B4A"/>
    <w:rsid w:val="00624CD1"/>
    <w:rsid w:val="00624E23"/>
    <w:rsid w:val="00625554"/>
    <w:rsid w:val="00625614"/>
    <w:rsid w:val="006256CE"/>
    <w:rsid w:val="0062665D"/>
    <w:rsid w:val="00626E8E"/>
    <w:rsid w:val="00626F53"/>
    <w:rsid w:val="006270BC"/>
    <w:rsid w:val="006274A1"/>
    <w:rsid w:val="00627C3D"/>
    <w:rsid w:val="00627DEE"/>
    <w:rsid w:val="006307C1"/>
    <w:rsid w:val="006308B3"/>
    <w:rsid w:val="00630A86"/>
    <w:rsid w:val="00630AF5"/>
    <w:rsid w:val="00630C23"/>
    <w:rsid w:val="00630DD3"/>
    <w:rsid w:val="0063132C"/>
    <w:rsid w:val="0063158F"/>
    <w:rsid w:val="00631669"/>
    <w:rsid w:val="00631691"/>
    <w:rsid w:val="0063170C"/>
    <w:rsid w:val="0063192E"/>
    <w:rsid w:val="00631955"/>
    <w:rsid w:val="00631B73"/>
    <w:rsid w:val="00631D6B"/>
    <w:rsid w:val="00631E40"/>
    <w:rsid w:val="00631E4D"/>
    <w:rsid w:val="00632128"/>
    <w:rsid w:val="00632183"/>
    <w:rsid w:val="006322DB"/>
    <w:rsid w:val="00632376"/>
    <w:rsid w:val="00632458"/>
    <w:rsid w:val="006326B4"/>
    <w:rsid w:val="0063287D"/>
    <w:rsid w:val="006329EE"/>
    <w:rsid w:val="00632BE2"/>
    <w:rsid w:val="00632C52"/>
    <w:rsid w:val="006330A1"/>
    <w:rsid w:val="006333FB"/>
    <w:rsid w:val="00633491"/>
    <w:rsid w:val="00633698"/>
    <w:rsid w:val="00633E0B"/>
    <w:rsid w:val="00633F71"/>
    <w:rsid w:val="006342C5"/>
    <w:rsid w:val="0063432E"/>
    <w:rsid w:val="006345B5"/>
    <w:rsid w:val="00634740"/>
    <w:rsid w:val="00634784"/>
    <w:rsid w:val="0063479F"/>
    <w:rsid w:val="0063494B"/>
    <w:rsid w:val="00634A1F"/>
    <w:rsid w:val="00634D0B"/>
    <w:rsid w:val="00634F5A"/>
    <w:rsid w:val="00635059"/>
    <w:rsid w:val="006351F4"/>
    <w:rsid w:val="0063529E"/>
    <w:rsid w:val="006353F0"/>
    <w:rsid w:val="006354B6"/>
    <w:rsid w:val="006355FA"/>
    <w:rsid w:val="006356BF"/>
    <w:rsid w:val="006357B5"/>
    <w:rsid w:val="00635950"/>
    <w:rsid w:val="00635D0B"/>
    <w:rsid w:val="00635D2A"/>
    <w:rsid w:val="00635F65"/>
    <w:rsid w:val="00636067"/>
    <w:rsid w:val="0063621E"/>
    <w:rsid w:val="006363DD"/>
    <w:rsid w:val="00636486"/>
    <w:rsid w:val="006364A1"/>
    <w:rsid w:val="00636540"/>
    <w:rsid w:val="00636617"/>
    <w:rsid w:val="0063678E"/>
    <w:rsid w:val="006368AE"/>
    <w:rsid w:val="00636A1D"/>
    <w:rsid w:val="00636B13"/>
    <w:rsid w:val="00636E2B"/>
    <w:rsid w:val="00636FA9"/>
    <w:rsid w:val="00637060"/>
    <w:rsid w:val="0063718A"/>
    <w:rsid w:val="00637AAE"/>
    <w:rsid w:val="00637BFD"/>
    <w:rsid w:val="00637C0F"/>
    <w:rsid w:val="00637C2A"/>
    <w:rsid w:val="00637F43"/>
    <w:rsid w:val="006402C1"/>
    <w:rsid w:val="00640435"/>
    <w:rsid w:val="00640578"/>
    <w:rsid w:val="0064057B"/>
    <w:rsid w:val="006405B0"/>
    <w:rsid w:val="00640E67"/>
    <w:rsid w:val="00640ED3"/>
    <w:rsid w:val="00641476"/>
    <w:rsid w:val="0064183D"/>
    <w:rsid w:val="0064184A"/>
    <w:rsid w:val="00641C4E"/>
    <w:rsid w:val="00641CC2"/>
    <w:rsid w:val="00641FB3"/>
    <w:rsid w:val="006427A0"/>
    <w:rsid w:val="0064290C"/>
    <w:rsid w:val="00642B3A"/>
    <w:rsid w:val="00642D35"/>
    <w:rsid w:val="00642DA4"/>
    <w:rsid w:val="00642DE6"/>
    <w:rsid w:val="00643631"/>
    <w:rsid w:val="00643AE8"/>
    <w:rsid w:val="00643C6D"/>
    <w:rsid w:val="00643CA3"/>
    <w:rsid w:val="00643CE1"/>
    <w:rsid w:val="006440C2"/>
    <w:rsid w:val="0064434C"/>
    <w:rsid w:val="00644ED6"/>
    <w:rsid w:val="0064511F"/>
    <w:rsid w:val="006454AB"/>
    <w:rsid w:val="00645ACF"/>
    <w:rsid w:val="00645F04"/>
    <w:rsid w:val="006460A5"/>
    <w:rsid w:val="006460A8"/>
    <w:rsid w:val="006462AA"/>
    <w:rsid w:val="0064637B"/>
    <w:rsid w:val="0064681C"/>
    <w:rsid w:val="00646825"/>
    <w:rsid w:val="006470C3"/>
    <w:rsid w:val="006471CC"/>
    <w:rsid w:val="006471EB"/>
    <w:rsid w:val="006478CB"/>
    <w:rsid w:val="00647A29"/>
    <w:rsid w:val="00647EB6"/>
    <w:rsid w:val="00647FFE"/>
    <w:rsid w:val="00650101"/>
    <w:rsid w:val="00650221"/>
    <w:rsid w:val="00650307"/>
    <w:rsid w:val="0065079F"/>
    <w:rsid w:val="006507A8"/>
    <w:rsid w:val="00650CDA"/>
    <w:rsid w:val="006512CC"/>
    <w:rsid w:val="00651428"/>
    <w:rsid w:val="006514ED"/>
    <w:rsid w:val="00651500"/>
    <w:rsid w:val="006515A6"/>
    <w:rsid w:val="00651DE0"/>
    <w:rsid w:val="00651E2F"/>
    <w:rsid w:val="006522B9"/>
    <w:rsid w:val="006525F1"/>
    <w:rsid w:val="00652A1E"/>
    <w:rsid w:val="00652A28"/>
    <w:rsid w:val="00652C01"/>
    <w:rsid w:val="00653023"/>
    <w:rsid w:val="00653036"/>
    <w:rsid w:val="006531B5"/>
    <w:rsid w:val="006531DA"/>
    <w:rsid w:val="0065333A"/>
    <w:rsid w:val="00653547"/>
    <w:rsid w:val="006536DE"/>
    <w:rsid w:val="0065379F"/>
    <w:rsid w:val="00653C53"/>
    <w:rsid w:val="00653E35"/>
    <w:rsid w:val="00653E8D"/>
    <w:rsid w:val="0065408E"/>
    <w:rsid w:val="0065411F"/>
    <w:rsid w:val="00654704"/>
    <w:rsid w:val="0065545B"/>
    <w:rsid w:val="00655BD9"/>
    <w:rsid w:val="00655E7C"/>
    <w:rsid w:val="0065606A"/>
    <w:rsid w:val="00656188"/>
    <w:rsid w:val="00656258"/>
    <w:rsid w:val="006563D3"/>
    <w:rsid w:val="006565DF"/>
    <w:rsid w:val="006565F1"/>
    <w:rsid w:val="0065715A"/>
    <w:rsid w:val="006573F0"/>
    <w:rsid w:val="006574C4"/>
    <w:rsid w:val="00657937"/>
    <w:rsid w:val="00657D67"/>
    <w:rsid w:val="00657E8B"/>
    <w:rsid w:val="00657F20"/>
    <w:rsid w:val="00657F2D"/>
    <w:rsid w:val="0066031D"/>
    <w:rsid w:val="00660662"/>
    <w:rsid w:val="006609B2"/>
    <w:rsid w:val="00660C9E"/>
    <w:rsid w:val="00660DDF"/>
    <w:rsid w:val="00660E92"/>
    <w:rsid w:val="006610F1"/>
    <w:rsid w:val="006613CF"/>
    <w:rsid w:val="006615B4"/>
    <w:rsid w:val="006619D7"/>
    <w:rsid w:val="00661C6B"/>
    <w:rsid w:val="00661D86"/>
    <w:rsid w:val="00661E2F"/>
    <w:rsid w:val="006620D9"/>
    <w:rsid w:val="0066217D"/>
    <w:rsid w:val="006621D8"/>
    <w:rsid w:val="00662986"/>
    <w:rsid w:val="00663197"/>
    <w:rsid w:val="0066337C"/>
    <w:rsid w:val="00663389"/>
    <w:rsid w:val="0066378C"/>
    <w:rsid w:val="00663C69"/>
    <w:rsid w:val="00663FF3"/>
    <w:rsid w:val="006645CA"/>
    <w:rsid w:val="00664747"/>
    <w:rsid w:val="00664D15"/>
    <w:rsid w:val="00665E32"/>
    <w:rsid w:val="00666A3A"/>
    <w:rsid w:val="00667172"/>
    <w:rsid w:val="00667229"/>
    <w:rsid w:val="0066744C"/>
    <w:rsid w:val="00667B50"/>
    <w:rsid w:val="00667D07"/>
    <w:rsid w:val="0067022E"/>
    <w:rsid w:val="00670297"/>
    <w:rsid w:val="006709AB"/>
    <w:rsid w:val="00670BD1"/>
    <w:rsid w:val="00670D7D"/>
    <w:rsid w:val="00670FA5"/>
    <w:rsid w:val="00671004"/>
    <w:rsid w:val="00671434"/>
    <w:rsid w:val="006714A5"/>
    <w:rsid w:val="00671985"/>
    <w:rsid w:val="00672370"/>
    <w:rsid w:val="00672646"/>
    <w:rsid w:val="006729ED"/>
    <w:rsid w:val="00673354"/>
    <w:rsid w:val="006734C2"/>
    <w:rsid w:val="0067397B"/>
    <w:rsid w:val="00673C53"/>
    <w:rsid w:val="006744BA"/>
    <w:rsid w:val="0067472D"/>
    <w:rsid w:val="00674BF1"/>
    <w:rsid w:val="00674C92"/>
    <w:rsid w:val="00674E42"/>
    <w:rsid w:val="00674F41"/>
    <w:rsid w:val="006751CB"/>
    <w:rsid w:val="00675552"/>
    <w:rsid w:val="00675576"/>
    <w:rsid w:val="006760EA"/>
    <w:rsid w:val="006761C0"/>
    <w:rsid w:val="00676261"/>
    <w:rsid w:val="0067685C"/>
    <w:rsid w:val="00676D93"/>
    <w:rsid w:val="006770BC"/>
    <w:rsid w:val="00677403"/>
    <w:rsid w:val="006775A8"/>
    <w:rsid w:val="006775F8"/>
    <w:rsid w:val="0067786E"/>
    <w:rsid w:val="006779C5"/>
    <w:rsid w:val="00677C1A"/>
    <w:rsid w:val="00680188"/>
    <w:rsid w:val="006802EA"/>
    <w:rsid w:val="00680493"/>
    <w:rsid w:val="00680659"/>
    <w:rsid w:val="0068069A"/>
    <w:rsid w:val="006806C8"/>
    <w:rsid w:val="00680C81"/>
    <w:rsid w:val="0068131C"/>
    <w:rsid w:val="006813F8"/>
    <w:rsid w:val="006819C2"/>
    <w:rsid w:val="00681F2A"/>
    <w:rsid w:val="00682112"/>
    <w:rsid w:val="00682396"/>
    <w:rsid w:val="00682638"/>
    <w:rsid w:val="006826B3"/>
    <w:rsid w:val="00682746"/>
    <w:rsid w:val="00682852"/>
    <w:rsid w:val="00682914"/>
    <w:rsid w:val="00682BA6"/>
    <w:rsid w:val="00682C32"/>
    <w:rsid w:val="00682C51"/>
    <w:rsid w:val="00682EC0"/>
    <w:rsid w:val="006832F1"/>
    <w:rsid w:val="0068343E"/>
    <w:rsid w:val="006837FE"/>
    <w:rsid w:val="0068381C"/>
    <w:rsid w:val="00683A82"/>
    <w:rsid w:val="00683B5A"/>
    <w:rsid w:val="00683BC2"/>
    <w:rsid w:val="0068441B"/>
    <w:rsid w:val="00684451"/>
    <w:rsid w:val="00684D82"/>
    <w:rsid w:val="00684DBC"/>
    <w:rsid w:val="00684F0A"/>
    <w:rsid w:val="0068547A"/>
    <w:rsid w:val="00685497"/>
    <w:rsid w:val="0068553A"/>
    <w:rsid w:val="00685BC0"/>
    <w:rsid w:val="00685DAA"/>
    <w:rsid w:val="00686266"/>
    <w:rsid w:val="0068682E"/>
    <w:rsid w:val="00686853"/>
    <w:rsid w:val="00686957"/>
    <w:rsid w:val="00686D0E"/>
    <w:rsid w:val="00687114"/>
    <w:rsid w:val="006871F7"/>
    <w:rsid w:val="006872BA"/>
    <w:rsid w:val="00687E36"/>
    <w:rsid w:val="0069011D"/>
    <w:rsid w:val="0069021D"/>
    <w:rsid w:val="00690795"/>
    <w:rsid w:val="00690A7E"/>
    <w:rsid w:val="00690AFC"/>
    <w:rsid w:val="006912BC"/>
    <w:rsid w:val="00691348"/>
    <w:rsid w:val="0069163C"/>
    <w:rsid w:val="00691648"/>
    <w:rsid w:val="006916EC"/>
    <w:rsid w:val="006917D7"/>
    <w:rsid w:val="00691A0F"/>
    <w:rsid w:val="006920F3"/>
    <w:rsid w:val="0069215F"/>
    <w:rsid w:val="0069233F"/>
    <w:rsid w:val="00692379"/>
    <w:rsid w:val="0069245D"/>
    <w:rsid w:val="00692716"/>
    <w:rsid w:val="00692BE3"/>
    <w:rsid w:val="00693098"/>
    <w:rsid w:val="00693163"/>
    <w:rsid w:val="00693235"/>
    <w:rsid w:val="006932A6"/>
    <w:rsid w:val="006933A6"/>
    <w:rsid w:val="006933E4"/>
    <w:rsid w:val="006933E8"/>
    <w:rsid w:val="006933F6"/>
    <w:rsid w:val="006937EF"/>
    <w:rsid w:val="00693CEA"/>
    <w:rsid w:val="0069418B"/>
    <w:rsid w:val="0069434C"/>
    <w:rsid w:val="006944B9"/>
    <w:rsid w:val="00694695"/>
    <w:rsid w:val="00694A33"/>
    <w:rsid w:val="00694F44"/>
    <w:rsid w:val="00695001"/>
    <w:rsid w:val="0069545D"/>
    <w:rsid w:val="00695EB6"/>
    <w:rsid w:val="006964E6"/>
    <w:rsid w:val="00696BA3"/>
    <w:rsid w:val="00696C15"/>
    <w:rsid w:val="00696C85"/>
    <w:rsid w:val="00696EB0"/>
    <w:rsid w:val="00696F51"/>
    <w:rsid w:val="00696F76"/>
    <w:rsid w:val="00697005"/>
    <w:rsid w:val="006973C3"/>
    <w:rsid w:val="00697526"/>
    <w:rsid w:val="00697878"/>
    <w:rsid w:val="006979A5"/>
    <w:rsid w:val="006979DC"/>
    <w:rsid w:val="00697D1C"/>
    <w:rsid w:val="006A051D"/>
    <w:rsid w:val="006A051E"/>
    <w:rsid w:val="006A0B92"/>
    <w:rsid w:val="006A0D21"/>
    <w:rsid w:val="006A178E"/>
    <w:rsid w:val="006A19C2"/>
    <w:rsid w:val="006A1C79"/>
    <w:rsid w:val="006A25CC"/>
    <w:rsid w:val="006A2859"/>
    <w:rsid w:val="006A2DED"/>
    <w:rsid w:val="006A314C"/>
    <w:rsid w:val="006A345C"/>
    <w:rsid w:val="006A365B"/>
    <w:rsid w:val="006A3722"/>
    <w:rsid w:val="006A37AE"/>
    <w:rsid w:val="006A3D44"/>
    <w:rsid w:val="006A3FAA"/>
    <w:rsid w:val="006A411C"/>
    <w:rsid w:val="006A4499"/>
    <w:rsid w:val="006A4709"/>
    <w:rsid w:val="006A494F"/>
    <w:rsid w:val="006A4B8F"/>
    <w:rsid w:val="006A4C9E"/>
    <w:rsid w:val="006A4E45"/>
    <w:rsid w:val="006A5086"/>
    <w:rsid w:val="006A5224"/>
    <w:rsid w:val="006A55A6"/>
    <w:rsid w:val="006A5758"/>
    <w:rsid w:val="006A5930"/>
    <w:rsid w:val="006A5A6F"/>
    <w:rsid w:val="006A5B9C"/>
    <w:rsid w:val="006A606D"/>
    <w:rsid w:val="006A6664"/>
    <w:rsid w:val="006A68AD"/>
    <w:rsid w:val="006A696F"/>
    <w:rsid w:val="006A6B99"/>
    <w:rsid w:val="006A6C69"/>
    <w:rsid w:val="006A6DCF"/>
    <w:rsid w:val="006A73B0"/>
    <w:rsid w:val="006A77CF"/>
    <w:rsid w:val="006A78AE"/>
    <w:rsid w:val="006A7E5F"/>
    <w:rsid w:val="006A7F0D"/>
    <w:rsid w:val="006B0335"/>
    <w:rsid w:val="006B06A4"/>
    <w:rsid w:val="006B08E7"/>
    <w:rsid w:val="006B0AA5"/>
    <w:rsid w:val="006B0E98"/>
    <w:rsid w:val="006B0F9C"/>
    <w:rsid w:val="006B10E4"/>
    <w:rsid w:val="006B1A90"/>
    <w:rsid w:val="006B1AB4"/>
    <w:rsid w:val="006B1F3F"/>
    <w:rsid w:val="006B20A2"/>
    <w:rsid w:val="006B21A9"/>
    <w:rsid w:val="006B22E5"/>
    <w:rsid w:val="006B261B"/>
    <w:rsid w:val="006B2C90"/>
    <w:rsid w:val="006B2DD7"/>
    <w:rsid w:val="006B2F57"/>
    <w:rsid w:val="006B3431"/>
    <w:rsid w:val="006B35E6"/>
    <w:rsid w:val="006B36A5"/>
    <w:rsid w:val="006B37C9"/>
    <w:rsid w:val="006B3C1F"/>
    <w:rsid w:val="006B3F20"/>
    <w:rsid w:val="006B40F4"/>
    <w:rsid w:val="006B4210"/>
    <w:rsid w:val="006B427A"/>
    <w:rsid w:val="006B465A"/>
    <w:rsid w:val="006B46FB"/>
    <w:rsid w:val="006B4922"/>
    <w:rsid w:val="006B496F"/>
    <w:rsid w:val="006B4A6D"/>
    <w:rsid w:val="006B4B0D"/>
    <w:rsid w:val="006B4B45"/>
    <w:rsid w:val="006B5221"/>
    <w:rsid w:val="006B54E0"/>
    <w:rsid w:val="006B5A96"/>
    <w:rsid w:val="006B63E7"/>
    <w:rsid w:val="006B6485"/>
    <w:rsid w:val="006B681D"/>
    <w:rsid w:val="006B695F"/>
    <w:rsid w:val="006B69A2"/>
    <w:rsid w:val="006B6DD0"/>
    <w:rsid w:val="006B7444"/>
    <w:rsid w:val="006B7872"/>
    <w:rsid w:val="006B7A77"/>
    <w:rsid w:val="006B7C25"/>
    <w:rsid w:val="006B7C6B"/>
    <w:rsid w:val="006B7EF6"/>
    <w:rsid w:val="006C0003"/>
    <w:rsid w:val="006C005F"/>
    <w:rsid w:val="006C0399"/>
    <w:rsid w:val="006C0CE7"/>
    <w:rsid w:val="006C0E38"/>
    <w:rsid w:val="006C1127"/>
    <w:rsid w:val="006C121F"/>
    <w:rsid w:val="006C12E0"/>
    <w:rsid w:val="006C1342"/>
    <w:rsid w:val="006C1468"/>
    <w:rsid w:val="006C152E"/>
    <w:rsid w:val="006C1BFB"/>
    <w:rsid w:val="006C1C0E"/>
    <w:rsid w:val="006C1E70"/>
    <w:rsid w:val="006C2021"/>
    <w:rsid w:val="006C20C7"/>
    <w:rsid w:val="006C220F"/>
    <w:rsid w:val="006C24B2"/>
    <w:rsid w:val="006C255E"/>
    <w:rsid w:val="006C285D"/>
    <w:rsid w:val="006C28FF"/>
    <w:rsid w:val="006C2A8E"/>
    <w:rsid w:val="006C2CBB"/>
    <w:rsid w:val="006C2E53"/>
    <w:rsid w:val="006C3009"/>
    <w:rsid w:val="006C3255"/>
    <w:rsid w:val="006C33D2"/>
    <w:rsid w:val="006C353B"/>
    <w:rsid w:val="006C35CE"/>
    <w:rsid w:val="006C3A63"/>
    <w:rsid w:val="006C3B3E"/>
    <w:rsid w:val="006C3C33"/>
    <w:rsid w:val="006C3D0A"/>
    <w:rsid w:val="006C3D93"/>
    <w:rsid w:val="006C3F07"/>
    <w:rsid w:val="006C3F26"/>
    <w:rsid w:val="006C441E"/>
    <w:rsid w:val="006C446F"/>
    <w:rsid w:val="006C493E"/>
    <w:rsid w:val="006C4A14"/>
    <w:rsid w:val="006C4AC8"/>
    <w:rsid w:val="006C4C11"/>
    <w:rsid w:val="006C4C57"/>
    <w:rsid w:val="006C537E"/>
    <w:rsid w:val="006C54EB"/>
    <w:rsid w:val="006C5608"/>
    <w:rsid w:val="006C580A"/>
    <w:rsid w:val="006C5CA6"/>
    <w:rsid w:val="006C5D35"/>
    <w:rsid w:val="006C600E"/>
    <w:rsid w:val="006C615E"/>
    <w:rsid w:val="006C63E5"/>
    <w:rsid w:val="006C6708"/>
    <w:rsid w:val="006C6844"/>
    <w:rsid w:val="006C6978"/>
    <w:rsid w:val="006C7266"/>
    <w:rsid w:val="006C75BA"/>
    <w:rsid w:val="006C77A9"/>
    <w:rsid w:val="006C77BC"/>
    <w:rsid w:val="006C783E"/>
    <w:rsid w:val="006C7945"/>
    <w:rsid w:val="006D0135"/>
    <w:rsid w:val="006D0154"/>
    <w:rsid w:val="006D02BE"/>
    <w:rsid w:val="006D043B"/>
    <w:rsid w:val="006D05A7"/>
    <w:rsid w:val="006D0607"/>
    <w:rsid w:val="006D0BD0"/>
    <w:rsid w:val="006D0D17"/>
    <w:rsid w:val="006D10B3"/>
    <w:rsid w:val="006D1229"/>
    <w:rsid w:val="006D136F"/>
    <w:rsid w:val="006D195B"/>
    <w:rsid w:val="006D198C"/>
    <w:rsid w:val="006D1A3F"/>
    <w:rsid w:val="006D1BAA"/>
    <w:rsid w:val="006D201C"/>
    <w:rsid w:val="006D2214"/>
    <w:rsid w:val="006D2345"/>
    <w:rsid w:val="006D26C6"/>
    <w:rsid w:val="006D2894"/>
    <w:rsid w:val="006D2945"/>
    <w:rsid w:val="006D2E78"/>
    <w:rsid w:val="006D365B"/>
    <w:rsid w:val="006D385F"/>
    <w:rsid w:val="006D3A7B"/>
    <w:rsid w:val="006D3C7D"/>
    <w:rsid w:val="006D3C97"/>
    <w:rsid w:val="006D405F"/>
    <w:rsid w:val="006D411B"/>
    <w:rsid w:val="006D411C"/>
    <w:rsid w:val="006D4160"/>
    <w:rsid w:val="006D4176"/>
    <w:rsid w:val="006D4408"/>
    <w:rsid w:val="006D44D2"/>
    <w:rsid w:val="006D455B"/>
    <w:rsid w:val="006D45AE"/>
    <w:rsid w:val="006D4659"/>
    <w:rsid w:val="006D47A6"/>
    <w:rsid w:val="006D4A8B"/>
    <w:rsid w:val="006D4CA4"/>
    <w:rsid w:val="006D4D70"/>
    <w:rsid w:val="006D4DA7"/>
    <w:rsid w:val="006D4FEE"/>
    <w:rsid w:val="006D5300"/>
    <w:rsid w:val="006D5382"/>
    <w:rsid w:val="006D5471"/>
    <w:rsid w:val="006D54B0"/>
    <w:rsid w:val="006D5815"/>
    <w:rsid w:val="006D5CDA"/>
    <w:rsid w:val="006D5CDD"/>
    <w:rsid w:val="006D5D53"/>
    <w:rsid w:val="006D5D5F"/>
    <w:rsid w:val="006D5D91"/>
    <w:rsid w:val="006D6269"/>
    <w:rsid w:val="006D6601"/>
    <w:rsid w:val="006D6735"/>
    <w:rsid w:val="006D68FB"/>
    <w:rsid w:val="006D6B36"/>
    <w:rsid w:val="006D6E15"/>
    <w:rsid w:val="006D7156"/>
    <w:rsid w:val="006D72B6"/>
    <w:rsid w:val="006D73E1"/>
    <w:rsid w:val="006D744B"/>
    <w:rsid w:val="006D7B64"/>
    <w:rsid w:val="006D7EE5"/>
    <w:rsid w:val="006E0040"/>
    <w:rsid w:val="006E00DF"/>
    <w:rsid w:val="006E033E"/>
    <w:rsid w:val="006E09E4"/>
    <w:rsid w:val="006E0FFB"/>
    <w:rsid w:val="006E11B9"/>
    <w:rsid w:val="006E11F2"/>
    <w:rsid w:val="006E1458"/>
    <w:rsid w:val="006E1B45"/>
    <w:rsid w:val="006E1C7B"/>
    <w:rsid w:val="006E1E4C"/>
    <w:rsid w:val="006E2032"/>
    <w:rsid w:val="006E20D3"/>
    <w:rsid w:val="006E2375"/>
    <w:rsid w:val="006E2597"/>
    <w:rsid w:val="006E2868"/>
    <w:rsid w:val="006E2B72"/>
    <w:rsid w:val="006E2BB6"/>
    <w:rsid w:val="006E39C0"/>
    <w:rsid w:val="006E3AFB"/>
    <w:rsid w:val="006E3C1B"/>
    <w:rsid w:val="006E3E92"/>
    <w:rsid w:val="006E4171"/>
    <w:rsid w:val="006E425E"/>
    <w:rsid w:val="006E454A"/>
    <w:rsid w:val="006E4769"/>
    <w:rsid w:val="006E4A20"/>
    <w:rsid w:val="006E4FA3"/>
    <w:rsid w:val="006E59BA"/>
    <w:rsid w:val="006E5AAD"/>
    <w:rsid w:val="006E5B4C"/>
    <w:rsid w:val="006E5B53"/>
    <w:rsid w:val="006E5BBC"/>
    <w:rsid w:val="006E5C00"/>
    <w:rsid w:val="006E5F9B"/>
    <w:rsid w:val="006E630E"/>
    <w:rsid w:val="006E633A"/>
    <w:rsid w:val="006E646D"/>
    <w:rsid w:val="006E6BE2"/>
    <w:rsid w:val="006E6D7C"/>
    <w:rsid w:val="006E7422"/>
    <w:rsid w:val="006E76C4"/>
    <w:rsid w:val="006F08DC"/>
    <w:rsid w:val="006F0B23"/>
    <w:rsid w:val="006F0B94"/>
    <w:rsid w:val="006F0C74"/>
    <w:rsid w:val="006F0EBD"/>
    <w:rsid w:val="006F154B"/>
    <w:rsid w:val="006F19AC"/>
    <w:rsid w:val="006F1B84"/>
    <w:rsid w:val="006F1CA8"/>
    <w:rsid w:val="006F2260"/>
    <w:rsid w:val="006F2443"/>
    <w:rsid w:val="006F27B6"/>
    <w:rsid w:val="006F27F7"/>
    <w:rsid w:val="006F27FA"/>
    <w:rsid w:val="006F2801"/>
    <w:rsid w:val="006F2AA1"/>
    <w:rsid w:val="006F2C4F"/>
    <w:rsid w:val="006F2D41"/>
    <w:rsid w:val="006F3012"/>
    <w:rsid w:val="006F306C"/>
    <w:rsid w:val="006F31A8"/>
    <w:rsid w:val="006F337A"/>
    <w:rsid w:val="006F3399"/>
    <w:rsid w:val="006F3B5D"/>
    <w:rsid w:val="006F403E"/>
    <w:rsid w:val="006F42A3"/>
    <w:rsid w:val="006F4431"/>
    <w:rsid w:val="006F45E8"/>
    <w:rsid w:val="006F47BA"/>
    <w:rsid w:val="006F4B4D"/>
    <w:rsid w:val="006F53C3"/>
    <w:rsid w:val="006F5690"/>
    <w:rsid w:val="006F6009"/>
    <w:rsid w:val="006F607A"/>
    <w:rsid w:val="006F628E"/>
    <w:rsid w:val="006F63A5"/>
    <w:rsid w:val="006F647A"/>
    <w:rsid w:val="006F659B"/>
    <w:rsid w:val="006F6604"/>
    <w:rsid w:val="006F6EE7"/>
    <w:rsid w:val="006F6FA3"/>
    <w:rsid w:val="006F7038"/>
    <w:rsid w:val="006F70A2"/>
    <w:rsid w:val="006F736E"/>
    <w:rsid w:val="006F7692"/>
    <w:rsid w:val="006F7B9D"/>
    <w:rsid w:val="0070028E"/>
    <w:rsid w:val="00700343"/>
    <w:rsid w:val="00700B5B"/>
    <w:rsid w:val="00700E63"/>
    <w:rsid w:val="00700E8F"/>
    <w:rsid w:val="00700EFE"/>
    <w:rsid w:val="0070142B"/>
    <w:rsid w:val="007015E8"/>
    <w:rsid w:val="00701776"/>
    <w:rsid w:val="00701B0E"/>
    <w:rsid w:val="00701F83"/>
    <w:rsid w:val="00702027"/>
    <w:rsid w:val="00702299"/>
    <w:rsid w:val="00702329"/>
    <w:rsid w:val="00702398"/>
    <w:rsid w:val="00702551"/>
    <w:rsid w:val="0070276E"/>
    <w:rsid w:val="00702800"/>
    <w:rsid w:val="00702836"/>
    <w:rsid w:val="00702BB4"/>
    <w:rsid w:val="00702BBB"/>
    <w:rsid w:val="00702F8F"/>
    <w:rsid w:val="00703061"/>
    <w:rsid w:val="00703366"/>
    <w:rsid w:val="00703557"/>
    <w:rsid w:val="007037D2"/>
    <w:rsid w:val="00703FE8"/>
    <w:rsid w:val="007042A8"/>
    <w:rsid w:val="007042FE"/>
    <w:rsid w:val="0070472E"/>
    <w:rsid w:val="00704891"/>
    <w:rsid w:val="00704A82"/>
    <w:rsid w:val="00704B18"/>
    <w:rsid w:val="00704DF4"/>
    <w:rsid w:val="00704FF4"/>
    <w:rsid w:val="00705352"/>
    <w:rsid w:val="00705470"/>
    <w:rsid w:val="007057F0"/>
    <w:rsid w:val="0070584C"/>
    <w:rsid w:val="00705A1F"/>
    <w:rsid w:val="00705BBB"/>
    <w:rsid w:val="007068F2"/>
    <w:rsid w:val="00707209"/>
    <w:rsid w:val="00707219"/>
    <w:rsid w:val="00707921"/>
    <w:rsid w:val="007079FC"/>
    <w:rsid w:val="00707D19"/>
    <w:rsid w:val="007102FC"/>
    <w:rsid w:val="0071068A"/>
    <w:rsid w:val="00710B46"/>
    <w:rsid w:val="00710FB1"/>
    <w:rsid w:val="00711693"/>
    <w:rsid w:val="007116B8"/>
    <w:rsid w:val="00711750"/>
    <w:rsid w:val="00711A36"/>
    <w:rsid w:val="00711CC8"/>
    <w:rsid w:val="00711ECB"/>
    <w:rsid w:val="00712324"/>
    <w:rsid w:val="00712BE6"/>
    <w:rsid w:val="00712CCC"/>
    <w:rsid w:val="00712FA8"/>
    <w:rsid w:val="00713180"/>
    <w:rsid w:val="007131F4"/>
    <w:rsid w:val="0071354B"/>
    <w:rsid w:val="00713957"/>
    <w:rsid w:val="00713C2D"/>
    <w:rsid w:val="00713E55"/>
    <w:rsid w:val="007142D0"/>
    <w:rsid w:val="0071450C"/>
    <w:rsid w:val="00714938"/>
    <w:rsid w:val="00714C26"/>
    <w:rsid w:val="00714E68"/>
    <w:rsid w:val="00714F37"/>
    <w:rsid w:val="0071505D"/>
    <w:rsid w:val="0071529C"/>
    <w:rsid w:val="007154FD"/>
    <w:rsid w:val="00715B06"/>
    <w:rsid w:val="007161D4"/>
    <w:rsid w:val="007162DB"/>
    <w:rsid w:val="007163B2"/>
    <w:rsid w:val="007166D2"/>
    <w:rsid w:val="007168AB"/>
    <w:rsid w:val="0071692B"/>
    <w:rsid w:val="00716A23"/>
    <w:rsid w:val="00716A70"/>
    <w:rsid w:val="00716BFE"/>
    <w:rsid w:val="00716DE9"/>
    <w:rsid w:val="007170DA"/>
    <w:rsid w:val="007171EE"/>
    <w:rsid w:val="00717217"/>
    <w:rsid w:val="007172AD"/>
    <w:rsid w:val="0071748C"/>
    <w:rsid w:val="007174C0"/>
    <w:rsid w:val="0071751E"/>
    <w:rsid w:val="007176BA"/>
    <w:rsid w:val="00717A7B"/>
    <w:rsid w:val="00717D07"/>
    <w:rsid w:val="0072020C"/>
    <w:rsid w:val="00720801"/>
    <w:rsid w:val="0072085B"/>
    <w:rsid w:val="0072087A"/>
    <w:rsid w:val="007208C0"/>
    <w:rsid w:val="007209F5"/>
    <w:rsid w:val="00720C2C"/>
    <w:rsid w:val="007213DD"/>
    <w:rsid w:val="00721578"/>
    <w:rsid w:val="00721743"/>
    <w:rsid w:val="00722181"/>
    <w:rsid w:val="007225AB"/>
    <w:rsid w:val="00722B1B"/>
    <w:rsid w:val="00722B65"/>
    <w:rsid w:val="00722E5E"/>
    <w:rsid w:val="00723330"/>
    <w:rsid w:val="00723448"/>
    <w:rsid w:val="00723863"/>
    <w:rsid w:val="00723DC9"/>
    <w:rsid w:val="0072416F"/>
    <w:rsid w:val="007241BD"/>
    <w:rsid w:val="00724291"/>
    <w:rsid w:val="007245E9"/>
    <w:rsid w:val="00724F1E"/>
    <w:rsid w:val="00725365"/>
    <w:rsid w:val="007253CF"/>
    <w:rsid w:val="00725531"/>
    <w:rsid w:val="0072559F"/>
    <w:rsid w:val="00725652"/>
    <w:rsid w:val="00725D15"/>
    <w:rsid w:val="00725E76"/>
    <w:rsid w:val="0072618B"/>
    <w:rsid w:val="00726213"/>
    <w:rsid w:val="007265C9"/>
    <w:rsid w:val="00726679"/>
    <w:rsid w:val="0072667A"/>
    <w:rsid w:val="00726727"/>
    <w:rsid w:val="00726DA1"/>
    <w:rsid w:val="00726DFF"/>
    <w:rsid w:val="00726FC2"/>
    <w:rsid w:val="007271FE"/>
    <w:rsid w:val="00727C94"/>
    <w:rsid w:val="00727D94"/>
    <w:rsid w:val="007303B1"/>
    <w:rsid w:val="00730498"/>
    <w:rsid w:val="00730E4E"/>
    <w:rsid w:val="00730F98"/>
    <w:rsid w:val="00731007"/>
    <w:rsid w:val="0073126F"/>
    <w:rsid w:val="0073134E"/>
    <w:rsid w:val="00731B0A"/>
    <w:rsid w:val="00731B4C"/>
    <w:rsid w:val="00731D2B"/>
    <w:rsid w:val="00731EAE"/>
    <w:rsid w:val="0073201F"/>
    <w:rsid w:val="007323F2"/>
    <w:rsid w:val="0073242F"/>
    <w:rsid w:val="00732640"/>
    <w:rsid w:val="00733073"/>
    <w:rsid w:val="00733225"/>
    <w:rsid w:val="00733289"/>
    <w:rsid w:val="007337CA"/>
    <w:rsid w:val="007337EC"/>
    <w:rsid w:val="00733A60"/>
    <w:rsid w:val="00733F04"/>
    <w:rsid w:val="007340EE"/>
    <w:rsid w:val="0073411E"/>
    <w:rsid w:val="007346A1"/>
    <w:rsid w:val="007346DA"/>
    <w:rsid w:val="0073477E"/>
    <w:rsid w:val="00734878"/>
    <w:rsid w:val="00734A2E"/>
    <w:rsid w:val="00734BB3"/>
    <w:rsid w:val="00735014"/>
    <w:rsid w:val="00735033"/>
    <w:rsid w:val="0073522B"/>
    <w:rsid w:val="00735328"/>
    <w:rsid w:val="00735338"/>
    <w:rsid w:val="007353D2"/>
    <w:rsid w:val="00735453"/>
    <w:rsid w:val="007354CB"/>
    <w:rsid w:val="00735701"/>
    <w:rsid w:val="00735709"/>
    <w:rsid w:val="0073646E"/>
    <w:rsid w:val="0073685B"/>
    <w:rsid w:val="00736907"/>
    <w:rsid w:val="0073697B"/>
    <w:rsid w:val="007369C2"/>
    <w:rsid w:val="00736B4C"/>
    <w:rsid w:val="00736C11"/>
    <w:rsid w:val="007370D1"/>
    <w:rsid w:val="007376B1"/>
    <w:rsid w:val="007378A2"/>
    <w:rsid w:val="00737CA0"/>
    <w:rsid w:val="0074029F"/>
    <w:rsid w:val="007403AE"/>
    <w:rsid w:val="0074047C"/>
    <w:rsid w:val="00740788"/>
    <w:rsid w:val="0074080A"/>
    <w:rsid w:val="00740EAF"/>
    <w:rsid w:val="007411BE"/>
    <w:rsid w:val="007413D0"/>
    <w:rsid w:val="007413E6"/>
    <w:rsid w:val="00741545"/>
    <w:rsid w:val="007416C2"/>
    <w:rsid w:val="00741A7E"/>
    <w:rsid w:val="00742B70"/>
    <w:rsid w:val="007431FF"/>
    <w:rsid w:val="00743365"/>
    <w:rsid w:val="00743929"/>
    <w:rsid w:val="00743A37"/>
    <w:rsid w:val="00743E4A"/>
    <w:rsid w:val="007440E6"/>
    <w:rsid w:val="007441CC"/>
    <w:rsid w:val="00744340"/>
    <w:rsid w:val="00744413"/>
    <w:rsid w:val="0074462C"/>
    <w:rsid w:val="00744698"/>
    <w:rsid w:val="007446EA"/>
    <w:rsid w:val="00744755"/>
    <w:rsid w:val="007449BF"/>
    <w:rsid w:val="00744BF3"/>
    <w:rsid w:val="00744F34"/>
    <w:rsid w:val="00745440"/>
    <w:rsid w:val="007458D6"/>
    <w:rsid w:val="0074608E"/>
    <w:rsid w:val="007464E7"/>
    <w:rsid w:val="0074659B"/>
    <w:rsid w:val="00746BC0"/>
    <w:rsid w:val="00746E9B"/>
    <w:rsid w:val="00747157"/>
    <w:rsid w:val="007475A2"/>
    <w:rsid w:val="00747726"/>
    <w:rsid w:val="007479D1"/>
    <w:rsid w:val="00747B7C"/>
    <w:rsid w:val="00747C23"/>
    <w:rsid w:val="00747DA6"/>
    <w:rsid w:val="00747E85"/>
    <w:rsid w:val="00747E90"/>
    <w:rsid w:val="007501F7"/>
    <w:rsid w:val="007504A9"/>
    <w:rsid w:val="007507D4"/>
    <w:rsid w:val="00750A59"/>
    <w:rsid w:val="00750C79"/>
    <w:rsid w:val="00750F26"/>
    <w:rsid w:val="00750F9E"/>
    <w:rsid w:val="007510B4"/>
    <w:rsid w:val="007513F0"/>
    <w:rsid w:val="007517A7"/>
    <w:rsid w:val="00751EEF"/>
    <w:rsid w:val="00752142"/>
    <w:rsid w:val="007523F9"/>
    <w:rsid w:val="00752413"/>
    <w:rsid w:val="007525B9"/>
    <w:rsid w:val="00752DB3"/>
    <w:rsid w:val="00752EEF"/>
    <w:rsid w:val="00753265"/>
    <w:rsid w:val="00753490"/>
    <w:rsid w:val="0075357E"/>
    <w:rsid w:val="00753EC9"/>
    <w:rsid w:val="00753F44"/>
    <w:rsid w:val="0075413D"/>
    <w:rsid w:val="00754195"/>
    <w:rsid w:val="007548A5"/>
    <w:rsid w:val="00754B38"/>
    <w:rsid w:val="00754D26"/>
    <w:rsid w:val="00754F3C"/>
    <w:rsid w:val="0075508A"/>
    <w:rsid w:val="007550FA"/>
    <w:rsid w:val="007555D1"/>
    <w:rsid w:val="007556C8"/>
    <w:rsid w:val="007559DB"/>
    <w:rsid w:val="00755AE0"/>
    <w:rsid w:val="00755C5C"/>
    <w:rsid w:val="00755D8D"/>
    <w:rsid w:val="007562A0"/>
    <w:rsid w:val="00756953"/>
    <w:rsid w:val="00756A4C"/>
    <w:rsid w:val="00756C3A"/>
    <w:rsid w:val="007573E8"/>
    <w:rsid w:val="00757636"/>
    <w:rsid w:val="00757683"/>
    <w:rsid w:val="007578FA"/>
    <w:rsid w:val="00757A6B"/>
    <w:rsid w:val="00757C16"/>
    <w:rsid w:val="00757C84"/>
    <w:rsid w:val="00757DC7"/>
    <w:rsid w:val="00760613"/>
    <w:rsid w:val="00760708"/>
    <w:rsid w:val="0076078B"/>
    <w:rsid w:val="00760C4E"/>
    <w:rsid w:val="00760DFF"/>
    <w:rsid w:val="00760E40"/>
    <w:rsid w:val="00760E43"/>
    <w:rsid w:val="00760F9E"/>
    <w:rsid w:val="00761338"/>
    <w:rsid w:val="0076144E"/>
    <w:rsid w:val="0076163E"/>
    <w:rsid w:val="00761BDF"/>
    <w:rsid w:val="00761D23"/>
    <w:rsid w:val="00761E94"/>
    <w:rsid w:val="0076211B"/>
    <w:rsid w:val="007621E7"/>
    <w:rsid w:val="0076239E"/>
    <w:rsid w:val="007627BE"/>
    <w:rsid w:val="00762F7A"/>
    <w:rsid w:val="007631ED"/>
    <w:rsid w:val="007633BE"/>
    <w:rsid w:val="007635F0"/>
    <w:rsid w:val="00763834"/>
    <w:rsid w:val="00763858"/>
    <w:rsid w:val="0076391C"/>
    <w:rsid w:val="00763A05"/>
    <w:rsid w:val="00763CE2"/>
    <w:rsid w:val="00763D6D"/>
    <w:rsid w:val="00763F81"/>
    <w:rsid w:val="0076411B"/>
    <w:rsid w:val="00764818"/>
    <w:rsid w:val="00764AAB"/>
    <w:rsid w:val="00764BA7"/>
    <w:rsid w:val="00764CC2"/>
    <w:rsid w:val="00764CC5"/>
    <w:rsid w:val="00764F03"/>
    <w:rsid w:val="00764FCD"/>
    <w:rsid w:val="0076508C"/>
    <w:rsid w:val="00765183"/>
    <w:rsid w:val="00765380"/>
    <w:rsid w:val="0076551E"/>
    <w:rsid w:val="007655CA"/>
    <w:rsid w:val="00765604"/>
    <w:rsid w:val="00765B1A"/>
    <w:rsid w:val="00765D11"/>
    <w:rsid w:val="007660EC"/>
    <w:rsid w:val="007661AD"/>
    <w:rsid w:val="00766203"/>
    <w:rsid w:val="00766221"/>
    <w:rsid w:val="00766AA0"/>
    <w:rsid w:val="00766BCF"/>
    <w:rsid w:val="00766BE8"/>
    <w:rsid w:val="00766C34"/>
    <w:rsid w:val="00766DB3"/>
    <w:rsid w:val="00766EED"/>
    <w:rsid w:val="00766F83"/>
    <w:rsid w:val="00767006"/>
    <w:rsid w:val="0076723F"/>
    <w:rsid w:val="0076731F"/>
    <w:rsid w:val="007674D5"/>
    <w:rsid w:val="00767745"/>
    <w:rsid w:val="00767C6F"/>
    <w:rsid w:val="00770209"/>
    <w:rsid w:val="0077044D"/>
    <w:rsid w:val="007704BA"/>
    <w:rsid w:val="007709AA"/>
    <w:rsid w:val="00770BBC"/>
    <w:rsid w:val="00771073"/>
    <w:rsid w:val="00771131"/>
    <w:rsid w:val="00771FC3"/>
    <w:rsid w:val="007721B4"/>
    <w:rsid w:val="00772415"/>
    <w:rsid w:val="00772A0A"/>
    <w:rsid w:val="00772B64"/>
    <w:rsid w:val="00772CFA"/>
    <w:rsid w:val="007730E6"/>
    <w:rsid w:val="00773147"/>
    <w:rsid w:val="00773744"/>
    <w:rsid w:val="007738EF"/>
    <w:rsid w:val="00773B01"/>
    <w:rsid w:val="00773C6E"/>
    <w:rsid w:val="007743BC"/>
    <w:rsid w:val="00774431"/>
    <w:rsid w:val="007747CA"/>
    <w:rsid w:val="00774A22"/>
    <w:rsid w:val="00774AFB"/>
    <w:rsid w:val="00774D01"/>
    <w:rsid w:val="007752CD"/>
    <w:rsid w:val="007753D7"/>
    <w:rsid w:val="00775559"/>
    <w:rsid w:val="0077567A"/>
    <w:rsid w:val="00775D03"/>
    <w:rsid w:val="00775F41"/>
    <w:rsid w:val="00776005"/>
    <w:rsid w:val="007762C9"/>
    <w:rsid w:val="00776585"/>
    <w:rsid w:val="007766B1"/>
    <w:rsid w:val="007766D7"/>
    <w:rsid w:val="0077675C"/>
    <w:rsid w:val="00776810"/>
    <w:rsid w:val="00776C4C"/>
    <w:rsid w:val="00776DF7"/>
    <w:rsid w:val="00776F01"/>
    <w:rsid w:val="00777335"/>
    <w:rsid w:val="00777539"/>
    <w:rsid w:val="00777B71"/>
    <w:rsid w:val="00777CB1"/>
    <w:rsid w:val="00777DC3"/>
    <w:rsid w:val="007800D8"/>
    <w:rsid w:val="00780339"/>
    <w:rsid w:val="00780496"/>
    <w:rsid w:val="00780523"/>
    <w:rsid w:val="007809B0"/>
    <w:rsid w:val="00780B6E"/>
    <w:rsid w:val="00780BC6"/>
    <w:rsid w:val="00780E87"/>
    <w:rsid w:val="0078111D"/>
    <w:rsid w:val="007813AA"/>
    <w:rsid w:val="00781556"/>
    <w:rsid w:val="007817CE"/>
    <w:rsid w:val="00781A35"/>
    <w:rsid w:val="00781A76"/>
    <w:rsid w:val="00781D10"/>
    <w:rsid w:val="00781E3D"/>
    <w:rsid w:val="00781FCD"/>
    <w:rsid w:val="007823E7"/>
    <w:rsid w:val="007828C2"/>
    <w:rsid w:val="00782D78"/>
    <w:rsid w:val="00782D86"/>
    <w:rsid w:val="00782DF2"/>
    <w:rsid w:val="00782F7D"/>
    <w:rsid w:val="00783574"/>
    <w:rsid w:val="007839B3"/>
    <w:rsid w:val="00783A48"/>
    <w:rsid w:val="00783BD8"/>
    <w:rsid w:val="00783CA1"/>
    <w:rsid w:val="00783EBD"/>
    <w:rsid w:val="0078422B"/>
    <w:rsid w:val="007842AA"/>
    <w:rsid w:val="007843F2"/>
    <w:rsid w:val="00784604"/>
    <w:rsid w:val="00784B3B"/>
    <w:rsid w:val="00784B9B"/>
    <w:rsid w:val="00784DE1"/>
    <w:rsid w:val="00784F64"/>
    <w:rsid w:val="0078507F"/>
    <w:rsid w:val="00785126"/>
    <w:rsid w:val="0078580C"/>
    <w:rsid w:val="007859A0"/>
    <w:rsid w:val="00785A9F"/>
    <w:rsid w:val="00785B14"/>
    <w:rsid w:val="00785F56"/>
    <w:rsid w:val="00786264"/>
    <w:rsid w:val="00786582"/>
    <w:rsid w:val="00786B67"/>
    <w:rsid w:val="00786F43"/>
    <w:rsid w:val="007871D0"/>
    <w:rsid w:val="00787254"/>
    <w:rsid w:val="00787579"/>
    <w:rsid w:val="00787777"/>
    <w:rsid w:val="007902B9"/>
    <w:rsid w:val="007904E9"/>
    <w:rsid w:val="00790500"/>
    <w:rsid w:val="007905EA"/>
    <w:rsid w:val="0079062C"/>
    <w:rsid w:val="00790853"/>
    <w:rsid w:val="00790ADE"/>
    <w:rsid w:val="00790B3E"/>
    <w:rsid w:val="00790CE7"/>
    <w:rsid w:val="00791493"/>
    <w:rsid w:val="00791702"/>
    <w:rsid w:val="00791764"/>
    <w:rsid w:val="007920D9"/>
    <w:rsid w:val="0079258D"/>
    <w:rsid w:val="007925DF"/>
    <w:rsid w:val="0079277E"/>
    <w:rsid w:val="0079279E"/>
    <w:rsid w:val="00792F0B"/>
    <w:rsid w:val="0079302E"/>
    <w:rsid w:val="00793055"/>
    <w:rsid w:val="007931BA"/>
    <w:rsid w:val="00793412"/>
    <w:rsid w:val="007934C0"/>
    <w:rsid w:val="007934DE"/>
    <w:rsid w:val="00793B26"/>
    <w:rsid w:val="00793C00"/>
    <w:rsid w:val="00793C31"/>
    <w:rsid w:val="00793E6F"/>
    <w:rsid w:val="00793F44"/>
    <w:rsid w:val="00794119"/>
    <w:rsid w:val="0079439E"/>
    <w:rsid w:val="00794845"/>
    <w:rsid w:val="0079493B"/>
    <w:rsid w:val="00794A8E"/>
    <w:rsid w:val="00794CBE"/>
    <w:rsid w:val="00794D20"/>
    <w:rsid w:val="00795174"/>
    <w:rsid w:val="0079558C"/>
    <w:rsid w:val="007956C4"/>
    <w:rsid w:val="007956CF"/>
    <w:rsid w:val="00795717"/>
    <w:rsid w:val="00795B30"/>
    <w:rsid w:val="00795B49"/>
    <w:rsid w:val="00795CEB"/>
    <w:rsid w:val="00795D1E"/>
    <w:rsid w:val="00796014"/>
    <w:rsid w:val="00796409"/>
    <w:rsid w:val="00796488"/>
    <w:rsid w:val="00796556"/>
    <w:rsid w:val="00796A60"/>
    <w:rsid w:val="00796B8A"/>
    <w:rsid w:val="00796C5B"/>
    <w:rsid w:val="00796D47"/>
    <w:rsid w:val="00796FF3"/>
    <w:rsid w:val="007975B6"/>
    <w:rsid w:val="0079785F"/>
    <w:rsid w:val="00797B5E"/>
    <w:rsid w:val="00797DC7"/>
    <w:rsid w:val="00797F7F"/>
    <w:rsid w:val="00797FAC"/>
    <w:rsid w:val="007A0601"/>
    <w:rsid w:val="007A070B"/>
    <w:rsid w:val="007A0778"/>
    <w:rsid w:val="007A08AA"/>
    <w:rsid w:val="007A0A12"/>
    <w:rsid w:val="007A1094"/>
    <w:rsid w:val="007A11B2"/>
    <w:rsid w:val="007A132D"/>
    <w:rsid w:val="007A1345"/>
    <w:rsid w:val="007A15AF"/>
    <w:rsid w:val="007A1869"/>
    <w:rsid w:val="007A1872"/>
    <w:rsid w:val="007A1C22"/>
    <w:rsid w:val="007A1CB6"/>
    <w:rsid w:val="007A21B5"/>
    <w:rsid w:val="007A23CF"/>
    <w:rsid w:val="007A241B"/>
    <w:rsid w:val="007A29A6"/>
    <w:rsid w:val="007A2DDB"/>
    <w:rsid w:val="007A32E8"/>
    <w:rsid w:val="007A3540"/>
    <w:rsid w:val="007A36AD"/>
    <w:rsid w:val="007A39AE"/>
    <w:rsid w:val="007A3C41"/>
    <w:rsid w:val="007A3D80"/>
    <w:rsid w:val="007A3E3E"/>
    <w:rsid w:val="007A3F25"/>
    <w:rsid w:val="007A4002"/>
    <w:rsid w:val="007A41EA"/>
    <w:rsid w:val="007A4679"/>
    <w:rsid w:val="007A47B1"/>
    <w:rsid w:val="007A4F08"/>
    <w:rsid w:val="007A50BD"/>
    <w:rsid w:val="007A50E4"/>
    <w:rsid w:val="007A55DD"/>
    <w:rsid w:val="007A5673"/>
    <w:rsid w:val="007A59F3"/>
    <w:rsid w:val="007A5CFB"/>
    <w:rsid w:val="007A61D0"/>
    <w:rsid w:val="007A6292"/>
    <w:rsid w:val="007A6485"/>
    <w:rsid w:val="007A6744"/>
    <w:rsid w:val="007A6836"/>
    <w:rsid w:val="007A6A45"/>
    <w:rsid w:val="007A6E14"/>
    <w:rsid w:val="007A6F01"/>
    <w:rsid w:val="007A7013"/>
    <w:rsid w:val="007A7064"/>
    <w:rsid w:val="007A70BA"/>
    <w:rsid w:val="007A70C3"/>
    <w:rsid w:val="007A7274"/>
    <w:rsid w:val="007A7341"/>
    <w:rsid w:val="007A7745"/>
    <w:rsid w:val="007A7856"/>
    <w:rsid w:val="007A7A2D"/>
    <w:rsid w:val="007B00D7"/>
    <w:rsid w:val="007B0298"/>
    <w:rsid w:val="007B0472"/>
    <w:rsid w:val="007B05F7"/>
    <w:rsid w:val="007B0604"/>
    <w:rsid w:val="007B062E"/>
    <w:rsid w:val="007B0A45"/>
    <w:rsid w:val="007B0AB8"/>
    <w:rsid w:val="007B0D68"/>
    <w:rsid w:val="007B1202"/>
    <w:rsid w:val="007B120F"/>
    <w:rsid w:val="007B1499"/>
    <w:rsid w:val="007B15AB"/>
    <w:rsid w:val="007B1766"/>
    <w:rsid w:val="007B17D4"/>
    <w:rsid w:val="007B17F2"/>
    <w:rsid w:val="007B17FC"/>
    <w:rsid w:val="007B2261"/>
    <w:rsid w:val="007B251D"/>
    <w:rsid w:val="007B266E"/>
    <w:rsid w:val="007B27DD"/>
    <w:rsid w:val="007B294D"/>
    <w:rsid w:val="007B2991"/>
    <w:rsid w:val="007B299C"/>
    <w:rsid w:val="007B2D53"/>
    <w:rsid w:val="007B313D"/>
    <w:rsid w:val="007B323F"/>
    <w:rsid w:val="007B32B7"/>
    <w:rsid w:val="007B366D"/>
    <w:rsid w:val="007B36D0"/>
    <w:rsid w:val="007B3AA7"/>
    <w:rsid w:val="007B3B67"/>
    <w:rsid w:val="007B3B7D"/>
    <w:rsid w:val="007B3E7C"/>
    <w:rsid w:val="007B44AF"/>
    <w:rsid w:val="007B482B"/>
    <w:rsid w:val="007B4C1F"/>
    <w:rsid w:val="007B4F58"/>
    <w:rsid w:val="007B4FAB"/>
    <w:rsid w:val="007B5117"/>
    <w:rsid w:val="007B522C"/>
    <w:rsid w:val="007B528D"/>
    <w:rsid w:val="007B544A"/>
    <w:rsid w:val="007B54FB"/>
    <w:rsid w:val="007B620B"/>
    <w:rsid w:val="007B63CA"/>
    <w:rsid w:val="007B6721"/>
    <w:rsid w:val="007B674C"/>
    <w:rsid w:val="007B67B5"/>
    <w:rsid w:val="007B694B"/>
    <w:rsid w:val="007B6DEB"/>
    <w:rsid w:val="007B6EF2"/>
    <w:rsid w:val="007B740F"/>
    <w:rsid w:val="007B7635"/>
    <w:rsid w:val="007B77D1"/>
    <w:rsid w:val="007B7A86"/>
    <w:rsid w:val="007B7DD1"/>
    <w:rsid w:val="007B7DFC"/>
    <w:rsid w:val="007C003C"/>
    <w:rsid w:val="007C0091"/>
    <w:rsid w:val="007C0230"/>
    <w:rsid w:val="007C06EF"/>
    <w:rsid w:val="007C06F1"/>
    <w:rsid w:val="007C07C7"/>
    <w:rsid w:val="007C0B8E"/>
    <w:rsid w:val="007C1272"/>
    <w:rsid w:val="007C1808"/>
    <w:rsid w:val="007C18D1"/>
    <w:rsid w:val="007C1CD9"/>
    <w:rsid w:val="007C1D83"/>
    <w:rsid w:val="007C1EA4"/>
    <w:rsid w:val="007C2497"/>
    <w:rsid w:val="007C24D3"/>
    <w:rsid w:val="007C2A7E"/>
    <w:rsid w:val="007C2A9F"/>
    <w:rsid w:val="007C2BC0"/>
    <w:rsid w:val="007C2C6C"/>
    <w:rsid w:val="007C2FF8"/>
    <w:rsid w:val="007C32EF"/>
    <w:rsid w:val="007C361D"/>
    <w:rsid w:val="007C3724"/>
    <w:rsid w:val="007C376C"/>
    <w:rsid w:val="007C396A"/>
    <w:rsid w:val="007C3CA8"/>
    <w:rsid w:val="007C3CEB"/>
    <w:rsid w:val="007C424A"/>
    <w:rsid w:val="007C4366"/>
    <w:rsid w:val="007C47D8"/>
    <w:rsid w:val="007C481A"/>
    <w:rsid w:val="007C4AC0"/>
    <w:rsid w:val="007C4B7B"/>
    <w:rsid w:val="007C4B84"/>
    <w:rsid w:val="007C4BE1"/>
    <w:rsid w:val="007C4E7F"/>
    <w:rsid w:val="007C5054"/>
    <w:rsid w:val="007C5274"/>
    <w:rsid w:val="007C5668"/>
    <w:rsid w:val="007C57D9"/>
    <w:rsid w:val="007C5A26"/>
    <w:rsid w:val="007C5F25"/>
    <w:rsid w:val="007C62E5"/>
    <w:rsid w:val="007C6341"/>
    <w:rsid w:val="007C6547"/>
    <w:rsid w:val="007C6D4C"/>
    <w:rsid w:val="007C6FF7"/>
    <w:rsid w:val="007C70FF"/>
    <w:rsid w:val="007C719E"/>
    <w:rsid w:val="007C748D"/>
    <w:rsid w:val="007C7634"/>
    <w:rsid w:val="007C7AE8"/>
    <w:rsid w:val="007C7B8A"/>
    <w:rsid w:val="007C7BAA"/>
    <w:rsid w:val="007C7C25"/>
    <w:rsid w:val="007C7F90"/>
    <w:rsid w:val="007D004F"/>
    <w:rsid w:val="007D0458"/>
    <w:rsid w:val="007D04B3"/>
    <w:rsid w:val="007D04E2"/>
    <w:rsid w:val="007D056E"/>
    <w:rsid w:val="007D0909"/>
    <w:rsid w:val="007D0A2C"/>
    <w:rsid w:val="007D0B38"/>
    <w:rsid w:val="007D0CC9"/>
    <w:rsid w:val="007D1401"/>
    <w:rsid w:val="007D1564"/>
    <w:rsid w:val="007D1AF0"/>
    <w:rsid w:val="007D1B8C"/>
    <w:rsid w:val="007D228F"/>
    <w:rsid w:val="007D2519"/>
    <w:rsid w:val="007D2628"/>
    <w:rsid w:val="007D2981"/>
    <w:rsid w:val="007D2E64"/>
    <w:rsid w:val="007D34DC"/>
    <w:rsid w:val="007D356D"/>
    <w:rsid w:val="007D381B"/>
    <w:rsid w:val="007D39D2"/>
    <w:rsid w:val="007D3A95"/>
    <w:rsid w:val="007D3C15"/>
    <w:rsid w:val="007D4029"/>
    <w:rsid w:val="007D4483"/>
    <w:rsid w:val="007D4605"/>
    <w:rsid w:val="007D49F6"/>
    <w:rsid w:val="007D4A2E"/>
    <w:rsid w:val="007D4B6E"/>
    <w:rsid w:val="007D4BDB"/>
    <w:rsid w:val="007D4D87"/>
    <w:rsid w:val="007D4F83"/>
    <w:rsid w:val="007D4F9D"/>
    <w:rsid w:val="007D5440"/>
    <w:rsid w:val="007D54AF"/>
    <w:rsid w:val="007D5C40"/>
    <w:rsid w:val="007D5CB6"/>
    <w:rsid w:val="007D606A"/>
    <w:rsid w:val="007D611A"/>
    <w:rsid w:val="007D64B6"/>
    <w:rsid w:val="007D69EB"/>
    <w:rsid w:val="007D6B87"/>
    <w:rsid w:val="007D6D80"/>
    <w:rsid w:val="007D707E"/>
    <w:rsid w:val="007D73FC"/>
    <w:rsid w:val="007D7501"/>
    <w:rsid w:val="007D7587"/>
    <w:rsid w:val="007D7C60"/>
    <w:rsid w:val="007D7D28"/>
    <w:rsid w:val="007D7FC6"/>
    <w:rsid w:val="007E0045"/>
    <w:rsid w:val="007E013E"/>
    <w:rsid w:val="007E0798"/>
    <w:rsid w:val="007E0CD2"/>
    <w:rsid w:val="007E0F62"/>
    <w:rsid w:val="007E11AF"/>
    <w:rsid w:val="007E128F"/>
    <w:rsid w:val="007E16D1"/>
    <w:rsid w:val="007E1F3F"/>
    <w:rsid w:val="007E2131"/>
    <w:rsid w:val="007E2168"/>
    <w:rsid w:val="007E2276"/>
    <w:rsid w:val="007E27C2"/>
    <w:rsid w:val="007E2918"/>
    <w:rsid w:val="007E2A06"/>
    <w:rsid w:val="007E2E66"/>
    <w:rsid w:val="007E2E9B"/>
    <w:rsid w:val="007E2EA8"/>
    <w:rsid w:val="007E2F77"/>
    <w:rsid w:val="007E3992"/>
    <w:rsid w:val="007E3C41"/>
    <w:rsid w:val="007E3F35"/>
    <w:rsid w:val="007E3F76"/>
    <w:rsid w:val="007E4074"/>
    <w:rsid w:val="007E43ED"/>
    <w:rsid w:val="007E45A6"/>
    <w:rsid w:val="007E468A"/>
    <w:rsid w:val="007E4839"/>
    <w:rsid w:val="007E4A0A"/>
    <w:rsid w:val="007E4CB0"/>
    <w:rsid w:val="007E4CE1"/>
    <w:rsid w:val="007E4DF0"/>
    <w:rsid w:val="007E4F73"/>
    <w:rsid w:val="007E50A5"/>
    <w:rsid w:val="007E53EE"/>
    <w:rsid w:val="007E5AA1"/>
    <w:rsid w:val="007E5AFD"/>
    <w:rsid w:val="007E5C83"/>
    <w:rsid w:val="007E6138"/>
    <w:rsid w:val="007E6445"/>
    <w:rsid w:val="007E64F1"/>
    <w:rsid w:val="007E69AE"/>
    <w:rsid w:val="007E69B3"/>
    <w:rsid w:val="007E7380"/>
    <w:rsid w:val="007E7406"/>
    <w:rsid w:val="007E75C0"/>
    <w:rsid w:val="007E7663"/>
    <w:rsid w:val="007E783B"/>
    <w:rsid w:val="007E7A4F"/>
    <w:rsid w:val="007E7BEE"/>
    <w:rsid w:val="007E7C93"/>
    <w:rsid w:val="007E7F6E"/>
    <w:rsid w:val="007F02E2"/>
    <w:rsid w:val="007F0D53"/>
    <w:rsid w:val="007F0DC6"/>
    <w:rsid w:val="007F1017"/>
    <w:rsid w:val="007F107E"/>
    <w:rsid w:val="007F125A"/>
    <w:rsid w:val="007F12C6"/>
    <w:rsid w:val="007F1961"/>
    <w:rsid w:val="007F19FF"/>
    <w:rsid w:val="007F1AF5"/>
    <w:rsid w:val="007F1E99"/>
    <w:rsid w:val="007F1F93"/>
    <w:rsid w:val="007F2388"/>
    <w:rsid w:val="007F23C0"/>
    <w:rsid w:val="007F23E7"/>
    <w:rsid w:val="007F241B"/>
    <w:rsid w:val="007F25BD"/>
    <w:rsid w:val="007F27C1"/>
    <w:rsid w:val="007F2816"/>
    <w:rsid w:val="007F2950"/>
    <w:rsid w:val="007F2B53"/>
    <w:rsid w:val="007F2E7E"/>
    <w:rsid w:val="007F327E"/>
    <w:rsid w:val="007F3868"/>
    <w:rsid w:val="007F391F"/>
    <w:rsid w:val="007F3A91"/>
    <w:rsid w:val="007F3AB2"/>
    <w:rsid w:val="007F3B79"/>
    <w:rsid w:val="007F3E91"/>
    <w:rsid w:val="007F3FEA"/>
    <w:rsid w:val="007F4616"/>
    <w:rsid w:val="007F47BF"/>
    <w:rsid w:val="007F4A3F"/>
    <w:rsid w:val="007F4A61"/>
    <w:rsid w:val="007F4B9B"/>
    <w:rsid w:val="007F4BAE"/>
    <w:rsid w:val="007F4D13"/>
    <w:rsid w:val="007F5160"/>
    <w:rsid w:val="007F5255"/>
    <w:rsid w:val="007F5423"/>
    <w:rsid w:val="007F548B"/>
    <w:rsid w:val="007F54A6"/>
    <w:rsid w:val="007F55CE"/>
    <w:rsid w:val="007F56CC"/>
    <w:rsid w:val="007F57F7"/>
    <w:rsid w:val="007F5FE5"/>
    <w:rsid w:val="007F5FF9"/>
    <w:rsid w:val="007F61C2"/>
    <w:rsid w:val="007F6231"/>
    <w:rsid w:val="007F69F4"/>
    <w:rsid w:val="007F70E7"/>
    <w:rsid w:val="007F75BE"/>
    <w:rsid w:val="007F7847"/>
    <w:rsid w:val="007F7CFA"/>
    <w:rsid w:val="007F7DE0"/>
    <w:rsid w:val="007F7F61"/>
    <w:rsid w:val="008000BC"/>
    <w:rsid w:val="008001AC"/>
    <w:rsid w:val="008001BA"/>
    <w:rsid w:val="00800456"/>
    <w:rsid w:val="008006A6"/>
    <w:rsid w:val="008006C5"/>
    <w:rsid w:val="008007B8"/>
    <w:rsid w:val="0080145D"/>
    <w:rsid w:val="008014DD"/>
    <w:rsid w:val="00801764"/>
    <w:rsid w:val="00801954"/>
    <w:rsid w:val="00801C0D"/>
    <w:rsid w:val="00801C2A"/>
    <w:rsid w:val="00801D07"/>
    <w:rsid w:val="00801D82"/>
    <w:rsid w:val="00801F00"/>
    <w:rsid w:val="00802044"/>
    <w:rsid w:val="008020C3"/>
    <w:rsid w:val="008021E8"/>
    <w:rsid w:val="008026D2"/>
    <w:rsid w:val="00802728"/>
    <w:rsid w:val="00802733"/>
    <w:rsid w:val="00803271"/>
    <w:rsid w:val="0080365C"/>
    <w:rsid w:val="0080389F"/>
    <w:rsid w:val="008039A4"/>
    <w:rsid w:val="00803A8C"/>
    <w:rsid w:val="00803AB5"/>
    <w:rsid w:val="00803BA1"/>
    <w:rsid w:val="00803E02"/>
    <w:rsid w:val="00804142"/>
    <w:rsid w:val="0080442A"/>
    <w:rsid w:val="0080447A"/>
    <w:rsid w:val="008045C1"/>
    <w:rsid w:val="008045FF"/>
    <w:rsid w:val="00804724"/>
    <w:rsid w:val="0080484D"/>
    <w:rsid w:val="00804AC8"/>
    <w:rsid w:val="00804B5A"/>
    <w:rsid w:val="00804BC4"/>
    <w:rsid w:val="00804DBD"/>
    <w:rsid w:val="00804FB8"/>
    <w:rsid w:val="00805064"/>
    <w:rsid w:val="00805115"/>
    <w:rsid w:val="00805142"/>
    <w:rsid w:val="008052D4"/>
    <w:rsid w:val="008054A4"/>
    <w:rsid w:val="00805841"/>
    <w:rsid w:val="00805B28"/>
    <w:rsid w:val="00805FCE"/>
    <w:rsid w:val="00806241"/>
    <w:rsid w:val="0080632B"/>
    <w:rsid w:val="00806341"/>
    <w:rsid w:val="008063BF"/>
    <w:rsid w:val="00806730"/>
    <w:rsid w:val="00806896"/>
    <w:rsid w:val="00806C62"/>
    <w:rsid w:val="00806CCD"/>
    <w:rsid w:val="00806E18"/>
    <w:rsid w:val="00806F9A"/>
    <w:rsid w:val="00807434"/>
    <w:rsid w:val="00807739"/>
    <w:rsid w:val="00807A8B"/>
    <w:rsid w:val="00807D5C"/>
    <w:rsid w:val="00807F19"/>
    <w:rsid w:val="00807FA5"/>
    <w:rsid w:val="00810A37"/>
    <w:rsid w:val="00810D86"/>
    <w:rsid w:val="00810E35"/>
    <w:rsid w:val="0081100B"/>
    <w:rsid w:val="00811375"/>
    <w:rsid w:val="00811383"/>
    <w:rsid w:val="008114A4"/>
    <w:rsid w:val="0081198B"/>
    <w:rsid w:val="00811CA7"/>
    <w:rsid w:val="00812149"/>
    <w:rsid w:val="00812309"/>
    <w:rsid w:val="00812A50"/>
    <w:rsid w:val="00812CAC"/>
    <w:rsid w:val="00813290"/>
    <w:rsid w:val="0081330D"/>
    <w:rsid w:val="00813A26"/>
    <w:rsid w:val="008140A9"/>
    <w:rsid w:val="008142EA"/>
    <w:rsid w:val="00814551"/>
    <w:rsid w:val="0081456B"/>
    <w:rsid w:val="008145AD"/>
    <w:rsid w:val="0081470D"/>
    <w:rsid w:val="00814B9D"/>
    <w:rsid w:val="008157C5"/>
    <w:rsid w:val="00815998"/>
    <w:rsid w:val="008161AF"/>
    <w:rsid w:val="00816351"/>
    <w:rsid w:val="00816361"/>
    <w:rsid w:val="008165C0"/>
    <w:rsid w:val="008166C9"/>
    <w:rsid w:val="008166EF"/>
    <w:rsid w:val="0081699E"/>
    <w:rsid w:val="00816FEF"/>
    <w:rsid w:val="00817364"/>
    <w:rsid w:val="008174FF"/>
    <w:rsid w:val="00817BC0"/>
    <w:rsid w:val="00817E6F"/>
    <w:rsid w:val="00817F75"/>
    <w:rsid w:val="0082028B"/>
    <w:rsid w:val="008203C9"/>
    <w:rsid w:val="0082044F"/>
    <w:rsid w:val="008206D0"/>
    <w:rsid w:val="008207E3"/>
    <w:rsid w:val="00820A8C"/>
    <w:rsid w:val="00820B0D"/>
    <w:rsid w:val="00820B25"/>
    <w:rsid w:val="00820C19"/>
    <w:rsid w:val="008210BB"/>
    <w:rsid w:val="00821305"/>
    <w:rsid w:val="008215FB"/>
    <w:rsid w:val="0082185B"/>
    <w:rsid w:val="00821C21"/>
    <w:rsid w:val="00821C94"/>
    <w:rsid w:val="00821D17"/>
    <w:rsid w:val="00821E33"/>
    <w:rsid w:val="00822220"/>
    <w:rsid w:val="0082226A"/>
    <w:rsid w:val="00822669"/>
    <w:rsid w:val="008227DB"/>
    <w:rsid w:val="008227FB"/>
    <w:rsid w:val="00822837"/>
    <w:rsid w:val="00822AC6"/>
    <w:rsid w:val="00822EDD"/>
    <w:rsid w:val="00822FEB"/>
    <w:rsid w:val="00823174"/>
    <w:rsid w:val="008231A1"/>
    <w:rsid w:val="008231ED"/>
    <w:rsid w:val="00823463"/>
    <w:rsid w:val="0082357A"/>
    <w:rsid w:val="008237B1"/>
    <w:rsid w:val="00823A35"/>
    <w:rsid w:val="00823B00"/>
    <w:rsid w:val="00823DDD"/>
    <w:rsid w:val="00823F81"/>
    <w:rsid w:val="00823FA4"/>
    <w:rsid w:val="00824029"/>
    <w:rsid w:val="0082430D"/>
    <w:rsid w:val="00824A0B"/>
    <w:rsid w:val="00824C88"/>
    <w:rsid w:val="00824D69"/>
    <w:rsid w:val="00824E94"/>
    <w:rsid w:val="00825152"/>
    <w:rsid w:val="00825751"/>
    <w:rsid w:val="00825B06"/>
    <w:rsid w:val="00825C93"/>
    <w:rsid w:val="008264EB"/>
    <w:rsid w:val="00826755"/>
    <w:rsid w:val="00826B6A"/>
    <w:rsid w:val="00826C72"/>
    <w:rsid w:val="00826E7A"/>
    <w:rsid w:val="008277FE"/>
    <w:rsid w:val="008278A5"/>
    <w:rsid w:val="00827A12"/>
    <w:rsid w:val="00827B98"/>
    <w:rsid w:val="00827C8D"/>
    <w:rsid w:val="00827FF4"/>
    <w:rsid w:val="00830436"/>
    <w:rsid w:val="0083057A"/>
    <w:rsid w:val="008307FF"/>
    <w:rsid w:val="008308A0"/>
    <w:rsid w:val="00830C42"/>
    <w:rsid w:val="00830E6B"/>
    <w:rsid w:val="0083176E"/>
    <w:rsid w:val="00831ECC"/>
    <w:rsid w:val="00832128"/>
    <w:rsid w:val="00832BEC"/>
    <w:rsid w:val="00832C73"/>
    <w:rsid w:val="00832CE3"/>
    <w:rsid w:val="00832D4B"/>
    <w:rsid w:val="00832D8B"/>
    <w:rsid w:val="00832F02"/>
    <w:rsid w:val="00832F93"/>
    <w:rsid w:val="00832FA6"/>
    <w:rsid w:val="00833459"/>
    <w:rsid w:val="00833567"/>
    <w:rsid w:val="00833665"/>
    <w:rsid w:val="00833753"/>
    <w:rsid w:val="008338B8"/>
    <w:rsid w:val="00833B05"/>
    <w:rsid w:val="00833B75"/>
    <w:rsid w:val="00833F73"/>
    <w:rsid w:val="008343E4"/>
    <w:rsid w:val="00834685"/>
    <w:rsid w:val="00834A5B"/>
    <w:rsid w:val="00834D46"/>
    <w:rsid w:val="00834DA6"/>
    <w:rsid w:val="00834FB1"/>
    <w:rsid w:val="008351FC"/>
    <w:rsid w:val="00835536"/>
    <w:rsid w:val="008359E4"/>
    <w:rsid w:val="00835A83"/>
    <w:rsid w:val="00835EDA"/>
    <w:rsid w:val="008360D8"/>
    <w:rsid w:val="008362B4"/>
    <w:rsid w:val="00836336"/>
    <w:rsid w:val="00836839"/>
    <w:rsid w:val="00836ABD"/>
    <w:rsid w:val="00836B8C"/>
    <w:rsid w:val="00837048"/>
    <w:rsid w:val="00837208"/>
    <w:rsid w:val="00837756"/>
    <w:rsid w:val="00837C5D"/>
    <w:rsid w:val="00837D58"/>
    <w:rsid w:val="00837DC8"/>
    <w:rsid w:val="00837F00"/>
    <w:rsid w:val="00840BAD"/>
    <w:rsid w:val="00840CA2"/>
    <w:rsid w:val="00841385"/>
    <w:rsid w:val="008413C8"/>
    <w:rsid w:val="00841959"/>
    <w:rsid w:val="00841CD9"/>
    <w:rsid w:val="0084202C"/>
    <w:rsid w:val="00842226"/>
    <w:rsid w:val="008428EF"/>
    <w:rsid w:val="00842A34"/>
    <w:rsid w:val="00842A8F"/>
    <w:rsid w:val="00842D59"/>
    <w:rsid w:val="00842EF0"/>
    <w:rsid w:val="0084307D"/>
    <w:rsid w:val="00843447"/>
    <w:rsid w:val="00843623"/>
    <w:rsid w:val="0084364D"/>
    <w:rsid w:val="0084374F"/>
    <w:rsid w:val="00843883"/>
    <w:rsid w:val="00843E4D"/>
    <w:rsid w:val="00844113"/>
    <w:rsid w:val="0084436E"/>
    <w:rsid w:val="00844427"/>
    <w:rsid w:val="0084469E"/>
    <w:rsid w:val="008447A2"/>
    <w:rsid w:val="00844A0D"/>
    <w:rsid w:val="00844A16"/>
    <w:rsid w:val="00844A22"/>
    <w:rsid w:val="00844AD5"/>
    <w:rsid w:val="00844BFA"/>
    <w:rsid w:val="00844D14"/>
    <w:rsid w:val="00844D3E"/>
    <w:rsid w:val="00844FD5"/>
    <w:rsid w:val="00845779"/>
    <w:rsid w:val="008458C7"/>
    <w:rsid w:val="00845CAD"/>
    <w:rsid w:val="00845D7D"/>
    <w:rsid w:val="00845E04"/>
    <w:rsid w:val="00845E1C"/>
    <w:rsid w:val="00845EA0"/>
    <w:rsid w:val="008462D4"/>
    <w:rsid w:val="008465E3"/>
    <w:rsid w:val="00846730"/>
    <w:rsid w:val="00846803"/>
    <w:rsid w:val="008469C7"/>
    <w:rsid w:val="00846FA3"/>
    <w:rsid w:val="008471B3"/>
    <w:rsid w:val="0084752C"/>
    <w:rsid w:val="008475CF"/>
    <w:rsid w:val="00847703"/>
    <w:rsid w:val="00847707"/>
    <w:rsid w:val="00847967"/>
    <w:rsid w:val="008479AE"/>
    <w:rsid w:val="00847DF5"/>
    <w:rsid w:val="0085009A"/>
    <w:rsid w:val="0085012C"/>
    <w:rsid w:val="00850485"/>
    <w:rsid w:val="008505D0"/>
    <w:rsid w:val="00850A80"/>
    <w:rsid w:val="00850B06"/>
    <w:rsid w:val="00850EEA"/>
    <w:rsid w:val="00851173"/>
    <w:rsid w:val="00851201"/>
    <w:rsid w:val="008512BF"/>
    <w:rsid w:val="008514E7"/>
    <w:rsid w:val="008515E0"/>
    <w:rsid w:val="00851B37"/>
    <w:rsid w:val="00852129"/>
    <w:rsid w:val="008521CB"/>
    <w:rsid w:val="00852371"/>
    <w:rsid w:val="008529D1"/>
    <w:rsid w:val="00852D7C"/>
    <w:rsid w:val="00852E98"/>
    <w:rsid w:val="00852EC0"/>
    <w:rsid w:val="0085309D"/>
    <w:rsid w:val="00853189"/>
    <w:rsid w:val="008534F1"/>
    <w:rsid w:val="0085394C"/>
    <w:rsid w:val="00853ED4"/>
    <w:rsid w:val="00853FF2"/>
    <w:rsid w:val="00854635"/>
    <w:rsid w:val="008546D9"/>
    <w:rsid w:val="00854B25"/>
    <w:rsid w:val="00854B60"/>
    <w:rsid w:val="00854E7C"/>
    <w:rsid w:val="00854FBC"/>
    <w:rsid w:val="00855539"/>
    <w:rsid w:val="008557E1"/>
    <w:rsid w:val="00855CB4"/>
    <w:rsid w:val="00855DB0"/>
    <w:rsid w:val="00856178"/>
    <w:rsid w:val="008561B0"/>
    <w:rsid w:val="0085630B"/>
    <w:rsid w:val="00856897"/>
    <w:rsid w:val="00856B9B"/>
    <w:rsid w:val="00856DE9"/>
    <w:rsid w:val="00856E32"/>
    <w:rsid w:val="00856E9A"/>
    <w:rsid w:val="0085706A"/>
    <w:rsid w:val="00857161"/>
    <w:rsid w:val="008573A1"/>
    <w:rsid w:val="008573B2"/>
    <w:rsid w:val="0085796E"/>
    <w:rsid w:val="00857E29"/>
    <w:rsid w:val="00857FB0"/>
    <w:rsid w:val="008602C2"/>
    <w:rsid w:val="008604C1"/>
    <w:rsid w:val="0086075D"/>
    <w:rsid w:val="00860AAD"/>
    <w:rsid w:val="00860B55"/>
    <w:rsid w:val="008610DE"/>
    <w:rsid w:val="00861B7C"/>
    <w:rsid w:val="00861D7F"/>
    <w:rsid w:val="00861DA6"/>
    <w:rsid w:val="008620AE"/>
    <w:rsid w:val="00862197"/>
    <w:rsid w:val="008622AA"/>
    <w:rsid w:val="00862502"/>
    <w:rsid w:val="00862675"/>
    <w:rsid w:val="008626CC"/>
    <w:rsid w:val="0086274E"/>
    <w:rsid w:val="00862BD4"/>
    <w:rsid w:val="00862CC1"/>
    <w:rsid w:val="00862EB3"/>
    <w:rsid w:val="008637D5"/>
    <w:rsid w:val="008637DB"/>
    <w:rsid w:val="0086386D"/>
    <w:rsid w:val="00863B6C"/>
    <w:rsid w:val="008641E7"/>
    <w:rsid w:val="00864210"/>
    <w:rsid w:val="0086437B"/>
    <w:rsid w:val="008643A0"/>
    <w:rsid w:val="008643CB"/>
    <w:rsid w:val="008649FB"/>
    <w:rsid w:val="00864B42"/>
    <w:rsid w:val="00864B58"/>
    <w:rsid w:val="00864F9F"/>
    <w:rsid w:val="00864FAC"/>
    <w:rsid w:val="008650BB"/>
    <w:rsid w:val="00865413"/>
    <w:rsid w:val="008654B3"/>
    <w:rsid w:val="008656BD"/>
    <w:rsid w:val="00865746"/>
    <w:rsid w:val="00865DC1"/>
    <w:rsid w:val="00865F0C"/>
    <w:rsid w:val="008660D4"/>
    <w:rsid w:val="00866687"/>
    <w:rsid w:val="00866B7A"/>
    <w:rsid w:val="00866FE7"/>
    <w:rsid w:val="00867397"/>
    <w:rsid w:val="008676E3"/>
    <w:rsid w:val="00867873"/>
    <w:rsid w:val="00867D6C"/>
    <w:rsid w:val="008701FA"/>
    <w:rsid w:val="008702F4"/>
    <w:rsid w:val="0087062A"/>
    <w:rsid w:val="0087087D"/>
    <w:rsid w:val="00870B3A"/>
    <w:rsid w:val="008711A1"/>
    <w:rsid w:val="008712D4"/>
    <w:rsid w:val="00871303"/>
    <w:rsid w:val="008715CA"/>
    <w:rsid w:val="00871614"/>
    <w:rsid w:val="00871730"/>
    <w:rsid w:val="00871DAF"/>
    <w:rsid w:val="00871FA9"/>
    <w:rsid w:val="008720BF"/>
    <w:rsid w:val="0087258B"/>
    <w:rsid w:val="00872650"/>
    <w:rsid w:val="008726F3"/>
    <w:rsid w:val="0087276C"/>
    <w:rsid w:val="008727E2"/>
    <w:rsid w:val="008728E9"/>
    <w:rsid w:val="008735F1"/>
    <w:rsid w:val="00873CC4"/>
    <w:rsid w:val="00873E2E"/>
    <w:rsid w:val="00873FC3"/>
    <w:rsid w:val="00873FFF"/>
    <w:rsid w:val="008741CE"/>
    <w:rsid w:val="0087456A"/>
    <w:rsid w:val="00874692"/>
    <w:rsid w:val="008747E8"/>
    <w:rsid w:val="00874A58"/>
    <w:rsid w:val="00874B58"/>
    <w:rsid w:val="0087524E"/>
    <w:rsid w:val="00875276"/>
    <w:rsid w:val="008753EA"/>
    <w:rsid w:val="00875743"/>
    <w:rsid w:val="0087576F"/>
    <w:rsid w:val="00875793"/>
    <w:rsid w:val="0087585C"/>
    <w:rsid w:val="00875925"/>
    <w:rsid w:val="008759E3"/>
    <w:rsid w:val="00875D0C"/>
    <w:rsid w:val="0087608F"/>
    <w:rsid w:val="00876243"/>
    <w:rsid w:val="008765E2"/>
    <w:rsid w:val="00876874"/>
    <w:rsid w:val="00876AEE"/>
    <w:rsid w:val="00876C2A"/>
    <w:rsid w:val="008770C6"/>
    <w:rsid w:val="00877155"/>
    <w:rsid w:val="00877267"/>
    <w:rsid w:val="008773C7"/>
    <w:rsid w:val="00877BCF"/>
    <w:rsid w:val="00877CE2"/>
    <w:rsid w:val="00880070"/>
    <w:rsid w:val="00880271"/>
    <w:rsid w:val="00880393"/>
    <w:rsid w:val="00880708"/>
    <w:rsid w:val="00880BB8"/>
    <w:rsid w:val="00880C49"/>
    <w:rsid w:val="00880DC4"/>
    <w:rsid w:val="00880F35"/>
    <w:rsid w:val="00880FB0"/>
    <w:rsid w:val="00881869"/>
    <w:rsid w:val="00881999"/>
    <w:rsid w:val="00881E5D"/>
    <w:rsid w:val="00881FD5"/>
    <w:rsid w:val="008820EC"/>
    <w:rsid w:val="008821B5"/>
    <w:rsid w:val="0088224E"/>
    <w:rsid w:val="00882874"/>
    <w:rsid w:val="00882890"/>
    <w:rsid w:val="00882E3C"/>
    <w:rsid w:val="00882EAB"/>
    <w:rsid w:val="008834B3"/>
    <w:rsid w:val="00883688"/>
    <w:rsid w:val="00883787"/>
    <w:rsid w:val="008838E4"/>
    <w:rsid w:val="00883AB8"/>
    <w:rsid w:val="0088446F"/>
    <w:rsid w:val="0088448E"/>
    <w:rsid w:val="00884A68"/>
    <w:rsid w:val="00884C9E"/>
    <w:rsid w:val="00885253"/>
    <w:rsid w:val="00885282"/>
    <w:rsid w:val="008855E4"/>
    <w:rsid w:val="0088565E"/>
    <w:rsid w:val="00885972"/>
    <w:rsid w:val="008859A1"/>
    <w:rsid w:val="00886102"/>
    <w:rsid w:val="00886824"/>
    <w:rsid w:val="0088682E"/>
    <w:rsid w:val="008868B9"/>
    <w:rsid w:val="00886C89"/>
    <w:rsid w:val="00886CD2"/>
    <w:rsid w:val="00887468"/>
    <w:rsid w:val="00887637"/>
    <w:rsid w:val="00887807"/>
    <w:rsid w:val="00887919"/>
    <w:rsid w:val="00887929"/>
    <w:rsid w:val="00887CED"/>
    <w:rsid w:val="00890A73"/>
    <w:rsid w:val="00890B4E"/>
    <w:rsid w:val="0089116E"/>
    <w:rsid w:val="008914F0"/>
    <w:rsid w:val="00891520"/>
    <w:rsid w:val="00891754"/>
    <w:rsid w:val="00891E6F"/>
    <w:rsid w:val="00892120"/>
    <w:rsid w:val="00892188"/>
    <w:rsid w:val="00892335"/>
    <w:rsid w:val="0089275D"/>
    <w:rsid w:val="00892A36"/>
    <w:rsid w:val="00892A3C"/>
    <w:rsid w:val="00892BB2"/>
    <w:rsid w:val="00893079"/>
    <w:rsid w:val="00893239"/>
    <w:rsid w:val="0089341D"/>
    <w:rsid w:val="00893533"/>
    <w:rsid w:val="00893A51"/>
    <w:rsid w:val="00893B6C"/>
    <w:rsid w:val="00893CEF"/>
    <w:rsid w:val="00893E45"/>
    <w:rsid w:val="008943EE"/>
    <w:rsid w:val="00894489"/>
    <w:rsid w:val="008949F4"/>
    <w:rsid w:val="00894D77"/>
    <w:rsid w:val="0089527D"/>
    <w:rsid w:val="008953C0"/>
    <w:rsid w:val="0089552C"/>
    <w:rsid w:val="0089559A"/>
    <w:rsid w:val="008955B5"/>
    <w:rsid w:val="00895603"/>
    <w:rsid w:val="00895739"/>
    <w:rsid w:val="00896115"/>
    <w:rsid w:val="008963A5"/>
    <w:rsid w:val="0089652A"/>
    <w:rsid w:val="00896559"/>
    <w:rsid w:val="00896568"/>
    <w:rsid w:val="008966F7"/>
    <w:rsid w:val="00896767"/>
    <w:rsid w:val="00896D5D"/>
    <w:rsid w:val="00897175"/>
    <w:rsid w:val="0089792F"/>
    <w:rsid w:val="008979DD"/>
    <w:rsid w:val="008A0029"/>
    <w:rsid w:val="008A01F9"/>
    <w:rsid w:val="008A0318"/>
    <w:rsid w:val="008A0E88"/>
    <w:rsid w:val="008A1044"/>
    <w:rsid w:val="008A1078"/>
    <w:rsid w:val="008A148A"/>
    <w:rsid w:val="008A19C8"/>
    <w:rsid w:val="008A1D90"/>
    <w:rsid w:val="008A1E3D"/>
    <w:rsid w:val="008A1F56"/>
    <w:rsid w:val="008A26AE"/>
    <w:rsid w:val="008A2915"/>
    <w:rsid w:val="008A2B32"/>
    <w:rsid w:val="008A2C43"/>
    <w:rsid w:val="008A31A1"/>
    <w:rsid w:val="008A3363"/>
    <w:rsid w:val="008A3371"/>
    <w:rsid w:val="008A3854"/>
    <w:rsid w:val="008A3978"/>
    <w:rsid w:val="008A39B0"/>
    <w:rsid w:val="008A39B9"/>
    <w:rsid w:val="008A39E1"/>
    <w:rsid w:val="008A3C3E"/>
    <w:rsid w:val="008A3F84"/>
    <w:rsid w:val="008A41A4"/>
    <w:rsid w:val="008A43C9"/>
    <w:rsid w:val="008A444D"/>
    <w:rsid w:val="008A46E2"/>
    <w:rsid w:val="008A4C11"/>
    <w:rsid w:val="008A4F0D"/>
    <w:rsid w:val="008A56A8"/>
    <w:rsid w:val="008A57B2"/>
    <w:rsid w:val="008A5EA3"/>
    <w:rsid w:val="008A60D3"/>
    <w:rsid w:val="008A6488"/>
    <w:rsid w:val="008A67AB"/>
    <w:rsid w:val="008A67C2"/>
    <w:rsid w:val="008A6BE2"/>
    <w:rsid w:val="008A6DE5"/>
    <w:rsid w:val="008A6FF0"/>
    <w:rsid w:val="008A7053"/>
    <w:rsid w:val="008A7482"/>
    <w:rsid w:val="008A795D"/>
    <w:rsid w:val="008A79DE"/>
    <w:rsid w:val="008A7A9B"/>
    <w:rsid w:val="008A7B89"/>
    <w:rsid w:val="008B01D8"/>
    <w:rsid w:val="008B0573"/>
    <w:rsid w:val="008B058C"/>
    <w:rsid w:val="008B05A8"/>
    <w:rsid w:val="008B0825"/>
    <w:rsid w:val="008B0A54"/>
    <w:rsid w:val="008B0B9E"/>
    <w:rsid w:val="008B0BD1"/>
    <w:rsid w:val="008B0C4F"/>
    <w:rsid w:val="008B11FD"/>
    <w:rsid w:val="008B1749"/>
    <w:rsid w:val="008B1757"/>
    <w:rsid w:val="008B1876"/>
    <w:rsid w:val="008B18D7"/>
    <w:rsid w:val="008B1912"/>
    <w:rsid w:val="008B19B1"/>
    <w:rsid w:val="008B1B42"/>
    <w:rsid w:val="008B1B91"/>
    <w:rsid w:val="008B1EFB"/>
    <w:rsid w:val="008B2103"/>
    <w:rsid w:val="008B2113"/>
    <w:rsid w:val="008B22AB"/>
    <w:rsid w:val="008B22D4"/>
    <w:rsid w:val="008B244A"/>
    <w:rsid w:val="008B29F3"/>
    <w:rsid w:val="008B29F9"/>
    <w:rsid w:val="008B2AB9"/>
    <w:rsid w:val="008B2E95"/>
    <w:rsid w:val="008B3378"/>
    <w:rsid w:val="008B339B"/>
    <w:rsid w:val="008B3C95"/>
    <w:rsid w:val="008B3D81"/>
    <w:rsid w:val="008B3F3A"/>
    <w:rsid w:val="008B48FB"/>
    <w:rsid w:val="008B49FD"/>
    <w:rsid w:val="008B4C9F"/>
    <w:rsid w:val="008B4E82"/>
    <w:rsid w:val="008B53A6"/>
    <w:rsid w:val="008B58AC"/>
    <w:rsid w:val="008B5BBD"/>
    <w:rsid w:val="008B615E"/>
    <w:rsid w:val="008B620B"/>
    <w:rsid w:val="008B636F"/>
    <w:rsid w:val="008B638E"/>
    <w:rsid w:val="008B64EE"/>
    <w:rsid w:val="008B6545"/>
    <w:rsid w:val="008B6774"/>
    <w:rsid w:val="008B67AF"/>
    <w:rsid w:val="008B6843"/>
    <w:rsid w:val="008B6B08"/>
    <w:rsid w:val="008B6C93"/>
    <w:rsid w:val="008B71ED"/>
    <w:rsid w:val="008B7248"/>
    <w:rsid w:val="008B72F8"/>
    <w:rsid w:val="008B7403"/>
    <w:rsid w:val="008B75D6"/>
    <w:rsid w:val="008B764D"/>
    <w:rsid w:val="008B7821"/>
    <w:rsid w:val="008B78CC"/>
    <w:rsid w:val="008B7992"/>
    <w:rsid w:val="008B7A59"/>
    <w:rsid w:val="008B7D33"/>
    <w:rsid w:val="008B7D7E"/>
    <w:rsid w:val="008C0277"/>
    <w:rsid w:val="008C03F1"/>
    <w:rsid w:val="008C0407"/>
    <w:rsid w:val="008C05F1"/>
    <w:rsid w:val="008C0ACE"/>
    <w:rsid w:val="008C0C1A"/>
    <w:rsid w:val="008C0D8E"/>
    <w:rsid w:val="008C0F68"/>
    <w:rsid w:val="008C114D"/>
    <w:rsid w:val="008C1180"/>
    <w:rsid w:val="008C13D9"/>
    <w:rsid w:val="008C1B1E"/>
    <w:rsid w:val="008C1B40"/>
    <w:rsid w:val="008C1B4F"/>
    <w:rsid w:val="008C2053"/>
    <w:rsid w:val="008C252F"/>
    <w:rsid w:val="008C257C"/>
    <w:rsid w:val="008C26A7"/>
    <w:rsid w:val="008C27A5"/>
    <w:rsid w:val="008C2F6F"/>
    <w:rsid w:val="008C3029"/>
    <w:rsid w:val="008C353B"/>
    <w:rsid w:val="008C367D"/>
    <w:rsid w:val="008C3ABB"/>
    <w:rsid w:val="008C3D93"/>
    <w:rsid w:val="008C48B9"/>
    <w:rsid w:val="008C49C0"/>
    <w:rsid w:val="008C4A79"/>
    <w:rsid w:val="008C4B0B"/>
    <w:rsid w:val="008C4B8C"/>
    <w:rsid w:val="008C4B8E"/>
    <w:rsid w:val="008C4E5E"/>
    <w:rsid w:val="008C5001"/>
    <w:rsid w:val="008C52DA"/>
    <w:rsid w:val="008C5322"/>
    <w:rsid w:val="008C5610"/>
    <w:rsid w:val="008C5739"/>
    <w:rsid w:val="008C6230"/>
    <w:rsid w:val="008C635C"/>
    <w:rsid w:val="008C67ED"/>
    <w:rsid w:val="008C6950"/>
    <w:rsid w:val="008C6A04"/>
    <w:rsid w:val="008C6A6E"/>
    <w:rsid w:val="008C6A7C"/>
    <w:rsid w:val="008C6D44"/>
    <w:rsid w:val="008C6F15"/>
    <w:rsid w:val="008C72FF"/>
    <w:rsid w:val="008C7824"/>
    <w:rsid w:val="008C7BBE"/>
    <w:rsid w:val="008C7E3D"/>
    <w:rsid w:val="008C7ECB"/>
    <w:rsid w:val="008D022D"/>
    <w:rsid w:val="008D04E8"/>
    <w:rsid w:val="008D068A"/>
    <w:rsid w:val="008D0D46"/>
    <w:rsid w:val="008D1129"/>
    <w:rsid w:val="008D1182"/>
    <w:rsid w:val="008D1A41"/>
    <w:rsid w:val="008D1A6F"/>
    <w:rsid w:val="008D1A86"/>
    <w:rsid w:val="008D1C07"/>
    <w:rsid w:val="008D2562"/>
    <w:rsid w:val="008D25CC"/>
    <w:rsid w:val="008D25D1"/>
    <w:rsid w:val="008D2638"/>
    <w:rsid w:val="008D27EA"/>
    <w:rsid w:val="008D27FB"/>
    <w:rsid w:val="008D289B"/>
    <w:rsid w:val="008D2B5B"/>
    <w:rsid w:val="008D338C"/>
    <w:rsid w:val="008D33C0"/>
    <w:rsid w:val="008D3427"/>
    <w:rsid w:val="008D363E"/>
    <w:rsid w:val="008D373A"/>
    <w:rsid w:val="008D3837"/>
    <w:rsid w:val="008D3918"/>
    <w:rsid w:val="008D3B6E"/>
    <w:rsid w:val="008D3B86"/>
    <w:rsid w:val="008D4195"/>
    <w:rsid w:val="008D42AC"/>
    <w:rsid w:val="008D455B"/>
    <w:rsid w:val="008D4755"/>
    <w:rsid w:val="008D484A"/>
    <w:rsid w:val="008D492D"/>
    <w:rsid w:val="008D49F3"/>
    <w:rsid w:val="008D4C3D"/>
    <w:rsid w:val="008D4E02"/>
    <w:rsid w:val="008D4EAB"/>
    <w:rsid w:val="008D5088"/>
    <w:rsid w:val="008D53E2"/>
    <w:rsid w:val="008D551D"/>
    <w:rsid w:val="008D56BA"/>
    <w:rsid w:val="008D5850"/>
    <w:rsid w:val="008D58CC"/>
    <w:rsid w:val="008D599E"/>
    <w:rsid w:val="008D5A65"/>
    <w:rsid w:val="008D5B76"/>
    <w:rsid w:val="008D5C2A"/>
    <w:rsid w:val="008D5F9F"/>
    <w:rsid w:val="008D614C"/>
    <w:rsid w:val="008D65C9"/>
    <w:rsid w:val="008D662C"/>
    <w:rsid w:val="008D66CB"/>
    <w:rsid w:val="008D673C"/>
    <w:rsid w:val="008D696A"/>
    <w:rsid w:val="008D69A1"/>
    <w:rsid w:val="008D6CF6"/>
    <w:rsid w:val="008D6DE1"/>
    <w:rsid w:val="008D6F1E"/>
    <w:rsid w:val="008D706E"/>
    <w:rsid w:val="008D7179"/>
    <w:rsid w:val="008D743C"/>
    <w:rsid w:val="008D77C1"/>
    <w:rsid w:val="008D79F8"/>
    <w:rsid w:val="008D7A5F"/>
    <w:rsid w:val="008D7C6D"/>
    <w:rsid w:val="008D7CE7"/>
    <w:rsid w:val="008D7FD0"/>
    <w:rsid w:val="008E00EC"/>
    <w:rsid w:val="008E065C"/>
    <w:rsid w:val="008E08A1"/>
    <w:rsid w:val="008E08A6"/>
    <w:rsid w:val="008E0910"/>
    <w:rsid w:val="008E0D3C"/>
    <w:rsid w:val="008E1497"/>
    <w:rsid w:val="008E1575"/>
    <w:rsid w:val="008E1A99"/>
    <w:rsid w:val="008E1B9E"/>
    <w:rsid w:val="008E2059"/>
    <w:rsid w:val="008E229C"/>
    <w:rsid w:val="008E27B4"/>
    <w:rsid w:val="008E2FAF"/>
    <w:rsid w:val="008E31CB"/>
    <w:rsid w:val="008E3223"/>
    <w:rsid w:val="008E342C"/>
    <w:rsid w:val="008E34E0"/>
    <w:rsid w:val="008E3554"/>
    <w:rsid w:val="008E3630"/>
    <w:rsid w:val="008E36EA"/>
    <w:rsid w:val="008E3B0E"/>
    <w:rsid w:val="008E42F6"/>
    <w:rsid w:val="008E4459"/>
    <w:rsid w:val="008E490D"/>
    <w:rsid w:val="008E4FBC"/>
    <w:rsid w:val="008E5065"/>
    <w:rsid w:val="008E5152"/>
    <w:rsid w:val="008E52E7"/>
    <w:rsid w:val="008E55AB"/>
    <w:rsid w:val="008E5743"/>
    <w:rsid w:val="008E57D9"/>
    <w:rsid w:val="008E5A9A"/>
    <w:rsid w:val="008E6057"/>
    <w:rsid w:val="008E61EE"/>
    <w:rsid w:val="008E61F9"/>
    <w:rsid w:val="008E6317"/>
    <w:rsid w:val="008E650B"/>
    <w:rsid w:val="008E68A4"/>
    <w:rsid w:val="008E68D9"/>
    <w:rsid w:val="008E7185"/>
    <w:rsid w:val="008E7228"/>
    <w:rsid w:val="008E72DC"/>
    <w:rsid w:val="008E73A1"/>
    <w:rsid w:val="008E768C"/>
    <w:rsid w:val="008E76D0"/>
    <w:rsid w:val="008E77DF"/>
    <w:rsid w:val="008E7A19"/>
    <w:rsid w:val="008E7BB1"/>
    <w:rsid w:val="008E7BDC"/>
    <w:rsid w:val="008E7BF9"/>
    <w:rsid w:val="008F0046"/>
    <w:rsid w:val="008F00B6"/>
    <w:rsid w:val="008F0D13"/>
    <w:rsid w:val="008F0DC6"/>
    <w:rsid w:val="008F120A"/>
    <w:rsid w:val="008F15F5"/>
    <w:rsid w:val="008F1ECF"/>
    <w:rsid w:val="008F2273"/>
    <w:rsid w:val="008F24DA"/>
    <w:rsid w:val="008F2673"/>
    <w:rsid w:val="008F27E0"/>
    <w:rsid w:val="008F2C89"/>
    <w:rsid w:val="008F356C"/>
    <w:rsid w:val="008F3807"/>
    <w:rsid w:val="008F3C4A"/>
    <w:rsid w:val="008F3DD2"/>
    <w:rsid w:val="008F3EC2"/>
    <w:rsid w:val="008F3F7F"/>
    <w:rsid w:val="008F41CF"/>
    <w:rsid w:val="008F4692"/>
    <w:rsid w:val="008F48AB"/>
    <w:rsid w:val="008F48EB"/>
    <w:rsid w:val="008F4957"/>
    <w:rsid w:val="008F4C93"/>
    <w:rsid w:val="008F4D66"/>
    <w:rsid w:val="008F4E61"/>
    <w:rsid w:val="008F4E89"/>
    <w:rsid w:val="008F4F0B"/>
    <w:rsid w:val="008F504E"/>
    <w:rsid w:val="008F552A"/>
    <w:rsid w:val="008F5753"/>
    <w:rsid w:val="008F58DA"/>
    <w:rsid w:val="008F5D43"/>
    <w:rsid w:val="008F5DFC"/>
    <w:rsid w:val="008F5E02"/>
    <w:rsid w:val="008F624B"/>
    <w:rsid w:val="008F63FF"/>
    <w:rsid w:val="008F669D"/>
    <w:rsid w:val="008F6918"/>
    <w:rsid w:val="008F6991"/>
    <w:rsid w:val="008F74EE"/>
    <w:rsid w:val="008F7F7F"/>
    <w:rsid w:val="009003C1"/>
    <w:rsid w:val="009003D8"/>
    <w:rsid w:val="00900491"/>
    <w:rsid w:val="009005A5"/>
    <w:rsid w:val="0090068B"/>
    <w:rsid w:val="0090088B"/>
    <w:rsid w:val="0090091B"/>
    <w:rsid w:val="00900A2B"/>
    <w:rsid w:val="00900BBC"/>
    <w:rsid w:val="00901877"/>
    <w:rsid w:val="009018C3"/>
    <w:rsid w:val="00901B71"/>
    <w:rsid w:val="00901DFF"/>
    <w:rsid w:val="00902360"/>
    <w:rsid w:val="009027D8"/>
    <w:rsid w:val="00902803"/>
    <w:rsid w:val="009029CE"/>
    <w:rsid w:val="00902D69"/>
    <w:rsid w:val="00902D9F"/>
    <w:rsid w:val="00903E13"/>
    <w:rsid w:val="0090406C"/>
    <w:rsid w:val="009046C4"/>
    <w:rsid w:val="00904744"/>
    <w:rsid w:val="0090477D"/>
    <w:rsid w:val="00904A55"/>
    <w:rsid w:val="00904BB6"/>
    <w:rsid w:val="00904C42"/>
    <w:rsid w:val="00905149"/>
    <w:rsid w:val="009054E8"/>
    <w:rsid w:val="009057DA"/>
    <w:rsid w:val="0090585C"/>
    <w:rsid w:val="00905902"/>
    <w:rsid w:val="0090595A"/>
    <w:rsid w:val="00905A42"/>
    <w:rsid w:val="00905CE5"/>
    <w:rsid w:val="009062A5"/>
    <w:rsid w:val="0090650E"/>
    <w:rsid w:val="00906557"/>
    <w:rsid w:val="009067DB"/>
    <w:rsid w:val="00906AAC"/>
    <w:rsid w:val="00906BCB"/>
    <w:rsid w:val="00906E65"/>
    <w:rsid w:val="00906EE3"/>
    <w:rsid w:val="00906F95"/>
    <w:rsid w:val="00907356"/>
    <w:rsid w:val="00907546"/>
    <w:rsid w:val="00907BC7"/>
    <w:rsid w:val="00907E8C"/>
    <w:rsid w:val="0091067A"/>
    <w:rsid w:val="009107C1"/>
    <w:rsid w:val="00910994"/>
    <w:rsid w:val="00910A60"/>
    <w:rsid w:val="00910BE6"/>
    <w:rsid w:val="00910FA7"/>
    <w:rsid w:val="00911140"/>
    <w:rsid w:val="009111E7"/>
    <w:rsid w:val="00911272"/>
    <w:rsid w:val="00911332"/>
    <w:rsid w:val="00911388"/>
    <w:rsid w:val="00911432"/>
    <w:rsid w:val="00911764"/>
    <w:rsid w:val="009117CF"/>
    <w:rsid w:val="00911984"/>
    <w:rsid w:val="00911C00"/>
    <w:rsid w:val="00912211"/>
    <w:rsid w:val="00912282"/>
    <w:rsid w:val="00912443"/>
    <w:rsid w:val="00912726"/>
    <w:rsid w:val="00912903"/>
    <w:rsid w:val="009130D8"/>
    <w:rsid w:val="00913404"/>
    <w:rsid w:val="00913446"/>
    <w:rsid w:val="00913546"/>
    <w:rsid w:val="009135D6"/>
    <w:rsid w:val="00913615"/>
    <w:rsid w:val="00913927"/>
    <w:rsid w:val="00913961"/>
    <w:rsid w:val="009139C5"/>
    <w:rsid w:val="00913FC8"/>
    <w:rsid w:val="00913FE0"/>
    <w:rsid w:val="00914311"/>
    <w:rsid w:val="00914330"/>
    <w:rsid w:val="0091434A"/>
    <w:rsid w:val="009143D3"/>
    <w:rsid w:val="00914464"/>
    <w:rsid w:val="0091456D"/>
    <w:rsid w:val="00914636"/>
    <w:rsid w:val="009149E7"/>
    <w:rsid w:val="00914A21"/>
    <w:rsid w:val="00914BEF"/>
    <w:rsid w:val="00914C77"/>
    <w:rsid w:val="00914D5B"/>
    <w:rsid w:val="009152C1"/>
    <w:rsid w:val="0091566D"/>
    <w:rsid w:val="009156B5"/>
    <w:rsid w:val="00915CD9"/>
    <w:rsid w:val="00915F4B"/>
    <w:rsid w:val="0091619F"/>
    <w:rsid w:val="00916480"/>
    <w:rsid w:val="009165B7"/>
    <w:rsid w:val="009165B8"/>
    <w:rsid w:val="0091666F"/>
    <w:rsid w:val="009166B6"/>
    <w:rsid w:val="00917408"/>
    <w:rsid w:val="0091749D"/>
    <w:rsid w:val="009174B6"/>
    <w:rsid w:val="0091770A"/>
    <w:rsid w:val="00917774"/>
    <w:rsid w:val="00917BD6"/>
    <w:rsid w:val="00917C72"/>
    <w:rsid w:val="009200FA"/>
    <w:rsid w:val="00920260"/>
    <w:rsid w:val="009202AA"/>
    <w:rsid w:val="00920370"/>
    <w:rsid w:val="0092056B"/>
    <w:rsid w:val="00920A41"/>
    <w:rsid w:val="00920B28"/>
    <w:rsid w:val="00920D61"/>
    <w:rsid w:val="00920D91"/>
    <w:rsid w:val="0092117A"/>
    <w:rsid w:val="00921314"/>
    <w:rsid w:val="00921490"/>
    <w:rsid w:val="0092169A"/>
    <w:rsid w:val="00921758"/>
    <w:rsid w:val="00921ACB"/>
    <w:rsid w:val="00921B8B"/>
    <w:rsid w:val="00921C6B"/>
    <w:rsid w:val="00922045"/>
    <w:rsid w:val="00922050"/>
    <w:rsid w:val="00922128"/>
    <w:rsid w:val="009223A1"/>
    <w:rsid w:val="00922601"/>
    <w:rsid w:val="009226AE"/>
    <w:rsid w:val="00922D9E"/>
    <w:rsid w:val="00922DE5"/>
    <w:rsid w:val="0092361B"/>
    <w:rsid w:val="0092369B"/>
    <w:rsid w:val="00923BA0"/>
    <w:rsid w:val="00923DFB"/>
    <w:rsid w:val="00924052"/>
    <w:rsid w:val="00924795"/>
    <w:rsid w:val="00924B12"/>
    <w:rsid w:val="00924B92"/>
    <w:rsid w:val="00924BE3"/>
    <w:rsid w:val="00924C36"/>
    <w:rsid w:val="0092510C"/>
    <w:rsid w:val="009251DB"/>
    <w:rsid w:val="00925330"/>
    <w:rsid w:val="009253D3"/>
    <w:rsid w:val="009256CC"/>
    <w:rsid w:val="00925725"/>
    <w:rsid w:val="00925E16"/>
    <w:rsid w:val="00925F84"/>
    <w:rsid w:val="009264E9"/>
    <w:rsid w:val="009264FD"/>
    <w:rsid w:val="0092664F"/>
    <w:rsid w:val="00926A4B"/>
    <w:rsid w:val="0092701E"/>
    <w:rsid w:val="0092754F"/>
    <w:rsid w:val="009275A1"/>
    <w:rsid w:val="00927658"/>
    <w:rsid w:val="009279C3"/>
    <w:rsid w:val="00927CBB"/>
    <w:rsid w:val="00930230"/>
    <w:rsid w:val="00930343"/>
    <w:rsid w:val="009309F3"/>
    <w:rsid w:val="00930C93"/>
    <w:rsid w:val="00930D60"/>
    <w:rsid w:val="00930E84"/>
    <w:rsid w:val="009310AE"/>
    <w:rsid w:val="00931868"/>
    <w:rsid w:val="00931C33"/>
    <w:rsid w:val="00932DD7"/>
    <w:rsid w:val="00932E67"/>
    <w:rsid w:val="00932EF2"/>
    <w:rsid w:val="0093301C"/>
    <w:rsid w:val="009330BF"/>
    <w:rsid w:val="00933659"/>
    <w:rsid w:val="00933873"/>
    <w:rsid w:val="00933C25"/>
    <w:rsid w:val="00933D94"/>
    <w:rsid w:val="00933E93"/>
    <w:rsid w:val="009341EA"/>
    <w:rsid w:val="009347B9"/>
    <w:rsid w:val="00934800"/>
    <w:rsid w:val="00934988"/>
    <w:rsid w:val="00934AB5"/>
    <w:rsid w:val="00934F7C"/>
    <w:rsid w:val="00935007"/>
    <w:rsid w:val="009352DC"/>
    <w:rsid w:val="00935390"/>
    <w:rsid w:val="009357CB"/>
    <w:rsid w:val="00935C2C"/>
    <w:rsid w:val="00935C5B"/>
    <w:rsid w:val="00935E0F"/>
    <w:rsid w:val="00935F4E"/>
    <w:rsid w:val="00936364"/>
    <w:rsid w:val="0093662C"/>
    <w:rsid w:val="00936C92"/>
    <w:rsid w:val="00937089"/>
    <w:rsid w:val="009374C2"/>
    <w:rsid w:val="00937C82"/>
    <w:rsid w:val="00937C83"/>
    <w:rsid w:val="00937E04"/>
    <w:rsid w:val="00937E0F"/>
    <w:rsid w:val="009403EC"/>
    <w:rsid w:val="00940576"/>
    <w:rsid w:val="00940817"/>
    <w:rsid w:val="009408D2"/>
    <w:rsid w:val="00940AF6"/>
    <w:rsid w:val="00940F3F"/>
    <w:rsid w:val="009410F4"/>
    <w:rsid w:val="009411FD"/>
    <w:rsid w:val="00941381"/>
    <w:rsid w:val="00941512"/>
    <w:rsid w:val="0094184B"/>
    <w:rsid w:val="00941E5C"/>
    <w:rsid w:val="00941FFE"/>
    <w:rsid w:val="00942086"/>
    <w:rsid w:val="00942CA6"/>
    <w:rsid w:val="00942DC8"/>
    <w:rsid w:val="00942FEC"/>
    <w:rsid w:val="0094322A"/>
    <w:rsid w:val="009434BD"/>
    <w:rsid w:val="00943697"/>
    <w:rsid w:val="00944421"/>
    <w:rsid w:val="0094445B"/>
    <w:rsid w:val="009446C6"/>
    <w:rsid w:val="00944835"/>
    <w:rsid w:val="00944A8B"/>
    <w:rsid w:val="00944A93"/>
    <w:rsid w:val="00944C9F"/>
    <w:rsid w:val="00944F8A"/>
    <w:rsid w:val="009450D1"/>
    <w:rsid w:val="00945145"/>
    <w:rsid w:val="00945383"/>
    <w:rsid w:val="00945EF1"/>
    <w:rsid w:val="00946018"/>
    <w:rsid w:val="00946043"/>
    <w:rsid w:val="009462A7"/>
    <w:rsid w:val="009466B9"/>
    <w:rsid w:val="009468E1"/>
    <w:rsid w:val="00946EEE"/>
    <w:rsid w:val="009470BC"/>
    <w:rsid w:val="009477A2"/>
    <w:rsid w:val="009477C3"/>
    <w:rsid w:val="00947BE3"/>
    <w:rsid w:val="00947D33"/>
    <w:rsid w:val="00947F00"/>
    <w:rsid w:val="009500F7"/>
    <w:rsid w:val="009500FF"/>
    <w:rsid w:val="0095060A"/>
    <w:rsid w:val="009508BC"/>
    <w:rsid w:val="009508DF"/>
    <w:rsid w:val="00950A4F"/>
    <w:rsid w:val="00950AE0"/>
    <w:rsid w:val="00950BAD"/>
    <w:rsid w:val="00950D24"/>
    <w:rsid w:val="009510A2"/>
    <w:rsid w:val="00951189"/>
    <w:rsid w:val="00951457"/>
    <w:rsid w:val="009514C5"/>
    <w:rsid w:val="0095175B"/>
    <w:rsid w:val="009517EC"/>
    <w:rsid w:val="00951978"/>
    <w:rsid w:val="009519AF"/>
    <w:rsid w:val="00951C5C"/>
    <w:rsid w:val="009521A0"/>
    <w:rsid w:val="009525AF"/>
    <w:rsid w:val="00952656"/>
    <w:rsid w:val="009528E2"/>
    <w:rsid w:val="00952E72"/>
    <w:rsid w:val="00952F66"/>
    <w:rsid w:val="00953122"/>
    <w:rsid w:val="00953257"/>
    <w:rsid w:val="0095336E"/>
    <w:rsid w:val="009539D6"/>
    <w:rsid w:val="009544AF"/>
    <w:rsid w:val="009544F6"/>
    <w:rsid w:val="00954625"/>
    <w:rsid w:val="0095474C"/>
    <w:rsid w:val="00954F7C"/>
    <w:rsid w:val="00955320"/>
    <w:rsid w:val="00955323"/>
    <w:rsid w:val="009555A8"/>
    <w:rsid w:val="00955A03"/>
    <w:rsid w:val="00955A4E"/>
    <w:rsid w:val="00955AB2"/>
    <w:rsid w:val="00955B0E"/>
    <w:rsid w:val="00955D68"/>
    <w:rsid w:val="00955E80"/>
    <w:rsid w:val="00955EAE"/>
    <w:rsid w:val="009561CA"/>
    <w:rsid w:val="009565D0"/>
    <w:rsid w:val="00956637"/>
    <w:rsid w:val="00956748"/>
    <w:rsid w:val="00956AA8"/>
    <w:rsid w:val="00956DA4"/>
    <w:rsid w:val="00956F4C"/>
    <w:rsid w:val="00956FF1"/>
    <w:rsid w:val="0095703B"/>
    <w:rsid w:val="009572FD"/>
    <w:rsid w:val="00957357"/>
    <w:rsid w:val="009577F2"/>
    <w:rsid w:val="0095790F"/>
    <w:rsid w:val="009579B9"/>
    <w:rsid w:val="00957C5F"/>
    <w:rsid w:val="00957D2C"/>
    <w:rsid w:val="00957E7D"/>
    <w:rsid w:val="00957EC1"/>
    <w:rsid w:val="009602C8"/>
    <w:rsid w:val="0096037E"/>
    <w:rsid w:val="00960502"/>
    <w:rsid w:val="00960650"/>
    <w:rsid w:val="0096095A"/>
    <w:rsid w:val="00960CEB"/>
    <w:rsid w:val="00960D29"/>
    <w:rsid w:val="00960E77"/>
    <w:rsid w:val="009611FB"/>
    <w:rsid w:val="0096168E"/>
    <w:rsid w:val="00961B04"/>
    <w:rsid w:val="00962504"/>
    <w:rsid w:val="009628F2"/>
    <w:rsid w:val="0096294E"/>
    <w:rsid w:val="00962CB9"/>
    <w:rsid w:val="00962DE9"/>
    <w:rsid w:val="00962FCF"/>
    <w:rsid w:val="00963275"/>
    <w:rsid w:val="009632AE"/>
    <w:rsid w:val="0096342D"/>
    <w:rsid w:val="009635BA"/>
    <w:rsid w:val="009635D3"/>
    <w:rsid w:val="0096395A"/>
    <w:rsid w:val="0096407C"/>
    <w:rsid w:val="00964312"/>
    <w:rsid w:val="00964D23"/>
    <w:rsid w:val="009655DD"/>
    <w:rsid w:val="009658E8"/>
    <w:rsid w:val="00965B8A"/>
    <w:rsid w:val="00965E1E"/>
    <w:rsid w:val="00965F71"/>
    <w:rsid w:val="009661EB"/>
    <w:rsid w:val="0096625D"/>
    <w:rsid w:val="009662C4"/>
    <w:rsid w:val="009663C8"/>
    <w:rsid w:val="009665A7"/>
    <w:rsid w:val="009667AB"/>
    <w:rsid w:val="00966C37"/>
    <w:rsid w:val="00966FE1"/>
    <w:rsid w:val="00967009"/>
    <w:rsid w:val="009676DA"/>
    <w:rsid w:val="00967827"/>
    <w:rsid w:val="0096786D"/>
    <w:rsid w:val="00967957"/>
    <w:rsid w:val="00970120"/>
    <w:rsid w:val="0097027D"/>
    <w:rsid w:val="009702D0"/>
    <w:rsid w:val="009703E3"/>
    <w:rsid w:val="00970648"/>
    <w:rsid w:val="0097071F"/>
    <w:rsid w:val="00970FD5"/>
    <w:rsid w:val="00971047"/>
    <w:rsid w:val="009711D7"/>
    <w:rsid w:val="009714BD"/>
    <w:rsid w:val="009715B2"/>
    <w:rsid w:val="009717AC"/>
    <w:rsid w:val="00971FF1"/>
    <w:rsid w:val="0097216F"/>
    <w:rsid w:val="00972695"/>
    <w:rsid w:val="00972703"/>
    <w:rsid w:val="0097305F"/>
    <w:rsid w:val="009731BE"/>
    <w:rsid w:val="00973619"/>
    <w:rsid w:val="00973622"/>
    <w:rsid w:val="009737C5"/>
    <w:rsid w:val="00973CF2"/>
    <w:rsid w:val="00973F91"/>
    <w:rsid w:val="00973FEA"/>
    <w:rsid w:val="0097418B"/>
    <w:rsid w:val="00974530"/>
    <w:rsid w:val="00974C1C"/>
    <w:rsid w:val="00974D88"/>
    <w:rsid w:val="009751C1"/>
    <w:rsid w:val="00975534"/>
    <w:rsid w:val="00975AFB"/>
    <w:rsid w:val="00975B21"/>
    <w:rsid w:val="00975BC0"/>
    <w:rsid w:val="00975DA8"/>
    <w:rsid w:val="00975E1F"/>
    <w:rsid w:val="009762D5"/>
    <w:rsid w:val="0097671A"/>
    <w:rsid w:val="00976877"/>
    <w:rsid w:val="00976BFE"/>
    <w:rsid w:val="0097717F"/>
    <w:rsid w:val="0097738E"/>
    <w:rsid w:val="009777D1"/>
    <w:rsid w:val="009778A8"/>
    <w:rsid w:val="009779C2"/>
    <w:rsid w:val="009800A2"/>
    <w:rsid w:val="009800E9"/>
    <w:rsid w:val="009809FA"/>
    <w:rsid w:val="00980C3E"/>
    <w:rsid w:val="00980E29"/>
    <w:rsid w:val="00980ECA"/>
    <w:rsid w:val="009811F1"/>
    <w:rsid w:val="0098131A"/>
    <w:rsid w:val="00981572"/>
    <w:rsid w:val="00981587"/>
    <w:rsid w:val="0098175F"/>
    <w:rsid w:val="00981EAD"/>
    <w:rsid w:val="009821F3"/>
    <w:rsid w:val="0098220E"/>
    <w:rsid w:val="00982761"/>
    <w:rsid w:val="0098316D"/>
    <w:rsid w:val="009833CB"/>
    <w:rsid w:val="00983E57"/>
    <w:rsid w:val="0098410A"/>
    <w:rsid w:val="0098427B"/>
    <w:rsid w:val="00984413"/>
    <w:rsid w:val="0098447D"/>
    <w:rsid w:val="00984846"/>
    <w:rsid w:val="00984990"/>
    <w:rsid w:val="00984AD5"/>
    <w:rsid w:val="00984B40"/>
    <w:rsid w:val="00984D50"/>
    <w:rsid w:val="00984FDF"/>
    <w:rsid w:val="009858EB"/>
    <w:rsid w:val="00985B22"/>
    <w:rsid w:val="00985DE2"/>
    <w:rsid w:val="00985F8F"/>
    <w:rsid w:val="0098675D"/>
    <w:rsid w:val="0098685D"/>
    <w:rsid w:val="00986884"/>
    <w:rsid w:val="00986AAA"/>
    <w:rsid w:val="00986B42"/>
    <w:rsid w:val="00986B70"/>
    <w:rsid w:val="00986CE1"/>
    <w:rsid w:val="00987001"/>
    <w:rsid w:val="0098782C"/>
    <w:rsid w:val="009879DB"/>
    <w:rsid w:val="00987BD3"/>
    <w:rsid w:val="00987D19"/>
    <w:rsid w:val="00987D69"/>
    <w:rsid w:val="0099020E"/>
    <w:rsid w:val="00990536"/>
    <w:rsid w:val="009906D7"/>
    <w:rsid w:val="009907BE"/>
    <w:rsid w:val="00990E29"/>
    <w:rsid w:val="00991077"/>
    <w:rsid w:val="0099155D"/>
    <w:rsid w:val="00991753"/>
    <w:rsid w:val="00991922"/>
    <w:rsid w:val="00992052"/>
    <w:rsid w:val="00992220"/>
    <w:rsid w:val="009924DF"/>
    <w:rsid w:val="00992649"/>
    <w:rsid w:val="009926E0"/>
    <w:rsid w:val="00992C65"/>
    <w:rsid w:val="00992E10"/>
    <w:rsid w:val="00992FCE"/>
    <w:rsid w:val="009930A0"/>
    <w:rsid w:val="009931F3"/>
    <w:rsid w:val="009934FA"/>
    <w:rsid w:val="00993662"/>
    <w:rsid w:val="00993A3F"/>
    <w:rsid w:val="00993A73"/>
    <w:rsid w:val="00993B14"/>
    <w:rsid w:val="009942E5"/>
    <w:rsid w:val="0099448D"/>
    <w:rsid w:val="0099451E"/>
    <w:rsid w:val="0099462F"/>
    <w:rsid w:val="00994976"/>
    <w:rsid w:val="00994E28"/>
    <w:rsid w:val="00994EA6"/>
    <w:rsid w:val="00995121"/>
    <w:rsid w:val="00995339"/>
    <w:rsid w:val="00995CDA"/>
    <w:rsid w:val="00995D42"/>
    <w:rsid w:val="009969F9"/>
    <w:rsid w:val="00996B1A"/>
    <w:rsid w:val="00996C34"/>
    <w:rsid w:val="00996CEB"/>
    <w:rsid w:val="00996ED1"/>
    <w:rsid w:val="0099723B"/>
    <w:rsid w:val="00997500"/>
    <w:rsid w:val="00997960"/>
    <w:rsid w:val="00997B1F"/>
    <w:rsid w:val="009A00D3"/>
    <w:rsid w:val="009A048A"/>
    <w:rsid w:val="009A0509"/>
    <w:rsid w:val="009A0873"/>
    <w:rsid w:val="009A0F6B"/>
    <w:rsid w:val="009A111C"/>
    <w:rsid w:val="009A115E"/>
    <w:rsid w:val="009A1AF8"/>
    <w:rsid w:val="009A1EE1"/>
    <w:rsid w:val="009A20A6"/>
    <w:rsid w:val="009A25B3"/>
    <w:rsid w:val="009A2753"/>
    <w:rsid w:val="009A27B4"/>
    <w:rsid w:val="009A284D"/>
    <w:rsid w:val="009A2C8E"/>
    <w:rsid w:val="009A2DCC"/>
    <w:rsid w:val="009A3405"/>
    <w:rsid w:val="009A3452"/>
    <w:rsid w:val="009A36C5"/>
    <w:rsid w:val="009A36FA"/>
    <w:rsid w:val="009A392F"/>
    <w:rsid w:val="009A399E"/>
    <w:rsid w:val="009A3B73"/>
    <w:rsid w:val="009A3CCD"/>
    <w:rsid w:val="009A3D65"/>
    <w:rsid w:val="009A3D83"/>
    <w:rsid w:val="009A3DFF"/>
    <w:rsid w:val="009A4098"/>
    <w:rsid w:val="009A5102"/>
    <w:rsid w:val="009A53BA"/>
    <w:rsid w:val="009A5ABC"/>
    <w:rsid w:val="009A6528"/>
    <w:rsid w:val="009A6614"/>
    <w:rsid w:val="009A6938"/>
    <w:rsid w:val="009A6DD1"/>
    <w:rsid w:val="009A737D"/>
    <w:rsid w:val="009A7480"/>
    <w:rsid w:val="009A74DF"/>
    <w:rsid w:val="009A7519"/>
    <w:rsid w:val="009A7793"/>
    <w:rsid w:val="009A787F"/>
    <w:rsid w:val="009A7EA0"/>
    <w:rsid w:val="009A7F10"/>
    <w:rsid w:val="009B0223"/>
    <w:rsid w:val="009B052D"/>
    <w:rsid w:val="009B0729"/>
    <w:rsid w:val="009B111C"/>
    <w:rsid w:val="009B1675"/>
    <w:rsid w:val="009B1693"/>
    <w:rsid w:val="009B16C7"/>
    <w:rsid w:val="009B1719"/>
    <w:rsid w:val="009B1EEB"/>
    <w:rsid w:val="009B2090"/>
    <w:rsid w:val="009B23AA"/>
    <w:rsid w:val="009B25BE"/>
    <w:rsid w:val="009B29F8"/>
    <w:rsid w:val="009B29FB"/>
    <w:rsid w:val="009B2E1C"/>
    <w:rsid w:val="009B2EE9"/>
    <w:rsid w:val="009B3E26"/>
    <w:rsid w:val="009B439B"/>
    <w:rsid w:val="009B4553"/>
    <w:rsid w:val="009B473E"/>
    <w:rsid w:val="009B4B3C"/>
    <w:rsid w:val="009B4BBE"/>
    <w:rsid w:val="009B4C8B"/>
    <w:rsid w:val="009B4DE4"/>
    <w:rsid w:val="009B4FBA"/>
    <w:rsid w:val="009B53DB"/>
    <w:rsid w:val="009B5727"/>
    <w:rsid w:val="009B5844"/>
    <w:rsid w:val="009B59AB"/>
    <w:rsid w:val="009B5FE3"/>
    <w:rsid w:val="009B64AA"/>
    <w:rsid w:val="009B684F"/>
    <w:rsid w:val="009B68DA"/>
    <w:rsid w:val="009B69E3"/>
    <w:rsid w:val="009B6D17"/>
    <w:rsid w:val="009B6FD7"/>
    <w:rsid w:val="009B71D8"/>
    <w:rsid w:val="009B72D7"/>
    <w:rsid w:val="009B7401"/>
    <w:rsid w:val="009B7678"/>
    <w:rsid w:val="009B7882"/>
    <w:rsid w:val="009B7903"/>
    <w:rsid w:val="009C01F1"/>
    <w:rsid w:val="009C038E"/>
    <w:rsid w:val="009C045A"/>
    <w:rsid w:val="009C0972"/>
    <w:rsid w:val="009C09EF"/>
    <w:rsid w:val="009C0AE7"/>
    <w:rsid w:val="009C0CE6"/>
    <w:rsid w:val="009C0E71"/>
    <w:rsid w:val="009C1362"/>
    <w:rsid w:val="009C13A0"/>
    <w:rsid w:val="009C156D"/>
    <w:rsid w:val="009C16C0"/>
    <w:rsid w:val="009C1ACE"/>
    <w:rsid w:val="009C2344"/>
    <w:rsid w:val="009C2757"/>
    <w:rsid w:val="009C2D7C"/>
    <w:rsid w:val="009C2F77"/>
    <w:rsid w:val="009C3284"/>
    <w:rsid w:val="009C330C"/>
    <w:rsid w:val="009C3334"/>
    <w:rsid w:val="009C3346"/>
    <w:rsid w:val="009C344F"/>
    <w:rsid w:val="009C3633"/>
    <w:rsid w:val="009C363E"/>
    <w:rsid w:val="009C3706"/>
    <w:rsid w:val="009C3A3A"/>
    <w:rsid w:val="009C3CB2"/>
    <w:rsid w:val="009C3EE9"/>
    <w:rsid w:val="009C425C"/>
    <w:rsid w:val="009C426B"/>
    <w:rsid w:val="009C48EE"/>
    <w:rsid w:val="009C4B39"/>
    <w:rsid w:val="009C4E12"/>
    <w:rsid w:val="009C5230"/>
    <w:rsid w:val="009C57A3"/>
    <w:rsid w:val="009C595A"/>
    <w:rsid w:val="009C5A50"/>
    <w:rsid w:val="009C6701"/>
    <w:rsid w:val="009C670C"/>
    <w:rsid w:val="009C68FA"/>
    <w:rsid w:val="009C6B47"/>
    <w:rsid w:val="009C6BF5"/>
    <w:rsid w:val="009C6CEA"/>
    <w:rsid w:val="009C700D"/>
    <w:rsid w:val="009C72B6"/>
    <w:rsid w:val="009C7837"/>
    <w:rsid w:val="009C7B85"/>
    <w:rsid w:val="009C7FE9"/>
    <w:rsid w:val="009D0003"/>
    <w:rsid w:val="009D0182"/>
    <w:rsid w:val="009D0254"/>
    <w:rsid w:val="009D0788"/>
    <w:rsid w:val="009D0B23"/>
    <w:rsid w:val="009D11E7"/>
    <w:rsid w:val="009D14A0"/>
    <w:rsid w:val="009D16F1"/>
    <w:rsid w:val="009D1744"/>
    <w:rsid w:val="009D1A64"/>
    <w:rsid w:val="009D1CF0"/>
    <w:rsid w:val="009D1D5F"/>
    <w:rsid w:val="009D1F8D"/>
    <w:rsid w:val="009D1FDA"/>
    <w:rsid w:val="009D1FF0"/>
    <w:rsid w:val="009D24D8"/>
    <w:rsid w:val="009D258D"/>
    <w:rsid w:val="009D2645"/>
    <w:rsid w:val="009D2733"/>
    <w:rsid w:val="009D29DF"/>
    <w:rsid w:val="009D2C03"/>
    <w:rsid w:val="009D2C17"/>
    <w:rsid w:val="009D35EA"/>
    <w:rsid w:val="009D3A33"/>
    <w:rsid w:val="009D3A4C"/>
    <w:rsid w:val="009D3B86"/>
    <w:rsid w:val="009D3BC7"/>
    <w:rsid w:val="009D3F5A"/>
    <w:rsid w:val="009D42AC"/>
    <w:rsid w:val="009D4397"/>
    <w:rsid w:val="009D4544"/>
    <w:rsid w:val="009D4666"/>
    <w:rsid w:val="009D4864"/>
    <w:rsid w:val="009D5472"/>
    <w:rsid w:val="009D564F"/>
    <w:rsid w:val="009D59DC"/>
    <w:rsid w:val="009D5B91"/>
    <w:rsid w:val="009D5D26"/>
    <w:rsid w:val="009D5FA8"/>
    <w:rsid w:val="009D60C5"/>
    <w:rsid w:val="009D63BB"/>
    <w:rsid w:val="009D65F3"/>
    <w:rsid w:val="009D69CB"/>
    <w:rsid w:val="009D6EC3"/>
    <w:rsid w:val="009D7005"/>
    <w:rsid w:val="009D76BB"/>
    <w:rsid w:val="009D7738"/>
    <w:rsid w:val="009D792E"/>
    <w:rsid w:val="009D7ABF"/>
    <w:rsid w:val="009D7AF1"/>
    <w:rsid w:val="009D7B65"/>
    <w:rsid w:val="009D7BEA"/>
    <w:rsid w:val="009E00CB"/>
    <w:rsid w:val="009E06E0"/>
    <w:rsid w:val="009E0968"/>
    <w:rsid w:val="009E0B8D"/>
    <w:rsid w:val="009E0DBF"/>
    <w:rsid w:val="009E0DFE"/>
    <w:rsid w:val="009E13C4"/>
    <w:rsid w:val="009E146D"/>
    <w:rsid w:val="009E1541"/>
    <w:rsid w:val="009E176E"/>
    <w:rsid w:val="009E1B4E"/>
    <w:rsid w:val="009E1C53"/>
    <w:rsid w:val="009E225D"/>
    <w:rsid w:val="009E24A9"/>
    <w:rsid w:val="009E2527"/>
    <w:rsid w:val="009E26DC"/>
    <w:rsid w:val="009E289B"/>
    <w:rsid w:val="009E28AF"/>
    <w:rsid w:val="009E31C1"/>
    <w:rsid w:val="009E31F6"/>
    <w:rsid w:val="009E35A7"/>
    <w:rsid w:val="009E36B0"/>
    <w:rsid w:val="009E3A90"/>
    <w:rsid w:val="009E3E6A"/>
    <w:rsid w:val="009E40BF"/>
    <w:rsid w:val="009E42DD"/>
    <w:rsid w:val="009E45E6"/>
    <w:rsid w:val="009E489B"/>
    <w:rsid w:val="009E48D0"/>
    <w:rsid w:val="009E4BB2"/>
    <w:rsid w:val="009E4C07"/>
    <w:rsid w:val="009E4CE4"/>
    <w:rsid w:val="009E4D38"/>
    <w:rsid w:val="009E4E4D"/>
    <w:rsid w:val="009E508F"/>
    <w:rsid w:val="009E598A"/>
    <w:rsid w:val="009E5B12"/>
    <w:rsid w:val="009E5D5C"/>
    <w:rsid w:val="009E5EAD"/>
    <w:rsid w:val="009E5FFC"/>
    <w:rsid w:val="009E612A"/>
    <w:rsid w:val="009E624C"/>
    <w:rsid w:val="009E6659"/>
    <w:rsid w:val="009E67B6"/>
    <w:rsid w:val="009E68DC"/>
    <w:rsid w:val="009E6BBE"/>
    <w:rsid w:val="009E6C56"/>
    <w:rsid w:val="009E6CCE"/>
    <w:rsid w:val="009E7024"/>
    <w:rsid w:val="009E784C"/>
    <w:rsid w:val="009E787E"/>
    <w:rsid w:val="009E7985"/>
    <w:rsid w:val="009E7A3F"/>
    <w:rsid w:val="009E7AA2"/>
    <w:rsid w:val="009E7B63"/>
    <w:rsid w:val="009E7CF8"/>
    <w:rsid w:val="009F024D"/>
    <w:rsid w:val="009F058F"/>
    <w:rsid w:val="009F090D"/>
    <w:rsid w:val="009F0B4D"/>
    <w:rsid w:val="009F0C24"/>
    <w:rsid w:val="009F0FEE"/>
    <w:rsid w:val="009F114C"/>
    <w:rsid w:val="009F11FC"/>
    <w:rsid w:val="009F130C"/>
    <w:rsid w:val="009F1C0A"/>
    <w:rsid w:val="009F1E57"/>
    <w:rsid w:val="009F20CE"/>
    <w:rsid w:val="009F24F9"/>
    <w:rsid w:val="009F2931"/>
    <w:rsid w:val="009F2D44"/>
    <w:rsid w:val="009F2E80"/>
    <w:rsid w:val="009F30E1"/>
    <w:rsid w:val="009F32C4"/>
    <w:rsid w:val="009F32CA"/>
    <w:rsid w:val="009F344C"/>
    <w:rsid w:val="009F35FC"/>
    <w:rsid w:val="009F3B09"/>
    <w:rsid w:val="009F3FE7"/>
    <w:rsid w:val="009F41D6"/>
    <w:rsid w:val="009F41F2"/>
    <w:rsid w:val="009F4385"/>
    <w:rsid w:val="009F46C7"/>
    <w:rsid w:val="009F480C"/>
    <w:rsid w:val="009F48C9"/>
    <w:rsid w:val="009F4A26"/>
    <w:rsid w:val="009F4D70"/>
    <w:rsid w:val="009F50E0"/>
    <w:rsid w:val="009F5328"/>
    <w:rsid w:val="009F68E9"/>
    <w:rsid w:val="009F6F7E"/>
    <w:rsid w:val="009F6FF5"/>
    <w:rsid w:val="009F7104"/>
    <w:rsid w:val="009F735C"/>
    <w:rsid w:val="009F7370"/>
    <w:rsid w:val="009F7394"/>
    <w:rsid w:val="009F74B7"/>
    <w:rsid w:val="009F7580"/>
    <w:rsid w:val="009F76B6"/>
    <w:rsid w:val="009F76DF"/>
    <w:rsid w:val="009F7884"/>
    <w:rsid w:val="009F78AD"/>
    <w:rsid w:val="009F79D4"/>
    <w:rsid w:val="009F7E4B"/>
    <w:rsid w:val="00A0018E"/>
    <w:rsid w:val="00A00FE6"/>
    <w:rsid w:val="00A01012"/>
    <w:rsid w:val="00A01184"/>
    <w:rsid w:val="00A01663"/>
    <w:rsid w:val="00A0191A"/>
    <w:rsid w:val="00A01A39"/>
    <w:rsid w:val="00A01BFF"/>
    <w:rsid w:val="00A01C49"/>
    <w:rsid w:val="00A01CCF"/>
    <w:rsid w:val="00A01CFB"/>
    <w:rsid w:val="00A01E1F"/>
    <w:rsid w:val="00A01F8F"/>
    <w:rsid w:val="00A02485"/>
    <w:rsid w:val="00A0269E"/>
    <w:rsid w:val="00A02A2B"/>
    <w:rsid w:val="00A02E12"/>
    <w:rsid w:val="00A030CD"/>
    <w:rsid w:val="00A03267"/>
    <w:rsid w:val="00A0337D"/>
    <w:rsid w:val="00A03765"/>
    <w:rsid w:val="00A037C2"/>
    <w:rsid w:val="00A03819"/>
    <w:rsid w:val="00A03A00"/>
    <w:rsid w:val="00A03D43"/>
    <w:rsid w:val="00A03FA0"/>
    <w:rsid w:val="00A042A6"/>
    <w:rsid w:val="00A04380"/>
    <w:rsid w:val="00A05202"/>
    <w:rsid w:val="00A05472"/>
    <w:rsid w:val="00A05AB0"/>
    <w:rsid w:val="00A05C32"/>
    <w:rsid w:val="00A05FB8"/>
    <w:rsid w:val="00A062C5"/>
    <w:rsid w:val="00A0631C"/>
    <w:rsid w:val="00A0653F"/>
    <w:rsid w:val="00A06566"/>
    <w:rsid w:val="00A069E9"/>
    <w:rsid w:val="00A06C92"/>
    <w:rsid w:val="00A06D83"/>
    <w:rsid w:val="00A06FA0"/>
    <w:rsid w:val="00A07A19"/>
    <w:rsid w:val="00A07A9F"/>
    <w:rsid w:val="00A07D10"/>
    <w:rsid w:val="00A07E30"/>
    <w:rsid w:val="00A07FAE"/>
    <w:rsid w:val="00A104BA"/>
    <w:rsid w:val="00A109FD"/>
    <w:rsid w:val="00A10E2F"/>
    <w:rsid w:val="00A10E45"/>
    <w:rsid w:val="00A11000"/>
    <w:rsid w:val="00A1107D"/>
    <w:rsid w:val="00A111FB"/>
    <w:rsid w:val="00A11203"/>
    <w:rsid w:val="00A113D3"/>
    <w:rsid w:val="00A11608"/>
    <w:rsid w:val="00A1188D"/>
    <w:rsid w:val="00A11A04"/>
    <w:rsid w:val="00A11CD0"/>
    <w:rsid w:val="00A11E48"/>
    <w:rsid w:val="00A1238B"/>
    <w:rsid w:val="00A126CB"/>
    <w:rsid w:val="00A12983"/>
    <w:rsid w:val="00A12B37"/>
    <w:rsid w:val="00A13312"/>
    <w:rsid w:val="00A138A8"/>
    <w:rsid w:val="00A13929"/>
    <w:rsid w:val="00A13948"/>
    <w:rsid w:val="00A1401A"/>
    <w:rsid w:val="00A140B3"/>
    <w:rsid w:val="00A140E8"/>
    <w:rsid w:val="00A14648"/>
    <w:rsid w:val="00A1498C"/>
    <w:rsid w:val="00A14A0E"/>
    <w:rsid w:val="00A14A7A"/>
    <w:rsid w:val="00A14E7D"/>
    <w:rsid w:val="00A150BA"/>
    <w:rsid w:val="00A1527F"/>
    <w:rsid w:val="00A15369"/>
    <w:rsid w:val="00A1555B"/>
    <w:rsid w:val="00A155C5"/>
    <w:rsid w:val="00A15895"/>
    <w:rsid w:val="00A15AA3"/>
    <w:rsid w:val="00A15ABC"/>
    <w:rsid w:val="00A15D2C"/>
    <w:rsid w:val="00A15D75"/>
    <w:rsid w:val="00A15F7A"/>
    <w:rsid w:val="00A15F8B"/>
    <w:rsid w:val="00A16005"/>
    <w:rsid w:val="00A163A1"/>
    <w:rsid w:val="00A1642D"/>
    <w:rsid w:val="00A16AD8"/>
    <w:rsid w:val="00A16C56"/>
    <w:rsid w:val="00A16EB7"/>
    <w:rsid w:val="00A16F31"/>
    <w:rsid w:val="00A17055"/>
    <w:rsid w:val="00A1729F"/>
    <w:rsid w:val="00A17370"/>
    <w:rsid w:val="00A175E3"/>
    <w:rsid w:val="00A176A1"/>
    <w:rsid w:val="00A17A57"/>
    <w:rsid w:val="00A17B64"/>
    <w:rsid w:val="00A17C8F"/>
    <w:rsid w:val="00A203E2"/>
    <w:rsid w:val="00A205BF"/>
    <w:rsid w:val="00A208E0"/>
    <w:rsid w:val="00A20918"/>
    <w:rsid w:val="00A20A25"/>
    <w:rsid w:val="00A20A50"/>
    <w:rsid w:val="00A2167E"/>
    <w:rsid w:val="00A21C95"/>
    <w:rsid w:val="00A21CE6"/>
    <w:rsid w:val="00A21CF3"/>
    <w:rsid w:val="00A2204E"/>
    <w:rsid w:val="00A22052"/>
    <w:rsid w:val="00A22441"/>
    <w:rsid w:val="00A224D8"/>
    <w:rsid w:val="00A22589"/>
    <w:rsid w:val="00A22615"/>
    <w:rsid w:val="00A22654"/>
    <w:rsid w:val="00A22DF7"/>
    <w:rsid w:val="00A22E58"/>
    <w:rsid w:val="00A22F29"/>
    <w:rsid w:val="00A230B1"/>
    <w:rsid w:val="00A2314B"/>
    <w:rsid w:val="00A2345E"/>
    <w:rsid w:val="00A2350E"/>
    <w:rsid w:val="00A2383C"/>
    <w:rsid w:val="00A23BED"/>
    <w:rsid w:val="00A23F8C"/>
    <w:rsid w:val="00A240F6"/>
    <w:rsid w:val="00A24813"/>
    <w:rsid w:val="00A2492E"/>
    <w:rsid w:val="00A2498F"/>
    <w:rsid w:val="00A24AD1"/>
    <w:rsid w:val="00A24E22"/>
    <w:rsid w:val="00A250D3"/>
    <w:rsid w:val="00A25283"/>
    <w:rsid w:val="00A252F1"/>
    <w:rsid w:val="00A2536F"/>
    <w:rsid w:val="00A253C7"/>
    <w:rsid w:val="00A25B32"/>
    <w:rsid w:val="00A25CEF"/>
    <w:rsid w:val="00A26025"/>
    <w:rsid w:val="00A261E7"/>
    <w:rsid w:val="00A262D2"/>
    <w:rsid w:val="00A26347"/>
    <w:rsid w:val="00A26433"/>
    <w:rsid w:val="00A26726"/>
    <w:rsid w:val="00A26860"/>
    <w:rsid w:val="00A26A1D"/>
    <w:rsid w:val="00A26D0B"/>
    <w:rsid w:val="00A26DF9"/>
    <w:rsid w:val="00A26F5B"/>
    <w:rsid w:val="00A26FA8"/>
    <w:rsid w:val="00A2732A"/>
    <w:rsid w:val="00A27816"/>
    <w:rsid w:val="00A27AC6"/>
    <w:rsid w:val="00A27AEC"/>
    <w:rsid w:val="00A27C37"/>
    <w:rsid w:val="00A27F07"/>
    <w:rsid w:val="00A30130"/>
    <w:rsid w:val="00A30160"/>
    <w:rsid w:val="00A30A09"/>
    <w:rsid w:val="00A30E15"/>
    <w:rsid w:val="00A30EFC"/>
    <w:rsid w:val="00A30F32"/>
    <w:rsid w:val="00A30F56"/>
    <w:rsid w:val="00A31078"/>
    <w:rsid w:val="00A31232"/>
    <w:rsid w:val="00A31334"/>
    <w:rsid w:val="00A31619"/>
    <w:rsid w:val="00A31D02"/>
    <w:rsid w:val="00A31D14"/>
    <w:rsid w:val="00A31D93"/>
    <w:rsid w:val="00A320DB"/>
    <w:rsid w:val="00A321D1"/>
    <w:rsid w:val="00A3266C"/>
    <w:rsid w:val="00A328A8"/>
    <w:rsid w:val="00A32B1A"/>
    <w:rsid w:val="00A32EF1"/>
    <w:rsid w:val="00A32F92"/>
    <w:rsid w:val="00A32FAA"/>
    <w:rsid w:val="00A33485"/>
    <w:rsid w:val="00A335D1"/>
    <w:rsid w:val="00A337CB"/>
    <w:rsid w:val="00A34162"/>
    <w:rsid w:val="00A343B7"/>
    <w:rsid w:val="00A34764"/>
    <w:rsid w:val="00A34AC4"/>
    <w:rsid w:val="00A34AEB"/>
    <w:rsid w:val="00A35226"/>
    <w:rsid w:val="00A353C7"/>
    <w:rsid w:val="00A35497"/>
    <w:rsid w:val="00A354A0"/>
    <w:rsid w:val="00A35803"/>
    <w:rsid w:val="00A35923"/>
    <w:rsid w:val="00A35A0D"/>
    <w:rsid w:val="00A35D16"/>
    <w:rsid w:val="00A35E32"/>
    <w:rsid w:val="00A36115"/>
    <w:rsid w:val="00A36135"/>
    <w:rsid w:val="00A3659C"/>
    <w:rsid w:val="00A3703D"/>
    <w:rsid w:val="00A37172"/>
    <w:rsid w:val="00A3733C"/>
    <w:rsid w:val="00A374A2"/>
    <w:rsid w:val="00A37669"/>
    <w:rsid w:val="00A377F5"/>
    <w:rsid w:val="00A37AC1"/>
    <w:rsid w:val="00A37AC7"/>
    <w:rsid w:val="00A37BCD"/>
    <w:rsid w:val="00A37DD5"/>
    <w:rsid w:val="00A40306"/>
    <w:rsid w:val="00A40D99"/>
    <w:rsid w:val="00A41218"/>
    <w:rsid w:val="00A412B4"/>
    <w:rsid w:val="00A41689"/>
    <w:rsid w:val="00A418ED"/>
    <w:rsid w:val="00A41DA8"/>
    <w:rsid w:val="00A41FE3"/>
    <w:rsid w:val="00A42154"/>
    <w:rsid w:val="00A422A7"/>
    <w:rsid w:val="00A42592"/>
    <w:rsid w:val="00A42607"/>
    <w:rsid w:val="00A42624"/>
    <w:rsid w:val="00A427D4"/>
    <w:rsid w:val="00A42AA1"/>
    <w:rsid w:val="00A42C5D"/>
    <w:rsid w:val="00A42E04"/>
    <w:rsid w:val="00A42FD7"/>
    <w:rsid w:val="00A43194"/>
    <w:rsid w:val="00A433E6"/>
    <w:rsid w:val="00A43C59"/>
    <w:rsid w:val="00A43D24"/>
    <w:rsid w:val="00A43DA0"/>
    <w:rsid w:val="00A43EE6"/>
    <w:rsid w:val="00A44151"/>
    <w:rsid w:val="00A44192"/>
    <w:rsid w:val="00A4423A"/>
    <w:rsid w:val="00A4450A"/>
    <w:rsid w:val="00A446DF"/>
    <w:rsid w:val="00A44B5B"/>
    <w:rsid w:val="00A44DBE"/>
    <w:rsid w:val="00A44E26"/>
    <w:rsid w:val="00A44F93"/>
    <w:rsid w:val="00A4527E"/>
    <w:rsid w:val="00A45325"/>
    <w:rsid w:val="00A45571"/>
    <w:rsid w:val="00A45A6B"/>
    <w:rsid w:val="00A45B86"/>
    <w:rsid w:val="00A45C3E"/>
    <w:rsid w:val="00A45EDF"/>
    <w:rsid w:val="00A45FC2"/>
    <w:rsid w:val="00A45FEC"/>
    <w:rsid w:val="00A460CC"/>
    <w:rsid w:val="00A4655B"/>
    <w:rsid w:val="00A4662C"/>
    <w:rsid w:val="00A466B5"/>
    <w:rsid w:val="00A46AAF"/>
    <w:rsid w:val="00A46D9A"/>
    <w:rsid w:val="00A46EB8"/>
    <w:rsid w:val="00A46F0F"/>
    <w:rsid w:val="00A4729A"/>
    <w:rsid w:val="00A47341"/>
    <w:rsid w:val="00A476CF"/>
    <w:rsid w:val="00A4770F"/>
    <w:rsid w:val="00A477AE"/>
    <w:rsid w:val="00A477CE"/>
    <w:rsid w:val="00A47C73"/>
    <w:rsid w:val="00A47EC1"/>
    <w:rsid w:val="00A5059A"/>
    <w:rsid w:val="00A50A54"/>
    <w:rsid w:val="00A50C43"/>
    <w:rsid w:val="00A50ECD"/>
    <w:rsid w:val="00A512DA"/>
    <w:rsid w:val="00A5133C"/>
    <w:rsid w:val="00A5133E"/>
    <w:rsid w:val="00A51546"/>
    <w:rsid w:val="00A518F3"/>
    <w:rsid w:val="00A51A63"/>
    <w:rsid w:val="00A51CCC"/>
    <w:rsid w:val="00A52086"/>
    <w:rsid w:val="00A520EC"/>
    <w:rsid w:val="00A5238B"/>
    <w:rsid w:val="00A52729"/>
    <w:rsid w:val="00A5297F"/>
    <w:rsid w:val="00A52A59"/>
    <w:rsid w:val="00A52BE7"/>
    <w:rsid w:val="00A52E48"/>
    <w:rsid w:val="00A52F4A"/>
    <w:rsid w:val="00A530B1"/>
    <w:rsid w:val="00A5329D"/>
    <w:rsid w:val="00A534AE"/>
    <w:rsid w:val="00A534DA"/>
    <w:rsid w:val="00A53511"/>
    <w:rsid w:val="00A5353D"/>
    <w:rsid w:val="00A53675"/>
    <w:rsid w:val="00A53F5B"/>
    <w:rsid w:val="00A542A8"/>
    <w:rsid w:val="00A543C5"/>
    <w:rsid w:val="00A54401"/>
    <w:rsid w:val="00A54438"/>
    <w:rsid w:val="00A545B6"/>
    <w:rsid w:val="00A54B42"/>
    <w:rsid w:val="00A54B6E"/>
    <w:rsid w:val="00A54CBA"/>
    <w:rsid w:val="00A55393"/>
    <w:rsid w:val="00A55547"/>
    <w:rsid w:val="00A555C7"/>
    <w:rsid w:val="00A55628"/>
    <w:rsid w:val="00A55BE7"/>
    <w:rsid w:val="00A55DA8"/>
    <w:rsid w:val="00A5600B"/>
    <w:rsid w:val="00A564D7"/>
    <w:rsid w:val="00A56AF5"/>
    <w:rsid w:val="00A56B4D"/>
    <w:rsid w:val="00A56B6A"/>
    <w:rsid w:val="00A56BA9"/>
    <w:rsid w:val="00A56E51"/>
    <w:rsid w:val="00A5740E"/>
    <w:rsid w:val="00A5765A"/>
    <w:rsid w:val="00A57805"/>
    <w:rsid w:val="00A578DC"/>
    <w:rsid w:val="00A57CF3"/>
    <w:rsid w:val="00A57D03"/>
    <w:rsid w:val="00A60444"/>
    <w:rsid w:val="00A60669"/>
    <w:rsid w:val="00A60718"/>
    <w:rsid w:val="00A60AAF"/>
    <w:rsid w:val="00A60C02"/>
    <w:rsid w:val="00A60C95"/>
    <w:rsid w:val="00A60DD9"/>
    <w:rsid w:val="00A61054"/>
    <w:rsid w:val="00A610AF"/>
    <w:rsid w:val="00A610B2"/>
    <w:rsid w:val="00A612F5"/>
    <w:rsid w:val="00A615C4"/>
    <w:rsid w:val="00A61726"/>
    <w:rsid w:val="00A620BB"/>
    <w:rsid w:val="00A6226E"/>
    <w:rsid w:val="00A6241E"/>
    <w:rsid w:val="00A62C27"/>
    <w:rsid w:val="00A62CF0"/>
    <w:rsid w:val="00A63018"/>
    <w:rsid w:val="00A632FC"/>
    <w:rsid w:val="00A6331E"/>
    <w:rsid w:val="00A6334A"/>
    <w:rsid w:val="00A6354F"/>
    <w:rsid w:val="00A63745"/>
    <w:rsid w:val="00A640E2"/>
    <w:rsid w:val="00A6430B"/>
    <w:rsid w:val="00A648E0"/>
    <w:rsid w:val="00A6498E"/>
    <w:rsid w:val="00A64A95"/>
    <w:rsid w:val="00A64B9E"/>
    <w:rsid w:val="00A64C2C"/>
    <w:rsid w:val="00A64D65"/>
    <w:rsid w:val="00A650E6"/>
    <w:rsid w:val="00A652CE"/>
    <w:rsid w:val="00A65613"/>
    <w:rsid w:val="00A6595F"/>
    <w:rsid w:val="00A65970"/>
    <w:rsid w:val="00A65C4E"/>
    <w:rsid w:val="00A65CF8"/>
    <w:rsid w:val="00A65E91"/>
    <w:rsid w:val="00A66091"/>
    <w:rsid w:val="00A66291"/>
    <w:rsid w:val="00A664B9"/>
    <w:rsid w:val="00A665BF"/>
    <w:rsid w:val="00A66A0A"/>
    <w:rsid w:val="00A6725B"/>
    <w:rsid w:val="00A67285"/>
    <w:rsid w:val="00A67458"/>
    <w:rsid w:val="00A67B0E"/>
    <w:rsid w:val="00A70293"/>
    <w:rsid w:val="00A7040A"/>
    <w:rsid w:val="00A705E7"/>
    <w:rsid w:val="00A70605"/>
    <w:rsid w:val="00A70617"/>
    <w:rsid w:val="00A70A0B"/>
    <w:rsid w:val="00A70D05"/>
    <w:rsid w:val="00A70E22"/>
    <w:rsid w:val="00A70F78"/>
    <w:rsid w:val="00A710D3"/>
    <w:rsid w:val="00A715F6"/>
    <w:rsid w:val="00A71690"/>
    <w:rsid w:val="00A717A8"/>
    <w:rsid w:val="00A71822"/>
    <w:rsid w:val="00A7184E"/>
    <w:rsid w:val="00A71A1C"/>
    <w:rsid w:val="00A71C45"/>
    <w:rsid w:val="00A71FD9"/>
    <w:rsid w:val="00A723A1"/>
    <w:rsid w:val="00A72463"/>
    <w:rsid w:val="00A72649"/>
    <w:rsid w:val="00A72879"/>
    <w:rsid w:val="00A72A53"/>
    <w:rsid w:val="00A72D6B"/>
    <w:rsid w:val="00A72E42"/>
    <w:rsid w:val="00A730BB"/>
    <w:rsid w:val="00A73134"/>
    <w:rsid w:val="00A735F0"/>
    <w:rsid w:val="00A736D2"/>
    <w:rsid w:val="00A73A05"/>
    <w:rsid w:val="00A73DBD"/>
    <w:rsid w:val="00A749CA"/>
    <w:rsid w:val="00A74C4C"/>
    <w:rsid w:val="00A75052"/>
    <w:rsid w:val="00A7583C"/>
    <w:rsid w:val="00A75B40"/>
    <w:rsid w:val="00A75F61"/>
    <w:rsid w:val="00A76001"/>
    <w:rsid w:val="00A7601A"/>
    <w:rsid w:val="00A762F5"/>
    <w:rsid w:val="00A7638C"/>
    <w:rsid w:val="00A76692"/>
    <w:rsid w:val="00A76B21"/>
    <w:rsid w:val="00A76C6F"/>
    <w:rsid w:val="00A76D7D"/>
    <w:rsid w:val="00A777B2"/>
    <w:rsid w:val="00A77AFC"/>
    <w:rsid w:val="00A77B39"/>
    <w:rsid w:val="00A80181"/>
    <w:rsid w:val="00A806B3"/>
    <w:rsid w:val="00A8083D"/>
    <w:rsid w:val="00A80BC9"/>
    <w:rsid w:val="00A80C5D"/>
    <w:rsid w:val="00A80D5D"/>
    <w:rsid w:val="00A81060"/>
    <w:rsid w:val="00A812DA"/>
    <w:rsid w:val="00A81375"/>
    <w:rsid w:val="00A81393"/>
    <w:rsid w:val="00A81657"/>
    <w:rsid w:val="00A81DF7"/>
    <w:rsid w:val="00A81F60"/>
    <w:rsid w:val="00A81FD0"/>
    <w:rsid w:val="00A821F8"/>
    <w:rsid w:val="00A82550"/>
    <w:rsid w:val="00A825D4"/>
    <w:rsid w:val="00A82764"/>
    <w:rsid w:val="00A828F6"/>
    <w:rsid w:val="00A82A7F"/>
    <w:rsid w:val="00A82B73"/>
    <w:rsid w:val="00A82DC1"/>
    <w:rsid w:val="00A82F75"/>
    <w:rsid w:val="00A82FF1"/>
    <w:rsid w:val="00A83432"/>
    <w:rsid w:val="00A8353B"/>
    <w:rsid w:val="00A83B2E"/>
    <w:rsid w:val="00A83E18"/>
    <w:rsid w:val="00A83EB9"/>
    <w:rsid w:val="00A841B6"/>
    <w:rsid w:val="00A8446D"/>
    <w:rsid w:val="00A84639"/>
    <w:rsid w:val="00A84917"/>
    <w:rsid w:val="00A84929"/>
    <w:rsid w:val="00A85787"/>
    <w:rsid w:val="00A857A6"/>
    <w:rsid w:val="00A85B94"/>
    <w:rsid w:val="00A85CBF"/>
    <w:rsid w:val="00A85DF6"/>
    <w:rsid w:val="00A861B3"/>
    <w:rsid w:val="00A8628A"/>
    <w:rsid w:val="00A86CD2"/>
    <w:rsid w:val="00A86E8B"/>
    <w:rsid w:val="00A86F11"/>
    <w:rsid w:val="00A870D4"/>
    <w:rsid w:val="00A87164"/>
    <w:rsid w:val="00A8734E"/>
    <w:rsid w:val="00A8741A"/>
    <w:rsid w:val="00A87757"/>
    <w:rsid w:val="00A878AD"/>
    <w:rsid w:val="00A87B5C"/>
    <w:rsid w:val="00A87C86"/>
    <w:rsid w:val="00A87E34"/>
    <w:rsid w:val="00A87EAF"/>
    <w:rsid w:val="00A900F7"/>
    <w:rsid w:val="00A903DA"/>
    <w:rsid w:val="00A909EE"/>
    <w:rsid w:val="00A90C5E"/>
    <w:rsid w:val="00A90F4D"/>
    <w:rsid w:val="00A91127"/>
    <w:rsid w:val="00A9156A"/>
    <w:rsid w:val="00A915C9"/>
    <w:rsid w:val="00A917FE"/>
    <w:rsid w:val="00A91908"/>
    <w:rsid w:val="00A91A65"/>
    <w:rsid w:val="00A91FCB"/>
    <w:rsid w:val="00A91FD3"/>
    <w:rsid w:val="00A923DF"/>
    <w:rsid w:val="00A926EA"/>
    <w:rsid w:val="00A92D95"/>
    <w:rsid w:val="00A92E9E"/>
    <w:rsid w:val="00A92F0E"/>
    <w:rsid w:val="00A92F6C"/>
    <w:rsid w:val="00A93072"/>
    <w:rsid w:val="00A9322C"/>
    <w:rsid w:val="00A932CA"/>
    <w:rsid w:val="00A938BD"/>
    <w:rsid w:val="00A93953"/>
    <w:rsid w:val="00A93F9C"/>
    <w:rsid w:val="00A9454B"/>
    <w:rsid w:val="00A94689"/>
    <w:rsid w:val="00A94958"/>
    <w:rsid w:val="00A94A16"/>
    <w:rsid w:val="00A94A61"/>
    <w:rsid w:val="00A94CEE"/>
    <w:rsid w:val="00A954F6"/>
    <w:rsid w:val="00A9560E"/>
    <w:rsid w:val="00A956BD"/>
    <w:rsid w:val="00A95813"/>
    <w:rsid w:val="00A95941"/>
    <w:rsid w:val="00A959D8"/>
    <w:rsid w:val="00A95B24"/>
    <w:rsid w:val="00A95B54"/>
    <w:rsid w:val="00A95C43"/>
    <w:rsid w:val="00A95CCF"/>
    <w:rsid w:val="00A95DA1"/>
    <w:rsid w:val="00A962C5"/>
    <w:rsid w:val="00A962E5"/>
    <w:rsid w:val="00A96D52"/>
    <w:rsid w:val="00A96F75"/>
    <w:rsid w:val="00A977CB"/>
    <w:rsid w:val="00A978CD"/>
    <w:rsid w:val="00A97966"/>
    <w:rsid w:val="00A97BAF"/>
    <w:rsid w:val="00A97C6E"/>
    <w:rsid w:val="00A97CCA"/>
    <w:rsid w:val="00A97DC6"/>
    <w:rsid w:val="00AA008A"/>
    <w:rsid w:val="00AA025F"/>
    <w:rsid w:val="00AA0537"/>
    <w:rsid w:val="00AA0798"/>
    <w:rsid w:val="00AA0B62"/>
    <w:rsid w:val="00AA0D3E"/>
    <w:rsid w:val="00AA0E50"/>
    <w:rsid w:val="00AA113D"/>
    <w:rsid w:val="00AA141C"/>
    <w:rsid w:val="00AA1756"/>
    <w:rsid w:val="00AA1A76"/>
    <w:rsid w:val="00AA1C58"/>
    <w:rsid w:val="00AA1DDB"/>
    <w:rsid w:val="00AA1F6D"/>
    <w:rsid w:val="00AA2A65"/>
    <w:rsid w:val="00AA2AB9"/>
    <w:rsid w:val="00AA2E52"/>
    <w:rsid w:val="00AA3219"/>
    <w:rsid w:val="00AA429C"/>
    <w:rsid w:val="00AA4878"/>
    <w:rsid w:val="00AA4B4B"/>
    <w:rsid w:val="00AA4D5B"/>
    <w:rsid w:val="00AA4DFF"/>
    <w:rsid w:val="00AA5024"/>
    <w:rsid w:val="00AA5065"/>
    <w:rsid w:val="00AA515E"/>
    <w:rsid w:val="00AA5239"/>
    <w:rsid w:val="00AA577C"/>
    <w:rsid w:val="00AA5EA9"/>
    <w:rsid w:val="00AA616B"/>
    <w:rsid w:val="00AA624E"/>
    <w:rsid w:val="00AA6267"/>
    <w:rsid w:val="00AA6731"/>
    <w:rsid w:val="00AA686E"/>
    <w:rsid w:val="00AA696F"/>
    <w:rsid w:val="00AA6A4E"/>
    <w:rsid w:val="00AA6AF4"/>
    <w:rsid w:val="00AA6B5B"/>
    <w:rsid w:val="00AA6BD5"/>
    <w:rsid w:val="00AA6BD8"/>
    <w:rsid w:val="00AA6C7D"/>
    <w:rsid w:val="00AA6DD5"/>
    <w:rsid w:val="00AA6F2A"/>
    <w:rsid w:val="00AA71B0"/>
    <w:rsid w:val="00AA71B3"/>
    <w:rsid w:val="00AA7721"/>
    <w:rsid w:val="00AA773C"/>
    <w:rsid w:val="00AA780C"/>
    <w:rsid w:val="00AA785E"/>
    <w:rsid w:val="00AA7C53"/>
    <w:rsid w:val="00AA7FD6"/>
    <w:rsid w:val="00AB042A"/>
    <w:rsid w:val="00AB04C4"/>
    <w:rsid w:val="00AB057E"/>
    <w:rsid w:val="00AB065D"/>
    <w:rsid w:val="00AB065E"/>
    <w:rsid w:val="00AB07AE"/>
    <w:rsid w:val="00AB0CC9"/>
    <w:rsid w:val="00AB1061"/>
    <w:rsid w:val="00AB1140"/>
    <w:rsid w:val="00AB16E0"/>
    <w:rsid w:val="00AB170F"/>
    <w:rsid w:val="00AB1845"/>
    <w:rsid w:val="00AB1994"/>
    <w:rsid w:val="00AB19C2"/>
    <w:rsid w:val="00AB19EF"/>
    <w:rsid w:val="00AB1B71"/>
    <w:rsid w:val="00AB1C9A"/>
    <w:rsid w:val="00AB20FA"/>
    <w:rsid w:val="00AB23B2"/>
    <w:rsid w:val="00AB24E1"/>
    <w:rsid w:val="00AB2565"/>
    <w:rsid w:val="00AB2619"/>
    <w:rsid w:val="00AB2663"/>
    <w:rsid w:val="00AB2666"/>
    <w:rsid w:val="00AB2838"/>
    <w:rsid w:val="00AB2926"/>
    <w:rsid w:val="00AB2D34"/>
    <w:rsid w:val="00AB2E07"/>
    <w:rsid w:val="00AB2E22"/>
    <w:rsid w:val="00AB2FBF"/>
    <w:rsid w:val="00AB32F8"/>
    <w:rsid w:val="00AB33C5"/>
    <w:rsid w:val="00AB3430"/>
    <w:rsid w:val="00AB34EC"/>
    <w:rsid w:val="00AB360B"/>
    <w:rsid w:val="00AB37B9"/>
    <w:rsid w:val="00AB3FCA"/>
    <w:rsid w:val="00AB4AD1"/>
    <w:rsid w:val="00AB4CB9"/>
    <w:rsid w:val="00AB4CD9"/>
    <w:rsid w:val="00AB4E84"/>
    <w:rsid w:val="00AB4E98"/>
    <w:rsid w:val="00AB4FA5"/>
    <w:rsid w:val="00AB51C0"/>
    <w:rsid w:val="00AB528D"/>
    <w:rsid w:val="00AB53C8"/>
    <w:rsid w:val="00AB53CF"/>
    <w:rsid w:val="00AB5A13"/>
    <w:rsid w:val="00AB5A14"/>
    <w:rsid w:val="00AB5AB1"/>
    <w:rsid w:val="00AB5E07"/>
    <w:rsid w:val="00AB66F6"/>
    <w:rsid w:val="00AB6797"/>
    <w:rsid w:val="00AB686A"/>
    <w:rsid w:val="00AB687F"/>
    <w:rsid w:val="00AB68C5"/>
    <w:rsid w:val="00AB6CA7"/>
    <w:rsid w:val="00AB7168"/>
    <w:rsid w:val="00AB7232"/>
    <w:rsid w:val="00AB7588"/>
    <w:rsid w:val="00AB7889"/>
    <w:rsid w:val="00AB791B"/>
    <w:rsid w:val="00AB7C94"/>
    <w:rsid w:val="00AB7CFA"/>
    <w:rsid w:val="00AC0049"/>
    <w:rsid w:val="00AC00D7"/>
    <w:rsid w:val="00AC0780"/>
    <w:rsid w:val="00AC07F8"/>
    <w:rsid w:val="00AC0D43"/>
    <w:rsid w:val="00AC0D4D"/>
    <w:rsid w:val="00AC0EF1"/>
    <w:rsid w:val="00AC0F80"/>
    <w:rsid w:val="00AC1617"/>
    <w:rsid w:val="00AC17B5"/>
    <w:rsid w:val="00AC1C1C"/>
    <w:rsid w:val="00AC1F39"/>
    <w:rsid w:val="00AC24B2"/>
    <w:rsid w:val="00AC2718"/>
    <w:rsid w:val="00AC282E"/>
    <w:rsid w:val="00AC2EE0"/>
    <w:rsid w:val="00AC3702"/>
    <w:rsid w:val="00AC37D5"/>
    <w:rsid w:val="00AC39CF"/>
    <w:rsid w:val="00AC3CFC"/>
    <w:rsid w:val="00AC46F6"/>
    <w:rsid w:val="00AC47F7"/>
    <w:rsid w:val="00AC485F"/>
    <w:rsid w:val="00AC4A59"/>
    <w:rsid w:val="00AC4E42"/>
    <w:rsid w:val="00AC4F45"/>
    <w:rsid w:val="00AC4F77"/>
    <w:rsid w:val="00AC5049"/>
    <w:rsid w:val="00AC5433"/>
    <w:rsid w:val="00AC57E8"/>
    <w:rsid w:val="00AC58CC"/>
    <w:rsid w:val="00AC5908"/>
    <w:rsid w:val="00AC5950"/>
    <w:rsid w:val="00AC5B48"/>
    <w:rsid w:val="00AC65B0"/>
    <w:rsid w:val="00AC6792"/>
    <w:rsid w:val="00AC75AC"/>
    <w:rsid w:val="00AC7826"/>
    <w:rsid w:val="00AC7BB8"/>
    <w:rsid w:val="00AC7FD0"/>
    <w:rsid w:val="00AD0334"/>
    <w:rsid w:val="00AD03EB"/>
    <w:rsid w:val="00AD04D0"/>
    <w:rsid w:val="00AD069F"/>
    <w:rsid w:val="00AD0934"/>
    <w:rsid w:val="00AD0E81"/>
    <w:rsid w:val="00AD0ED4"/>
    <w:rsid w:val="00AD1010"/>
    <w:rsid w:val="00AD101F"/>
    <w:rsid w:val="00AD1110"/>
    <w:rsid w:val="00AD12B9"/>
    <w:rsid w:val="00AD13E8"/>
    <w:rsid w:val="00AD1450"/>
    <w:rsid w:val="00AD17A9"/>
    <w:rsid w:val="00AD193C"/>
    <w:rsid w:val="00AD22CB"/>
    <w:rsid w:val="00AD2451"/>
    <w:rsid w:val="00AD28CA"/>
    <w:rsid w:val="00AD2A9F"/>
    <w:rsid w:val="00AD2F6F"/>
    <w:rsid w:val="00AD423D"/>
    <w:rsid w:val="00AD425E"/>
    <w:rsid w:val="00AD48B5"/>
    <w:rsid w:val="00AD4DFB"/>
    <w:rsid w:val="00AD5384"/>
    <w:rsid w:val="00AD55AD"/>
    <w:rsid w:val="00AD5C78"/>
    <w:rsid w:val="00AD5CAC"/>
    <w:rsid w:val="00AD5CAD"/>
    <w:rsid w:val="00AD5FB3"/>
    <w:rsid w:val="00AD627B"/>
    <w:rsid w:val="00AD6298"/>
    <w:rsid w:val="00AD6425"/>
    <w:rsid w:val="00AD6502"/>
    <w:rsid w:val="00AD6642"/>
    <w:rsid w:val="00AD66CF"/>
    <w:rsid w:val="00AD67F8"/>
    <w:rsid w:val="00AD6865"/>
    <w:rsid w:val="00AD6AD8"/>
    <w:rsid w:val="00AD75E3"/>
    <w:rsid w:val="00AD79A8"/>
    <w:rsid w:val="00AD7DFB"/>
    <w:rsid w:val="00AE0063"/>
    <w:rsid w:val="00AE0593"/>
    <w:rsid w:val="00AE0688"/>
    <w:rsid w:val="00AE0695"/>
    <w:rsid w:val="00AE0C3E"/>
    <w:rsid w:val="00AE0E34"/>
    <w:rsid w:val="00AE1542"/>
    <w:rsid w:val="00AE155E"/>
    <w:rsid w:val="00AE15F0"/>
    <w:rsid w:val="00AE17E3"/>
    <w:rsid w:val="00AE18CA"/>
    <w:rsid w:val="00AE1955"/>
    <w:rsid w:val="00AE1979"/>
    <w:rsid w:val="00AE2E9F"/>
    <w:rsid w:val="00AE3606"/>
    <w:rsid w:val="00AE3ABF"/>
    <w:rsid w:val="00AE3E7E"/>
    <w:rsid w:val="00AE425C"/>
    <w:rsid w:val="00AE437C"/>
    <w:rsid w:val="00AE445C"/>
    <w:rsid w:val="00AE4653"/>
    <w:rsid w:val="00AE54F7"/>
    <w:rsid w:val="00AE5741"/>
    <w:rsid w:val="00AE5B89"/>
    <w:rsid w:val="00AE5F4A"/>
    <w:rsid w:val="00AE60ED"/>
    <w:rsid w:val="00AE6505"/>
    <w:rsid w:val="00AE675A"/>
    <w:rsid w:val="00AE69FC"/>
    <w:rsid w:val="00AE6ACE"/>
    <w:rsid w:val="00AE6C58"/>
    <w:rsid w:val="00AE70F9"/>
    <w:rsid w:val="00AE75D8"/>
    <w:rsid w:val="00AE772F"/>
    <w:rsid w:val="00AE78E5"/>
    <w:rsid w:val="00AE7A28"/>
    <w:rsid w:val="00AE7BE5"/>
    <w:rsid w:val="00AF012B"/>
    <w:rsid w:val="00AF02F8"/>
    <w:rsid w:val="00AF0B3C"/>
    <w:rsid w:val="00AF0C94"/>
    <w:rsid w:val="00AF0C98"/>
    <w:rsid w:val="00AF0DEB"/>
    <w:rsid w:val="00AF0EDF"/>
    <w:rsid w:val="00AF113A"/>
    <w:rsid w:val="00AF1315"/>
    <w:rsid w:val="00AF172B"/>
    <w:rsid w:val="00AF1935"/>
    <w:rsid w:val="00AF19BF"/>
    <w:rsid w:val="00AF1C10"/>
    <w:rsid w:val="00AF2447"/>
    <w:rsid w:val="00AF26AF"/>
    <w:rsid w:val="00AF2A92"/>
    <w:rsid w:val="00AF2DC3"/>
    <w:rsid w:val="00AF2EB9"/>
    <w:rsid w:val="00AF336B"/>
    <w:rsid w:val="00AF34F5"/>
    <w:rsid w:val="00AF36D5"/>
    <w:rsid w:val="00AF3847"/>
    <w:rsid w:val="00AF3954"/>
    <w:rsid w:val="00AF3A2A"/>
    <w:rsid w:val="00AF3B2C"/>
    <w:rsid w:val="00AF3BAD"/>
    <w:rsid w:val="00AF3C06"/>
    <w:rsid w:val="00AF3F49"/>
    <w:rsid w:val="00AF3FEA"/>
    <w:rsid w:val="00AF4169"/>
    <w:rsid w:val="00AF41EE"/>
    <w:rsid w:val="00AF4914"/>
    <w:rsid w:val="00AF4AD5"/>
    <w:rsid w:val="00AF4C98"/>
    <w:rsid w:val="00AF4CAF"/>
    <w:rsid w:val="00AF511A"/>
    <w:rsid w:val="00AF5604"/>
    <w:rsid w:val="00AF58B8"/>
    <w:rsid w:val="00AF58F7"/>
    <w:rsid w:val="00AF593C"/>
    <w:rsid w:val="00AF5CCF"/>
    <w:rsid w:val="00AF5D09"/>
    <w:rsid w:val="00AF6390"/>
    <w:rsid w:val="00AF6CC0"/>
    <w:rsid w:val="00AF70F4"/>
    <w:rsid w:val="00AF73D6"/>
    <w:rsid w:val="00AF7498"/>
    <w:rsid w:val="00AF75FA"/>
    <w:rsid w:val="00AF7843"/>
    <w:rsid w:val="00AF7A6C"/>
    <w:rsid w:val="00AF7ACC"/>
    <w:rsid w:val="00AF7FCA"/>
    <w:rsid w:val="00B0046F"/>
    <w:rsid w:val="00B0070D"/>
    <w:rsid w:val="00B0075D"/>
    <w:rsid w:val="00B007C9"/>
    <w:rsid w:val="00B00A02"/>
    <w:rsid w:val="00B00E24"/>
    <w:rsid w:val="00B00E8C"/>
    <w:rsid w:val="00B00FD3"/>
    <w:rsid w:val="00B011D2"/>
    <w:rsid w:val="00B02195"/>
    <w:rsid w:val="00B021AB"/>
    <w:rsid w:val="00B022AB"/>
    <w:rsid w:val="00B0269E"/>
    <w:rsid w:val="00B026AF"/>
    <w:rsid w:val="00B02724"/>
    <w:rsid w:val="00B02C81"/>
    <w:rsid w:val="00B02CEB"/>
    <w:rsid w:val="00B03083"/>
    <w:rsid w:val="00B03133"/>
    <w:rsid w:val="00B033E5"/>
    <w:rsid w:val="00B033F0"/>
    <w:rsid w:val="00B034D9"/>
    <w:rsid w:val="00B035AC"/>
    <w:rsid w:val="00B03669"/>
    <w:rsid w:val="00B03A63"/>
    <w:rsid w:val="00B03BBB"/>
    <w:rsid w:val="00B03D7D"/>
    <w:rsid w:val="00B03F6D"/>
    <w:rsid w:val="00B042A9"/>
    <w:rsid w:val="00B045B4"/>
    <w:rsid w:val="00B04DFB"/>
    <w:rsid w:val="00B05297"/>
    <w:rsid w:val="00B056B8"/>
    <w:rsid w:val="00B0570E"/>
    <w:rsid w:val="00B05974"/>
    <w:rsid w:val="00B05B2A"/>
    <w:rsid w:val="00B05DB9"/>
    <w:rsid w:val="00B05FE1"/>
    <w:rsid w:val="00B0604F"/>
    <w:rsid w:val="00B062B4"/>
    <w:rsid w:val="00B06A71"/>
    <w:rsid w:val="00B07132"/>
    <w:rsid w:val="00B071ED"/>
    <w:rsid w:val="00B0730F"/>
    <w:rsid w:val="00B073DB"/>
    <w:rsid w:val="00B07512"/>
    <w:rsid w:val="00B078E4"/>
    <w:rsid w:val="00B07A54"/>
    <w:rsid w:val="00B1037E"/>
    <w:rsid w:val="00B10AD0"/>
    <w:rsid w:val="00B10ADA"/>
    <w:rsid w:val="00B10ADF"/>
    <w:rsid w:val="00B11554"/>
    <w:rsid w:val="00B11816"/>
    <w:rsid w:val="00B1186C"/>
    <w:rsid w:val="00B11D1C"/>
    <w:rsid w:val="00B11F2C"/>
    <w:rsid w:val="00B11FA0"/>
    <w:rsid w:val="00B12396"/>
    <w:rsid w:val="00B123F0"/>
    <w:rsid w:val="00B12426"/>
    <w:rsid w:val="00B12AA6"/>
    <w:rsid w:val="00B12F8A"/>
    <w:rsid w:val="00B13241"/>
    <w:rsid w:val="00B13485"/>
    <w:rsid w:val="00B1349C"/>
    <w:rsid w:val="00B137BE"/>
    <w:rsid w:val="00B1392A"/>
    <w:rsid w:val="00B1392E"/>
    <w:rsid w:val="00B13C5B"/>
    <w:rsid w:val="00B14121"/>
    <w:rsid w:val="00B14253"/>
    <w:rsid w:val="00B14626"/>
    <w:rsid w:val="00B1485A"/>
    <w:rsid w:val="00B1487F"/>
    <w:rsid w:val="00B148B1"/>
    <w:rsid w:val="00B14958"/>
    <w:rsid w:val="00B14C10"/>
    <w:rsid w:val="00B14C66"/>
    <w:rsid w:val="00B14CB9"/>
    <w:rsid w:val="00B14E56"/>
    <w:rsid w:val="00B14F9D"/>
    <w:rsid w:val="00B14FFA"/>
    <w:rsid w:val="00B156F6"/>
    <w:rsid w:val="00B15E02"/>
    <w:rsid w:val="00B15F35"/>
    <w:rsid w:val="00B16300"/>
    <w:rsid w:val="00B169FC"/>
    <w:rsid w:val="00B16D49"/>
    <w:rsid w:val="00B16D70"/>
    <w:rsid w:val="00B17004"/>
    <w:rsid w:val="00B17079"/>
    <w:rsid w:val="00B172F5"/>
    <w:rsid w:val="00B17526"/>
    <w:rsid w:val="00B17B29"/>
    <w:rsid w:val="00B17BF3"/>
    <w:rsid w:val="00B17FDD"/>
    <w:rsid w:val="00B2005B"/>
    <w:rsid w:val="00B201A4"/>
    <w:rsid w:val="00B201D1"/>
    <w:rsid w:val="00B20242"/>
    <w:rsid w:val="00B204CE"/>
    <w:rsid w:val="00B2052D"/>
    <w:rsid w:val="00B2078E"/>
    <w:rsid w:val="00B20A00"/>
    <w:rsid w:val="00B2111F"/>
    <w:rsid w:val="00B213A6"/>
    <w:rsid w:val="00B21839"/>
    <w:rsid w:val="00B21898"/>
    <w:rsid w:val="00B2198F"/>
    <w:rsid w:val="00B21FFC"/>
    <w:rsid w:val="00B22240"/>
    <w:rsid w:val="00B22287"/>
    <w:rsid w:val="00B22581"/>
    <w:rsid w:val="00B22A10"/>
    <w:rsid w:val="00B22ED1"/>
    <w:rsid w:val="00B23077"/>
    <w:rsid w:val="00B2316F"/>
    <w:rsid w:val="00B23411"/>
    <w:rsid w:val="00B23497"/>
    <w:rsid w:val="00B23566"/>
    <w:rsid w:val="00B235B0"/>
    <w:rsid w:val="00B23C64"/>
    <w:rsid w:val="00B23D1C"/>
    <w:rsid w:val="00B23ED0"/>
    <w:rsid w:val="00B24438"/>
    <w:rsid w:val="00B24522"/>
    <w:rsid w:val="00B24657"/>
    <w:rsid w:val="00B24694"/>
    <w:rsid w:val="00B248A7"/>
    <w:rsid w:val="00B24A5D"/>
    <w:rsid w:val="00B24CF0"/>
    <w:rsid w:val="00B24DF6"/>
    <w:rsid w:val="00B2503F"/>
    <w:rsid w:val="00B2539D"/>
    <w:rsid w:val="00B2546E"/>
    <w:rsid w:val="00B255C1"/>
    <w:rsid w:val="00B256B4"/>
    <w:rsid w:val="00B25FB2"/>
    <w:rsid w:val="00B26040"/>
    <w:rsid w:val="00B26145"/>
    <w:rsid w:val="00B26154"/>
    <w:rsid w:val="00B26210"/>
    <w:rsid w:val="00B2672A"/>
    <w:rsid w:val="00B268A5"/>
    <w:rsid w:val="00B2763A"/>
    <w:rsid w:val="00B277DF"/>
    <w:rsid w:val="00B27B44"/>
    <w:rsid w:val="00B301F9"/>
    <w:rsid w:val="00B3041C"/>
    <w:rsid w:val="00B306CC"/>
    <w:rsid w:val="00B307C4"/>
    <w:rsid w:val="00B3089D"/>
    <w:rsid w:val="00B30F6C"/>
    <w:rsid w:val="00B3141E"/>
    <w:rsid w:val="00B316F9"/>
    <w:rsid w:val="00B3171D"/>
    <w:rsid w:val="00B318F6"/>
    <w:rsid w:val="00B31BA4"/>
    <w:rsid w:val="00B31DDB"/>
    <w:rsid w:val="00B31F1F"/>
    <w:rsid w:val="00B32118"/>
    <w:rsid w:val="00B325E7"/>
    <w:rsid w:val="00B32858"/>
    <w:rsid w:val="00B328B0"/>
    <w:rsid w:val="00B32EE3"/>
    <w:rsid w:val="00B33069"/>
    <w:rsid w:val="00B3318A"/>
    <w:rsid w:val="00B332D4"/>
    <w:rsid w:val="00B33379"/>
    <w:rsid w:val="00B3347C"/>
    <w:rsid w:val="00B336D2"/>
    <w:rsid w:val="00B33999"/>
    <w:rsid w:val="00B33D5F"/>
    <w:rsid w:val="00B33E02"/>
    <w:rsid w:val="00B34408"/>
    <w:rsid w:val="00B3447B"/>
    <w:rsid w:val="00B3458F"/>
    <w:rsid w:val="00B3459C"/>
    <w:rsid w:val="00B34701"/>
    <w:rsid w:val="00B347C0"/>
    <w:rsid w:val="00B347D9"/>
    <w:rsid w:val="00B34D46"/>
    <w:rsid w:val="00B34FE2"/>
    <w:rsid w:val="00B35166"/>
    <w:rsid w:val="00B35474"/>
    <w:rsid w:val="00B35531"/>
    <w:rsid w:val="00B35583"/>
    <w:rsid w:val="00B357D8"/>
    <w:rsid w:val="00B35E7C"/>
    <w:rsid w:val="00B35EA8"/>
    <w:rsid w:val="00B35FB5"/>
    <w:rsid w:val="00B360F4"/>
    <w:rsid w:val="00B362BC"/>
    <w:rsid w:val="00B362EA"/>
    <w:rsid w:val="00B3652D"/>
    <w:rsid w:val="00B3653F"/>
    <w:rsid w:val="00B36757"/>
    <w:rsid w:val="00B36A00"/>
    <w:rsid w:val="00B36B0E"/>
    <w:rsid w:val="00B373F0"/>
    <w:rsid w:val="00B375E8"/>
    <w:rsid w:val="00B37833"/>
    <w:rsid w:val="00B37BFC"/>
    <w:rsid w:val="00B37E0A"/>
    <w:rsid w:val="00B37EEE"/>
    <w:rsid w:val="00B40261"/>
    <w:rsid w:val="00B4028B"/>
    <w:rsid w:val="00B40358"/>
    <w:rsid w:val="00B40474"/>
    <w:rsid w:val="00B4058E"/>
    <w:rsid w:val="00B405E4"/>
    <w:rsid w:val="00B40ACC"/>
    <w:rsid w:val="00B40ED0"/>
    <w:rsid w:val="00B4125A"/>
    <w:rsid w:val="00B4150F"/>
    <w:rsid w:val="00B4153B"/>
    <w:rsid w:val="00B41614"/>
    <w:rsid w:val="00B41647"/>
    <w:rsid w:val="00B41764"/>
    <w:rsid w:val="00B418B9"/>
    <w:rsid w:val="00B41912"/>
    <w:rsid w:val="00B4192D"/>
    <w:rsid w:val="00B41A32"/>
    <w:rsid w:val="00B41B28"/>
    <w:rsid w:val="00B41DA4"/>
    <w:rsid w:val="00B41DBB"/>
    <w:rsid w:val="00B42293"/>
    <w:rsid w:val="00B4233F"/>
    <w:rsid w:val="00B42660"/>
    <w:rsid w:val="00B42851"/>
    <w:rsid w:val="00B4296A"/>
    <w:rsid w:val="00B4299E"/>
    <w:rsid w:val="00B42BD4"/>
    <w:rsid w:val="00B42D94"/>
    <w:rsid w:val="00B42F80"/>
    <w:rsid w:val="00B43168"/>
    <w:rsid w:val="00B43251"/>
    <w:rsid w:val="00B432D4"/>
    <w:rsid w:val="00B435CB"/>
    <w:rsid w:val="00B436FF"/>
    <w:rsid w:val="00B43993"/>
    <w:rsid w:val="00B43C2C"/>
    <w:rsid w:val="00B43D67"/>
    <w:rsid w:val="00B4414A"/>
    <w:rsid w:val="00B4443A"/>
    <w:rsid w:val="00B44689"/>
    <w:rsid w:val="00B446AC"/>
    <w:rsid w:val="00B44723"/>
    <w:rsid w:val="00B44B11"/>
    <w:rsid w:val="00B44BB3"/>
    <w:rsid w:val="00B44D60"/>
    <w:rsid w:val="00B452BC"/>
    <w:rsid w:val="00B452FE"/>
    <w:rsid w:val="00B45557"/>
    <w:rsid w:val="00B458BF"/>
    <w:rsid w:val="00B458C5"/>
    <w:rsid w:val="00B4592C"/>
    <w:rsid w:val="00B459C9"/>
    <w:rsid w:val="00B45A6E"/>
    <w:rsid w:val="00B45CD6"/>
    <w:rsid w:val="00B45E16"/>
    <w:rsid w:val="00B4633E"/>
    <w:rsid w:val="00B466B7"/>
    <w:rsid w:val="00B4699E"/>
    <w:rsid w:val="00B46E5E"/>
    <w:rsid w:val="00B46EA8"/>
    <w:rsid w:val="00B46EAE"/>
    <w:rsid w:val="00B46F07"/>
    <w:rsid w:val="00B47D3B"/>
    <w:rsid w:val="00B50062"/>
    <w:rsid w:val="00B5014D"/>
    <w:rsid w:val="00B503BF"/>
    <w:rsid w:val="00B505C8"/>
    <w:rsid w:val="00B505D9"/>
    <w:rsid w:val="00B50B79"/>
    <w:rsid w:val="00B50DB8"/>
    <w:rsid w:val="00B50F68"/>
    <w:rsid w:val="00B51977"/>
    <w:rsid w:val="00B5198D"/>
    <w:rsid w:val="00B51AFD"/>
    <w:rsid w:val="00B51C9B"/>
    <w:rsid w:val="00B5238C"/>
    <w:rsid w:val="00B5259D"/>
    <w:rsid w:val="00B5272A"/>
    <w:rsid w:val="00B5286F"/>
    <w:rsid w:val="00B52D10"/>
    <w:rsid w:val="00B53385"/>
    <w:rsid w:val="00B53654"/>
    <w:rsid w:val="00B536F8"/>
    <w:rsid w:val="00B53905"/>
    <w:rsid w:val="00B5398D"/>
    <w:rsid w:val="00B53B50"/>
    <w:rsid w:val="00B53CBE"/>
    <w:rsid w:val="00B54B5B"/>
    <w:rsid w:val="00B550B6"/>
    <w:rsid w:val="00B55418"/>
    <w:rsid w:val="00B55446"/>
    <w:rsid w:val="00B55585"/>
    <w:rsid w:val="00B555A4"/>
    <w:rsid w:val="00B5562E"/>
    <w:rsid w:val="00B558FD"/>
    <w:rsid w:val="00B55ABD"/>
    <w:rsid w:val="00B55D65"/>
    <w:rsid w:val="00B55F09"/>
    <w:rsid w:val="00B55F51"/>
    <w:rsid w:val="00B561CA"/>
    <w:rsid w:val="00B57000"/>
    <w:rsid w:val="00B570C1"/>
    <w:rsid w:val="00B570FD"/>
    <w:rsid w:val="00B571F7"/>
    <w:rsid w:val="00B575E1"/>
    <w:rsid w:val="00B5765D"/>
    <w:rsid w:val="00B6059F"/>
    <w:rsid w:val="00B605EC"/>
    <w:rsid w:val="00B60760"/>
    <w:rsid w:val="00B60817"/>
    <w:rsid w:val="00B60939"/>
    <w:rsid w:val="00B60AFD"/>
    <w:rsid w:val="00B60B2F"/>
    <w:rsid w:val="00B60C88"/>
    <w:rsid w:val="00B60E24"/>
    <w:rsid w:val="00B61157"/>
    <w:rsid w:val="00B613B8"/>
    <w:rsid w:val="00B616AC"/>
    <w:rsid w:val="00B61760"/>
    <w:rsid w:val="00B61882"/>
    <w:rsid w:val="00B61A54"/>
    <w:rsid w:val="00B61B62"/>
    <w:rsid w:val="00B61ED2"/>
    <w:rsid w:val="00B621E9"/>
    <w:rsid w:val="00B62425"/>
    <w:rsid w:val="00B6268C"/>
    <w:rsid w:val="00B62715"/>
    <w:rsid w:val="00B6281D"/>
    <w:rsid w:val="00B62887"/>
    <w:rsid w:val="00B6297F"/>
    <w:rsid w:val="00B62D68"/>
    <w:rsid w:val="00B6308B"/>
    <w:rsid w:val="00B630B3"/>
    <w:rsid w:val="00B63245"/>
    <w:rsid w:val="00B63407"/>
    <w:rsid w:val="00B63573"/>
    <w:rsid w:val="00B63D06"/>
    <w:rsid w:val="00B63F8F"/>
    <w:rsid w:val="00B640F4"/>
    <w:rsid w:val="00B6438D"/>
    <w:rsid w:val="00B646EB"/>
    <w:rsid w:val="00B646ED"/>
    <w:rsid w:val="00B6494E"/>
    <w:rsid w:val="00B64D64"/>
    <w:rsid w:val="00B65121"/>
    <w:rsid w:val="00B65611"/>
    <w:rsid w:val="00B65FF5"/>
    <w:rsid w:val="00B66128"/>
    <w:rsid w:val="00B66196"/>
    <w:rsid w:val="00B661A4"/>
    <w:rsid w:val="00B66445"/>
    <w:rsid w:val="00B6684B"/>
    <w:rsid w:val="00B66C2F"/>
    <w:rsid w:val="00B66F41"/>
    <w:rsid w:val="00B67582"/>
    <w:rsid w:val="00B67CF5"/>
    <w:rsid w:val="00B67FA2"/>
    <w:rsid w:val="00B70175"/>
    <w:rsid w:val="00B70280"/>
    <w:rsid w:val="00B7071E"/>
    <w:rsid w:val="00B708F4"/>
    <w:rsid w:val="00B70BC3"/>
    <w:rsid w:val="00B70C59"/>
    <w:rsid w:val="00B70E8E"/>
    <w:rsid w:val="00B7135B"/>
    <w:rsid w:val="00B71483"/>
    <w:rsid w:val="00B71B92"/>
    <w:rsid w:val="00B721B8"/>
    <w:rsid w:val="00B7224F"/>
    <w:rsid w:val="00B726AB"/>
    <w:rsid w:val="00B726C1"/>
    <w:rsid w:val="00B727ED"/>
    <w:rsid w:val="00B728FE"/>
    <w:rsid w:val="00B72C3F"/>
    <w:rsid w:val="00B72EEE"/>
    <w:rsid w:val="00B72F42"/>
    <w:rsid w:val="00B7311C"/>
    <w:rsid w:val="00B737F6"/>
    <w:rsid w:val="00B7416E"/>
    <w:rsid w:val="00B7432E"/>
    <w:rsid w:val="00B743EF"/>
    <w:rsid w:val="00B75077"/>
    <w:rsid w:val="00B75174"/>
    <w:rsid w:val="00B75195"/>
    <w:rsid w:val="00B75712"/>
    <w:rsid w:val="00B7585C"/>
    <w:rsid w:val="00B75AF2"/>
    <w:rsid w:val="00B75B0E"/>
    <w:rsid w:val="00B75B92"/>
    <w:rsid w:val="00B765FF"/>
    <w:rsid w:val="00B76939"/>
    <w:rsid w:val="00B76B44"/>
    <w:rsid w:val="00B76C92"/>
    <w:rsid w:val="00B76FA2"/>
    <w:rsid w:val="00B7703E"/>
    <w:rsid w:val="00B775B7"/>
    <w:rsid w:val="00B776CF"/>
    <w:rsid w:val="00B778DA"/>
    <w:rsid w:val="00B778ED"/>
    <w:rsid w:val="00B77E49"/>
    <w:rsid w:val="00B77F27"/>
    <w:rsid w:val="00B801B2"/>
    <w:rsid w:val="00B8020C"/>
    <w:rsid w:val="00B80307"/>
    <w:rsid w:val="00B810F6"/>
    <w:rsid w:val="00B8113D"/>
    <w:rsid w:val="00B811AC"/>
    <w:rsid w:val="00B8163A"/>
    <w:rsid w:val="00B816BA"/>
    <w:rsid w:val="00B818A4"/>
    <w:rsid w:val="00B81BCF"/>
    <w:rsid w:val="00B81CA1"/>
    <w:rsid w:val="00B81CB9"/>
    <w:rsid w:val="00B81EB7"/>
    <w:rsid w:val="00B820F3"/>
    <w:rsid w:val="00B8255E"/>
    <w:rsid w:val="00B8273E"/>
    <w:rsid w:val="00B82D6F"/>
    <w:rsid w:val="00B8301A"/>
    <w:rsid w:val="00B83505"/>
    <w:rsid w:val="00B83BC4"/>
    <w:rsid w:val="00B83F7B"/>
    <w:rsid w:val="00B83FA2"/>
    <w:rsid w:val="00B84117"/>
    <w:rsid w:val="00B841AC"/>
    <w:rsid w:val="00B843F4"/>
    <w:rsid w:val="00B84628"/>
    <w:rsid w:val="00B8477F"/>
    <w:rsid w:val="00B848F9"/>
    <w:rsid w:val="00B84A80"/>
    <w:rsid w:val="00B84DF5"/>
    <w:rsid w:val="00B84F44"/>
    <w:rsid w:val="00B84F9B"/>
    <w:rsid w:val="00B850EC"/>
    <w:rsid w:val="00B857A2"/>
    <w:rsid w:val="00B858F0"/>
    <w:rsid w:val="00B85AA2"/>
    <w:rsid w:val="00B85AAD"/>
    <w:rsid w:val="00B86477"/>
    <w:rsid w:val="00B8649C"/>
    <w:rsid w:val="00B86921"/>
    <w:rsid w:val="00B8695D"/>
    <w:rsid w:val="00B869DC"/>
    <w:rsid w:val="00B86E18"/>
    <w:rsid w:val="00B870A3"/>
    <w:rsid w:val="00B87236"/>
    <w:rsid w:val="00B8758F"/>
    <w:rsid w:val="00B87628"/>
    <w:rsid w:val="00B8768C"/>
    <w:rsid w:val="00B879FF"/>
    <w:rsid w:val="00B87ACC"/>
    <w:rsid w:val="00B87BFB"/>
    <w:rsid w:val="00B87F0A"/>
    <w:rsid w:val="00B9010C"/>
    <w:rsid w:val="00B90114"/>
    <w:rsid w:val="00B9063E"/>
    <w:rsid w:val="00B90732"/>
    <w:rsid w:val="00B90F0A"/>
    <w:rsid w:val="00B918A7"/>
    <w:rsid w:val="00B91B15"/>
    <w:rsid w:val="00B9232F"/>
    <w:rsid w:val="00B923DA"/>
    <w:rsid w:val="00B926CD"/>
    <w:rsid w:val="00B92B0B"/>
    <w:rsid w:val="00B92CBF"/>
    <w:rsid w:val="00B92D0B"/>
    <w:rsid w:val="00B9341A"/>
    <w:rsid w:val="00B9342B"/>
    <w:rsid w:val="00B93884"/>
    <w:rsid w:val="00B93A65"/>
    <w:rsid w:val="00B93AED"/>
    <w:rsid w:val="00B94802"/>
    <w:rsid w:val="00B94945"/>
    <w:rsid w:val="00B949C1"/>
    <w:rsid w:val="00B949CF"/>
    <w:rsid w:val="00B94CE3"/>
    <w:rsid w:val="00B94DD6"/>
    <w:rsid w:val="00B95552"/>
    <w:rsid w:val="00B95D2B"/>
    <w:rsid w:val="00B964F2"/>
    <w:rsid w:val="00B965A5"/>
    <w:rsid w:val="00B969BD"/>
    <w:rsid w:val="00B97023"/>
    <w:rsid w:val="00B97092"/>
    <w:rsid w:val="00B97455"/>
    <w:rsid w:val="00B975E5"/>
    <w:rsid w:val="00B97807"/>
    <w:rsid w:val="00B97A0B"/>
    <w:rsid w:val="00BA0086"/>
    <w:rsid w:val="00BA07E1"/>
    <w:rsid w:val="00BA0828"/>
    <w:rsid w:val="00BA083A"/>
    <w:rsid w:val="00BA0A1D"/>
    <w:rsid w:val="00BA0CC6"/>
    <w:rsid w:val="00BA0E6B"/>
    <w:rsid w:val="00BA0F49"/>
    <w:rsid w:val="00BA11DE"/>
    <w:rsid w:val="00BA1513"/>
    <w:rsid w:val="00BA1576"/>
    <w:rsid w:val="00BA15FE"/>
    <w:rsid w:val="00BA17A6"/>
    <w:rsid w:val="00BA1807"/>
    <w:rsid w:val="00BA1898"/>
    <w:rsid w:val="00BA1BAB"/>
    <w:rsid w:val="00BA1BCA"/>
    <w:rsid w:val="00BA1CEB"/>
    <w:rsid w:val="00BA1DBA"/>
    <w:rsid w:val="00BA22EC"/>
    <w:rsid w:val="00BA28F7"/>
    <w:rsid w:val="00BA2AAC"/>
    <w:rsid w:val="00BA2B6E"/>
    <w:rsid w:val="00BA322D"/>
    <w:rsid w:val="00BA33AE"/>
    <w:rsid w:val="00BA3F90"/>
    <w:rsid w:val="00BA3F96"/>
    <w:rsid w:val="00BA425E"/>
    <w:rsid w:val="00BA43FC"/>
    <w:rsid w:val="00BA447F"/>
    <w:rsid w:val="00BA454A"/>
    <w:rsid w:val="00BA4814"/>
    <w:rsid w:val="00BA4826"/>
    <w:rsid w:val="00BA4865"/>
    <w:rsid w:val="00BA4962"/>
    <w:rsid w:val="00BA4A7A"/>
    <w:rsid w:val="00BA4A87"/>
    <w:rsid w:val="00BA4C4C"/>
    <w:rsid w:val="00BA58A4"/>
    <w:rsid w:val="00BA5999"/>
    <w:rsid w:val="00BA5A48"/>
    <w:rsid w:val="00BA6186"/>
    <w:rsid w:val="00BA63FA"/>
    <w:rsid w:val="00BA65A3"/>
    <w:rsid w:val="00BA65BC"/>
    <w:rsid w:val="00BA67EE"/>
    <w:rsid w:val="00BA71FB"/>
    <w:rsid w:val="00BA770B"/>
    <w:rsid w:val="00BA7EA2"/>
    <w:rsid w:val="00BA7ECA"/>
    <w:rsid w:val="00BB00B3"/>
    <w:rsid w:val="00BB00EA"/>
    <w:rsid w:val="00BB01FC"/>
    <w:rsid w:val="00BB04CE"/>
    <w:rsid w:val="00BB0696"/>
    <w:rsid w:val="00BB07BB"/>
    <w:rsid w:val="00BB095C"/>
    <w:rsid w:val="00BB0AFC"/>
    <w:rsid w:val="00BB0BDD"/>
    <w:rsid w:val="00BB0BDF"/>
    <w:rsid w:val="00BB0DAE"/>
    <w:rsid w:val="00BB10DB"/>
    <w:rsid w:val="00BB11F2"/>
    <w:rsid w:val="00BB176C"/>
    <w:rsid w:val="00BB186F"/>
    <w:rsid w:val="00BB18AC"/>
    <w:rsid w:val="00BB1B1E"/>
    <w:rsid w:val="00BB1D64"/>
    <w:rsid w:val="00BB1FD7"/>
    <w:rsid w:val="00BB20E1"/>
    <w:rsid w:val="00BB24EF"/>
    <w:rsid w:val="00BB2A73"/>
    <w:rsid w:val="00BB2AA9"/>
    <w:rsid w:val="00BB2CF2"/>
    <w:rsid w:val="00BB2F20"/>
    <w:rsid w:val="00BB308C"/>
    <w:rsid w:val="00BB30D4"/>
    <w:rsid w:val="00BB317E"/>
    <w:rsid w:val="00BB3395"/>
    <w:rsid w:val="00BB3A45"/>
    <w:rsid w:val="00BB3DE7"/>
    <w:rsid w:val="00BB3E45"/>
    <w:rsid w:val="00BB3E86"/>
    <w:rsid w:val="00BB3EC0"/>
    <w:rsid w:val="00BB4376"/>
    <w:rsid w:val="00BB479E"/>
    <w:rsid w:val="00BB4AC5"/>
    <w:rsid w:val="00BB4ACC"/>
    <w:rsid w:val="00BB4B35"/>
    <w:rsid w:val="00BB5422"/>
    <w:rsid w:val="00BB543A"/>
    <w:rsid w:val="00BB55CB"/>
    <w:rsid w:val="00BB57A7"/>
    <w:rsid w:val="00BB5A2E"/>
    <w:rsid w:val="00BB60F3"/>
    <w:rsid w:val="00BB6118"/>
    <w:rsid w:val="00BB634C"/>
    <w:rsid w:val="00BB6655"/>
    <w:rsid w:val="00BB675F"/>
    <w:rsid w:val="00BB6BFD"/>
    <w:rsid w:val="00BB6C6B"/>
    <w:rsid w:val="00BB703E"/>
    <w:rsid w:val="00BB72A6"/>
    <w:rsid w:val="00BB72C6"/>
    <w:rsid w:val="00BB732D"/>
    <w:rsid w:val="00BB7405"/>
    <w:rsid w:val="00BB76C0"/>
    <w:rsid w:val="00BB776B"/>
    <w:rsid w:val="00BB77AE"/>
    <w:rsid w:val="00BB78BA"/>
    <w:rsid w:val="00BC0322"/>
    <w:rsid w:val="00BC04F3"/>
    <w:rsid w:val="00BC07AD"/>
    <w:rsid w:val="00BC07CA"/>
    <w:rsid w:val="00BC098B"/>
    <w:rsid w:val="00BC0BAA"/>
    <w:rsid w:val="00BC13C2"/>
    <w:rsid w:val="00BC182B"/>
    <w:rsid w:val="00BC1BF8"/>
    <w:rsid w:val="00BC1D48"/>
    <w:rsid w:val="00BC2880"/>
    <w:rsid w:val="00BC3087"/>
    <w:rsid w:val="00BC3156"/>
    <w:rsid w:val="00BC3282"/>
    <w:rsid w:val="00BC33EA"/>
    <w:rsid w:val="00BC352E"/>
    <w:rsid w:val="00BC3631"/>
    <w:rsid w:val="00BC3ADE"/>
    <w:rsid w:val="00BC3CA7"/>
    <w:rsid w:val="00BC4099"/>
    <w:rsid w:val="00BC451F"/>
    <w:rsid w:val="00BC4533"/>
    <w:rsid w:val="00BC4858"/>
    <w:rsid w:val="00BC4AAE"/>
    <w:rsid w:val="00BC4BCB"/>
    <w:rsid w:val="00BC5008"/>
    <w:rsid w:val="00BC504E"/>
    <w:rsid w:val="00BC51CE"/>
    <w:rsid w:val="00BC51FF"/>
    <w:rsid w:val="00BC5326"/>
    <w:rsid w:val="00BC540E"/>
    <w:rsid w:val="00BC555A"/>
    <w:rsid w:val="00BC582D"/>
    <w:rsid w:val="00BC5879"/>
    <w:rsid w:val="00BC591F"/>
    <w:rsid w:val="00BC5AF0"/>
    <w:rsid w:val="00BC603B"/>
    <w:rsid w:val="00BC6449"/>
    <w:rsid w:val="00BC6D29"/>
    <w:rsid w:val="00BC6D71"/>
    <w:rsid w:val="00BC6EA6"/>
    <w:rsid w:val="00BC724A"/>
    <w:rsid w:val="00BC75A4"/>
    <w:rsid w:val="00BC7AB4"/>
    <w:rsid w:val="00BC7D6D"/>
    <w:rsid w:val="00BC7E63"/>
    <w:rsid w:val="00BC7EBA"/>
    <w:rsid w:val="00BC7EBF"/>
    <w:rsid w:val="00BD03D8"/>
    <w:rsid w:val="00BD061F"/>
    <w:rsid w:val="00BD0D50"/>
    <w:rsid w:val="00BD102C"/>
    <w:rsid w:val="00BD161A"/>
    <w:rsid w:val="00BD1630"/>
    <w:rsid w:val="00BD17DB"/>
    <w:rsid w:val="00BD1802"/>
    <w:rsid w:val="00BD1C34"/>
    <w:rsid w:val="00BD1CAC"/>
    <w:rsid w:val="00BD2028"/>
    <w:rsid w:val="00BD2108"/>
    <w:rsid w:val="00BD2119"/>
    <w:rsid w:val="00BD2236"/>
    <w:rsid w:val="00BD2640"/>
    <w:rsid w:val="00BD267B"/>
    <w:rsid w:val="00BD29D3"/>
    <w:rsid w:val="00BD2A08"/>
    <w:rsid w:val="00BD2C4D"/>
    <w:rsid w:val="00BD2F49"/>
    <w:rsid w:val="00BD2FC0"/>
    <w:rsid w:val="00BD30EF"/>
    <w:rsid w:val="00BD328E"/>
    <w:rsid w:val="00BD373F"/>
    <w:rsid w:val="00BD38BE"/>
    <w:rsid w:val="00BD41C8"/>
    <w:rsid w:val="00BD463E"/>
    <w:rsid w:val="00BD4873"/>
    <w:rsid w:val="00BD4C48"/>
    <w:rsid w:val="00BD4EB7"/>
    <w:rsid w:val="00BD529D"/>
    <w:rsid w:val="00BD57AC"/>
    <w:rsid w:val="00BD5CE3"/>
    <w:rsid w:val="00BD5FA5"/>
    <w:rsid w:val="00BD60F3"/>
    <w:rsid w:val="00BD6326"/>
    <w:rsid w:val="00BD64A2"/>
    <w:rsid w:val="00BD68A3"/>
    <w:rsid w:val="00BD6938"/>
    <w:rsid w:val="00BD693D"/>
    <w:rsid w:val="00BD6C1C"/>
    <w:rsid w:val="00BD6CF3"/>
    <w:rsid w:val="00BD6E3C"/>
    <w:rsid w:val="00BD70A4"/>
    <w:rsid w:val="00BD73DB"/>
    <w:rsid w:val="00BD740F"/>
    <w:rsid w:val="00BD7449"/>
    <w:rsid w:val="00BD7648"/>
    <w:rsid w:val="00BD76A7"/>
    <w:rsid w:val="00BD7784"/>
    <w:rsid w:val="00BD7814"/>
    <w:rsid w:val="00BD78C5"/>
    <w:rsid w:val="00BD795C"/>
    <w:rsid w:val="00BD7AAC"/>
    <w:rsid w:val="00BE00C6"/>
    <w:rsid w:val="00BE050B"/>
    <w:rsid w:val="00BE0523"/>
    <w:rsid w:val="00BE09B7"/>
    <w:rsid w:val="00BE0ECA"/>
    <w:rsid w:val="00BE12B7"/>
    <w:rsid w:val="00BE16ED"/>
    <w:rsid w:val="00BE172E"/>
    <w:rsid w:val="00BE17FC"/>
    <w:rsid w:val="00BE2180"/>
    <w:rsid w:val="00BE21D1"/>
    <w:rsid w:val="00BE21D6"/>
    <w:rsid w:val="00BE21F2"/>
    <w:rsid w:val="00BE265A"/>
    <w:rsid w:val="00BE2A76"/>
    <w:rsid w:val="00BE3256"/>
    <w:rsid w:val="00BE3297"/>
    <w:rsid w:val="00BE3641"/>
    <w:rsid w:val="00BE3D7C"/>
    <w:rsid w:val="00BE40F9"/>
    <w:rsid w:val="00BE4275"/>
    <w:rsid w:val="00BE42D1"/>
    <w:rsid w:val="00BE4714"/>
    <w:rsid w:val="00BE4963"/>
    <w:rsid w:val="00BE4C99"/>
    <w:rsid w:val="00BE4E8E"/>
    <w:rsid w:val="00BE4E91"/>
    <w:rsid w:val="00BE55D3"/>
    <w:rsid w:val="00BE5F86"/>
    <w:rsid w:val="00BE60FE"/>
    <w:rsid w:val="00BE6650"/>
    <w:rsid w:val="00BE67EF"/>
    <w:rsid w:val="00BE6895"/>
    <w:rsid w:val="00BE6E3A"/>
    <w:rsid w:val="00BE6E9A"/>
    <w:rsid w:val="00BE6EC3"/>
    <w:rsid w:val="00BE7336"/>
    <w:rsid w:val="00BE73FB"/>
    <w:rsid w:val="00BE74A2"/>
    <w:rsid w:val="00BE761B"/>
    <w:rsid w:val="00BE77EE"/>
    <w:rsid w:val="00BE783F"/>
    <w:rsid w:val="00BE7B90"/>
    <w:rsid w:val="00BE7CD3"/>
    <w:rsid w:val="00BE7F1F"/>
    <w:rsid w:val="00BF01C1"/>
    <w:rsid w:val="00BF050E"/>
    <w:rsid w:val="00BF06AE"/>
    <w:rsid w:val="00BF09F9"/>
    <w:rsid w:val="00BF0A64"/>
    <w:rsid w:val="00BF0AEF"/>
    <w:rsid w:val="00BF0BF0"/>
    <w:rsid w:val="00BF0C90"/>
    <w:rsid w:val="00BF0D2A"/>
    <w:rsid w:val="00BF0F7B"/>
    <w:rsid w:val="00BF0F95"/>
    <w:rsid w:val="00BF15B9"/>
    <w:rsid w:val="00BF1759"/>
    <w:rsid w:val="00BF18AC"/>
    <w:rsid w:val="00BF1955"/>
    <w:rsid w:val="00BF1A37"/>
    <w:rsid w:val="00BF1BB0"/>
    <w:rsid w:val="00BF2223"/>
    <w:rsid w:val="00BF2433"/>
    <w:rsid w:val="00BF24B5"/>
    <w:rsid w:val="00BF24E2"/>
    <w:rsid w:val="00BF2831"/>
    <w:rsid w:val="00BF2869"/>
    <w:rsid w:val="00BF2D3D"/>
    <w:rsid w:val="00BF2F89"/>
    <w:rsid w:val="00BF3204"/>
    <w:rsid w:val="00BF334E"/>
    <w:rsid w:val="00BF3487"/>
    <w:rsid w:val="00BF3522"/>
    <w:rsid w:val="00BF360C"/>
    <w:rsid w:val="00BF3D97"/>
    <w:rsid w:val="00BF41CE"/>
    <w:rsid w:val="00BF4488"/>
    <w:rsid w:val="00BF459C"/>
    <w:rsid w:val="00BF4D50"/>
    <w:rsid w:val="00BF4E42"/>
    <w:rsid w:val="00BF4E5A"/>
    <w:rsid w:val="00BF50C1"/>
    <w:rsid w:val="00BF53CE"/>
    <w:rsid w:val="00BF597B"/>
    <w:rsid w:val="00BF59A9"/>
    <w:rsid w:val="00BF5AC0"/>
    <w:rsid w:val="00BF5FEC"/>
    <w:rsid w:val="00BF61C9"/>
    <w:rsid w:val="00BF6B2C"/>
    <w:rsid w:val="00BF6C94"/>
    <w:rsid w:val="00BF6E36"/>
    <w:rsid w:val="00BF6EE1"/>
    <w:rsid w:val="00BF6F65"/>
    <w:rsid w:val="00BF711C"/>
    <w:rsid w:val="00BF719D"/>
    <w:rsid w:val="00BF72B4"/>
    <w:rsid w:val="00BF779A"/>
    <w:rsid w:val="00BF7C98"/>
    <w:rsid w:val="00BF7D61"/>
    <w:rsid w:val="00C00424"/>
    <w:rsid w:val="00C005F6"/>
    <w:rsid w:val="00C00604"/>
    <w:rsid w:val="00C00786"/>
    <w:rsid w:val="00C0089D"/>
    <w:rsid w:val="00C00A1E"/>
    <w:rsid w:val="00C00A41"/>
    <w:rsid w:val="00C00D9B"/>
    <w:rsid w:val="00C00F47"/>
    <w:rsid w:val="00C0126A"/>
    <w:rsid w:val="00C0176A"/>
    <w:rsid w:val="00C019F8"/>
    <w:rsid w:val="00C019F9"/>
    <w:rsid w:val="00C01A0D"/>
    <w:rsid w:val="00C01A78"/>
    <w:rsid w:val="00C01F35"/>
    <w:rsid w:val="00C021E4"/>
    <w:rsid w:val="00C02618"/>
    <w:rsid w:val="00C027DA"/>
    <w:rsid w:val="00C028D3"/>
    <w:rsid w:val="00C0319F"/>
    <w:rsid w:val="00C0329A"/>
    <w:rsid w:val="00C03315"/>
    <w:rsid w:val="00C033AE"/>
    <w:rsid w:val="00C0346C"/>
    <w:rsid w:val="00C035E3"/>
    <w:rsid w:val="00C0361A"/>
    <w:rsid w:val="00C039C3"/>
    <w:rsid w:val="00C03AB3"/>
    <w:rsid w:val="00C03BE5"/>
    <w:rsid w:val="00C03D77"/>
    <w:rsid w:val="00C03FDF"/>
    <w:rsid w:val="00C0405F"/>
    <w:rsid w:val="00C040B1"/>
    <w:rsid w:val="00C04129"/>
    <w:rsid w:val="00C04188"/>
    <w:rsid w:val="00C04575"/>
    <w:rsid w:val="00C0486E"/>
    <w:rsid w:val="00C04AE3"/>
    <w:rsid w:val="00C04F69"/>
    <w:rsid w:val="00C050A9"/>
    <w:rsid w:val="00C057F6"/>
    <w:rsid w:val="00C05822"/>
    <w:rsid w:val="00C05880"/>
    <w:rsid w:val="00C05B01"/>
    <w:rsid w:val="00C05EE9"/>
    <w:rsid w:val="00C06598"/>
    <w:rsid w:val="00C06610"/>
    <w:rsid w:val="00C066EC"/>
    <w:rsid w:val="00C0695F"/>
    <w:rsid w:val="00C069BD"/>
    <w:rsid w:val="00C06DF5"/>
    <w:rsid w:val="00C07123"/>
    <w:rsid w:val="00C071C3"/>
    <w:rsid w:val="00C07480"/>
    <w:rsid w:val="00C075C8"/>
    <w:rsid w:val="00C079DB"/>
    <w:rsid w:val="00C07B81"/>
    <w:rsid w:val="00C10043"/>
    <w:rsid w:val="00C10AC8"/>
    <w:rsid w:val="00C1112A"/>
    <w:rsid w:val="00C111C3"/>
    <w:rsid w:val="00C11549"/>
    <w:rsid w:val="00C1155F"/>
    <w:rsid w:val="00C1179F"/>
    <w:rsid w:val="00C11930"/>
    <w:rsid w:val="00C11DE7"/>
    <w:rsid w:val="00C11E67"/>
    <w:rsid w:val="00C11FF3"/>
    <w:rsid w:val="00C120DB"/>
    <w:rsid w:val="00C121E4"/>
    <w:rsid w:val="00C12634"/>
    <w:rsid w:val="00C12652"/>
    <w:rsid w:val="00C128D9"/>
    <w:rsid w:val="00C1292A"/>
    <w:rsid w:val="00C129E6"/>
    <w:rsid w:val="00C12C14"/>
    <w:rsid w:val="00C12CD7"/>
    <w:rsid w:val="00C131AD"/>
    <w:rsid w:val="00C1324D"/>
    <w:rsid w:val="00C13680"/>
    <w:rsid w:val="00C138C7"/>
    <w:rsid w:val="00C13B00"/>
    <w:rsid w:val="00C13B8E"/>
    <w:rsid w:val="00C14156"/>
    <w:rsid w:val="00C14184"/>
    <w:rsid w:val="00C14666"/>
    <w:rsid w:val="00C149B8"/>
    <w:rsid w:val="00C14BB3"/>
    <w:rsid w:val="00C14D6E"/>
    <w:rsid w:val="00C1529E"/>
    <w:rsid w:val="00C15316"/>
    <w:rsid w:val="00C1540D"/>
    <w:rsid w:val="00C1597B"/>
    <w:rsid w:val="00C15DB6"/>
    <w:rsid w:val="00C15F04"/>
    <w:rsid w:val="00C15FD8"/>
    <w:rsid w:val="00C16555"/>
    <w:rsid w:val="00C16754"/>
    <w:rsid w:val="00C167FC"/>
    <w:rsid w:val="00C16E26"/>
    <w:rsid w:val="00C16E8A"/>
    <w:rsid w:val="00C16F6B"/>
    <w:rsid w:val="00C170F9"/>
    <w:rsid w:val="00C176DE"/>
    <w:rsid w:val="00C1793D"/>
    <w:rsid w:val="00C17989"/>
    <w:rsid w:val="00C179B3"/>
    <w:rsid w:val="00C17B25"/>
    <w:rsid w:val="00C17E3F"/>
    <w:rsid w:val="00C200AA"/>
    <w:rsid w:val="00C20476"/>
    <w:rsid w:val="00C206AE"/>
    <w:rsid w:val="00C207E0"/>
    <w:rsid w:val="00C20E29"/>
    <w:rsid w:val="00C20E47"/>
    <w:rsid w:val="00C212C9"/>
    <w:rsid w:val="00C21364"/>
    <w:rsid w:val="00C2137E"/>
    <w:rsid w:val="00C21657"/>
    <w:rsid w:val="00C219DA"/>
    <w:rsid w:val="00C21B63"/>
    <w:rsid w:val="00C22167"/>
    <w:rsid w:val="00C229D3"/>
    <w:rsid w:val="00C22C81"/>
    <w:rsid w:val="00C23101"/>
    <w:rsid w:val="00C237ED"/>
    <w:rsid w:val="00C23937"/>
    <w:rsid w:val="00C23A3A"/>
    <w:rsid w:val="00C23C31"/>
    <w:rsid w:val="00C240B4"/>
    <w:rsid w:val="00C241A2"/>
    <w:rsid w:val="00C242D2"/>
    <w:rsid w:val="00C2443A"/>
    <w:rsid w:val="00C24632"/>
    <w:rsid w:val="00C24878"/>
    <w:rsid w:val="00C248B7"/>
    <w:rsid w:val="00C24A46"/>
    <w:rsid w:val="00C24DA6"/>
    <w:rsid w:val="00C25327"/>
    <w:rsid w:val="00C25418"/>
    <w:rsid w:val="00C255B5"/>
    <w:rsid w:val="00C25D9C"/>
    <w:rsid w:val="00C25E04"/>
    <w:rsid w:val="00C25F9A"/>
    <w:rsid w:val="00C2717A"/>
    <w:rsid w:val="00C27759"/>
    <w:rsid w:val="00C2778B"/>
    <w:rsid w:val="00C2784D"/>
    <w:rsid w:val="00C27908"/>
    <w:rsid w:val="00C27959"/>
    <w:rsid w:val="00C27A83"/>
    <w:rsid w:val="00C27CC9"/>
    <w:rsid w:val="00C27F1F"/>
    <w:rsid w:val="00C306C6"/>
    <w:rsid w:val="00C306D1"/>
    <w:rsid w:val="00C31431"/>
    <w:rsid w:val="00C31649"/>
    <w:rsid w:val="00C316CC"/>
    <w:rsid w:val="00C317BC"/>
    <w:rsid w:val="00C3192C"/>
    <w:rsid w:val="00C31BD0"/>
    <w:rsid w:val="00C31D72"/>
    <w:rsid w:val="00C32103"/>
    <w:rsid w:val="00C32250"/>
    <w:rsid w:val="00C324A5"/>
    <w:rsid w:val="00C3257C"/>
    <w:rsid w:val="00C3265A"/>
    <w:rsid w:val="00C32961"/>
    <w:rsid w:val="00C33026"/>
    <w:rsid w:val="00C332F7"/>
    <w:rsid w:val="00C332FB"/>
    <w:rsid w:val="00C33440"/>
    <w:rsid w:val="00C33843"/>
    <w:rsid w:val="00C33861"/>
    <w:rsid w:val="00C33A41"/>
    <w:rsid w:val="00C33C35"/>
    <w:rsid w:val="00C33EBA"/>
    <w:rsid w:val="00C33EED"/>
    <w:rsid w:val="00C33F87"/>
    <w:rsid w:val="00C3434C"/>
    <w:rsid w:val="00C3458D"/>
    <w:rsid w:val="00C347F1"/>
    <w:rsid w:val="00C34B0E"/>
    <w:rsid w:val="00C34DA5"/>
    <w:rsid w:val="00C34EB5"/>
    <w:rsid w:val="00C34F69"/>
    <w:rsid w:val="00C3515D"/>
    <w:rsid w:val="00C3528F"/>
    <w:rsid w:val="00C3569F"/>
    <w:rsid w:val="00C35755"/>
    <w:rsid w:val="00C35843"/>
    <w:rsid w:val="00C35A1C"/>
    <w:rsid w:val="00C35A97"/>
    <w:rsid w:val="00C35C72"/>
    <w:rsid w:val="00C35E3E"/>
    <w:rsid w:val="00C3600E"/>
    <w:rsid w:val="00C360CF"/>
    <w:rsid w:val="00C364C5"/>
    <w:rsid w:val="00C3660B"/>
    <w:rsid w:val="00C3663A"/>
    <w:rsid w:val="00C36676"/>
    <w:rsid w:val="00C36723"/>
    <w:rsid w:val="00C36944"/>
    <w:rsid w:val="00C370AF"/>
    <w:rsid w:val="00C37541"/>
    <w:rsid w:val="00C37664"/>
    <w:rsid w:val="00C376EA"/>
    <w:rsid w:val="00C379D3"/>
    <w:rsid w:val="00C37A03"/>
    <w:rsid w:val="00C37A80"/>
    <w:rsid w:val="00C37C70"/>
    <w:rsid w:val="00C37F1E"/>
    <w:rsid w:val="00C40385"/>
    <w:rsid w:val="00C40528"/>
    <w:rsid w:val="00C406A2"/>
    <w:rsid w:val="00C40B1D"/>
    <w:rsid w:val="00C40D20"/>
    <w:rsid w:val="00C40DAF"/>
    <w:rsid w:val="00C40F09"/>
    <w:rsid w:val="00C41404"/>
    <w:rsid w:val="00C41768"/>
    <w:rsid w:val="00C4192A"/>
    <w:rsid w:val="00C419F0"/>
    <w:rsid w:val="00C42297"/>
    <w:rsid w:val="00C426BB"/>
    <w:rsid w:val="00C42C60"/>
    <w:rsid w:val="00C42D0E"/>
    <w:rsid w:val="00C42E1E"/>
    <w:rsid w:val="00C430E9"/>
    <w:rsid w:val="00C43511"/>
    <w:rsid w:val="00C4357D"/>
    <w:rsid w:val="00C43A3E"/>
    <w:rsid w:val="00C43AF1"/>
    <w:rsid w:val="00C43CB3"/>
    <w:rsid w:val="00C43D81"/>
    <w:rsid w:val="00C444CB"/>
    <w:rsid w:val="00C44A12"/>
    <w:rsid w:val="00C44A61"/>
    <w:rsid w:val="00C44A62"/>
    <w:rsid w:val="00C44AA8"/>
    <w:rsid w:val="00C44C04"/>
    <w:rsid w:val="00C450FE"/>
    <w:rsid w:val="00C4537E"/>
    <w:rsid w:val="00C45492"/>
    <w:rsid w:val="00C4556B"/>
    <w:rsid w:val="00C45FC6"/>
    <w:rsid w:val="00C460C3"/>
    <w:rsid w:val="00C4672D"/>
    <w:rsid w:val="00C46AD3"/>
    <w:rsid w:val="00C46B22"/>
    <w:rsid w:val="00C46BEE"/>
    <w:rsid w:val="00C46D39"/>
    <w:rsid w:val="00C475AA"/>
    <w:rsid w:val="00C4763B"/>
    <w:rsid w:val="00C478C1"/>
    <w:rsid w:val="00C47992"/>
    <w:rsid w:val="00C47A54"/>
    <w:rsid w:val="00C47D61"/>
    <w:rsid w:val="00C501A7"/>
    <w:rsid w:val="00C50468"/>
    <w:rsid w:val="00C5049F"/>
    <w:rsid w:val="00C5054C"/>
    <w:rsid w:val="00C5068B"/>
    <w:rsid w:val="00C50C7A"/>
    <w:rsid w:val="00C50E33"/>
    <w:rsid w:val="00C50E62"/>
    <w:rsid w:val="00C5125C"/>
    <w:rsid w:val="00C513C6"/>
    <w:rsid w:val="00C514D6"/>
    <w:rsid w:val="00C51630"/>
    <w:rsid w:val="00C516B1"/>
    <w:rsid w:val="00C51891"/>
    <w:rsid w:val="00C51A46"/>
    <w:rsid w:val="00C51C3E"/>
    <w:rsid w:val="00C5223A"/>
    <w:rsid w:val="00C5229E"/>
    <w:rsid w:val="00C5232F"/>
    <w:rsid w:val="00C527FE"/>
    <w:rsid w:val="00C52B51"/>
    <w:rsid w:val="00C53189"/>
    <w:rsid w:val="00C5336E"/>
    <w:rsid w:val="00C538C7"/>
    <w:rsid w:val="00C538DA"/>
    <w:rsid w:val="00C53B3D"/>
    <w:rsid w:val="00C53C98"/>
    <w:rsid w:val="00C53F02"/>
    <w:rsid w:val="00C540EE"/>
    <w:rsid w:val="00C54181"/>
    <w:rsid w:val="00C5438B"/>
    <w:rsid w:val="00C544C6"/>
    <w:rsid w:val="00C5495F"/>
    <w:rsid w:val="00C54C2F"/>
    <w:rsid w:val="00C54F4E"/>
    <w:rsid w:val="00C55071"/>
    <w:rsid w:val="00C55478"/>
    <w:rsid w:val="00C55799"/>
    <w:rsid w:val="00C5580F"/>
    <w:rsid w:val="00C559AA"/>
    <w:rsid w:val="00C55B22"/>
    <w:rsid w:val="00C55CC9"/>
    <w:rsid w:val="00C5644F"/>
    <w:rsid w:val="00C569A1"/>
    <w:rsid w:val="00C56A00"/>
    <w:rsid w:val="00C56D23"/>
    <w:rsid w:val="00C56DFB"/>
    <w:rsid w:val="00C56FCF"/>
    <w:rsid w:val="00C5738B"/>
    <w:rsid w:val="00C57B6C"/>
    <w:rsid w:val="00C57B72"/>
    <w:rsid w:val="00C57C48"/>
    <w:rsid w:val="00C57D42"/>
    <w:rsid w:val="00C57EB1"/>
    <w:rsid w:val="00C57FD9"/>
    <w:rsid w:val="00C60006"/>
    <w:rsid w:val="00C6016C"/>
    <w:rsid w:val="00C6021B"/>
    <w:rsid w:val="00C60580"/>
    <w:rsid w:val="00C60621"/>
    <w:rsid w:val="00C60760"/>
    <w:rsid w:val="00C60D12"/>
    <w:rsid w:val="00C60D9F"/>
    <w:rsid w:val="00C60DCE"/>
    <w:rsid w:val="00C6136E"/>
    <w:rsid w:val="00C61BE2"/>
    <w:rsid w:val="00C61DCD"/>
    <w:rsid w:val="00C61F74"/>
    <w:rsid w:val="00C61FF0"/>
    <w:rsid w:val="00C6270D"/>
    <w:rsid w:val="00C627A8"/>
    <w:rsid w:val="00C628A6"/>
    <w:rsid w:val="00C63401"/>
    <w:rsid w:val="00C635FD"/>
    <w:rsid w:val="00C637A1"/>
    <w:rsid w:val="00C63B75"/>
    <w:rsid w:val="00C63BA0"/>
    <w:rsid w:val="00C63BA6"/>
    <w:rsid w:val="00C63C0F"/>
    <w:rsid w:val="00C64057"/>
    <w:rsid w:val="00C64166"/>
    <w:rsid w:val="00C64344"/>
    <w:rsid w:val="00C64677"/>
    <w:rsid w:val="00C64BF1"/>
    <w:rsid w:val="00C64C46"/>
    <w:rsid w:val="00C64EC6"/>
    <w:rsid w:val="00C64FC3"/>
    <w:rsid w:val="00C65108"/>
    <w:rsid w:val="00C65168"/>
    <w:rsid w:val="00C65224"/>
    <w:rsid w:val="00C6524A"/>
    <w:rsid w:val="00C6525A"/>
    <w:rsid w:val="00C65455"/>
    <w:rsid w:val="00C654F5"/>
    <w:rsid w:val="00C65576"/>
    <w:rsid w:val="00C65874"/>
    <w:rsid w:val="00C6597A"/>
    <w:rsid w:val="00C65E4F"/>
    <w:rsid w:val="00C66165"/>
    <w:rsid w:val="00C662BE"/>
    <w:rsid w:val="00C66735"/>
    <w:rsid w:val="00C66AAA"/>
    <w:rsid w:val="00C66D41"/>
    <w:rsid w:val="00C66D68"/>
    <w:rsid w:val="00C66ECA"/>
    <w:rsid w:val="00C67060"/>
    <w:rsid w:val="00C675DB"/>
    <w:rsid w:val="00C675E8"/>
    <w:rsid w:val="00C67915"/>
    <w:rsid w:val="00C67966"/>
    <w:rsid w:val="00C679CC"/>
    <w:rsid w:val="00C67D78"/>
    <w:rsid w:val="00C67DD1"/>
    <w:rsid w:val="00C70072"/>
    <w:rsid w:val="00C702E0"/>
    <w:rsid w:val="00C70354"/>
    <w:rsid w:val="00C7060A"/>
    <w:rsid w:val="00C71316"/>
    <w:rsid w:val="00C7151A"/>
    <w:rsid w:val="00C717E3"/>
    <w:rsid w:val="00C717F7"/>
    <w:rsid w:val="00C71EB3"/>
    <w:rsid w:val="00C71F60"/>
    <w:rsid w:val="00C72241"/>
    <w:rsid w:val="00C72E93"/>
    <w:rsid w:val="00C73141"/>
    <w:rsid w:val="00C73170"/>
    <w:rsid w:val="00C73425"/>
    <w:rsid w:val="00C73572"/>
    <w:rsid w:val="00C73929"/>
    <w:rsid w:val="00C73BDB"/>
    <w:rsid w:val="00C73E22"/>
    <w:rsid w:val="00C740D5"/>
    <w:rsid w:val="00C74159"/>
    <w:rsid w:val="00C744ED"/>
    <w:rsid w:val="00C74780"/>
    <w:rsid w:val="00C750C8"/>
    <w:rsid w:val="00C752B0"/>
    <w:rsid w:val="00C752FC"/>
    <w:rsid w:val="00C7560F"/>
    <w:rsid w:val="00C75AC1"/>
    <w:rsid w:val="00C75E19"/>
    <w:rsid w:val="00C760B8"/>
    <w:rsid w:val="00C7659C"/>
    <w:rsid w:val="00C76B58"/>
    <w:rsid w:val="00C771FB"/>
    <w:rsid w:val="00C777D1"/>
    <w:rsid w:val="00C7795F"/>
    <w:rsid w:val="00C77B71"/>
    <w:rsid w:val="00C77D2F"/>
    <w:rsid w:val="00C800AF"/>
    <w:rsid w:val="00C80165"/>
    <w:rsid w:val="00C80857"/>
    <w:rsid w:val="00C80A0E"/>
    <w:rsid w:val="00C80B8F"/>
    <w:rsid w:val="00C80D67"/>
    <w:rsid w:val="00C80E66"/>
    <w:rsid w:val="00C80F50"/>
    <w:rsid w:val="00C81025"/>
    <w:rsid w:val="00C8109B"/>
    <w:rsid w:val="00C81154"/>
    <w:rsid w:val="00C81236"/>
    <w:rsid w:val="00C815DA"/>
    <w:rsid w:val="00C8166B"/>
    <w:rsid w:val="00C8167A"/>
    <w:rsid w:val="00C817CC"/>
    <w:rsid w:val="00C81A1B"/>
    <w:rsid w:val="00C81C4E"/>
    <w:rsid w:val="00C8213F"/>
    <w:rsid w:val="00C8253C"/>
    <w:rsid w:val="00C82587"/>
    <w:rsid w:val="00C82759"/>
    <w:rsid w:val="00C82892"/>
    <w:rsid w:val="00C82AD8"/>
    <w:rsid w:val="00C82F93"/>
    <w:rsid w:val="00C836EE"/>
    <w:rsid w:val="00C83A0F"/>
    <w:rsid w:val="00C83D55"/>
    <w:rsid w:val="00C8404C"/>
    <w:rsid w:val="00C840E3"/>
    <w:rsid w:val="00C84694"/>
    <w:rsid w:val="00C84711"/>
    <w:rsid w:val="00C84F0F"/>
    <w:rsid w:val="00C85154"/>
    <w:rsid w:val="00C85628"/>
    <w:rsid w:val="00C8564C"/>
    <w:rsid w:val="00C856DA"/>
    <w:rsid w:val="00C856EB"/>
    <w:rsid w:val="00C8572D"/>
    <w:rsid w:val="00C859D3"/>
    <w:rsid w:val="00C85B44"/>
    <w:rsid w:val="00C85C90"/>
    <w:rsid w:val="00C8610E"/>
    <w:rsid w:val="00C861B6"/>
    <w:rsid w:val="00C862CC"/>
    <w:rsid w:val="00C865DE"/>
    <w:rsid w:val="00C86638"/>
    <w:rsid w:val="00C866E5"/>
    <w:rsid w:val="00C868C9"/>
    <w:rsid w:val="00C86B2D"/>
    <w:rsid w:val="00C86D0E"/>
    <w:rsid w:val="00C86F01"/>
    <w:rsid w:val="00C87661"/>
    <w:rsid w:val="00C8773A"/>
    <w:rsid w:val="00C87890"/>
    <w:rsid w:val="00C8797A"/>
    <w:rsid w:val="00C87E74"/>
    <w:rsid w:val="00C87FE2"/>
    <w:rsid w:val="00C90013"/>
    <w:rsid w:val="00C900B8"/>
    <w:rsid w:val="00C902A4"/>
    <w:rsid w:val="00C90302"/>
    <w:rsid w:val="00C903A2"/>
    <w:rsid w:val="00C90466"/>
    <w:rsid w:val="00C904BA"/>
    <w:rsid w:val="00C905D5"/>
    <w:rsid w:val="00C906AF"/>
    <w:rsid w:val="00C908BD"/>
    <w:rsid w:val="00C90B35"/>
    <w:rsid w:val="00C90C71"/>
    <w:rsid w:val="00C90D3F"/>
    <w:rsid w:val="00C9141C"/>
    <w:rsid w:val="00C914BA"/>
    <w:rsid w:val="00C91900"/>
    <w:rsid w:val="00C91FD1"/>
    <w:rsid w:val="00C9206B"/>
    <w:rsid w:val="00C92190"/>
    <w:rsid w:val="00C9220A"/>
    <w:rsid w:val="00C924EE"/>
    <w:rsid w:val="00C9287F"/>
    <w:rsid w:val="00C928AE"/>
    <w:rsid w:val="00C929DB"/>
    <w:rsid w:val="00C92BB9"/>
    <w:rsid w:val="00C9310F"/>
    <w:rsid w:val="00C931CF"/>
    <w:rsid w:val="00C93458"/>
    <w:rsid w:val="00C93595"/>
    <w:rsid w:val="00C93800"/>
    <w:rsid w:val="00C93841"/>
    <w:rsid w:val="00C938CF"/>
    <w:rsid w:val="00C93DC6"/>
    <w:rsid w:val="00C94053"/>
    <w:rsid w:val="00C94961"/>
    <w:rsid w:val="00C94B10"/>
    <w:rsid w:val="00C94C85"/>
    <w:rsid w:val="00C95196"/>
    <w:rsid w:val="00C9520E"/>
    <w:rsid w:val="00C95710"/>
    <w:rsid w:val="00C95889"/>
    <w:rsid w:val="00C959AC"/>
    <w:rsid w:val="00C95EAB"/>
    <w:rsid w:val="00C9624D"/>
    <w:rsid w:val="00C962A0"/>
    <w:rsid w:val="00C963C8"/>
    <w:rsid w:val="00C965E7"/>
    <w:rsid w:val="00C9667D"/>
    <w:rsid w:val="00C968D9"/>
    <w:rsid w:val="00C969DA"/>
    <w:rsid w:val="00C96EAD"/>
    <w:rsid w:val="00C97143"/>
    <w:rsid w:val="00C97340"/>
    <w:rsid w:val="00C97673"/>
    <w:rsid w:val="00C97AEE"/>
    <w:rsid w:val="00C97E55"/>
    <w:rsid w:val="00CA0225"/>
    <w:rsid w:val="00CA06D0"/>
    <w:rsid w:val="00CA06EE"/>
    <w:rsid w:val="00CA0758"/>
    <w:rsid w:val="00CA07E9"/>
    <w:rsid w:val="00CA08EF"/>
    <w:rsid w:val="00CA0E8F"/>
    <w:rsid w:val="00CA0FC8"/>
    <w:rsid w:val="00CA1188"/>
    <w:rsid w:val="00CA11E2"/>
    <w:rsid w:val="00CA135B"/>
    <w:rsid w:val="00CA1B64"/>
    <w:rsid w:val="00CA1D8D"/>
    <w:rsid w:val="00CA2253"/>
    <w:rsid w:val="00CA2572"/>
    <w:rsid w:val="00CA279D"/>
    <w:rsid w:val="00CA2C77"/>
    <w:rsid w:val="00CA2C8C"/>
    <w:rsid w:val="00CA2EF2"/>
    <w:rsid w:val="00CA3024"/>
    <w:rsid w:val="00CA31E9"/>
    <w:rsid w:val="00CA3338"/>
    <w:rsid w:val="00CA3AD3"/>
    <w:rsid w:val="00CA3ED2"/>
    <w:rsid w:val="00CA420A"/>
    <w:rsid w:val="00CA444F"/>
    <w:rsid w:val="00CA48DF"/>
    <w:rsid w:val="00CA4C70"/>
    <w:rsid w:val="00CA4D40"/>
    <w:rsid w:val="00CA4EFA"/>
    <w:rsid w:val="00CA50ED"/>
    <w:rsid w:val="00CA5245"/>
    <w:rsid w:val="00CA5583"/>
    <w:rsid w:val="00CA55B0"/>
    <w:rsid w:val="00CA587E"/>
    <w:rsid w:val="00CA5C5F"/>
    <w:rsid w:val="00CA5EC3"/>
    <w:rsid w:val="00CA617A"/>
    <w:rsid w:val="00CA6397"/>
    <w:rsid w:val="00CA658D"/>
    <w:rsid w:val="00CA6754"/>
    <w:rsid w:val="00CA67FB"/>
    <w:rsid w:val="00CA68DE"/>
    <w:rsid w:val="00CA6A06"/>
    <w:rsid w:val="00CA6DF5"/>
    <w:rsid w:val="00CA7131"/>
    <w:rsid w:val="00CA71F4"/>
    <w:rsid w:val="00CA78E8"/>
    <w:rsid w:val="00CA7A8F"/>
    <w:rsid w:val="00CA7B09"/>
    <w:rsid w:val="00CA7C1A"/>
    <w:rsid w:val="00CB023F"/>
    <w:rsid w:val="00CB0D4E"/>
    <w:rsid w:val="00CB0F06"/>
    <w:rsid w:val="00CB12A5"/>
    <w:rsid w:val="00CB1569"/>
    <w:rsid w:val="00CB1736"/>
    <w:rsid w:val="00CB1941"/>
    <w:rsid w:val="00CB1CAC"/>
    <w:rsid w:val="00CB1CEC"/>
    <w:rsid w:val="00CB1FD4"/>
    <w:rsid w:val="00CB2C86"/>
    <w:rsid w:val="00CB2D7B"/>
    <w:rsid w:val="00CB2F2A"/>
    <w:rsid w:val="00CB38A1"/>
    <w:rsid w:val="00CB3C7E"/>
    <w:rsid w:val="00CB3CE4"/>
    <w:rsid w:val="00CB3D4E"/>
    <w:rsid w:val="00CB3EFD"/>
    <w:rsid w:val="00CB40D5"/>
    <w:rsid w:val="00CB4136"/>
    <w:rsid w:val="00CB41D6"/>
    <w:rsid w:val="00CB4A72"/>
    <w:rsid w:val="00CB4AEA"/>
    <w:rsid w:val="00CB4B13"/>
    <w:rsid w:val="00CB50E7"/>
    <w:rsid w:val="00CB5538"/>
    <w:rsid w:val="00CB5684"/>
    <w:rsid w:val="00CB5B1A"/>
    <w:rsid w:val="00CB5C9C"/>
    <w:rsid w:val="00CB5D3E"/>
    <w:rsid w:val="00CB5E1B"/>
    <w:rsid w:val="00CB6343"/>
    <w:rsid w:val="00CB63C2"/>
    <w:rsid w:val="00CB643E"/>
    <w:rsid w:val="00CB654A"/>
    <w:rsid w:val="00CB67E0"/>
    <w:rsid w:val="00CB6B22"/>
    <w:rsid w:val="00CB6EC0"/>
    <w:rsid w:val="00CB6FDB"/>
    <w:rsid w:val="00CB7170"/>
    <w:rsid w:val="00CB7286"/>
    <w:rsid w:val="00CB74C4"/>
    <w:rsid w:val="00CB74D4"/>
    <w:rsid w:val="00CB7745"/>
    <w:rsid w:val="00CB78B7"/>
    <w:rsid w:val="00CB7A24"/>
    <w:rsid w:val="00CB7A78"/>
    <w:rsid w:val="00CB7A97"/>
    <w:rsid w:val="00CB7AA2"/>
    <w:rsid w:val="00CB7ACA"/>
    <w:rsid w:val="00CB7F5F"/>
    <w:rsid w:val="00CC0000"/>
    <w:rsid w:val="00CC01F1"/>
    <w:rsid w:val="00CC0325"/>
    <w:rsid w:val="00CC0C64"/>
    <w:rsid w:val="00CC0E04"/>
    <w:rsid w:val="00CC1248"/>
    <w:rsid w:val="00CC1B39"/>
    <w:rsid w:val="00CC1BA7"/>
    <w:rsid w:val="00CC1E6D"/>
    <w:rsid w:val="00CC1EB0"/>
    <w:rsid w:val="00CC1F56"/>
    <w:rsid w:val="00CC2788"/>
    <w:rsid w:val="00CC32BB"/>
    <w:rsid w:val="00CC35EA"/>
    <w:rsid w:val="00CC3667"/>
    <w:rsid w:val="00CC37EE"/>
    <w:rsid w:val="00CC3848"/>
    <w:rsid w:val="00CC3C86"/>
    <w:rsid w:val="00CC3DFD"/>
    <w:rsid w:val="00CC3F05"/>
    <w:rsid w:val="00CC402F"/>
    <w:rsid w:val="00CC41B3"/>
    <w:rsid w:val="00CC425D"/>
    <w:rsid w:val="00CC43B6"/>
    <w:rsid w:val="00CC4525"/>
    <w:rsid w:val="00CC47F2"/>
    <w:rsid w:val="00CC4861"/>
    <w:rsid w:val="00CC4AA7"/>
    <w:rsid w:val="00CC4D15"/>
    <w:rsid w:val="00CC4F5C"/>
    <w:rsid w:val="00CC506A"/>
    <w:rsid w:val="00CC569E"/>
    <w:rsid w:val="00CC5A1D"/>
    <w:rsid w:val="00CC5A5C"/>
    <w:rsid w:val="00CC5B3C"/>
    <w:rsid w:val="00CC5C86"/>
    <w:rsid w:val="00CC5D81"/>
    <w:rsid w:val="00CC5FC1"/>
    <w:rsid w:val="00CC6439"/>
    <w:rsid w:val="00CC6573"/>
    <w:rsid w:val="00CC65FD"/>
    <w:rsid w:val="00CC68DE"/>
    <w:rsid w:val="00CC6C00"/>
    <w:rsid w:val="00CC6E28"/>
    <w:rsid w:val="00CC6F09"/>
    <w:rsid w:val="00CC7146"/>
    <w:rsid w:val="00CC7280"/>
    <w:rsid w:val="00CC7492"/>
    <w:rsid w:val="00CC7556"/>
    <w:rsid w:val="00CC7992"/>
    <w:rsid w:val="00CC7C36"/>
    <w:rsid w:val="00CD0125"/>
    <w:rsid w:val="00CD0647"/>
    <w:rsid w:val="00CD0A46"/>
    <w:rsid w:val="00CD0B44"/>
    <w:rsid w:val="00CD0C35"/>
    <w:rsid w:val="00CD1086"/>
    <w:rsid w:val="00CD17FB"/>
    <w:rsid w:val="00CD1C0A"/>
    <w:rsid w:val="00CD247E"/>
    <w:rsid w:val="00CD25B4"/>
    <w:rsid w:val="00CD2849"/>
    <w:rsid w:val="00CD28B7"/>
    <w:rsid w:val="00CD29FD"/>
    <w:rsid w:val="00CD2EB1"/>
    <w:rsid w:val="00CD2EDF"/>
    <w:rsid w:val="00CD3038"/>
    <w:rsid w:val="00CD3183"/>
    <w:rsid w:val="00CD3572"/>
    <w:rsid w:val="00CD36FD"/>
    <w:rsid w:val="00CD3F77"/>
    <w:rsid w:val="00CD4030"/>
    <w:rsid w:val="00CD4147"/>
    <w:rsid w:val="00CD42C9"/>
    <w:rsid w:val="00CD4584"/>
    <w:rsid w:val="00CD4610"/>
    <w:rsid w:val="00CD4983"/>
    <w:rsid w:val="00CD4A29"/>
    <w:rsid w:val="00CD4BF7"/>
    <w:rsid w:val="00CD4EF1"/>
    <w:rsid w:val="00CD4FC6"/>
    <w:rsid w:val="00CD50C3"/>
    <w:rsid w:val="00CD522D"/>
    <w:rsid w:val="00CD579B"/>
    <w:rsid w:val="00CD5851"/>
    <w:rsid w:val="00CD5A16"/>
    <w:rsid w:val="00CD5E74"/>
    <w:rsid w:val="00CD67E0"/>
    <w:rsid w:val="00CD68B0"/>
    <w:rsid w:val="00CD6A5B"/>
    <w:rsid w:val="00CD6ADC"/>
    <w:rsid w:val="00CD6C71"/>
    <w:rsid w:val="00CD6EBB"/>
    <w:rsid w:val="00CD70D1"/>
    <w:rsid w:val="00CD7193"/>
    <w:rsid w:val="00CD76BE"/>
    <w:rsid w:val="00CD78A6"/>
    <w:rsid w:val="00CD78D6"/>
    <w:rsid w:val="00CD7A3B"/>
    <w:rsid w:val="00CD7A85"/>
    <w:rsid w:val="00CD7B93"/>
    <w:rsid w:val="00CD7E13"/>
    <w:rsid w:val="00CD7E3F"/>
    <w:rsid w:val="00CE03B2"/>
    <w:rsid w:val="00CE07A7"/>
    <w:rsid w:val="00CE08AA"/>
    <w:rsid w:val="00CE0B30"/>
    <w:rsid w:val="00CE0DC2"/>
    <w:rsid w:val="00CE0ECD"/>
    <w:rsid w:val="00CE138D"/>
    <w:rsid w:val="00CE1728"/>
    <w:rsid w:val="00CE1902"/>
    <w:rsid w:val="00CE1A19"/>
    <w:rsid w:val="00CE1B8D"/>
    <w:rsid w:val="00CE1BA5"/>
    <w:rsid w:val="00CE1E50"/>
    <w:rsid w:val="00CE1F11"/>
    <w:rsid w:val="00CE22AC"/>
    <w:rsid w:val="00CE22F5"/>
    <w:rsid w:val="00CE25AC"/>
    <w:rsid w:val="00CE26A1"/>
    <w:rsid w:val="00CE2794"/>
    <w:rsid w:val="00CE2813"/>
    <w:rsid w:val="00CE2E39"/>
    <w:rsid w:val="00CE2EFF"/>
    <w:rsid w:val="00CE368A"/>
    <w:rsid w:val="00CE38C8"/>
    <w:rsid w:val="00CE3DC5"/>
    <w:rsid w:val="00CE3EC5"/>
    <w:rsid w:val="00CE45A0"/>
    <w:rsid w:val="00CE4802"/>
    <w:rsid w:val="00CE4862"/>
    <w:rsid w:val="00CE52B6"/>
    <w:rsid w:val="00CE545D"/>
    <w:rsid w:val="00CE556A"/>
    <w:rsid w:val="00CE562B"/>
    <w:rsid w:val="00CE58CC"/>
    <w:rsid w:val="00CE5B94"/>
    <w:rsid w:val="00CE5CDD"/>
    <w:rsid w:val="00CE6274"/>
    <w:rsid w:val="00CE62CA"/>
    <w:rsid w:val="00CE6918"/>
    <w:rsid w:val="00CE6996"/>
    <w:rsid w:val="00CE6C6F"/>
    <w:rsid w:val="00CE762A"/>
    <w:rsid w:val="00CE7689"/>
    <w:rsid w:val="00CE77B6"/>
    <w:rsid w:val="00CE77DD"/>
    <w:rsid w:val="00CE7CBC"/>
    <w:rsid w:val="00CF0318"/>
    <w:rsid w:val="00CF0320"/>
    <w:rsid w:val="00CF03C6"/>
    <w:rsid w:val="00CF08E8"/>
    <w:rsid w:val="00CF0A1C"/>
    <w:rsid w:val="00CF0AF0"/>
    <w:rsid w:val="00CF0B2F"/>
    <w:rsid w:val="00CF0DDA"/>
    <w:rsid w:val="00CF0DF6"/>
    <w:rsid w:val="00CF0F42"/>
    <w:rsid w:val="00CF1174"/>
    <w:rsid w:val="00CF131C"/>
    <w:rsid w:val="00CF155B"/>
    <w:rsid w:val="00CF156F"/>
    <w:rsid w:val="00CF1777"/>
    <w:rsid w:val="00CF1930"/>
    <w:rsid w:val="00CF1BBA"/>
    <w:rsid w:val="00CF1D82"/>
    <w:rsid w:val="00CF1E5F"/>
    <w:rsid w:val="00CF21C9"/>
    <w:rsid w:val="00CF28F7"/>
    <w:rsid w:val="00CF2B8D"/>
    <w:rsid w:val="00CF2C29"/>
    <w:rsid w:val="00CF3488"/>
    <w:rsid w:val="00CF3728"/>
    <w:rsid w:val="00CF3A6A"/>
    <w:rsid w:val="00CF3C11"/>
    <w:rsid w:val="00CF3CD3"/>
    <w:rsid w:val="00CF41D4"/>
    <w:rsid w:val="00CF4335"/>
    <w:rsid w:val="00CF456B"/>
    <w:rsid w:val="00CF4868"/>
    <w:rsid w:val="00CF4D0E"/>
    <w:rsid w:val="00CF4F16"/>
    <w:rsid w:val="00CF4F21"/>
    <w:rsid w:val="00CF5398"/>
    <w:rsid w:val="00CF5772"/>
    <w:rsid w:val="00CF5960"/>
    <w:rsid w:val="00CF5A22"/>
    <w:rsid w:val="00CF5B4F"/>
    <w:rsid w:val="00CF5B98"/>
    <w:rsid w:val="00CF5BCC"/>
    <w:rsid w:val="00CF5C49"/>
    <w:rsid w:val="00CF657F"/>
    <w:rsid w:val="00CF67B0"/>
    <w:rsid w:val="00CF6EE0"/>
    <w:rsid w:val="00CF6F04"/>
    <w:rsid w:val="00CF7D4B"/>
    <w:rsid w:val="00D00086"/>
    <w:rsid w:val="00D000E0"/>
    <w:rsid w:val="00D005BA"/>
    <w:rsid w:val="00D0080E"/>
    <w:rsid w:val="00D00EF3"/>
    <w:rsid w:val="00D00F1A"/>
    <w:rsid w:val="00D010F8"/>
    <w:rsid w:val="00D01441"/>
    <w:rsid w:val="00D01BFF"/>
    <w:rsid w:val="00D01C24"/>
    <w:rsid w:val="00D01D02"/>
    <w:rsid w:val="00D02539"/>
    <w:rsid w:val="00D0261D"/>
    <w:rsid w:val="00D0262E"/>
    <w:rsid w:val="00D02891"/>
    <w:rsid w:val="00D02EA6"/>
    <w:rsid w:val="00D03B69"/>
    <w:rsid w:val="00D03F3D"/>
    <w:rsid w:val="00D04102"/>
    <w:rsid w:val="00D0450F"/>
    <w:rsid w:val="00D0486A"/>
    <w:rsid w:val="00D04B11"/>
    <w:rsid w:val="00D04B52"/>
    <w:rsid w:val="00D04C3D"/>
    <w:rsid w:val="00D04CEF"/>
    <w:rsid w:val="00D04D91"/>
    <w:rsid w:val="00D0598D"/>
    <w:rsid w:val="00D05C30"/>
    <w:rsid w:val="00D05E3D"/>
    <w:rsid w:val="00D05F75"/>
    <w:rsid w:val="00D06021"/>
    <w:rsid w:val="00D0608F"/>
    <w:rsid w:val="00D060E8"/>
    <w:rsid w:val="00D06139"/>
    <w:rsid w:val="00D06205"/>
    <w:rsid w:val="00D066A0"/>
    <w:rsid w:val="00D06736"/>
    <w:rsid w:val="00D06B6A"/>
    <w:rsid w:val="00D06BA5"/>
    <w:rsid w:val="00D06C47"/>
    <w:rsid w:val="00D06CA5"/>
    <w:rsid w:val="00D06EDB"/>
    <w:rsid w:val="00D07334"/>
    <w:rsid w:val="00D07546"/>
    <w:rsid w:val="00D077AE"/>
    <w:rsid w:val="00D07F17"/>
    <w:rsid w:val="00D10112"/>
    <w:rsid w:val="00D1035C"/>
    <w:rsid w:val="00D1076B"/>
    <w:rsid w:val="00D1083F"/>
    <w:rsid w:val="00D1085D"/>
    <w:rsid w:val="00D10A13"/>
    <w:rsid w:val="00D10B27"/>
    <w:rsid w:val="00D10DBF"/>
    <w:rsid w:val="00D10F4E"/>
    <w:rsid w:val="00D110BD"/>
    <w:rsid w:val="00D11128"/>
    <w:rsid w:val="00D11296"/>
    <w:rsid w:val="00D11441"/>
    <w:rsid w:val="00D11584"/>
    <w:rsid w:val="00D11665"/>
    <w:rsid w:val="00D11774"/>
    <w:rsid w:val="00D118D2"/>
    <w:rsid w:val="00D123F7"/>
    <w:rsid w:val="00D12AF0"/>
    <w:rsid w:val="00D12C43"/>
    <w:rsid w:val="00D1312D"/>
    <w:rsid w:val="00D134FF"/>
    <w:rsid w:val="00D1350A"/>
    <w:rsid w:val="00D13675"/>
    <w:rsid w:val="00D137CA"/>
    <w:rsid w:val="00D13936"/>
    <w:rsid w:val="00D13A0B"/>
    <w:rsid w:val="00D13AC6"/>
    <w:rsid w:val="00D13ACC"/>
    <w:rsid w:val="00D13BD5"/>
    <w:rsid w:val="00D13D91"/>
    <w:rsid w:val="00D1407B"/>
    <w:rsid w:val="00D1417F"/>
    <w:rsid w:val="00D141E1"/>
    <w:rsid w:val="00D145BA"/>
    <w:rsid w:val="00D1465D"/>
    <w:rsid w:val="00D14686"/>
    <w:rsid w:val="00D14937"/>
    <w:rsid w:val="00D14BB1"/>
    <w:rsid w:val="00D14F46"/>
    <w:rsid w:val="00D15011"/>
    <w:rsid w:val="00D15105"/>
    <w:rsid w:val="00D15314"/>
    <w:rsid w:val="00D15966"/>
    <w:rsid w:val="00D164DC"/>
    <w:rsid w:val="00D16CDF"/>
    <w:rsid w:val="00D16E5C"/>
    <w:rsid w:val="00D16F66"/>
    <w:rsid w:val="00D1713C"/>
    <w:rsid w:val="00D174D7"/>
    <w:rsid w:val="00D1775A"/>
    <w:rsid w:val="00D17A0E"/>
    <w:rsid w:val="00D17ABF"/>
    <w:rsid w:val="00D17D6C"/>
    <w:rsid w:val="00D17D6F"/>
    <w:rsid w:val="00D17ED0"/>
    <w:rsid w:val="00D202B3"/>
    <w:rsid w:val="00D202FE"/>
    <w:rsid w:val="00D20A30"/>
    <w:rsid w:val="00D20A9B"/>
    <w:rsid w:val="00D20D8E"/>
    <w:rsid w:val="00D210F6"/>
    <w:rsid w:val="00D213C3"/>
    <w:rsid w:val="00D214B0"/>
    <w:rsid w:val="00D2155B"/>
    <w:rsid w:val="00D21879"/>
    <w:rsid w:val="00D21C41"/>
    <w:rsid w:val="00D21D55"/>
    <w:rsid w:val="00D22176"/>
    <w:rsid w:val="00D22310"/>
    <w:rsid w:val="00D22AA8"/>
    <w:rsid w:val="00D22BC2"/>
    <w:rsid w:val="00D22C5F"/>
    <w:rsid w:val="00D23235"/>
    <w:rsid w:val="00D233DE"/>
    <w:rsid w:val="00D23577"/>
    <w:rsid w:val="00D23D11"/>
    <w:rsid w:val="00D23DD1"/>
    <w:rsid w:val="00D24116"/>
    <w:rsid w:val="00D241C5"/>
    <w:rsid w:val="00D24450"/>
    <w:rsid w:val="00D244B6"/>
    <w:rsid w:val="00D246C7"/>
    <w:rsid w:val="00D2481E"/>
    <w:rsid w:val="00D248E9"/>
    <w:rsid w:val="00D24B85"/>
    <w:rsid w:val="00D24CB1"/>
    <w:rsid w:val="00D250D5"/>
    <w:rsid w:val="00D2564F"/>
    <w:rsid w:val="00D256D3"/>
    <w:rsid w:val="00D25CA3"/>
    <w:rsid w:val="00D25DE4"/>
    <w:rsid w:val="00D26104"/>
    <w:rsid w:val="00D26239"/>
    <w:rsid w:val="00D267D9"/>
    <w:rsid w:val="00D26C79"/>
    <w:rsid w:val="00D26D2A"/>
    <w:rsid w:val="00D26F6B"/>
    <w:rsid w:val="00D272E6"/>
    <w:rsid w:val="00D2754D"/>
    <w:rsid w:val="00D27822"/>
    <w:rsid w:val="00D27AC8"/>
    <w:rsid w:val="00D27B27"/>
    <w:rsid w:val="00D27D4E"/>
    <w:rsid w:val="00D27F23"/>
    <w:rsid w:val="00D303C9"/>
    <w:rsid w:val="00D30402"/>
    <w:rsid w:val="00D3042D"/>
    <w:rsid w:val="00D30527"/>
    <w:rsid w:val="00D30D98"/>
    <w:rsid w:val="00D30EDB"/>
    <w:rsid w:val="00D3135F"/>
    <w:rsid w:val="00D3179E"/>
    <w:rsid w:val="00D317DE"/>
    <w:rsid w:val="00D31852"/>
    <w:rsid w:val="00D318FB"/>
    <w:rsid w:val="00D32359"/>
    <w:rsid w:val="00D3244D"/>
    <w:rsid w:val="00D32463"/>
    <w:rsid w:val="00D32A65"/>
    <w:rsid w:val="00D32DE3"/>
    <w:rsid w:val="00D33289"/>
    <w:rsid w:val="00D332FD"/>
    <w:rsid w:val="00D333AC"/>
    <w:rsid w:val="00D334EC"/>
    <w:rsid w:val="00D33740"/>
    <w:rsid w:val="00D33772"/>
    <w:rsid w:val="00D33AC7"/>
    <w:rsid w:val="00D33BE9"/>
    <w:rsid w:val="00D33DC0"/>
    <w:rsid w:val="00D33EC7"/>
    <w:rsid w:val="00D33F93"/>
    <w:rsid w:val="00D340CD"/>
    <w:rsid w:val="00D34370"/>
    <w:rsid w:val="00D343E5"/>
    <w:rsid w:val="00D346DB"/>
    <w:rsid w:val="00D34DBB"/>
    <w:rsid w:val="00D3518F"/>
    <w:rsid w:val="00D351C4"/>
    <w:rsid w:val="00D357FF"/>
    <w:rsid w:val="00D35972"/>
    <w:rsid w:val="00D35AEC"/>
    <w:rsid w:val="00D35CC1"/>
    <w:rsid w:val="00D3613A"/>
    <w:rsid w:val="00D362CD"/>
    <w:rsid w:val="00D363B0"/>
    <w:rsid w:val="00D36487"/>
    <w:rsid w:val="00D36615"/>
    <w:rsid w:val="00D36671"/>
    <w:rsid w:val="00D3680E"/>
    <w:rsid w:val="00D3682A"/>
    <w:rsid w:val="00D36C68"/>
    <w:rsid w:val="00D36DA7"/>
    <w:rsid w:val="00D36F53"/>
    <w:rsid w:val="00D37436"/>
    <w:rsid w:val="00D37873"/>
    <w:rsid w:val="00D3794E"/>
    <w:rsid w:val="00D37B13"/>
    <w:rsid w:val="00D37BFA"/>
    <w:rsid w:val="00D37D20"/>
    <w:rsid w:val="00D40058"/>
    <w:rsid w:val="00D40263"/>
    <w:rsid w:val="00D4107A"/>
    <w:rsid w:val="00D410AB"/>
    <w:rsid w:val="00D41510"/>
    <w:rsid w:val="00D4179C"/>
    <w:rsid w:val="00D41B66"/>
    <w:rsid w:val="00D420A2"/>
    <w:rsid w:val="00D424C7"/>
    <w:rsid w:val="00D428EE"/>
    <w:rsid w:val="00D42B14"/>
    <w:rsid w:val="00D42DD4"/>
    <w:rsid w:val="00D42E2F"/>
    <w:rsid w:val="00D42F1A"/>
    <w:rsid w:val="00D43909"/>
    <w:rsid w:val="00D43B2A"/>
    <w:rsid w:val="00D43D83"/>
    <w:rsid w:val="00D43E3F"/>
    <w:rsid w:val="00D43E52"/>
    <w:rsid w:val="00D43F1D"/>
    <w:rsid w:val="00D43F97"/>
    <w:rsid w:val="00D44039"/>
    <w:rsid w:val="00D44378"/>
    <w:rsid w:val="00D44920"/>
    <w:rsid w:val="00D44949"/>
    <w:rsid w:val="00D44EDA"/>
    <w:rsid w:val="00D451E5"/>
    <w:rsid w:val="00D45278"/>
    <w:rsid w:val="00D45538"/>
    <w:rsid w:val="00D458A1"/>
    <w:rsid w:val="00D45938"/>
    <w:rsid w:val="00D45BA0"/>
    <w:rsid w:val="00D45E3D"/>
    <w:rsid w:val="00D4642A"/>
    <w:rsid w:val="00D465F5"/>
    <w:rsid w:val="00D47076"/>
    <w:rsid w:val="00D4727F"/>
    <w:rsid w:val="00D47575"/>
    <w:rsid w:val="00D47674"/>
    <w:rsid w:val="00D476DE"/>
    <w:rsid w:val="00D47D66"/>
    <w:rsid w:val="00D501F4"/>
    <w:rsid w:val="00D5028C"/>
    <w:rsid w:val="00D505EB"/>
    <w:rsid w:val="00D50764"/>
    <w:rsid w:val="00D5089F"/>
    <w:rsid w:val="00D50C0D"/>
    <w:rsid w:val="00D50C88"/>
    <w:rsid w:val="00D51296"/>
    <w:rsid w:val="00D51457"/>
    <w:rsid w:val="00D518C1"/>
    <w:rsid w:val="00D519C6"/>
    <w:rsid w:val="00D51AAC"/>
    <w:rsid w:val="00D51C52"/>
    <w:rsid w:val="00D51E33"/>
    <w:rsid w:val="00D52142"/>
    <w:rsid w:val="00D5243B"/>
    <w:rsid w:val="00D5248E"/>
    <w:rsid w:val="00D524FB"/>
    <w:rsid w:val="00D52667"/>
    <w:rsid w:val="00D529CE"/>
    <w:rsid w:val="00D52B9C"/>
    <w:rsid w:val="00D52CAB"/>
    <w:rsid w:val="00D53081"/>
    <w:rsid w:val="00D533EC"/>
    <w:rsid w:val="00D5393C"/>
    <w:rsid w:val="00D53B5B"/>
    <w:rsid w:val="00D53F6E"/>
    <w:rsid w:val="00D540DC"/>
    <w:rsid w:val="00D5422D"/>
    <w:rsid w:val="00D54B2B"/>
    <w:rsid w:val="00D54C5D"/>
    <w:rsid w:val="00D54F13"/>
    <w:rsid w:val="00D55920"/>
    <w:rsid w:val="00D5614D"/>
    <w:rsid w:val="00D5673D"/>
    <w:rsid w:val="00D56898"/>
    <w:rsid w:val="00D56A95"/>
    <w:rsid w:val="00D5700B"/>
    <w:rsid w:val="00D57067"/>
    <w:rsid w:val="00D57495"/>
    <w:rsid w:val="00D574A8"/>
    <w:rsid w:val="00D574B2"/>
    <w:rsid w:val="00D57BE3"/>
    <w:rsid w:val="00D57C95"/>
    <w:rsid w:val="00D57CC6"/>
    <w:rsid w:val="00D57DDB"/>
    <w:rsid w:val="00D60BD9"/>
    <w:rsid w:val="00D60BDD"/>
    <w:rsid w:val="00D60D71"/>
    <w:rsid w:val="00D60DF3"/>
    <w:rsid w:val="00D6100E"/>
    <w:rsid w:val="00D61109"/>
    <w:rsid w:val="00D61DE8"/>
    <w:rsid w:val="00D62097"/>
    <w:rsid w:val="00D621DB"/>
    <w:rsid w:val="00D62825"/>
    <w:rsid w:val="00D62AD5"/>
    <w:rsid w:val="00D62C48"/>
    <w:rsid w:val="00D633ED"/>
    <w:rsid w:val="00D634BB"/>
    <w:rsid w:val="00D63595"/>
    <w:rsid w:val="00D636BC"/>
    <w:rsid w:val="00D63B8D"/>
    <w:rsid w:val="00D63F40"/>
    <w:rsid w:val="00D640CF"/>
    <w:rsid w:val="00D64379"/>
    <w:rsid w:val="00D64A69"/>
    <w:rsid w:val="00D64BA7"/>
    <w:rsid w:val="00D64BD9"/>
    <w:rsid w:val="00D65754"/>
    <w:rsid w:val="00D65761"/>
    <w:rsid w:val="00D65A58"/>
    <w:rsid w:val="00D65DA3"/>
    <w:rsid w:val="00D65E5C"/>
    <w:rsid w:val="00D661DD"/>
    <w:rsid w:val="00D66212"/>
    <w:rsid w:val="00D66364"/>
    <w:rsid w:val="00D66832"/>
    <w:rsid w:val="00D669DB"/>
    <w:rsid w:val="00D66B08"/>
    <w:rsid w:val="00D66B67"/>
    <w:rsid w:val="00D66C2D"/>
    <w:rsid w:val="00D66C57"/>
    <w:rsid w:val="00D66DBB"/>
    <w:rsid w:val="00D673A8"/>
    <w:rsid w:val="00D676D2"/>
    <w:rsid w:val="00D67843"/>
    <w:rsid w:val="00D67A4A"/>
    <w:rsid w:val="00D67BBF"/>
    <w:rsid w:val="00D7017E"/>
    <w:rsid w:val="00D70240"/>
    <w:rsid w:val="00D702E1"/>
    <w:rsid w:val="00D7071C"/>
    <w:rsid w:val="00D70783"/>
    <w:rsid w:val="00D70900"/>
    <w:rsid w:val="00D70923"/>
    <w:rsid w:val="00D70959"/>
    <w:rsid w:val="00D70BB1"/>
    <w:rsid w:val="00D70DAE"/>
    <w:rsid w:val="00D70E86"/>
    <w:rsid w:val="00D70F16"/>
    <w:rsid w:val="00D712C0"/>
    <w:rsid w:val="00D715B7"/>
    <w:rsid w:val="00D71721"/>
    <w:rsid w:val="00D71A2F"/>
    <w:rsid w:val="00D71E1E"/>
    <w:rsid w:val="00D725E1"/>
    <w:rsid w:val="00D7273D"/>
    <w:rsid w:val="00D72DFA"/>
    <w:rsid w:val="00D72F57"/>
    <w:rsid w:val="00D73027"/>
    <w:rsid w:val="00D7344E"/>
    <w:rsid w:val="00D736D2"/>
    <w:rsid w:val="00D7378C"/>
    <w:rsid w:val="00D740CE"/>
    <w:rsid w:val="00D74194"/>
    <w:rsid w:val="00D74419"/>
    <w:rsid w:val="00D7490E"/>
    <w:rsid w:val="00D74944"/>
    <w:rsid w:val="00D74B7B"/>
    <w:rsid w:val="00D74BEA"/>
    <w:rsid w:val="00D74EC3"/>
    <w:rsid w:val="00D74F1F"/>
    <w:rsid w:val="00D753DD"/>
    <w:rsid w:val="00D754FD"/>
    <w:rsid w:val="00D75B84"/>
    <w:rsid w:val="00D75BDF"/>
    <w:rsid w:val="00D75CF2"/>
    <w:rsid w:val="00D7615E"/>
    <w:rsid w:val="00D76A44"/>
    <w:rsid w:val="00D76AA7"/>
    <w:rsid w:val="00D76B58"/>
    <w:rsid w:val="00D76E1A"/>
    <w:rsid w:val="00D76E74"/>
    <w:rsid w:val="00D76FEF"/>
    <w:rsid w:val="00D7705E"/>
    <w:rsid w:val="00D77327"/>
    <w:rsid w:val="00D77444"/>
    <w:rsid w:val="00D77563"/>
    <w:rsid w:val="00D7765C"/>
    <w:rsid w:val="00D77CF7"/>
    <w:rsid w:val="00D801F0"/>
    <w:rsid w:val="00D8051F"/>
    <w:rsid w:val="00D805C0"/>
    <w:rsid w:val="00D806F5"/>
    <w:rsid w:val="00D80731"/>
    <w:rsid w:val="00D80797"/>
    <w:rsid w:val="00D80AD2"/>
    <w:rsid w:val="00D80E24"/>
    <w:rsid w:val="00D80FA5"/>
    <w:rsid w:val="00D811D2"/>
    <w:rsid w:val="00D81488"/>
    <w:rsid w:val="00D815EF"/>
    <w:rsid w:val="00D81604"/>
    <w:rsid w:val="00D81ACC"/>
    <w:rsid w:val="00D81BDE"/>
    <w:rsid w:val="00D81CA9"/>
    <w:rsid w:val="00D81E97"/>
    <w:rsid w:val="00D81F26"/>
    <w:rsid w:val="00D82731"/>
    <w:rsid w:val="00D82773"/>
    <w:rsid w:val="00D829D2"/>
    <w:rsid w:val="00D82B48"/>
    <w:rsid w:val="00D82D7C"/>
    <w:rsid w:val="00D82E78"/>
    <w:rsid w:val="00D82E97"/>
    <w:rsid w:val="00D83335"/>
    <w:rsid w:val="00D83448"/>
    <w:rsid w:val="00D835CD"/>
    <w:rsid w:val="00D83996"/>
    <w:rsid w:val="00D83AA6"/>
    <w:rsid w:val="00D83C23"/>
    <w:rsid w:val="00D83DDF"/>
    <w:rsid w:val="00D83FD1"/>
    <w:rsid w:val="00D841C5"/>
    <w:rsid w:val="00D8427D"/>
    <w:rsid w:val="00D84362"/>
    <w:rsid w:val="00D848F5"/>
    <w:rsid w:val="00D84C91"/>
    <w:rsid w:val="00D8553C"/>
    <w:rsid w:val="00D85829"/>
    <w:rsid w:val="00D85C90"/>
    <w:rsid w:val="00D85EEE"/>
    <w:rsid w:val="00D86231"/>
    <w:rsid w:val="00D8647C"/>
    <w:rsid w:val="00D86651"/>
    <w:rsid w:val="00D866A4"/>
    <w:rsid w:val="00D867A4"/>
    <w:rsid w:val="00D867F6"/>
    <w:rsid w:val="00D86899"/>
    <w:rsid w:val="00D86E02"/>
    <w:rsid w:val="00D86E9B"/>
    <w:rsid w:val="00D86EC6"/>
    <w:rsid w:val="00D871D9"/>
    <w:rsid w:val="00D874FF"/>
    <w:rsid w:val="00D87DCA"/>
    <w:rsid w:val="00D900FB"/>
    <w:rsid w:val="00D904B2"/>
    <w:rsid w:val="00D90D15"/>
    <w:rsid w:val="00D90D35"/>
    <w:rsid w:val="00D913E7"/>
    <w:rsid w:val="00D915EE"/>
    <w:rsid w:val="00D916EA"/>
    <w:rsid w:val="00D91923"/>
    <w:rsid w:val="00D91DFF"/>
    <w:rsid w:val="00D91E0F"/>
    <w:rsid w:val="00D92031"/>
    <w:rsid w:val="00D9222C"/>
    <w:rsid w:val="00D92C1C"/>
    <w:rsid w:val="00D92DCE"/>
    <w:rsid w:val="00D93341"/>
    <w:rsid w:val="00D934E8"/>
    <w:rsid w:val="00D93753"/>
    <w:rsid w:val="00D93965"/>
    <w:rsid w:val="00D93B2D"/>
    <w:rsid w:val="00D93B79"/>
    <w:rsid w:val="00D93FF3"/>
    <w:rsid w:val="00D94189"/>
    <w:rsid w:val="00D94255"/>
    <w:rsid w:val="00D94640"/>
    <w:rsid w:val="00D94713"/>
    <w:rsid w:val="00D94DE2"/>
    <w:rsid w:val="00D9579A"/>
    <w:rsid w:val="00D957D3"/>
    <w:rsid w:val="00D957FE"/>
    <w:rsid w:val="00D95A1C"/>
    <w:rsid w:val="00D95C86"/>
    <w:rsid w:val="00D95F8C"/>
    <w:rsid w:val="00D96680"/>
    <w:rsid w:val="00D966A1"/>
    <w:rsid w:val="00D96816"/>
    <w:rsid w:val="00D96BD9"/>
    <w:rsid w:val="00D96E3B"/>
    <w:rsid w:val="00D96EC4"/>
    <w:rsid w:val="00D96EDE"/>
    <w:rsid w:val="00D96F7A"/>
    <w:rsid w:val="00D97121"/>
    <w:rsid w:val="00D97E0E"/>
    <w:rsid w:val="00D97FF7"/>
    <w:rsid w:val="00DA0470"/>
    <w:rsid w:val="00DA06AC"/>
    <w:rsid w:val="00DA06B9"/>
    <w:rsid w:val="00DA06C4"/>
    <w:rsid w:val="00DA0BB1"/>
    <w:rsid w:val="00DA0CEF"/>
    <w:rsid w:val="00DA0D20"/>
    <w:rsid w:val="00DA0E42"/>
    <w:rsid w:val="00DA0F47"/>
    <w:rsid w:val="00DA0FFA"/>
    <w:rsid w:val="00DA11DC"/>
    <w:rsid w:val="00DA1386"/>
    <w:rsid w:val="00DA13C4"/>
    <w:rsid w:val="00DA1587"/>
    <w:rsid w:val="00DA2029"/>
    <w:rsid w:val="00DA28E7"/>
    <w:rsid w:val="00DA2A5A"/>
    <w:rsid w:val="00DA3167"/>
    <w:rsid w:val="00DA31D5"/>
    <w:rsid w:val="00DA3528"/>
    <w:rsid w:val="00DA3689"/>
    <w:rsid w:val="00DA371B"/>
    <w:rsid w:val="00DA3722"/>
    <w:rsid w:val="00DA3986"/>
    <w:rsid w:val="00DA399A"/>
    <w:rsid w:val="00DA39F7"/>
    <w:rsid w:val="00DA3BED"/>
    <w:rsid w:val="00DA3E0A"/>
    <w:rsid w:val="00DA3FDB"/>
    <w:rsid w:val="00DA3FE6"/>
    <w:rsid w:val="00DA41B8"/>
    <w:rsid w:val="00DA41EE"/>
    <w:rsid w:val="00DA41FF"/>
    <w:rsid w:val="00DA43E5"/>
    <w:rsid w:val="00DA4570"/>
    <w:rsid w:val="00DA4821"/>
    <w:rsid w:val="00DA48E2"/>
    <w:rsid w:val="00DA495B"/>
    <w:rsid w:val="00DA4DC3"/>
    <w:rsid w:val="00DA4E5A"/>
    <w:rsid w:val="00DA4EBF"/>
    <w:rsid w:val="00DA5009"/>
    <w:rsid w:val="00DA52E5"/>
    <w:rsid w:val="00DA539E"/>
    <w:rsid w:val="00DA5D07"/>
    <w:rsid w:val="00DA5D93"/>
    <w:rsid w:val="00DA5DB4"/>
    <w:rsid w:val="00DA5E0D"/>
    <w:rsid w:val="00DA60FF"/>
    <w:rsid w:val="00DA6407"/>
    <w:rsid w:val="00DA65C6"/>
    <w:rsid w:val="00DA65DA"/>
    <w:rsid w:val="00DA697D"/>
    <w:rsid w:val="00DA6CBD"/>
    <w:rsid w:val="00DA6CCE"/>
    <w:rsid w:val="00DA71CA"/>
    <w:rsid w:val="00DA720A"/>
    <w:rsid w:val="00DA73CE"/>
    <w:rsid w:val="00DA77A5"/>
    <w:rsid w:val="00DA7829"/>
    <w:rsid w:val="00DA7F2C"/>
    <w:rsid w:val="00DA7F3E"/>
    <w:rsid w:val="00DB0175"/>
    <w:rsid w:val="00DB01F2"/>
    <w:rsid w:val="00DB021B"/>
    <w:rsid w:val="00DB042A"/>
    <w:rsid w:val="00DB07FC"/>
    <w:rsid w:val="00DB09A8"/>
    <w:rsid w:val="00DB0CDB"/>
    <w:rsid w:val="00DB10AD"/>
    <w:rsid w:val="00DB178F"/>
    <w:rsid w:val="00DB2352"/>
    <w:rsid w:val="00DB247D"/>
    <w:rsid w:val="00DB2603"/>
    <w:rsid w:val="00DB2615"/>
    <w:rsid w:val="00DB28B2"/>
    <w:rsid w:val="00DB28FB"/>
    <w:rsid w:val="00DB2CAC"/>
    <w:rsid w:val="00DB2E43"/>
    <w:rsid w:val="00DB3485"/>
    <w:rsid w:val="00DB348D"/>
    <w:rsid w:val="00DB36FA"/>
    <w:rsid w:val="00DB3777"/>
    <w:rsid w:val="00DB3C2B"/>
    <w:rsid w:val="00DB3DBF"/>
    <w:rsid w:val="00DB3E3E"/>
    <w:rsid w:val="00DB4466"/>
    <w:rsid w:val="00DB4474"/>
    <w:rsid w:val="00DB46F5"/>
    <w:rsid w:val="00DB484F"/>
    <w:rsid w:val="00DB4C07"/>
    <w:rsid w:val="00DB4C1E"/>
    <w:rsid w:val="00DB4D4A"/>
    <w:rsid w:val="00DB4D56"/>
    <w:rsid w:val="00DB5497"/>
    <w:rsid w:val="00DB566D"/>
    <w:rsid w:val="00DB56A0"/>
    <w:rsid w:val="00DB5DD5"/>
    <w:rsid w:val="00DB5EE7"/>
    <w:rsid w:val="00DB5F28"/>
    <w:rsid w:val="00DB64C3"/>
    <w:rsid w:val="00DB651A"/>
    <w:rsid w:val="00DB65A1"/>
    <w:rsid w:val="00DB6953"/>
    <w:rsid w:val="00DB6CE3"/>
    <w:rsid w:val="00DB7577"/>
    <w:rsid w:val="00DB78E6"/>
    <w:rsid w:val="00DB793B"/>
    <w:rsid w:val="00DB793E"/>
    <w:rsid w:val="00DB795A"/>
    <w:rsid w:val="00DB7A02"/>
    <w:rsid w:val="00DC0250"/>
    <w:rsid w:val="00DC03AB"/>
    <w:rsid w:val="00DC04F6"/>
    <w:rsid w:val="00DC0612"/>
    <w:rsid w:val="00DC0690"/>
    <w:rsid w:val="00DC0F25"/>
    <w:rsid w:val="00DC150F"/>
    <w:rsid w:val="00DC151F"/>
    <w:rsid w:val="00DC16D9"/>
    <w:rsid w:val="00DC1B1A"/>
    <w:rsid w:val="00DC1C4E"/>
    <w:rsid w:val="00DC1C4F"/>
    <w:rsid w:val="00DC1C80"/>
    <w:rsid w:val="00DC1D65"/>
    <w:rsid w:val="00DC1ED4"/>
    <w:rsid w:val="00DC1FB0"/>
    <w:rsid w:val="00DC209E"/>
    <w:rsid w:val="00DC2400"/>
    <w:rsid w:val="00DC263D"/>
    <w:rsid w:val="00DC2690"/>
    <w:rsid w:val="00DC29CF"/>
    <w:rsid w:val="00DC3063"/>
    <w:rsid w:val="00DC324D"/>
    <w:rsid w:val="00DC3353"/>
    <w:rsid w:val="00DC36CA"/>
    <w:rsid w:val="00DC3859"/>
    <w:rsid w:val="00DC3931"/>
    <w:rsid w:val="00DC3AFC"/>
    <w:rsid w:val="00DC3B88"/>
    <w:rsid w:val="00DC3C57"/>
    <w:rsid w:val="00DC3C9E"/>
    <w:rsid w:val="00DC4384"/>
    <w:rsid w:val="00DC43EE"/>
    <w:rsid w:val="00DC4659"/>
    <w:rsid w:val="00DC4820"/>
    <w:rsid w:val="00DC4BAF"/>
    <w:rsid w:val="00DC51E2"/>
    <w:rsid w:val="00DC52C4"/>
    <w:rsid w:val="00DC5501"/>
    <w:rsid w:val="00DC5A39"/>
    <w:rsid w:val="00DC62A5"/>
    <w:rsid w:val="00DC62C1"/>
    <w:rsid w:val="00DC67F2"/>
    <w:rsid w:val="00DC69C8"/>
    <w:rsid w:val="00DC6D44"/>
    <w:rsid w:val="00DC6D52"/>
    <w:rsid w:val="00DC6E33"/>
    <w:rsid w:val="00DC6E61"/>
    <w:rsid w:val="00DC714E"/>
    <w:rsid w:val="00DC7154"/>
    <w:rsid w:val="00DC71C2"/>
    <w:rsid w:val="00DC72D9"/>
    <w:rsid w:val="00DC75BF"/>
    <w:rsid w:val="00DC764D"/>
    <w:rsid w:val="00DC7E8A"/>
    <w:rsid w:val="00DD0096"/>
    <w:rsid w:val="00DD0360"/>
    <w:rsid w:val="00DD03C2"/>
    <w:rsid w:val="00DD065F"/>
    <w:rsid w:val="00DD073B"/>
    <w:rsid w:val="00DD0DAC"/>
    <w:rsid w:val="00DD0F78"/>
    <w:rsid w:val="00DD10C7"/>
    <w:rsid w:val="00DD110F"/>
    <w:rsid w:val="00DD1364"/>
    <w:rsid w:val="00DD143F"/>
    <w:rsid w:val="00DD178D"/>
    <w:rsid w:val="00DD18F7"/>
    <w:rsid w:val="00DD1A2A"/>
    <w:rsid w:val="00DD1DB6"/>
    <w:rsid w:val="00DD1EBE"/>
    <w:rsid w:val="00DD24BD"/>
    <w:rsid w:val="00DD272B"/>
    <w:rsid w:val="00DD273C"/>
    <w:rsid w:val="00DD2793"/>
    <w:rsid w:val="00DD288B"/>
    <w:rsid w:val="00DD3202"/>
    <w:rsid w:val="00DD320B"/>
    <w:rsid w:val="00DD3588"/>
    <w:rsid w:val="00DD364A"/>
    <w:rsid w:val="00DD3974"/>
    <w:rsid w:val="00DD3C13"/>
    <w:rsid w:val="00DD3CAD"/>
    <w:rsid w:val="00DD3D07"/>
    <w:rsid w:val="00DD3F28"/>
    <w:rsid w:val="00DD42F4"/>
    <w:rsid w:val="00DD4537"/>
    <w:rsid w:val="00DD4825"/>
    <w:rsid w:val="00DD4B3D"/>
    <w:rsid w:val="00DD4E15"/>
    <w:rsid w:val="00DD4F82"/>
    <w:rsid w:val="00DD5009"/>
    <w:rsid w:val="00DD5230"/>
    <w:rsid w:val="00DD605D"/>
    <w:rsid w:val="00DD6701"/>
    <w:rsid w:val="00DD6B91"/>
    <w:rsid w:val="00DD6E51"/>
    <w:rsid w:val="00DD6E7E"/>
    <w:rsid w:val="00DD6F68"/>
    <w:rsid w:val="00DD7251"/>
    <w:rsid w:val="00DD7495"/>
    <w:rsid w:val="00DD750B"/>
    <w:rsid w:val="00DD7601"/>
    <w:rsid w:val="00DD7951"/>
    <w:rsid w:val="00DD79BE"/>
    <w:rsid w:val="00DD7E09"/>
    <w:rsid w:val="00DD7FE9"/>
    <w:rsid w:val="00DE0071"/>
    <w:rsid w:val="00DE01F4"/>
    <w:rsid w:val="00DE049A"/>
    <w:rsid w:val="00DE0542"/>
    <w:rsid w:val="00DE09B3"/>
    <w:rsid w:val="00DE0A3B"/>
    <w:rsid w:val="00DE0DEB"/>
    <w:rsid w:val="00DE0F93"/>
    <w:rsid w:val="00DE1133"/>
    <w:rsid w:val="00DE1229"/>
    <w:rsid w:val="00DE138C"/>
    <w:rsid w:val="00DE1DDB"/>
    <w:rsid w:val="00DE2304"/>
    <w:rsid w:val="00DE27BE"/>
    <w:rsid w:val="00DE2BF7"/>
    <w:rsid w:val="00DE2CDF"/>
    <w:rsid w:val="00DE2D72"/>
    <w:rsid w:val="00DE2E89"/>
    <w:rsid w:val="00DE2E93"/>
    <w:rsid w:val="00DE3138"/>
    <w:rsid w:val="00DE32A4"/>
    <w:rsid w:val="00DE34B3"/>
    <w:rsid w:val="00DE34F7"/>
    <w:rsid w:val="00DE3611"/>
    <w:rsid w:val="00DE37F8"/>
    <w:rsid w:val="00DE3873"/>
    <w:rsid w:val="00DE3B73"/>
    <w:rsid w:val="00DE3C04"/>
    <w:rsid w:val="00DE4125"/>
    <w:rsid w:val="00DE414B"/>
    <w:rsid w:val="00DE42A2"/>
    <w:rsid w:val="00DE42A5"/>
    <w:rsid w:val="00DE43F9"/>
    <w:rsid w:val="00DE45BB"/>
    <w:rsid w:val="00DE4A26"/>
    <w:rsid w:val="00DE4CF6"/>
    <w:rsid w:val="00DE4F6D"/>
    <w:rsid w:val="00DE4FCB"/>
    <w:rsid w:val="00DE50B9"/>
    <w:rsid w:val="00DE523E"/>
    <w:rsid w:val="00DE5823"/>
    <w:rsid w:val="00DE5890"/>
    <w:rsid w:val="00DE5966"/>
    <w:rsid w:val="00DE5D07"/>
    <w:rsid w:val="00DE5EE9"/>
    <w:rsid w:val="00DE6000"/>
    <w:rsid w:val="00DE62E7"/>
    <w:rsid w:val="00DE633B"/>
    <w:rsid w:val="00DE6347"/>
    <w:rsid w:val="00DE63B5"/>
    <w:rsid w:val="00DE689D"/>
    <w:rsid w:val="00DE7277"/>
    <w:rsid w:val="00DE728A"/>
    <w:rsid w:val="00DE72A7"/>
    <w:rsid w:val="00DE73C5"/>
    <w:rsid w:val="00DE751E"/>
    <w:rsid w:val="00DE7757"/>
    <w:rsid w:val="00DE7823"/>
    <w:rsid w:val="00DE7832"/>
    <w:rsid w:val="00DE7E76"/>
    <w:rsid w:val="00DF000E"/>
    <w:rsid w:val="00DF0161"/>
    <w:rsid w:val="00DF0352"/>
    <w:rsid w:val="00DF0510"/>
    <w:rsid w:val="00DF072E"/>
    <w:rsid w:val="00DF0A17"/>
    <w:rsid w:val="00DF0C97"/>
    <w:rsid w:val="00DF0CB7"/>
    <w:rsid w:val="00DF0CDD"/>
    <w:rsid w:val="00DF1176"/>
    <w:rsid w:val="00DF15B8"/>
    <w:rsid w:val="00DF17BC"/>
    <w:rsid w:val="00DF18FC"/>
    <w:rsid w:val="00DF1909"/>
    <w:rsid w:val="00DF2127"/>
    <w:rsid w:val="00DF224D"/>
    <w:rsid w:val="00DF2EB1"/>
    <w:rsid w:val="00DF317C"/>
    <w:rsid w:val="00DF3442"/>
    <w:rsid w:val="00DF3FB9"/>
    <w:rsid w:val="00DF41CB"/>
    <w:rsid w:val="00DF461B"/>
    <w:rsid w:val="00DF4738"/>
    <w:rsid w:val="00DF4922"/>
    <w:rsid w:val="00DF4C53"/>
    <w:rsid w:val="00DF4DBD"/>
    <w:rsid w:val="00DF5072"/>
    <w:rsid w:val="00DF5164"/>
    <w:rsid w:val="00DF519B"/>
    <w:rsid w:val="00DF5303"/>
    <w:rsid w:val="00DF5D2B"/>
    <w:rsid w:val="00DF66DF"/>
    <w:rsid w:val="00DF6BF0"/>
    <w:rsid w:val="00DF6DAD"/>
    <w:rsid w:val="00DF6E7B"/>
    <w:rsid w:val="00DF7007"/>
    <w:rsid w:val="00DF744D"/>
    <w:rsid w:val="00DF74C6"/>
    <w:rsid w:val="00DF756E"/>
    <w:rsid w:val="00DF7A59"/>
    <w:rsid w:val="00DF7C77"/>
    <w:rsid w:val="00DF7FAA"/>
    <w:rsid w:val="00E009C4"/>
    <w:rsid w:val="00E00B24"/>
    <w:rsid w:val="00E00CA7"/>
    <w:rsid w:val="00E00D3A"/>
    <w:rsid w:val="00E00E8E"/>
    <w:rsid w:val="00E01053"/>
    <w:rsid w:val="00E0109C"/>
    <w:rsid w:val="00E011B8"/>
    <w:rsid w:val="00E013A7"/>
    <w:rsid w:val="00E013F5"/>
    <w:rsid w:val="00E01599"/>
    <w:rsid w:val="00E017AB"/>
    <w:rsid w:val="00E01E6A"/>
    <w:rsid w:val="00E0201F"/>
    <w:rsid w:val="00E026A8"/>
    <w:rsid w:val="00E02BC5"/>
    <w:rsid w:val="00E02BEA"/>
    <w:rsid w:val="00E02EC8"/>
    <w:rsid w:val="00E036A8"/>
    <w:rsid w:val="00E038DB"/>
    <w:rsid w:val="00E04020"/>
    <w:rsid w:val="00E04235"/>
    <w:rsid w:val="00E04948"/>
    <w:rsid w:val="00E05528"/>
    <w:rsid w:val="00E05630"/>
    <w:rsid w:val="00E056AC"/>
    <w:rsid w:val="00E05BD0"/>
    <w:rsid w:val="00E05C0D"/>
    <w:rsid w:val="00E06067"/>
    <w:rsid w:val="00E061DD"/>
    <w:rsid w:val="00E06391"/>
    <w:rsid w:val="00E06438"/>
    <w:rsid w:val="00E06BB5"/>
    <w:rsid w:val="00E06C03"/>
    <w:rsid w:val="00E06C47"/>
    <w:rsid w:val="00E06DA7"/>
    <w:rsid w:val="00E06DBB"/>
    <w:rsid w:val="00E06F57"/>
    <w:rsid w:val="00E0705E"/>
    <w:rsid w:val="00E07694"/>
    <w:rsid w:val="00E076F8"/>
    <w:rsid w:val="00E07C26"/>
    <w:rsid w:val="00E07CDF"/>
    <w:rsid w:val="00E07EBB"/>
    <w:rsid w:val="00E07F78"/>
    <w:rsid w:val="00E07F8F"/>
    <w:rsid w:val="00E10149"/>
    <w:rsid w:val="00E102C1"/>
    <w:rsid w:val="00E10504"/>
    <w:rsid w:val="00E10531"/>
    <w:rsid w:val="00E1066F"/>
    <w:rsid w:val="00E108E7"/>
    <w:rsid w:val="00E10935"/>
    <w:rsid w:val="00E109A6"/>
    <w:rsid w:val="00E10A49"/>
    <w:rsid w:val="00E10CE9"/>
    <w:rsid w:val="00E10DE4"/>
    <w:rsid w:val="00E110B5"/>
    <w:rsid w:val="00E11237"/>
    <w:rsid w:val="00E11340"/>
    <w:rsid w:val="00E1160A"/>
    <w:rsid w:val="00E11771"/>
    <w:rsid w:val="00E11778"/>
    <w:rsid w:val="00E11860"/>
    <w:rsid w:val="00E11988"/>
    <w:rsid w:val="00E119F7"/>
    <w:rsid w:val="00E11C7C"/>
    <w:rsid w:val="00E11D75"/>
    <w:rsid w:val="00E11F4C"/>
    <w:rsid w:val="00E12128"/>
    <w:rsid w:val="00E1219D"/>
    <w:rsid w:val="00E122A1"/>
    <w:rsid w:val="00E122AC"/>
    <w:rsid w:val="00E12848"/>
    <w:rsid w:val="00E12ADE"/>
    <w:rsid w:val="00E13035"/>
    <w:rsid w:val="00E132C2"/>
    <w:rsid w:val="00E135AE"/>
    <w:rsid w:val="00E1374A"/>
    <w:rsid w:val="00E13CCA"/>
    <w:rsid w:val="00E1453A"/>
    <w:rsid w:val="00E14718"/>
    <w:rsid w:val="00E1594E"/>
    <w:rsid w:val="00E15B87"/>
    <w:rsid w:val="00E15DEF"/>
    <w:rsid w:val="00E16206"/>
    <w:rsid w:val="00E16372"/>
    <w:rsid w:val="00E16596"/>
    <w:rsid w:val="00E16E8A"/>
    <w:rsid w:val="00E17202"/>
    <w:rsid w:val="00E172CE"/>
    <w:rsid w:val="00E17740"/>
    <w:rsid w:val="00E17831"/>
    <w:rsid w:val="00E17CAB"/>
    <w:rsid w:val="00E17CC2"/>
    <w:rsid w:val="00E17D28"/>
    <w:rsid w:val="00E200B4"/>
    <w:rsid w:val="00E203CC"/>
    <w:rsid w:val="00E20440"/>
    <w:rsid w:val="00E20447"/>
    <w:rsid w:val="00E2056F"/>
    <w:rsid w:val="00E20D4E"/>
    <w:rsid w:val="00E20E4D"/>
    <w:rsid w:val="00E20ED6"/>
    <w:rsid w:val="00E210CF"/>
    <w:rsid w:val="00E21358"/>
    <w:rsid w:val="00E21464"/>
    <w:rsid w:val="00E2155B"/>
    <w:rsid w:val="00E216A0"/>
    <w:rsid w:val="00E21801"/>
    <w:rsid w:val="00E21AA1"/>
    <w:rsid w:val="00E21BC6"/>
    <w:rsid w:val="00E21C36"/>
    <w:rsid w:val="00E22110"/>
    <w:rsid w:val="00E221DE"/>
    <w:rsid w:val="00E2249B"/>
    <w:rsid w:val="00E2257C"/>
    <w:rsid w:val="00E22618"/>
    <w:rsid w:val="00E227F1"/>
    <w:rsid w:val="00E22A0D"/>
    <w:rsid w:val="00E22FE3"/>
    <w:rsid w:val="00E232B9"/>
    <w:rsid w:val="00E236B7"/>
    <w:rsid w:val="00E236D7"/>
    <w:rsid w:val="00E23737"/>
    <w:rsid w:val="00E23B86"/>
    <w:rsid w:val="00E23BB1"/>
    <w:rsid w:val="00E23EF9"/>
    <w:rsid w:val="00E240CA"/>
    <w:rsid w:val="00E241F3"/>
    <w:rsid w:val="00E2426A"/>
    <w:rsid w:val="00E244F6"/>
    <w:rsid w:val="00E247BC"/>
    <w:rsid w:val="00E24A9F"/>
    <w:rsid w:val="00E24CC1"/>
    <w:rsid w:val="00E25938"/>
    <w:rsid w:val="00E25AD2"/>
    <w:rsid w:val="00E25B17"/>
    <w:rsid w:val="00E25DE2"/>
    <w:rsid w:val="00E26380"/>
    <w:rsid w:val="00E2661B"/>
    <w:rsid w:val="00E2685E"/>
    <w:rsid w:val="00E2688B"/>
    <w:rsid w:val="00E26A48"/>
    <w:rsid w:val="00E26D3F"/>
    <w:rsid w:val="00E26F1A"/>
    <w:rsid w:val="00E26F28"/>
    <w:rsid w:val="00E27404"/>
    <w:rsid w:val="00E27437"/>
    <w:rsid w:val="00E2771E"/>
    <w:rsid w:val="00E27C9F"/>
    <w:rsid w:val="00E27EA6"/>
    <w:rsid w:val="00E27F70"/>
    <w:rsid w:val="00E30186"/>
    <w:rsid w:val="00E304A7"/>
    <w:rsid w:val="00E309F9"/>
    <w:rsid w:val="00E30B90"/>
    <w:rsid w:val="00E30BC9"/>
    <w:rsid w:val="00E30D63"/>
    <w:rsid w:val="00E31000"/>
    <w:rsid w:val="00E311EF"/>
    <w:rsid w:val="00E31267"/>
    <w:rsid w:val="00E31419"/>
    <w:rsid w:val="00E318A0"/>
    <w:rsid w:val="00E31C20"/>
    <w:rsid w:val="00E31DD1"/>
    <w:rsid w:val="00E31DEE"/>
    <w:rsid w:val="00E31EA4"/>
    <w:rsid w:val="00E31F37"/>
    <w:rsid w:val="00E32180"/>
    <w:rsid w:val="00E32F82"/>
    <w:rsid w:val="00E33970"/>
    <w:rsid w:val="00E33D6C"/>
    <w:rsid w:val="00E34370"/>
    <w:rsid w:val="00E34948"/>
    <w:rsid w:val="00E34C60"/>
    <w:rsid w:val="00E34D4C"/>
    <w:rsid w:val="00E3506C"/>
    <w:rsid w:val="00E35428"/>
    <w:rsid w:val="00E3549B"/>
    <w:rsid w:val="00E35689"/>
    <w:rsid w:val="00E35771"/>
    <w:rsid w:val="00E3582D"/>
    <w:rsid w:val="00E358E0"/>
    <w:rsid w:val="00E359C6"/>
    <w:rsid w:val="00E359E0"/>
    <w:rsid w:val="00E35AA6"/>
    <w:rsid w:val="00E35B47"/>
    <w:rsid w:val="00E35E00"/>
    <w:rsid w:val="00E3612E"/>
    <w:rsid w:val="00E361EA"/>
    <w:rsid w:val="00E3624D"/>
    <w:rsid w:val="00E36486"/>
    <w:rsid w:val="00E36632"/>
    <w:rsid w:val="00E36855"/>
    <w:rsid w:val="00E36A5C"/>
    <w:rsid w:val="00E37060"/>
    <w:rsid w:val="00E37569"/>
    <w:rsid w:val="00E377E0"/>
    <w:rsid w:val="00E379C9"/>
    <w:rsid w:val="00E37CC7"/>
    <w:rsid w:val="00E37DA8"/>
    <w:rsid w:val="00E40095"/>
    <w:rsid w:val="00E401B2"/>
    <w:rsid w:val="00E40A25"/>
    <w:rsid w:val="00E40E3D"/>
    <w:rsid w:val="00E40EFA"/>
    <w:rsid w:val="00E41206"/>
    <w:rsid w:val="00E41440"/>
    <w:rsid w:val="00E41DD9"/>
    <w:rsid w:val="00E41E30"/>
    <w:rsid w:val="00E42067"/>
    <w:rsid w:val="00E423DF"/>
    <w:rsid w:val="00E42538"/>
    <w:rsid w:val="00E425A0"/>
    <w:rsid w:val="00E425B2"/>
    <w:rsid w:val="00E42691"/>
    <w:rsid w:val="00E42D4C"/>
    <w:rsid w:val="00E42EE6"/>
    <w:rsid w:val="00E42F73"/>
    <w:rsid w:val="00E42FD4"/>
    <w:rsid w:val="00E42FF3"/>
    <w:rsid w:val="00E4308C"/>
    <w:rsid w:val="00E431CF"/>
    <w:rsid w:val="00E43381"/>
    <w:rsid w:val="00E43523"/>
    <w:rsid w:val="00E4365D"/>
    <w:rsid w:val="00E43C01"/>
    <w:rsid w:val="00E43CA5"/>
    <w:rsid w:val="00E43D70"/>
    <w:rsid w:val="00E4474C"/>
    <w:rsid w:val="00E4496E"/>
    <w:rsid w:val="00E4497C"/>
    <w:rsid w:val="00E44B15"/>
    <w:rsid w:val="00E44CA2"/>
    <w:rsid w:val="00E44CAF"/>
    <w:rsid w:val="00E455B5"/>
    <w:rsid w:val="00E457E5"/>
    <w:rsid w:val="00E45BD8"/>
    <w:rsid w:val="00E465CE"/>
    <w:rsid w:val="00E466F3"/>
    <w:rsid w:val="00E467EB"/>
    <w:rsid w:val="00E469A2"/>
    <w:rsid w:val="00E46ABB"/>
    <w:rsid w:val="00E46C0C"/>
    <w:rsid w:val="00E46D70"/>
    <w:rsid w:val="00E47090"/>
    <w:rsid w:val="00E470CD"/>
    <w:rsid w:val="00E47475"/>
    <w:rsid w:val="00E476D0"/>
    <w:rsid w:val="00E478C0"/>
    <w:rsid w:val="00E47A62"/>
    <w:rsid w:val="00E47B1A"/>
    <w:rsid w:val="00E47B27"/>
    <w:rsid w:val="00E47B2C"/>
    <w:rsid w:val="00E47F15"/>
    <w:rsid w:val="00E50097"/>
    <w:rsid w:val="00E5055C"/>
    <w:rsid w:val="00E5059E"/>
    <w:rsid w:val="00E505B1"/>
    <w:rsid w:val="00E5060C"/>
    <w:rsid w:val="00E5095B"/>
    <w:rsid w:val="00E509E6"/>
    <w:rsid w:val="00E50AD1"/>
    <w:rsid w:val="00E50BEF"/>
    <w:rsid w:val="00E50E2B"/>
    <w:rsid w:val="00E51264"/>
    <w:rsid w:val="00E51336"/>
    <w:rsid w:val="00E513EA"/>
    <w:rsid w:val="00E51560"/>
    <w:rsid w:val="00E517B9"/>
    <w:rsid w:val="00E51DC9"/>
    <w:rsid w:val="00E5208B"/>
    <w:rsid w:val="00E520A0"/>
    <w:rsid w:val="00E52229"/>
    <w:rsid w:val="00E52482"/>
    <w:rsid w:val="00E52673"/>
    <w:rsid w:val="00E52AA5"/>
    <w:rsid w:val="00E52BC2"/>
    <w:rsid w:val="00E52E72"/>
    <w:rsid w:val="00E53152"/>
    <w:rsid w:val="00E53260"/>
    <w:rsid w:val="00E53726"/>
    <w:rsid w:val="00E537B7"/>
    <w:rsid w:val="00E53C6A"/>
    <w:rsid w:val="00E53D87"/>
    <w:rsid w:val="00E53E3E"/>
    <w:rsid w:val="00E53FC8"/>
    <w:rsid w:val="00E54098"/>
    <w:rsid w:val="00E541F0"/>
    <w:rsid w:val="00E541F1"/>
    <w:rsid w:val="00E54271"/>
    <w:rsid w:val="00E54347"/>
    <w:rsid w:val="00E54BBD"/>
    <w:rsid w:val="00E54DB1"/>
    <w:rsid w:val="00E553D0"/>
    <w:rsid w:val="00E55424"/>
    <w:rsid w:val="00E55915"/>
    <w:rsid w:val="00E55A64"/>
    <w:rsid w:val="00E55A97"/>
    <w:rsid w:val="00E55AD6"/>
    <w:rsid w:val="00E55BB5"/>
    <w:rsid w:val="00E55D3C"/>
    <w:rsid w:val="00E55E6E"/>
    <w:rsid w:val="00E56128"/>
    <w:rsid w:val="00E56293"/>
    <w:rsid w:val="00E5653B"/>
    <w:rsid w:val="00E56563"/>
    <w:rsid w:val="00E569FF"/>
    <w:rsid w:val="00E56CD3"/>
    <w:rsid w:val="00E57039"/>
    <w:rsid w:val="00E571CF"/>
    <w:rsid w:val="00E573C3"/>
    <w:rsid w:val="00E57524"/>
    <w:rsid w:val="00E5756C"/>
    <w:rsid w:val="00E5773E"/>
    <w:rsid w:val="00E57825"/>
    <w:rsid w:val="00E57DEB"/>
    <w:rsid w:val="00E57F1E"/>
    <w:rsid w:val="00E605C4"/>
    <w:rsid w:val="00E60C72"/>
    <w:rsid w:val="00E61047"/>
    <w:rsid w:val="00E61400"/>
    <w:rsid w:val="00E61481"/>
    <w:rsid w:val="00E6191B"/>
    <w:rsid w:val="00E61FA9"/>
    <w:rsid w:val="00E62095"/>
    <w:rsid w:val="00E621DE"/>
    <w:rsid w:val="00E627DD"/>
    <w:rsid w:val="00E62993"/>
    <w:rsid w:val="00E62D3A"/>
    <w:rsid w:val="00E63063"/>
    <w:rsid w:val="00E631CB"/>
    <w:rsid w:val="00E63551"/>
    <w:rsid w:val="00E636D5"/>
    <w:rsid w:val="00E63A43"/>
    <w:rsid w:val="00E63C66"/>
    <w:rsid w:val="00E63F1E"/>
    <w:rsid w:val="00E64288"/>
    <w:rsid w:val="00E645AE"/>
    <w:rsid w:val="00E646CD"/>
    <w:rsid w:val="00E64B1B"/>
    <w:rsid w:val="00E64C9A"/>
    <w:rsid w:val="00E64E3A"/>
    <w:rsid w:val="00E65207"/>
    <w:rsid w:val="00E65576"/>
    <w:rsid w:val="00E6587F"/>
    <w:rsid w:val="00E65C10"/>
    <w:rsid w:val="00E65E79"/>
    <w:rsid w:val="00E65FDD"/>
    <w:rsid w:val="00E6617F"/>
    <w:rsid w:val="00E66246"/>
    <w:rsid w:val="00E66422"/>
    <w:rsid w:val="00E66703"/>
    <w:rsid w:val="00E66834"/>
    <w:rsid w:val="00E66BA2"/>
    <w:rsid w:val="00E66C41"/>
    <w:rsid w:val="00E66D8A"/>
    <w:rsid w:val="00E67099"/>
    <w:rsid w:val="00E671DD"/>
    <w:rsid w:val="00E672EF"/>
    <w:rsid w:val="00E6734D"/>
    <w:rsid w:val="00E67416"/>
    <w:rsid w:val="00E67777"/>
    <w:rsid w:val="00E67A8C"/>
    <w:rsid w:val="00E700CD"/>
    <w:rsid w:val="00E70159"/>
    <w:rsid w:val="00E702CC"/>
    <w:rsid w:val="00E70548"/>
    <w:rsid w:val="00E706E4"/>
    <w:rsid w:val="00E70715"/>
    <w:rsid w:val="00E709A0"/>
    <w:rsid w:val="00E709F4"/>
    <w:rsid w:val="00E70A3E"/>
    <w:rsid w:val="00E70A6D"/>
    <w:rsid w:val="00E70ACB"/>
    <w:rsid w:val="00E70C91"/>
    <w:rsid w:val="00E70E73"/>
    <w:rsid w:val="00E71105"/>
    <w:rsid w:val="00E71186"/>
    <w:rsid w:val="00E712E5"/>
    <w:rsid w:val="00E713B5"/>
    <w:rsid w:val="00E7143D"/>
    <w:rsid w:val="00E714AA"/>
    <w:rsid w:val="00E7161B"/>
    <w:rsid w:val="00E718B6"/>
    <w:rsid w:val="00E718ED"/>
    <w:rsid w:val="00E71B77"/>
    <w:rsid w:val="00E71BDE"/>
    <w:rsid w:val="00E71D07"/>
    <w:rsid w:val="00E7222A"/>
    <w:rsid w:val="00E723BA"/>
    <w:rsid w:val="00E72939"/>
    <w:rsid w:val="00E72941"/>
    <w:rsid w:val="00E729B8"/>
    <w:rsid w:val="00E72A4B"/>
    <w:rsid w:val="00E72A52"/>
    <w:rsid w:val="00E72A98"/>
    <w:rsid w:val="00E72C4B"/>
    <w:rsid w:val="00E73561"/>
    <w:rsid w:val="00E73581"/>
    <w:rsid w:val="00E73686"/>
    <w:rsid w:val="00E73A80"/>
    <w:rsid w:val="00E73AAF"/>
    <w:rsid w:val="00E73AC2"/>
    <w:rsid w:val="00E73D2D"/>
    <w:rsid w:val="00E73D8E"/>
    <w:rsid w:val="00E73E7A"/>
    <w:rsid w:val="00E73E9E"/>
    <w:rsid w:val="00E73F7B"/>
    <w:rsid w:val="00E74247"/>
    <w:rsid w:val="00E743AB"/>
    <w:rsid w:val="00E7457C"/>
    <w:rsid w:val="00E74FF0"/>
    <w:rsid w:val="00E75051"/>
    <w:rsid w:val="00E750F7"/>
    <w:rsid w:val="00E7549E"/>
    <w:rsid w:val="00E75715"/>
    <w:rsid w:val="00E75817"/>
    <w:rsid w:val="00E7583E"/>
    <w:rsid w:val="00E75D1E"/>
    <w:rsid w:val="00E75D26"/>
    <w:rsid w:val="00E75DE0"/>
    <w:rsid w:val="00E76197"/>
    <w:rsid w:val="00E761F6"/>
    <w:rsid w:val="00E76D16"/>
    <w:rsid w:val="00E772A4"/>
    <w:rsid w:val="00E77377"/>
    <w:rsid w:val="00E77684"/>
    <w:rsid w:val="00E77769"/>
    <w:rsid w:val="00E77845"/>
    <w:rsid w:val="00E7785C"/>
    <w:rsid w:val="00E80040"/>
    <w:rsid w:val="00E80599"/>
    <w:rsid w:val="00E80C26"/>
    <w:rsid w:val="00E80E1A"/>
    <w:rsid w:val="00E80E65"/>
    <w:rsid w:val="00E811FA"/>
    <w:rsid w:val="00E8151D"/>
    <w:rsid w:val="00E81662"/>
    <w:rsid w:val="00E819DF"/>
    <w:rsid w:val="00E81A18"/>
    <w:rsid w:val="00E81A36"/>
    <w:rsid w:val="00E81B1C"/>
    <w:rsid w:val="00E81E13"/>
    <w:rsid w:val="00E822F2"/>
    <w:rsid w:val="00E825AC"/>
    <w:rsid w:val="00E828B2"/>
    <w:rsid w:val="00E82C19"/>
    <w:rsid w:val="00E82FAE"/>
    <w:rsid w:val="00E82FF0"/>
    <w:rsid w:val="00E83098"/>
    <w:rsid w:val="00E83334"/>
    <w:rsid w:val="00E833F7"/>
    <w:rsid w:val="00E834F8"/>
    <w:rsid w:val="00E835D9"/>
    <w:rsid w:val="00E83724"/>
    <w:rsid w:val="00E83BDF"/>
    <w:rsid w:val="00E83EFC"/>
    <w:rsid w:val="00E844DC"/>
    <w:rsid w:val="00E847F0"/>
    <w:rsid w:val="00E84A3B"/>
    <w:rsid w:val="00E84C2D"/>
    <w:rsid w:val="00E84CA9"/>
    <w:rsid w:val="00E84D67"/>
    <w:rsid w:val="00E84F7C"/>
    <w:rsid w:val="00E85412"/>
    <w:rsid w:val="00E85A90"/>
    <w:rsid w:val="00E85BAF"/>
    <w:rsid w:val="00E86087"/>
    <w:rsid w:val="00E8643F"/>
    <w:rsid w:val="00E86C3F"/>
    <w:rsid w:val="00E86F04"/>
    <w:rsid w:val="00E8702C"/>
    <w:rsid w:val="00E875C4"/>
    <w:rsid w:val="00E875DD"/>
    <w:rsid w:val="00E875F5"/>
    <w:rsid w:val="00E876DD"/>
    <w:rsid w:val="00E876F3"/>
    <w:rsid w:val="00E87773"/>
    <w:rsid w:val="00E87A1D"/>
    <w:rsid w:val="00E87C80"/>
    <w:rsid w:val="00E903C0"/>
    <w:rsid w:val="00E903F9"/>
    <w:rsid w:val="00E904E9"/>
    <w:rsid w:val="00E905DE"/>
    <w:rsid w:val="00E90793"/>
    <w:rsid w:val="00E9094A"/>
    <w:rsid w:val="00E90B04"/>
    <w:rsid w:val="00E9147F"/>
    <w:rsid w:val="00E91589"/>
    <w:rsid w:val="00E9183A"/>
    <w:rsid w:val="00E9185E"/>
    <w:rsid w:val="00E9190F"/>
    <w:rsid w:val="00E91B6E"/>
    <w:rsid w:val="00E91D01"/>
    <w:rsid w:val="00E91D35"/>
    <w:rsid w:val="00E925D5"/>
    <w:rsid w:val="00E925E6"/>
    <w:rsid w:val="00E926A5"/>
    <w:rsid w:val="00E9298D"/>
    <w:rsid w:val="00E93042"/>
    <w:rsid w:val="00E931D3"/>
    <w:rsid w:val="00E9323E"/>
    <w:rsid w:val="00E933C0"/>
    <w:rsid w:val="00E937F8"/>
    <w:rsid w:val="00E94424"/>
    <w:rsid w:val="00E94659"/>
    <w:rsid w:val="00E94717"/>
    <w:rsid w:val="00E94AA9"/>
    <w:rsid w:val="00E95138"/>
    <w:rsid w:val="00E95300"/>
    <w:rsid w:val="00E954ED"/>
    <w:rsid w:val="00E957DF"/>
    <w:rsid w:val="00E961D7"/>
    <w:rsid w:val="00E963B0"/>
    <w:rsid w:val="00E96A05"/>
    <w:rsid w:val="00E96D9A"/>
    <w:rsid w:val="00E96E9F"/>
    <w:rsid w:val="00E96EB0"/>
    <w:rsid w:val="00E96EB4"/>
    <w:rsid w:val="00E96F55"/>
    <w:rsid w:val="00E97431"/>
    <w:rsid w:val="00E9796D"/>
    <w:rsid w:val="00E97C6E"/>
    <w:rsid w:val="00E97EDA"/>
    <w:rsid w:val="00EA013D"/>
    <w:rsid w:val="00EA03AE"/>
    <w:rsid w:val="00EA04CF"/>
    <w:rsid w:val="00EA0830"/>
    <w:rsid w:val="00EA086A"/>
    <w:rsid w:val="00EA096A"/>
    <w:rsid w:val="00EA0EB4"/>
    <w:rsid w:val="00EA1136"/>
    <w:rsid w:val="00EA1349"/>
    <w:rsid w:val="00EA1423"/>
    <w:rsid w:val="00EA143F"/>
    <w:rsid w:val="00EA17C3"/>
    <w:rsid w:val="00EA17D9"/>
    <w:rsid w:val="00EA19BF"/>
    <w:rsid w:val="00EA1AF6"/>
    <w:rsid w:val="00EA1B02"/>
    <w:rsid w:val="00EA209B"/>
    <w:rsid w:val="00EA2482"/>
    <w:rsid w:val="00EA259B"/>
    <w:rsid w:val="00EA271B"/>
    <w:rsid w:val="00EA2CAA"/>
    <w:rsid w:val="00EA2D63"/>
    <w:rsid w:val="00EA3258"/>
    <w:rsid w:val="00EA345C"/>
    <w:rsid w:val="00EA3864"/>
    <w:rsid w:val="00EA4004"/>
    <w:rsid w:val="00EA437B"/>
    <w:rsid w:val="00EA52EB"/>
    <w:rsid w:val="00EA53FB"/>
    <w:rsid w:val="00EA57A6"/>
    <w:rsid w:val="00EA6243"/>
    <w:rsid w:val="00EA628F"/>
    <w:rsid w:val="00EA6432"/>
    <w:rsid w:val="00EA6935"/>
    <w:rsid w:val="00EA6FB5"/>
    <w:rsid w:val="00EA724C"/>
    <w:rsid w:val="00EA73F4"/>
    <w:rsid w:val="00EA74A4"/>
    <w:rsid w:val="00EA7591"/>
    <w:rsid w:val="00EA766C"/>
    <w:rsid w:val="00EA7793"/>
    <w:rsid w:val="00EA79A1"/>
    <w:rsid w:val="00EA7A11"/>
    <w:rsid w:val="00EA7EAD"/>
    <w:rsid w:val="00EA7F1C"/>
    <w:rsid w:val="00EB0530"/>
    <w:rsid w:val="00EB0706"/>
    <w:rsid w:val="00EB0C31"/>
    <w:rsid w:val="00EB0D01"/>
    <w:rsid w:val="00EB0EB3"/>
    <w:rsid w:val="00EB0F04"/>
    <w:rsid w:val="00EB0F97"/>
    <w:rsid w:val="00EB112D"/>
    <w:rsid w:val="00EB114D"/>
    <w:rsid w:val="00EB156C"/>
    <w:rsid w:val="00EB15B6"/>
    <w:rsid w:val="00EB1C3B"/>
    <w:rsid w:val="00EB2175"/>
    <w:rsid w:val="00EB24FB"/>
    <w:rsid w:val="00EB2516"/>
    <w:rsid w:val="00EB2693"/>
    <w:rsid w:val="00EB2730"/>
    <w:rsid w:val="00EB2927"/>
    <w:rsid w:val="00EB2B8E"/>
    <w:rsid w:val="00EB2DBB"/>
    <w:rsid w:val="00EB2E8F"/>
    <w:rsid w:val="00EB2EB3"/>
    <w:rsid w:val="00EB2F7B"/>
    <w:rsid w:val="00EB2FD4"/>
    <w:rsid w:val="00EB310B"/>
    <w:rsid w:val="00EB3363"/>
    <w:rsid w:val="00EB3697"/>
    <w:rsid w:val="00EB3A59"/>
    <w:rsid w:val="00EB3D06"/>
    <w:rsid w:val="00EB41FC"/>
    <w:rsid w:val="00EB435B"/>
    <w:rsid w:val="00EB46CA"/>
    <w:rsid w:val="00EB4717"/>
    <w:rsid w:val="00EB4916"/>
    <w:rsid w:val="00EB537C"/>
    <w:rsid w:val="00EB539A"/>
    <w:rsid w:val="00EB5CA2"/>
    <w:rsid w:val="00EB5F6C"/>
    <w:rsid w:val="00EB6025"/>
    <w:rsid w:val="00EB6452"/>
    <w:rsid w:val="00EB65B6"/>
    <w:rsid w:val="00EB67AC"/>
    <w:rsid w:val="00EB6C84"/>
    <w:rsid w:val="00EB6CC7"/>
    <w:rsid w:val="00EB7041"/>
    <w:rsid w:val="00EB7295"/>
    <w:rsid w:val="00EB7344"/>
    <w:rsid w:val="00EB7969"/>
    <w:rsid w:val="00EB7F42"/>
    <w:rsid w:val="00EC006E"/>
    <w:rsid w:val="00EC00C9"/>
    <w:rsid w:val="00EC00F3"/>
    <w:rsid w:val="00EC0AE4"/>
    <w:rsid w:val="00EC0C84"/>
    <w:rsid w:val="00EC0D5F"/>
    <w:rsid w:val="00EC0DD9"/>
    <w:rsid w:val="00EC1244"/>
    <w:rsid w:val="00EC12F2"/>
    <w:rsid w:val="00EC12F6"/>
    <w:rsid w:val="00EC144A"/>
    <w:rsid w:val="00EC1AFC"/>
    <w:rsid w:val="00EC1D6A"/>
    <w:rsid w:val="00EC1E4A"/>
    <w:rsid w:val="00EC1EBF"/>
    <w:rsid w:val="00EC20A2"/>
    <w:rsid w:val="00EC20B5"/>
    <w:rsid w:val="00EC222F"/>
    <w:rsid w:val="00EC24E8"/>
    <w:rsid w:val="00EC2555"/>
    <w:rsid w:val="00EC25A5"/>
    <w:rsid w:val="00EC2649"/>
    <w:rsid w:val="00EC2B7A"/>
    <w:rsid w:val="00EC31ED"/>
    <w:rsid w:val="00EC330E"/>
    <w:rsid w:val="00EC3584"/>
    <w:rsid w:val="00EC3600"/>
    <w:rsid w:val="00EC39FC"/>
    <w:rsid w:val="00EC3BF1"/>
    <w:rsid w:val="00EC3D92"/>
    <w:rsid w:val="00EC40D5"/>
    <w:rsid w:val="00EC45F4"/>
    <w:rsid w:val="00EC476A"/>
    <w:rsid w:val="00EC490D"/>
    <w:rsid w:val="00EC4D1A"/>
    <w:rsid w:val="00EC4F3D"/>
    <w:rsid w:val="00EC50A2"/>
    <w:rsid w:val="00EC53DE"/>
    <w:rsid w:val="00EC570B"/>
    <w:rsid w:val="00EC5836"/>
    <w:rsid w:val="00EC5AD8"/>
    <w:rsid w:val="00EC5E4A"/>
    <w:rsid w:val="00EC6037"/>
    <w:rsid w:val="00EC6250"/>
    <w:rsid w:val="00EC688C"/>
    <w:rsid w:val="00EC7130"/>
    <w:rsid w:val="00EC7956"/>
    <w:rsid w:val="00EC7A71"/>
    <w:rsid w:val="00ED1926"/>
    <w:rsid w:val="00ED1C10"/>
    <w:rsid w:val="00ED1DC0"/>
    <w:rsid w:val="00ED21B8"/>
    <w:rsid w:val="00ED23BF"/>
    <w:rsid w:val="00ED25FD"/>
    <w:rsid w:val="00ED2CC5"/>
    <w:rsid w:val="00ED31E8"/>
    <w:rsid w:val="00ED3304"/>
    <w:rsid w:val="00ED339E"/>
    <w:rsid w:val="00ED33EA"/>
    <w:rsid w:val="00ED34DB"/>
    <w:rsid w:val="00ED37D9"/>
    <w:rsid w:val="00ED3802"/>
    <w:rsid w:val="00ED3931"/>
    <w:rsid w:val="00ED3A5B"/>
    <w:rsid w:val="00ED3E94"/>
    <w:rsid w:val="00ED3FBD"/>
    <w:rsid w:val="00ED4632"/>
    <w:rsid w:val="00ED4A93"/>
    <w:rsid w:val="00ED4FC4"/>
    <w:rsid w:val="00ED5138"/>
    <w:rsid w:val="00ED5139"/>
    <w:rsid w:val="00ED51BB"/>
    <w:rsid w:val="00ED51CB"/>
    <w:rsid w:val="00ED5274"/>
    <w:rsid w:val="00ED56A8"/>
    <w:rsid w:val="00ED5708"/>
    <w:rsid w:val="00ED57EA"/>
    <w:rsid w:val="00ED5BD4"/>
    <w:rsid w:val="00ED5FE3"/>
    <w:rsid w:val="00ED60C9"/>
    <w:rsid w:val="00ED6D68"/>
    <w:rsid w:val="00ED6FB4"/>
    <w:rsid w:val="00ED7016"/>
    <w:rsid w:val="00ED70A5"/>
    <w:rsid w:val="00ED750C"/>
    <w:rsid w:val="00ED7B42"/>
    <w:rsid w:val="00EE001A"/>
    <w:rsid w:val="00EE004A"/>
    <w:rsid w:val="00EE07D3"/>
    <w:rsid w:val="00EE0953"/>
    <w:rsid w:val="00EE101A"/>
    <w:rsid w:val="00EE1043"/>
    <w:rsid w:val="00EE1593"/>
    <w:rsid w:val="00EE1753"/>
    <w:rsid w:val="00EE1996"/>
    <w:rsid w:val="00EE1B4A"/>
    <w:rsid w:val="00EE1C01"/>
    <w:rsid w:val="00EE1C16"/>
    <w:rsid w:val="00EE1D3F"/>
    <w:rsid w:val="00EE1D66"/>
    <w:rsid w:val="00EE2086"/>
    <w:rsid w:val="00EE2114"/>
    <w:rsid w:val="00EE222B"/>
    <w:rsid w:val="00EE22AF"/>
    <w:rsid w:val="00EE27F4"/>
    <w:rsid w:val="00EE2903"/>
    <w:rsid w:val="00EE2A82"/>
    <w:rsid w:val="00EE2B86"/>
    <w:rsid w:val="00EE2C15"/>
    <w:rsid w:val="00EE2CA8"/>
    <w:rsid w:val="00EE2CE7"/>
    <w:rsid w:val="00EE2CF5"/>
    <w:rsid w:val="00EE3037"/>
    <w:rsid w:val="00EE33F8"/>
    <w:rsid w:val="00EE3692"/>
    <w:rsid w:val="00EE3759"/>
    <w:rsid w:val="00EE3906"/>
    <w:rsid w:val="00EE3940"/>
    <w:rsid w:val="00EE3DA1"/>
    <w:rsid w:val="00EE3DB2"/>
    <w:rsid w:val="00EE427C"/>
    <w:rsid w:val="00EE4511"/>
    <w:rsid w:val="00EE4A81"/>
    <w:rsid w:val="00EE4E09"/>
    <w:rsid w:val="00EE510D"/>
    <w:rsid w:val="00EE55A9"/>
    <w:rsid w:val="00EE5A52"/>
    <w:rsid w:val="00EE5F49"/>
    <w:rsid w:val="00EE6050"/>
    <w:rsid w:val="00EE60C6"/>
    <w:rsid w:val="00EE636D"/>
    <w:rsid w:val="00EE6572"/>
    <w:rsid w:val="00EE6864"/>
    <w:rsid w:val="00EE6A8D"/>
    <w:rsid w:val="00EE6C78"/>
    <w:rsid w:val="00EE6DC4"/>
    <w:rsid w:val="00EE6F42"/>
    <w:rsid w:val="00EE7279"/>
    <w:rsid w:val="00EE737D"/>
    <w:rsid w:val="00EE7467"/>
    <w:rsid w:val="00EE7692"/>
    <w:rsid w:val="00EE77B4"/>
    <w:rsid w:val="00EE78D3"/>
    <w:rsid w:val="00EE78FA"/>
    <w:rsid w:val="00EE7D63"/>
    <w:rsid w:val="00EE7E7C"/>
    <w:rsid w:val="00EE7F48"/>
    <w:rsid w:val="00EF0140"/>
    <w:rsid w:val="00EF0171"/>
    <w:rsid w:val="00EF01C5"/>
    <w:rsid w:val="00EF087E"/>
    <w:rsid w:val="00EF0B79"/>
    <w:rsid w:val="00EF0C7D"/>
    <w:rsid w:val="00EF1144"/>
    <w:rsid w:val="00EF18AA"/>
    <w:rsid w:val="00EF1938"/>
    <w:rsid w:val="00EF1B25"/>
    <w:rsid w:val="00EF1CF8"/>
    <w:rsid w:val="00EF1DA0"/>
    <w:rsid w:val="00EF22B6"/>
    <w:rsid w:val="00EF2409"/>
    <w:rsid w:val="00EF26E2"/>
    <w:rsid w:val="00EF2A73"/>
    <w:rsid w:val="00EF2B8D"/>
    <w:rsid w:val="00EF2D63"/>
    <w:rsid w:val="00EF2F84"/>
    <w:rsid w:val="00EF3078"/>
    <w:rsid w:val="00EF36F9"/>
    <w:rsid w:val="00EF3823"/>
    <w:rsid w:val="00EF3C01"/>
    <w:rsid w:val="00EF3DB1"/>
    <w:rsid w:val="00EF3F8A"/>
    <w:rsid w:val="00EF4133"/>
    <w:rsid w:val="00EF4184"/>
    <w:rsid w:val="00EF4271"/>
    <w:rsid w:val="00EF4531"/>
    <w:rsid w:val="00EF4747"/>
    <w:rsid w:val="00EF4BF8"/>
    <w:rsid w:val="00EF4C43"/>
    <w:rsid w:val="00EF4C90"/>
    <w:rsid w:val="00EF4FAB"/>
    <w:rsid w:val="00EF63FE"/>
    <w:rsid w:val="00EF6774"/>
    <w:rsid w:val="00EF6AE2"/>
    <w:rsid w:val="00EF6FA3"/>
    <w:rsid w:val="00EF77A5"/>
    <w:rsid w:val="00EF79FE"/>
    <w:rsid w:val="00EF7A48"/>
    <w:rsid w:val="00F001F3"/>
    <w:rsid w:val="00F00997"/>
    <w:rsid w:val="00F011EC"/>
    <w:rsid w:val="00F013F6"/>
    <w:rsid w:val="00F0163F"/>
    <w:rsid w:val="00F0165F"/>
    <w:rsid w:val="00F017DE"/>
    <w:rsid w:val="00F01E2F"/>
    <w:rsid w:val="00F0220F"/>
    <w:rsid w:val="00F02253"/>
    <w:rsid w:val="00F02624"/>
    <w:rsid w:val="00F02822"/>
    <w:rsid w:val="00F02E28"/>
    <w:rsid w:val="00F030CA"/>
    <w:rsid w:val="00F034DB"/>
    <w:rsid w:val="00F03C2E"/>
    <w:rsid w:val="00F03C69"/>
    <w:rsid w:val="00F03E9A"/>
    <w:rsid w:val="00F04113"/>
    <w:rsid w:val="00F04220"/>
    <w:rsid w:val="00F04638"/>
    <w:rsid w:val="00F04A66"/>
    <w:rsid w:val="00F04B4B"/>
    <w:rsid w:val="00F05021"/>
    <w:rsid w:val="00F05030"/>
    <w:rsid w:val="00F05094"/>
    <w:rsid w:val="00F050FF"/>
    <w:rsid w:val="00F0516C"/>
    <w:rsid w:val="00F05459"/>
    <w:rsid w:val="00F056DE"/>
    <w:rsid w:val="00F05B37"/>
    <w:rsid w:val="00F06793"/>
    <w:rsid w:val="00F067A2"/>
    <w:rsid w:val="00F068DF"/>
    <w:rsid w:val="00F068F1"/>
    <w:rsid w:val="00F069AA"/>
    <w:rsid w:val="00F070F6"/>
    <w:rsid w:val="00F07183"/>
    <w:rsid w:val="00F07847"/>
    <w:rsid w:val="00F079DB"/>
    <w:rsid w:val="00F07B9E"/>
    <w:rsid w:val="00F07C0C"/>
    <w:rsid w:val="00F07C57"/>
    <w:rsid w:val="00F07F01"/>
    <w:rsid w:val="00F100BD"/>
    <w:rsid w:val="00F1019C"/>
    <w:rsid w:val="00F1072F"/>
    <w:rsid w:val="00F108D0"/>
    <w:rsid w:val="00F10FE2"/>
    <w:rsid w:val="00F1116F"/>
    <w:rsid w:val="00F113F2"/>
    <w:rsid w:val="00F1147A"/>
    <w:rsid w:val="00F11DBD"/>
    <w:rsid w:val="00F11E7C"/>
    <w:rsid w:val="00F12281"/>
    <w:rsid w:val="00F12349"/>
    <w:rsid w:val="00F1263A"/>
    <w:rsid w:val="00F1271D"/>
    <w:rsid w:val="00F12A1C"/>
    <w:rsid w:val="00F12A77"/>
    <w:rsid w:val="00F12CEC"/>
    <w:rsid w:val="00F12D98"/>
    <w:rsid w:val="00F1306F"/>
    <w:rsid w:val="00F133EF"/>
    <w:rsid w:val="00F13F38"/>
    <w:rsid w:val="00F14023"/>
    <w:rsid w:val="00F141BF"/>
    <w:rsid w:val="00F14D9B"/>
    <w:rsid w:val="00F1501E"/>
    <w:rsid w:val="00F15078"/>
    <w:rsid w:val="00F15512"/>
    <w:rsid w:val="00F1568D"/>
    <w:rsid w:val="00F15843"/>
    <w:rsid w:val="00F15B77"/>
    <w:rsid w:val="00F15D0C"/>
    <w:rsid w:val="00F15D0F"/>
    <w:rsid w:val="00F16251"/>
    <w:rsid w:val="00F16404"/>
    <w:rsid w:val="00F1641E"/>
    <w:rsid w:val="00F16498"/>
    <w:rsid w:val="00F165AE"/>
    <w:rsid w:val="00F165B0"/>
    <w:rsid w:val="00F166C8"/>
    <w:rsid w:val="00F1680C"/>
    <w:rsid w:val="00F16A12"/>
    <w:rsid w:val="00F16BEB"/>
    <w:rsid w:val="00F16E55"/>
    <w:rsid w:val="00F170B0"/>
    <w:rsid w:val="00F17296"/>
    <w:rsid w:val="00F1734C"/>
    <w:rsid w:val="00F17717"/>
    <w:rsid w:val="00F1794D"/>
    <w:rsid w:val="00F17E33"/>
    <w:rsid w:val="00F17EB2"/>
    <w:rsid w:val="00F200E4"/>
    <w:rsid w:val="00F203A9"/>
    <w:rsid w:val="00F20492"/>
    <w:rsid w:val="00F20A1F"/>
    <w:rsid w:val="00F20C46"/>
    <w:rsid w:val="00F20D94"/>
    <w:rsid w:val="00F20F62"/>
    <w:rsid w:val="00F21286"/>
    <w:rsid w:val="00F212C6"/>
    <w:rsid w:val="00F21950"/>
    <w:rsid w:val="00F2195E"/>
    <w:rsid w:val="00F21B1A"/>
    <w:rsid w:val="00F21C0A"/>
    <w:rsid w:val="00F220CF"/>
    <w:rsid w:val="00F222F6"/>
    <w:rsid w:val="00F22A05"/>
    <w:rsid w:val="00F22A2F"/>
    <w:rsid w:val="00F22C09"/>
    <w:rsid w:val="00F22C32"/>
    <w:rsid w:val="00F22DFD"/>
    <w:rsid w:val="00F22E71"/>
    <w:rsid w:val="00F22FCD"/>
    <w:rsid w:val="00F2328B"/>
    <w:rsid w:val="00F2350C"/>
    <w:rsid w:val="00F23591"/>
    <w:rsid w:val="00F23874"/>
    <w:rsid w:val="00F239B5"/>
    <w:rsid w:val="00F23C6C"/>
    <w:rsid w:val="00F23CCE"/>
    <w:rsid w:val="00F24168"/>
    <w:rsid w:val="00F244DE"/>
    <w:rsid w:val="00F24837"/>
    <w:rsid w:val="00F2493E"/>
    <w:rsid w:val="00F24B02"/>
    <w:rsid w:val="00F24D0A"/>
    <w:rsid w:val="00F24DAD"/>
    <w:rsid w:val="00F250FC"/>
    <w:rsid w:val="00F251C7"/>
    <w:rsid w:val="00F25242"/>
    <w:rsid w:val="00F25745"/>
    <w:rsid w:val="00F2575F"/>
    <w:rsid w:val="00F25FCC"/>
    <w:rsid w:val="00F26377"/>
    <w:rsid w:val="00F264EA"/>
    <w:rsid w:val="00F266AB"/>
    <w:rsid w:val="00F26B60"/>
    <w:rsid w:val="00F26CD0"/>
    <w:rsid w:val="00F26D21"/>
    <w:rsid w:val="00F27092"/>
    <w:rsid w:val="00F272BF"/>
    <w:rsid w:val="00F27326"/>
    <w:rsid w:val="00F27552"/>
    <w:rsid w:val="00F27565"/>
    <w:rsid w:val="00F277BC"/>
    <w:rsid w:val="00F27F9D"/>
    <w:rsid w:val="00F30373"/>
    <w:rsid w:val="00F305D7"/>
    <w:rsid w:val="00F3064C"/>
    <w:rsid w:val="00F30751"/>
    <w:rsid w:val="00F310D4"/>
    <w:rsid w:val="00F3110B"/>
    <w:rsid w:val="00F311D4"/>
    <w:rsid w:val="00F31318"/>
    <w:rsid w:val="00F3157E"/>
    <w:rsid w:val="00F317EA"/>
    <w:rsid w:val="00F31BC4"/>
    <w:rsid w:val="00F31BC9"/>
    <w:rsid w:val="00F31D15"/>
    <w:rsid w:val="00F31D5A"/>
    <w:rsid w:val="00F31E24"/>
    <w:rsid w:val="00F32027"/>
    <w:rsid w:val="00F323D2"/>
    <w:rsid w:val="00F32A57"/>
    <w:rsid w:val="00F32B8D"/>
    <w:rsid w:val="00F32BFF"/>
    <w:rsid w:val="00F32CBF"/>
    <w:rsid w:val="00F330D5"/>
    <w:rsid w:val="00F330ED"/>
    <w:rsid w:val="00F33703"/>
    <w:rsid w:val="00F3380E"/>
    <w:rsid w:val="00F33975"/>
    <w:rsid w:val="00F33DE9"/>
    <w:rsid w:val="00F340A8"/>
    <w:rsid w:val="00F344BE"/>
    <w:rsid w:val="00F3485C"/>
    <w:rsid w:val="00F34946"/>
    <w:rsid w:val="00F34968"/>
    <w:rsid w:val="00F34A73"/>
    <w:rsid w:val="00F34D38"/>
    <w:rsid w:val="00F34DBF"/>
    <w:rsid w:val="00F3503A"/>
    <w:rsid w:val="00F354AE"/>
    <w:rsid w:val="00F3559A"/>
    <w:rsid w:val="00F355CA"/>
    <w:rsid w:val="00F35BEC"/>
    <w:rsid w:val="00F35DE5"/>
    <w:rsid w:val="00F35E6D"/>
    <w:rsid w:val="00F35FA3"/>
    <w:rsid w:val="00F35FB0"/>
    <w:rsid w:val="00F3619A"/>
    <w:rsid w:val="00F362E7"/>
    <w:rsid w:val="00F36661"/>
    <w:rsid w:val="00F36711"/>
    <w:rsid w:val="00F36824"/>
    <w:rsid w:val="00F36847"/>
    <w:rsid w:val="00F36C0D"/>
    <w:rsid w:val="00F377C5"/>
    <w:rsid w:val="00F378D8"/>
    <w:rsid w:val="00F3792D"/>
    <w:rsid w:val="00F37BC0"/>
    <w:rsid w:val="00F37E54"/>
    <w:rsid w:val="00F37EF7"/>
    <w:rsid w:val="00F4000B"/>
    <w:rsid w:val="00F402AC"/>
    <w:rsid w:val="00F405C2"/>
    <w:rsid w:val="00F406A4"/>
    <w:rsid w:val="00F40797"/>
    <w:rsid w:val="00F4097F"/>
    <w:rsid w:val="00F40AAA"/>
    <w:rsid w:val="00F40BA7"/>
    <w:rsid w:val="00F40F9D"/>
    <w:rsid w:val="00F410A3"/>
    <w:rsid w:val="00F4142D"/>
    <w:rsid w:val="00F41810"/>
    <w:rsid w:val="00F41977"/>
    <w:rsid w:val="00F41ACD"/>
    <w:rsid w:val="00F41BD6"/>
    <w:rsid w:val="00F42036"/>
    <w:rsid w:val="00F42112"/>
    <w:rsid w:val="00F42312"/>
    <w:rsid w:val="00F42347"/>
    <w:rsid w:val="00F426F2"/>
    <w:rsid w:val="00F42B4D"/>
    <w:rsid w:val="00F42BA2"/>
    <w:rsid w:val="00F42DFA"/>
    <w:rsid w:val="00F42EE8"/>
    <w:rsid w:val="00F430D9"/>
    <w:rsid w:val="00F43175"/>
    <w:rsid w:val="00F437FC"/>
    <w:rsid w:val="00F4380E"/>
    <w:rsid w:val="00F43C66"/>
    <w:rsid w:val="00F43E6E"/>
    <w:rsid w:val="00F43FC0"/>
    <w:rsid w:val="00F441C9"/>
    <w:rsid w:val="00F44594"/>
    <w:rsid w:val="00F44737"/>
    <w:rsid w:val="00F44B64"/>
    <w:rsid w:val="00F45392"/>
    <w:rsid w:val="00F45462"/>
    <w:rsid w:val="00F4550A"/>
    <w:rsid w:val="00F45888"/>
    <w:rsid w:val="00F45A77"/>
    <w:rsid w:val="00F45F2E"/>
    <w:rsid w:val="00F45FD4"/>
    <w:rsid w:val="00F461F8"/>
    <w:rsid w:val="00F463F7"/>
    <w:rsid w:val="00F468D0"/>
    <w:rsid w:val="00F468EC"/>
    <w:rsid w:val="00F4691E"/>
    <w:rsid w:val="00F46A88"/>
    <w:rsid w:val="00F46CB6"/>
    <w:rsid w:val="00F4756D"/>
    <w:rsid w:val="00F47577"/>
    <w:rsid w:val="00F4759E"/>
    <w:rsid w:val="00F47A2A"/>
    <w:rsid w:val="00F47DE8"/>
    <w:rsid w:val="00F500C6"/>
    <w:rsid w:val="00F50549"/>
    <w:rsid w:val="00F508F3"/>
    <w:rsid w:val="00F509F0"/>
    <w:rsid w:val="00F50A58"/>
    <w:rsid w:val="00F51126"/>
    <w:rsid w:val="00F5136D"/>
    <w:rsid w:val="00F51BFA"/>
    <w:rsid w:val="00F51C43"/>
    <w:rsid w:val="00F51C65"/>
    <w:rsid w:val="00F51ED8"/>
    <w:rsid w:val="00F51F9A"/>
    <w:rsid w:val="00F52075"/>
    <w:rsid w:val="00F52110"/>
    <w:rsid w:val="00F528A6"/>
    <w:rsid w:val="00F52922"/>
    <w:rsid w:val="00F52947"/>
    <w:rsid w:val="00F52E95"/>
    <w:rsid w:val="00F5341A"/>
    <w:rsid w:val="00F536F1"/>
    <w:rsid w:val="00F5372F"/>
    <w:rsid w:val="00F539C5"/>
    <w:rsid w:val="00F53BA9"/>
    <w:rsid w:val="00F53CC0"/>
    <w:rsid w:val="00F542C1"/>
    <w:rsid w:val="00F546AE"/>
    <w:rsid w:val="00F5492E"/>
    <w:rsid w:val="00F549E1"/>
    <w:rsid w:val="00F54C88"/>
    <w:rsid w:val="00F54CFA"/>
    <w:rsid w:val="00F55355"/>
    <w:rsid w:val="00F55CBA"/>
    <w:rsid w:val="00F55D92"/>
    <w:rsid w:val="00F55E73"/>
    <w:rsid w:val="00F55EDA"/>
    <w:rsid w:val="00F5625A"/>
    <w:rsid w:val="00F56C80"/>
    <w:rsid w:val="00F571A1"/>
    <w:rsid w:val="00F57DFE"/>
    <w:rsid w:val="00F60092"/>
    <w:rsid w:val="00F60C6C"/>
    <w:rsid w:val="00F60F9E"/>
    <w:rsid w:val="00F61B10"/>
    <w:rsid w:val="00F61C03"/>
    <w:rsid w:val="00F61C18"/>
    <w:rsid w:val="00F61D37"/>
    <w:rsid w:val="00F61D69"/>
    <w:rsid w:val="00F6200D"/>
    <w:rsid w:val="00F6215D"/>
    <w:rsid w:val="00F62257"/>
    <w:rsid w:val="00F6243A"/>
    <w:rsid w:val="00F62788"/>
    <w:rsid w:val="00F62913"/>
    <w:rsid w:val="00F629BD"/>
    <w:rsid w:val="00F62A46"/>
    <w:rsid w:val="00F62DA8"/>
    <w:rsid w:val="00F63121"/>
    <w:rsid w:val="00F63310"/>
    <w:rsid w:val="00F63404"/>
    <w:rsid w:val="00F63A8C"/>
    <w:rsid w:val="00F63FB1"/>
    <w:rsid w:val="00F640E9"/>
    <w:rsid w:val="00F641E4"/>
    <w:rsid w:val="00F64278"/>
    <w:rsid w:val="00F6453D"/>
    <w:rsid w:val="00F6488C"/>
    <w:rsid w:val="00F65D6F"/>
    <w:rsid w:val="00F65F4B"/>
    <w:rsid w:val="00F668E3"/>
    <w:rsid w:val="00F669A3"/>
    <w:rsid w:val="00F66BA4"/>
    <w:rsid w:val="00F66E28"/>
    <w:rsid w:val="00F66F15"/>
    <w:rsid w:val="00F674BD"/>
    <w:rsid w:val="00F675EB"/>
    <w:rsid w:val="00F67810"/>
    <w:rsid w:val="00F67A69"/>
    <w:rsid w:val="00F67D2C"/>
    <w:rsid w:val="00F701FB"/>
    <w:rsid w:val="00F708F7"/>
    <w:rsid w:val="00F70BFF"/>
    <w:rsid w:val="00F70C9D"/>
    <w:rsid w:val="00F70D90"/>
    <w:rsid w:val="00F70F89"/>
    <w:rsid w:val="00F71768"/>
    <w:rsid w:val="00F71808"/>
    <w:rsid w:val="00F718EE"/>
    <w:rsid w:val="00F71A53"/>
    <w:rsid w:val="00F71D56"/>
    <w:rsid w:val="00F71EC4"/>
    <w:rsid w:val="00F7226A"/>
    <w:rsid w:val="00F72511"/>
    <w:rsid w:val="00F72736"/>
    <w:rsid w:val="00F7288A"/>
    <w:rsid w:val="00F72936"/>
    <w:rsid w:val="00F72BBC"/>
    <w:rsid w:val="00F72DF3"/>
    <w:rsid w:val="00F7317F"/>
    <w:rsid w:val="00F7321D"/>
    <w:rsid w:val="00F73343"/>
    <w:rsid w:val="00F73B04"/>
    <w:rsid w:val="00F73C5C"/>
    <w:rsid w:val="00F73C65"/>
    <w:rsid w:val="00F73E5C"/>
    <w:rsid w:val="00F73EF5"/>
    <w:rsid w:val="00F74150"/>
    <w:rsid w:val="00F7428E"/>
    <w:rsid w:val="00F74CD9"/>
    <w:rsid w:val="00F74F0A"/>
    <w:rsid w:val="00F74F4A"/>
    <w:rsid w:val="00F75125"/>
    <w:rsid w:val="00F755C4"/>
    <w:rsid w:val="00F75759"/>
    <w:rsid w:val="00F757B7"/>
    <w:rsid w:val="00F763E9"/>
    <w:rsid w:val="00F76895"/>
    <w:rsid w:val="00F76A86"/>
    <w:rsid w:val="00F772AB"/>
    <w:rsid w:val="00F77511"/>
    <w:rsid w:val="00F77606"/>
    <w:rsid w:val="00F77B33"/>
    <w:rsid w:val="00F77C94"/>
    <w:rsid w:val="00F77D3C"/>
    <w:rsid w:val="00F77F12"/>
    <w:rsid w:val="00F8013B"/>
    <w:rsid w:val="00F8029C"/>
    <w:rsid w:val="00F802D2"/>
    <w:rsid w:val="00F80503"/>
    <w:rsid w:val="00F80665"/>
    <w:rsid w:val="00F806F2"/>
    <w:rsid w:val="00F80A7B"/>
    <w:rsid w:val="00F80A82"/>
    <w:rsid w:val="00F80CB4"/>
    <w:rsid w:val="00F80E5D"/>
    <w:rsid w:val="00F81076"/>
    <w:rsid w:val="00F812F3"/>
    <w:rsid w:val="00F815BA"/>
    <w:rsid w:val="00F815E0"/>
    <w:rsid w:val="00F81612"/>
    <w:rsid w:val="00F8165B"/>
    <w:rsid w:val="00F81CE8"/>
    <w:rsid w:val="00F81DB4"/>
    <w:rsid w:val="00F81E78"/>
    <w:rsid w:val="00F82202"/>
    <w:rsid w:val="00F82293"/>
    <w:rsid w:val="00F824F2"/>
    <w:rsid w:val="00F826D1"/>
    <w:rsid w:val="00F826EC"/>
    <w:rsid w:val="00F828A4"/>
    <w:rsid w:val="00F82A31"/>
    <w:rsid w:val="00F835BD"/>
    <w:rsid w:val="00F836D7"/>
    <w:rsid w:val="00F844AB"/>
    <w:rsid w:val="00F847E2"/>
    <w:rsid w:val="00F84826"/>
    <w:rsid w:val="00F84B0A"/>
    <w:rsid w:val="00F84C98"/>
    <w:rsid w:val="00F851CE"/>
    <w:rsid w:val="00F85CE9"/>
    <w:rsid w:val="00F85DD1"/>
    <w:rsid w:val="00F85F32"/>
    <w:rsid w:val="00F85F4E"/>
    <w:rsid w:val="00F86106"/>
    <w:rsid w:val="00F86160"/>
    <w:rsid w:val="00F86244"/>
    <w:rsid w:val="00F862F0"/>
    <w:rsid w:val="00F865B7"/>
    <w:rsid w:val="00F86B70"/>
    <w:rsid w:val="00F86C77"/>
    <w:rsid w:val="00F86CA0"/>
    <w:rsid w:val="00F86D71"/>
    <w:rsid w:val="00F87076"/>
    <w:rsid w:val="00F874DA"/>
    <w:rsid w:val="00F8790F"/>
    <w:rsid w:val="00F87FBB"/>
    <w:rsid w:val="00F900C7"/>
    <w:rsid w:val="00F902C7"/>
    <w:rsid w:val="00F9062C"/>
    <w:rsid w:val="00F90C80"/>
    <w:rsid w:val="00F91219"/>
    <w:rsid w:val="00F912F8"/>
    <w:rsid w:val="00F9143A"/>
    <w:rsid w:val="00F91DE2"/>
    <w:rsid w:val="00F9200C"/>
    <w:rsid w:val="00F92128"/>
    <w:rsid w:val="00F921CF"/>
    <w:rsid w:val="00F9225D"/>
    <w:rsid w:val="00F922D0"/>
    <w:rsid w:val="00F92444"/>
    <w:rsid w:val="00F92598"/>
    <w:rsid w:val="00F92966"/>
    <w:rsid w:val="00F929A6"/>
    <w:rsid w:val="00F92F25"/>
    <w:rsid w:val="00F9303B"/>
    <w:rsid w:val="00F93428"/>
    <w:rsid w:val="00F93501"/>
    <w:rsid w:val="00F93772"/>
    <w:rsid w:val="00F9384E"/>
    <w:rsid w:val="00F93927"/>
    <w:rsid w:val="00F9393E"/>
    <w:rsid w:val="00F943AC"/>
    <w:rsid w:val="00F94529"/>
    <w:rsid w:val="00F946A1"/>
    <w:rsid w:val="00F946F5"/>
    <w:rsid w:val="00F94A4F"/>
    <w:rsid w:val="00F94A74"/>
    <w:rsid w:val="00F94D13"/>
    <w:rsid w:val="00F95053"/>
    <w:rsid w:val="00F9519F"/>
    <w:rsid w:val="00F95817"/>
    <w:rsid w:val="00F95E1D"/>
    <w:rsid w:val="00F95FBD"/>
    <w:rsid w:val="00F96297"/>
    <w:rsid w:val="00F9647F"/>
    <w:rsid w:val="00F964DD"/>
    <w:rsid w:val="00F966E9"/>
    <w:rsid w:val="00F96736"/>
    <w:rsid w:val="00F96855"/>
    <w:rsid w:val="00F968EC"/>
    <w:rsid w:val="00F96A55"/>
    <w:rsid w:val="00F96EF0"/>
    <w:rsid w:val="00F96FD0"/>
    <w:rsid w:val="00F96FD3"/>
    <w:rsid w:val="00F97464"/>
    <w:rsid w:val="00F9785B"/>
    <w:rsid w:val="00F979B4"/>
    <w:rsid w:val="00F97A78"/>
    <w:rsid w:val="00F97A8F"/>
    <w:rsid w:val="00F97BB3"/>
    <w:rsid w:val="00F97E20"/>
    <w:rsid w:val="00F97F54"/>
    <w:rsid w:val="00FA0191"/>
    <w:rsid w:val="00FA01F7"/>
    <w:rsid w:val="00FA02DF"/>
    <w:rsid w:val="00FA04CB"/>
    <w:rsid w:val="00FA0688"/>
    <w:rsid w:val="00FA09F2"/>
    <w:rsid w:val="00FA0B20"/>
    <w:rsid w:val="00FA0C35"/>
    <w:rsid w:val="00FA0E2E"/>
    <w:rsid w:val="00FA0EAF"/>
    <w:rsid w:val="00FA0FAF"/>
    <w:rsid w:val="00FA1083"/>
    <w:rsid w:val="00FA1333"/>
    <w:rsid w:val="00FA1538"/>
    <w:rsid w:val="00FA1648"/>
    <w:rsid w:val="00FA1898"/>
    <w:rsid w:val="00FA18A9"/>
    <w:rsid w:val="00FA1BF6"/>
    <w:rsid w:val="00FA1C58"/>
    <w:rsid w:val="00FA1CBC"/>
    <w:rsid w:val="00FA1EB8"/>
    <w:rsid w:val="00FA1FD1"/>
    <w:rsid w:val="00FA224A"/>
    <w:rsid w:val="00FA24E7"/>
    <w:rsid w:val="00FA2A8F"/>
    <w:rsid w:val="00FA2AF0"/>
    <w:rsid w:val="00FA2B3B"/>
    <w:rsid w:val="00FA2D54"/>
    <w:rsid w:val="00FA2D74"/>
    <w:rsid w:val="00FA2F54"/>
    <w:rsid w:val="00FA3024"/>
    <w:rsid w:val="00FA33BF"/>
    <w:rsid w:val="00FA3510"/>
    <w:rsid w:val="00FA3619"/>
    <w:rsid w:val="00FA38C7"/>
    <w:rsid w:val="00FA3977"/>
    <w:rsid w:val="00FA3B77"/>
    <w:rsid w:val="00FA3C78"/>
    <w:rsid w:val="00FA4140"/>
    <w:rsid w:val="00FA4C57"/>
    <w:rsid w:val="00FA4D35"/>
    <w:rsid w:val="00FA4FC0"/>
    <w:rsid w:val="00FA5043"/>
    <w:rsid w:val="00FA5058"/>
    <w:rsid w:val="00FA57DF"/>
    <w:rsid w:val="00FA5A8E"/>
    <w:rsid w:val="00FA5BA5"/>
    <w:rsid w:val="00FA5C4C"/>
    <w:rsid w:val="00FA5EE6"/>
    <w:rsid w:val="00FA62AC"/>
    <w:rsid w:val="00FA6572"/>
    <w:rsid w:val="00FA6A41"/>
    <w:rsid w:val="00FA6AB2"/>
    <w:rsid w:val="00FA6C4D"/>
    <w:rsid w:val="00FA6E44"/>
    <w:rsid w:val="00FA6EA4"/>
    <w:rsid w:val="00FA76E2"/>
    <w:rsid w:val="00FA7956"/>
    <w:rsid w:val="00FA7D56"/>
    <w:rsid w:val="00FB0145"/>
    <w:rsid w:val="00FB038C"/>
    <w:rsid w:val="00FB059E"/>
    <w:rsid w:val="00FB087E"/>
    <w:rsid w:val="00FB0CF6"/>
    <w:rsid w:val="00FB0DBF"/>
    <w:rsid w:val="00FB1358"/>
    <w:rsid w:val="00FB173B"/>
    <w:rsid w:val="00FB17E8"/>
    <w:rsid w:val="00FB1C3A"/>
    <w:rsid w:val="00FB1C43"/>
    <w:rsid w:val="00FB20C1"/>
    <w:rsid w:val="00FB230E"/>
    <w:rsid w:val="00FB2778"/>
    <w:rsid w:val="00FB2FCB"/>
    <w:rsid w:val="00FB3032"/>
    <w:rsid w:val="00FB304E"/>
    <w:rsid w:val="00FB3B87"/>
    <w:rsid w:val="00FB3D44"/>
    <w:rsid w:val="00FB420E"/>
    <w:rsid w:val="00FB48EA"/>
    <w:rsid w:val="00FB539E"/>
    <w:rsid w:val="00FB5850"/>
    <w:rsid w:val="00FB58AE"/>
    <w:rsid w:val="00FB5B5A"/>
    <w:rsid w:val="00FB5C38"/>
    <w:rsid w:val="00FB6077"/>
    <w:rsid w:val="00FB6178"/>
    <w:rsid w:val="00FB679A"/>
    <w:rsid w:val="00FB69AC"/>
    <w:rsid w:val="00FB6B0B"/>
    <w:rsid w:val="00FB6CA7"/>
    <w:rsid w:val="00FB6CB7"/>
    <w:rsid w:val="00FB7298"/>
    <w:rsid w:val="00FB74F9"/>
    <w:rsid w:val="00FB78E1"/>
    <w:rsid w:val="00FB7A68"/>
    <w:rsid w:val="00FB7C55"/>
    <w:rsid w:val="00FB7F8D"/>
    <w:rsid w:val="00FB7FFC"/>
    <w:rsid w:val="00FC01F1"/>
    <w:rsid w:val="00FC03C2"/>
    <w:rsid w:val="00FC043B"/>
    <w:rsid w:val="00FC08CA"/>
    <w:rsid w:val="00FC0D5D"/>
    <w:rsid w:val="00FC0DAA"/>
    <w:rsid w:val="00FC1074"/>
    <w:rsid w:val="00FC1884"/>
    <w:rsid w:val="00FC1895"/>
    <w:rsid w:val="00FC1AA6"/>
    <w:rsid w:val="00FC1AC6"/>
    <w:rsid w:val="00FC1BCF"/>
    <w:rsid w:val="00FC1E70"/>
    <w:rsid w:val="00FC1FAE"/>
    <w:rsid w:val="00FC2166"/>
    <w:rsid w:val="00FC25E3"/>
    <w:rsid w:val="00FC2AD1"/>
    <w:rsid w:val="00FC2C33"/>
    <w:rsid w:val="00FC2D08"/>
    <w:rsid w:val="00FC2DA4"/>
    <w:rsid w:val="00FC2E5D"/>
    <w:rsid w:val="00FC30E4"/>
    <w:rsid w:val="00FC3287"/>
    <w:rsid w:val="00FC371D"/>
    <w:rsid w:val="00FC3D9E"/>
    <w:rsid w:val="00FC407B"/>
    <w:rsid w:val="00FC418D"/>
    <w:rsid w:val="00FC42B4"/>
    <w:rsid w:val="00FC4BE1"/>
    <w:rsid w:val="00FC4CE1"/>
    <w:rsid w:val="00FC4D54"/>
    <w:rsid w:val="00FC5AAF"/>
    <w:rsid w:val="00FC5D6B"/>
    <w:rsid w:val="00FC5E9A"/>
    <w:rsid w:val="00FC5F0B"/>
    <w:rsid w:val="00FC69BA"/>
    <w:rsid w:val="00FC6A3C"/>
    <w:rsid w:val="00FC6C04"/>
    <w:rsid w:val="00FC6CCC"/>
    <w:rsid w:val="00FC7108"/>
    <w:rsid w:val="00FC71C2"/>
    <w:rsid w:val="00FC7234"/>
    <w:rsid w:val="00FC7B0D"/>
    <w:rsid w:val="00FC7C37"/>
    <w:rsid w:val="00FC7CEA"/>
    <w:rsid w:val="00FD002A"/>
    <w:rsid w:val="00FD00CD"/>
    <w:rsid w:val="00FD050E"/>
    <w:rsid w:val="00FD05BE"/>
    <w:rsid w:val="00FD0CFB"/>
    <w:rsid w:val="00FD0DAF"/>
    <w:rsid w:val="00FD136A"/>
    <w:rsid w:val="00FD147F"/>
    <w:rsid w:val="00FD14BE"/>
    <w:rsid w:val="00FD183B"/>
    <w:rsid w:val="00FD1989"/>
    <w:rsid w:val="00FD1D13"/>
    <w:rsid w:val="00FD1FBD"/>
    <w:rsid w:val="00FD20CE"/>
    <w:rsid w:val="00FD2100"/>
    <w:rsid w:val="00FD22B7"/>
    <w:rsid w:val="00FD22C5"/>
    <w:rsid w:val="00FD2861"/>
    <w:rsid w:val="00FD2F56"/>
    <w:rsid w:val="00FD35E6"/>
    <w:rsid w:val="00FD3A5F"/>
    <w:rsid w:val="00FD3C7D"/>
    <w:rsid w:val="00FD436C"/>
    <w:rsid w:val="00FD446D"/>
    <w:rsid w:val="00FD493A"/>
    <w:rsid w:val="00FD4C70"/>
    <w:rsid w:val="00FD4F2C"/>
    <w:rsid w:val="00FD50B1"/>
    <w:rsid w:val="00FD51F2"/>
    <w:rsid w:val="00FD53EF"/>
    <w:rsid w:val="00FD5587"/>
    <w:rsid w:val="00FD55AD"/>
    <w:rsid w:val="00FD5631"/>
    <w:rsid w:val="00FD58D9"/>
    <w:rsid w:val="00FD5BD1"/>
    <w:rsid w:val="00FD5DCD"/>
    <w:rsid w:val="00FD5F6C"/>
    <w:rsid w:val="00FD6394"/>
    <w:rsid w:val="00FD644D"/>
    <w:rsid w:val="00FD6636"/>
    <w:rsid w:val="00FD67EB"/>
    <w:rsid w:val="00FD6C71"/>
    <w:rsid w:val="00FD6F08"/>
    <w:rsid w:val="00FD6FBE"/>
    <w:rsid w:val="00FD70C5"/>
    <w:rsid w:val="00FD7424"/>
    <w:rsid w:val="00FD7619"/>
    <w:rsid w:val="00FD7710"/>
    <w:rsid w:val="00FD78F1"/>
    <w:rsid w:val="00FD7979"/>
    <w:rsid w:val="00FD7C02"/>
    <w:rsid w:val="00FE0319"/>
    <w:rsid w:val="00FE0351"/>
    <w:rsid w:val="00FE059A"/>
    <w:rsid w:val="00FE0E6C"/>
    <w:rsid w:val="00FE1006"/>
    <w:rsid w:val="00FE141C"/>
    <w:rsid w:val="00FE1487"/>
    <w:rsid w:val="00FE1661"/>
    <w:rsid w:val="00FE1978"/>
    <w:rsid w:val="00FE1B3B"/>
    <w:rsid w:val="00FE1CDC"/>
    <w:rsid w:val="00FE203F"/>
    <w:rsid w:val="00FE210D"/>
    <w:rsid w:val="00FE27B1"/>
    <w:rsid w:val="00FE28A3"/>
    <w:rsid w:val="00FE2A99"/>
    <w:rsid w:val="00FE2DB7"/>
    <w:rsid w:val="00FE2DBE"/>
    <w:rsid w:val="00FE2F7A"/>
    <w:rsid w:val="00FE31C2"/>
    <w:rsid w:val="00FE32BE"/>
    <w:rsid w:val="00FE342E"/>
    <w:rsid w:val="00FE35B4"/>
    <w:rsid w:val="00FE3745"/>
    <w:rsid w:val="00FE392B"/>
    <w:rsid w:val="00FE3B25"/>
    <w:rsid w:val="00FE3BDF"/>
    <w:rsid w:val="00FE40CF"/>
    <w:rsid w:val="00FE42F1"/>
    <w:rsid w:val="00FE4826"/>
    <w:rsid w:val="00FE4D0A"/>
    <w:rsid w:val="00FE4EF7"/>
    <w:rsid w:val="00FE4F04"/>
    <w:rsid w:val="00FE5353"/>
    <w:rsid w:val="00FE5388"/>
    <w:rsid w:val="00FE5DC5"/>
    <w:rsid w:val="00FE5E45"/>
    <w:rsid w:val="00FE649F"/>
    <w:rsid w:val="00FE6BD8"/>
    <w:rsid w:val="00FE6E09"/>
    <w:rsid w:val="00FE70C3"/>
    <w:rsid w:val="00FE742F"/>
    <w:rsid w:val="00FE76F0"/>
    <w:rsid w:val="00FE771E"/>
    <w:rsid w:val="00FE780F"/>
    <w:rsid w:val="00FE788B"/>
    <w:rsid w:val="00FE7BF4"/>
    <w:rsid w:val="00FE7EF6"/>
    <w:rsid w:val="00FF0108"/>
    <w:rsid w:val="00FF019D"/>
    <w:rsid w:val="00FF01F8"/>
    <w:rsid w:val="00FF0305"/>
    <w:rsid w:val="00FF0404"/>
    <w:rsid w:val="00FF0425"/>
    <w:rsid w:val="00FF042F"/>
    <w:rsid w:val="00FF0B26"/>
    <w:rsid w:val="00FF118E"/>
    <w:rsid w:val="00FF1343"/>
    <w:rsid w:val="00FF1368"/>
    <w:rsid w:val="00FF14CF"/>
    <w:rsid w:val="00FF15CD"/>
    <w:rsid w:val="00FF1BD6"/>
    <w:rsid w:val="00FF1C9D"/>
    <w:rsid w:val="00FF1FBD"/>
    <w:rsid w:val="00FF2205"/>
    <w:rsid w:val="00FF26CC"/>
    <w:rsid w:val="00FF2821"/>
    <w:rsid w:val="00FF2917"/>
    <w:rsid w:val="00FF2AD9"/>
    <w:rsid w:val="00FF317F"/>
    <w:rsid w:val="00FF31CF"/>
    <w:rsid w:val="00FF352B"/>
    <w:rsid w:val="00FF359F"/>
    <w:rsid w:val="00FF3855"/>
    <w:rsid w:val="00FF3B08"/>
    <w:rsid w:val="00FF3DCF"/>
    <w:rsid w:val="00FF412F"/>
    <w:rsid w:val="00FF43FC"/>
    <w:rsid w:val="00FF4449"/>
    <w:rsid w:val="00FF492B"/>
    <w:rsid w:val="00FF492C"/>
    <w:rsid w:val="00FF49E6"/>
    <w:rsid w:val="00FF4A07"/>
    <w:rsid w:val="00FF4A21"/>
    <w:rsid w:val="00FF4B7E"/>
    <w:rsid w:val="00FF4E0F"/>
    <w:rsid w:val="00FF571E"/>
    <w:rsid w:val="00FF5AA3"/>
    <w:rsid w:val="00FF5AD8"/>
    <w:rsid w:val="00FF5B47"/>
    <w:rsid w:val="00FF600F"/>
    <w:rsid w:val="00FF617D"/>
    <w:rsid w:val="00FF640E"/>
    <w:rsid w:val="00FF6E8B"/>
    <w:rsid w:val="00FF7179"/>
    <w:rsid w:val="00FF7483"/>
    <w:rsid w:val="00FF7843"/>
    <w:rsid w:val="00FF78AB"/>
    <w:rsid w:val="00FF78C8"/>
    <w:rsid w:val="00FF79A4"/>
    <w:rsid w:val="00FF7DA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BF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49"/>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har, Char,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Annotationtext Char,Char Char, Char Char,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character" w:customStyle="1" w:styleId="SmallItalics">
    <w:name w:val="Small Italics"/>
    <w:basedOn w:val="DefaultParagraphFont"/>
    <w:uiPriority w:val="4"/>
    <w:qFormat/>
    <w:rsid w:val="00E23BB1"/>
    <w:rPr>
      <w:rFonts w:ascii="Calibri" w:hAnsi="Calibri"/>
      <w:i/>
      <w:sz w:val="20"/>
    </w:rPr>
  </w:style>
  <w:style w:type="table" w:customStyle="1" w:styleId="HTATableshaded">
    <w:name w:val="HTA Table shaded"/>
    <w:basedOn w:val="TableNormal"/>
    <w:rsid w:val="00443EC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1">
    <w:name w:val="Table H1"/>
    <w:basedOn w:val="BodyText"/>
    <w:uiPriority w:val="4"/>
    <w:qFormat/>
    <w:rsid w:val="00443ECC"/>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Headingleft">
    <w:name w:val="Table Heading left"/>
    <w:basedOn w:val="Normal"/>
    <w:next w:val="Normal"/>
    <w:qFormat/>
    <w:rsid w:val="00443ECC"/>
    <w:pPr>
      <w:spacing w:before="40" w:after="40"/>
      <w:jc w:val="left"/>
    </w:pPr>
    <w:rPr>
      <w:rFonts w:asciiTheme="minorHAnsi" w:eastAsiaTheme="minorHAnsi" w:hAnsiTheme="minorHAnsi" w:cs="Tahoma"/>
      <w:b/>
      <w:sz w:val="18"/>
      <w:szCs w:val="18"/>
      <w:lang w:val="de-DE" w:eastAsia="en-US"/>
    </w:rPr>
  </w:style>
  <w:style w:type="character" w:customStyle="1" w:styleId="CaptionFootnoteChar">
    <w:name w:val="Caption Footnote Char"/>
    <w:basedOn w:val="DefaultParagraphFont"/>
    <w:link w:val="CaptionFootnote"/>
    <w:rsid w:val="00443ECC"/>
    <w:rPr>
      <w:rFonts w:asciiTheme="minorHAnsi" w:hAnsiTheme="minorHAnsi"/>
      <w:kern w:val="28"/>
      <w:sz w:val="16"/>
      <w:szCs w:val="24"/>
    </w:rPr>
  </w:style>
  <w:style w:type="paragraph" w:customStyle="1" w:styleId="CaptionFootnote">
    <w:name w:val="Caption Footnote"/>
    <w:basedOn w:val="Normal"/>
    <w:link w:val="CaptionFootnoteChar"/>
    <w:qFormat/>
    <w:rsid w:val="00443ECC"/>
    <w:rPr>
      <w:rFonts w:asciiTheme="minorHAnsi" w:hAnsiTheme="minorHAnsi" w:cs="Times New Roman"/>
      <w:kern w:val="28"/>
      <w:sz w:val="16"/>
    </w:rPr>
  </w:style>
  <w:style w:type="paragraph" w:customStyle="1" w:styleId="TableBullets">
    <w:name w:val="Table Bullets"/>
    <w:basedOn w:val="TableLeft"/>
    <w:uiPriority w:val="5"/>
    <w:qFormat/>
    <w:rsid w:val="002426A6"/>
    <w:pPr>
      <w:numPr>
        <w:numId w:val="6"/>
      </w:numPr>
      <w:jc w:val="both"/>
    </w:pPr>
    <w:rPr>
      <w:rFonts w:eastAsiaTheme="majorEastAsia" w:cstheme="majorBidi"/>
      <w:sz w:val="18"/>
      <w:lang w:bidi="en-US"/>
    </w:rPr>
  </w:style>
  <w:style w:type="table" w:customStyle="1" w:styleId="TableGrid1">
    <w:name w:val="Table Grid1"/>
    <w:basedOn w:val="TableNormal"/>
    <w:next w:val="TableGrid"/>
    <w:uiPriority w:val="59"/>
    <w:rsid w:val="002426A6"/>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EE1C16"/>
    <w:rPr>
      <w:rFonts w:ascii="Calibri" w:hAnsi="Calibri"/>
      <w:sz w:val="20"/>
      <w:bdr w:val="none" w:sz="0" w:space="0" w:color="auto"/>
      <w:shd w:val="clear" w:color="auto" w:fill="FFFF00"/>
    </w:rPr>
  </w:style>
  <w:style w:type="paragraph" w:customStyle="1" w:styleId="NormalBullets">
    <w:name w:val="Normal Bullets"/>
    <w:basedOn w:val="Normal"/>
    <w:uiPriority w:val="3"/>
    <w:qFormat/>
    <w:rsid w:val="005E642D"/>
    <w:pPr>
      <w:numPr>
        <w:numId w:val="7"/>
      </w:numPr>
      <w:spacing w:after="240" w:line="276" w:lineRule="auto"/>
      <w:contextualSpacing/>
    </w:pPr>
    <w:rPr>
      <w:rFonts w:eastAsiaTheme="majorEastAsia" w:cstheme="majorBidi"/>
      <w:sz w:val="22"/>
      <w:szCs w:val="22"/>
      <w:lang w:eastAsia="en-US" w:bidi="en-US"/>
    </w:rPr>
  </w:style>
  <w:style w:type="paragraph" w:customStyle="1" w:styleId="TableParagraph">
    <w:name w:val="Table Paragraph"/>
    <w:basedOn w:val="Normal"/>
    <w:uiPriority w:val="1"/>
    <w:qFormat/>
    <w:rsid w:val="005E642D"/>
    <w:pPr>
      <w:widowControl w:val="0"/>
      <w:autoSpaceDE w:val="0"/>
      <w:autoSpaceDN w:val="0"/>
      <w:spacing w:before="1"/>
      <w:ind w:left="110"/>
      <w:jc w:val="left"/>
    </w:pPr>
    <w:rPr>
      <w:rFonts w:eastAsia="Calibri" w:cs="Calibri"/>
      <w:sz w:val="22"/>
      <w:szCs w:val="22"/>
      <w:lang w:bidi="en-AU"/>
    </w:rPr>
  </w:style>
  <w:style w:type="character" w:customStyle="1" w:styleId="FontBold">
    <w:name w:val="Font Bold"/>
    <w:basedOn w:val="DefaultParagraphFont"/>
    <w:uiPriority w:val="1"/>
    <w:qFormat/>
    <w:rsid w:val="001473D8"/>
    <w:rPr>
      <w:rFonts w:ascii="Calibri" w:hAnsi="Calibri"/>
      <w:b/>
      <w:i w:val="0"/>
      <w:sz w:val="24"/>
    </w:rPr>
  </w:style>
  <w:style w:type="table" w:customStyle="1" w:styleId="Submissionstandard4">
    <w:name w:val="Submission standard4"/>
    <w:basedOn w:val="TableNormal"/>
    <w:uiPriority w:val="99"/>
    <w:qFormat/>
    <w:rsid w:val="008E157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Light" w:hAnsi="@Yu Gothic UI Light"/>
        <w:b/>
        <w:sz w:val="20"/>
      </w:rPr>
      <w:tblPr/>
      <w:tcPr>
        <w:shd w:val="clear" w:color="auto" w:fill="BFBFBF" w:themeFill="background1" w:themeFillShade="BF"/>
      </w:tcPr>
    </w:tblStylePr>
  </w:style>
  <w:style w:type="table" w:customStyle="1" w:styleId="Style3">
    <w:name w:val="Style3"/>
    <w:basedOn w:val="TableGrid10"/>
    <w:uiPriority w:val="99"/>
    <w:rsid w:val="001010CF"/>
    <w:rPr>
      <w:rFonts w:ascii="Arial" w:eastAsia="SimSun" w:hAnsi="Arial"/>
      <w:sz w:val="21"/>
      <w:szCs w:val="21"/>
      <w:lang w:val="en-US" w:eastAsia="en-US"/>
    </w:rPr>
    <w:tblPr/>
    <w:tcPr>
      <w:shd w:val="clear" w:color="auto" w:fill="auto"/>
    </w:tcPr>
    <w:tblStylePr w:type="firstRow">
      <w:pPr>
        <w:jc w:val="center"/>
      </w:pPr>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ossierFooter">
    <w:name w:val="Dossier Footer"/>
    <w:basedOn w:val="Normal"/>
    <w:qFormat/>
    <w:rsid w:val="001010CF"/>
    <w:pPr>
      <w:jc w:val="left"/>
    </w:pPr>
    <w:rPr>
      <w:rFonts w:ascii="Arial" w:eastAsia="SimSun" w:hAnsi="Arial" w:cs="Times New Roman"/>
      <w:sz w:val="16"/>
      <w:szCs w:val="14"/>
      <w:lang w:val="en-GB" w:eastAsia="en-GB"/>
    </w:rPr>
  </w:style>
  <w:style w:type="table" w:styleId="TableGrid10">
    <w:name w:val="Table Grid 1"/>
    <w:basedOn w:val="TableNormal"/>
    <w:semiHidden/>
    <w:unhideWhenUsed/>
    <w:rsid w:val="001010C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mall">
    <w:name w:val="Small"/>
    <w:basedOn w:val="DefaultParagraphFont"/>
    <w:uiPriority w:val="4"/>
    <w:qFormat/>
    <w:rsid w:val="005C0C7C"/>
    <w:rPr>
      <w:rFonts w:ascii="Calibri" w:hAnsi="Calibri"/>
      <w:sz w:val="20"/>
    </w:rPr>
  </w:style>
  <w:style w:type="paragraph" w:customStyle="1" w:styleId="Default">
    <w:name w:val="Default"/>
    <w:rsid w:val="00781A76"/>
    <w:pPr>
      <w:autoSpaceDE w:val="0"/>
      <w:autoSpaceDN w:val="0"/>
      <w:adjustRightInd w:val="0"/>
    </w:pPr>
    <w:rPr>
      <w:rFonts w:eastAsiaTheme="majorEastAsia"/>
      <w:color w:val="000000"/>
      <w:sz w:val="24"/>
      <w:szCs w:val="24"/>
      <w:lang w:val="en-US" w:eastAsia="en-US"/>
    </w:rPr>
  </w:style>
  <w:style w:type="paragraph" w:customStyle="1" w:styleId="V50Instructions">
    <w:name w:val="V5.0 Instructions"/>
    <w:basedOn w:val="Normal"/>
    <w:link w:val="V50InstructionsChar"/>
    <w:qFormat/>
    <w:rsid w:val="00FE166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E1661"/>
    <w:rPr>
      <w:rFonts w:asciiTheme="minorHAnsi" w:eastAsiaTheme="minorHAnsi" w:hAnsiTheme="minorHAnsi" w:cstheme="minorBidi"/>
      <w:color w:val="4BACC6" w:themeColor="accent5"/>
      <w:sz w:val="24"/>
      <w:szCs w:val="22"/>
      <w:lang w:eastAsia="en-US"/>
    </w:rPr>
  </w:style>
  <w:style w:type="character" w:customStyle="1" w:styleId="UnresolvedMention1">
    <w:name w:val="Unresolved Mention1"/>
    <w:basedOn w:val="DefaultParagraphFont"/>
    <w:uiPriority w:val="99"/>
    <w:semiHidden/>
    <w:unhideWhenUsed/>
    <w:rsid w:val="004B3FE2"/>
    <w:rPr>
      <w:color w:val="605E5C"/>
      <w:shd w:val="clear" w:color="auto" w:fill="E1DFDD"/>
    </w:rPr>
  </w:style>
  <w:style w:type="character" w:styleId="PlaceholderText">
    <w:name w:val="Placeholder Text"/>
    <w:basedOn w:val="DefaultParagraphFont"/>
    <w:uiPriority w:val="99"/>
    <w:semiHidden/>
    <w:rsid w:val="00700343"/>
    <w:rPr>
      <w:color w:val="808080"/>
    </w:rPr>
  </w:style>
  <w:style w:type="character" w:customStyle="1" w:styleId="normaltextrun">
    <w:name w:val="normaltextrun"/>
    <w:basedOn w:val="DefaultParagraphFont"/>
    <w:rsid w:val="00700343"/>
  </w:style>
  <w:style w:type="character" w:customStyle="1" w:styleId="eop">
    <w:name w:val="eop"/>
    <w:basedOn w:val="DefaultParagraphFont"/>
    <w:rsid w:val="00700343"/>
  </w:style>
  <w:style w:type="character" w:customStyle="1" w:styleId="scxw52328610">
    <w:name w:val="scxw52328610"/>
    <w:basedOn w:val="DefaultParagraphFont"/>
    <w:rsid w:val="00700343"/>
  </w:style>
  <w:style w:type="paragraph" w:styleId="FootnoteText">
    <w:name w:val="footnote text"/>
    <w:basedOn w:val="Normal"/>
    <w:link w:val="FootnoteTextChar"/>
    <w:semiHidden/>
    <w:unhideWhenUsed/>
    <w:rsid w:val="000A7CBB"/>
    <w:rPr>
      <w:sz w:val="20"/>
      <w:szCs w:val="20"/>
    </w:rPr>
  </w:style>
  <w:style w:type="character" w:customStyle="1" w:styleId="FootnoteTextChar">
    <w:name w:val="Footnote Text Char"/>
    <w:basedOn w:val="DefaultParagraphFont"/>
    <w:link w:val="FootnoteText"/>
    <w:semiHidden/>
    <w:rsid w:val="000A7CBB"/>
    <w:rPr>
      <w:rFonts w:ascii="Calibri" w:hAnsi="Calibri" w:cs="Arial"/>
    </w:rPr>
  </w:style>
  <w:style w:type="character" w:styleId="FootnoteReference">
    <w:name w:val="footnote reference"/>
    <w:basedOn w:val="DefaultParagraphFont"/>
    <w:semiHidden/>
    <w:unhideWhenUsed/>
    <w:rsid w:val="000A7CBB"/>
    <w:rPr>
      <w:vertAlign w:val="superscript"/>
    </w:rPr>
  </w:style>
  <w:style w:type="table" w:styleId="PlainTable1">
    <w:name w:val="Plain Table 1"/>
    <w:basedOn w:val="TableNormal"/>
    <w:uiPriority w:val="41"/>
    <w:rsid w:val="00705A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132867"/>
    <w:rPr>
      <w:b/>
      <w:bCs/>
    </w:rPr>
  </w:style>
  <w:style w:type="character" w:customStyle="1" w:styleId="text-widget3">
    <w:name w:val="text-widget3"/>
    <w:basedOn w:val="DefaultParagraphFont"/>
    <w:rsid w:val="00132867"/>
  </w:style>
  <w:style w:type="character" w:customStyle="1" w:styleId="Heading1Char">
    <w:name w:val="Heading 1 Char"/>
    <w:basedOn w:val="DefaultParagraphFont"/>
    <w:link w:val="Heading1"/>
    <w:uiPriority w:val="1"/>
    <w:rsid w:val="00C04575"/>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2F559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F5593"/>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3482595">
      <w:bodyDiv w:val="1"/>
      <w:marLeft w:val="0"/>
      <w:marRight w:val="0"/>
      <w:marTop w:val="0"/>
      <w:marBottom w:val="0"/>
      <w:divBdr>
        <w:top w:val="none" w:sz="0" w:space="0" w:color="auto"/>
        <w:left w:val="none" w:sz="0" w:space="0" w:color="auto"/>
        <w:bottom w:val="none" w:sz="0" w:space="0" w:color="auto"/>
        <w:right w:val="none" w:sz="0" w:space="0" w:color="auto"/>
      </w:divBdr>
      <w:divsChild>
        <w:div w:id="1813324519">
          <w:marLeft w:val="360"/>
          <w:marRight w:val="0"/>
          <w:marTop w:val="200"/>
          <w:marBottom w:val="0"/>
          <w:divBdr>
            <w:top w:val="none" w:sz="0" w:space="0" w:color="auto"/>
            <w:left w:val="none" w:sz="0" w:space="0" w:color="auto"/>
            <w:bottom w:val="none" w:sz="0" w:space="0" w:color="auto"/>
            <w:right w:val="none" w:sz="0" w:space="0" w:color="auto"/>
          </w:divBdr>
        </w:div>
      </w:divsChild>
    </w:div>
    <w:div w:id="527110723">
      <w:bodyDiv w:val="1"/>
      <w:marLeft w:val="0"/>
      <w:marRight w:val="0"/>
      <w:marTop w:val="0"/>
      <w:marBottom w:val="0"/>
      <w:divBdr>
        <w:top w:val="none" w:sz="0" w:space="0" w:color="auto"/>
        <w:left w:val="none" w:sz="0" w:space="0" w:color="auto"/>
        <w:bottom w:val="none" w:sz="0" w:space="0" w:color="auto"/>
        <w:right w:val="none" w:sz="0" w:space="0" w:color="auto"/>
      </w:divBdr>
    </w:div>
    <w:div w:id="569073128">
      <w:bodyDiv w:val="1"/>
      <w:marLeft w:val="0"/>
      <w:marRight w:val="0"/>
      <w:marTop w:val="0"/>
      <w:marBottom w:val="0"/>
      <w:divBdr>
        <w:top w:val="none" w:sz="0" w:space="0" w:color="auto"/>
        <w:left w:val="none" w:sz="0" w:space="0" w:color="auto"/>
        <w:bottom w:val="none" w:sz="0" w:space="0" w:color="auto"/>
        <w:right w:val="none" w:sz="0" w:space="0" w:color="auto"/>
      </w:divBdr>
    </w:div>
    <w:div w:id="575481694">
      <w:bodyDiv w:val="1"/>
      <w:marLeft w:val="0"/>
      <w:marRight w:val="0"/>
      <w:marTop w:val="0"/>
      <w:marBottom w:val="0"/>
      <w:divBdr>
        <w:top w:val="none" w:sz="0" w:space="0" w:color="auto"/>
        <w:left w:val="none" w:sz="0" w:space="0" w:color="auto"/>
        <w:bottom w:val="none" w:sz="0" w:space="0" w:color="auto"/>
        <w:right w:val="none" w:sz="0" w:space="0" w:color="auto"/>
      </w:divBdr>
    </w:div>
    <w:div w:id="686445900">
      <w:bodyDiv w:val="1"/>
      <w:marLeft w:val="0"/>
      <w:marRight w:val="0"/>
      <w:marTop w:val="0"/>
      <w:marBottom w:val="0"/>
      <w:divBdr>
        <w:top w:val="none" w:sz="0" w:space="0" w:color="auto"/>
        <w:left w:val="none" w:sz="0" w:space="0" w:color="auto"/>
        <w:bottom w:val="none" w:sz="0" w:space="0" w:color="auto"/>
        <w:right w:val="none" w:sz="0" w:space="0" w:color="auto"/>
      </w:divBdr>
    </w:div>
    <w:div w:id="706611432">
      <w:bodyDiv w:val="1"/>
      <w:marLeft w:val="0"/>
      <w:marRight w:val="0"/>
      <w:marTop w:val="0"/>
      <w:marBottom w:val="0"/>
      <w:divBdr>
        <w:top w:val="none" w:sz="0" w:space="0" w:color="auto"/>
        <w:left w:val="none" w:sz="0" w:space="0" w:color="auto"/>
        <w:bottom w:val="none" w:sz="0" w:space="0" w:color="auto"/>
        <w:right w:val="none" w:sz="0" w:space="0" w:color="auto"/>
      </w:divBdr>
    </w:div>
    <w:div w:id="747654705">
      <w:bodyDiv w:val="1"/>
      <w:marLeft w:val="0"/>
      <w:marRight w:val="0"/>
      <w:marTop w:val="0"/>
      <w:marBottom w:val="0"/>
      <w:divBdr>
        <w:top w:val="none" w:sz="0" w:space="0" w:color="auto"/>
        <w:left w:val="none" w:sz="0" w:space="0" w:color="auto"/>
        <w:bottom w:val="none" w:sz="0" w:space="0" w:color="auto"/>
        <w:right w:val="none" w:sz="0" w:space="0" w:color="auto"/>
      </w:divBdr>
    </w:div>
    <w:div w:id="923296003">
      <w:bodyDiv w:val="1"/>
      <w:marLeft w:val="0"/>
      <w:marRight w:val="0"/>
      <w:marTop w:val="0"/>
      <w:marBottom w:val="0"/>
      <w:divBdr>
        <w:top w:val="none" w:sz="0" w:space="0" w:color="auto"/>
        <w:left w:val="none" w:sz="0" w:space="0" w:color="auto"/>
        <w:bottom w:val="none" w:sz="0" w:space="0" w:color="auto"/>
        <w:right w:val="none" w:sz="0" w:space="0" w:color="auto"/>
      </w:divBdr>
    </w:div>
    <w:div w:id="1000348571">
      <w:bodyDiv w:val="1"/>
      <w:marLeft w:val="0"/>
      <w:marRight w:val="0"/>
      <w:marTop w:val="0"/>
      <w:marBottom w:val="0"/>
      <w:divBdr>
        <w:top w:val="none" w:sz="0" w:space="0" w:color="auto"/>
        <w:left w:val="none" w:sz="0" w:space="0" w:color="auto"/>
        <w:bottom w:val="none" w:sz="0" w:space="0" w:color="auto"/>
        <w:right w:val="none" w:sz="0" w:space="0" w:color="auto"/>
      </w:divBdr>
      <w:divsChild>
        <w:div w:id="1133715827">
          <w:marLeft w:val="360"/>
          <w:marRight w:val="0"/>
          <w:marTop w:val="200"/>
          <w:marBottom w:val="0"/>
          <w:divBdr>
            <w:top w:val="none" w:sz="0" w:space="0" w:color="auto"/>
            <w:left w:val="none" w:sz="0" w:space="0" w:color="auto"/>
            <w:bottom w:val="none" w:sz="0" w:space="0" w:color="auto"/>
            <w:right w:val="none" w:sz="0" w:space="0" w:color="auto"/>
          </w:divBdr>
        </w:div>
      </w:divsChild>
    </w:div>
    <w:div w:id="10519289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6924">
      <w:bodyDiv w:val="1"/>
      <w:marLeft w:val="0"/>
      <w:marRight w:val="0"/>
      <w:marTop w:val="0"/>
      <w:marBottom w:val="0"/>
      <w:divBdr>
        <w:top w:val="none" w:sz="0" w:space="0" w:color="auto"/>
        <w:left w:val="none" w:sz="0" w:space="0" w:color="auto"/>
        <w:bottom w:val="none" w:sz="0" w:space="0" w:color="auto"/>
        <w:right w:val="none" w:sz="0" w:space="0" w:color="auto"/>
      </w:divBdr>
      <w:divsChild>
        <w:div w:id="2026861655">
          <w:marLeft w:val="360"/>
          <w:marRight w:val="0"/>
          <w:marTop w:val="200"/>
          <w:marBottom w:val="0"/>
          <w:divBdr>
            <w:top w:val="none" w:sz="0" w:space="0" w:color="auto"/>
            <w:left w:val="none" w:sz="0" w:space="0" w:color="auto"/>
            <w:bottom w:val="none" w:sz="0" w:space="0" w:color="auto"/>
            <w:right w:val="none" w:sz="0" w:space="0" w:color="auto"/>
          </w:divBdr>
        </w:div>
      </w:divsChild>
    </w:div>
    <w:div w:id="1609656791">
      <w:bodyDiv w:val="1"/>
      <w:marLeft w:val="0"/>
      <w:marRight w:val="0"/>
      <w:marTop w:val="0"/>
      <w:marBottom w:val="0"/>
      <w:divBdr>
        <w:top w:val="none" w:sz="0" w:space="0" w:color="auto"/>
        <w:left w:val="none" w:sz="0" w:space="0" w:color="auto"/>
        <w:bottom w:val="none" w:sz="0" w:space="0" w:color="auto"/>
        <w:right w:val="none" w:sz="0" w:space="0" w:color="auto"/>
      </w:divBdr>
    </w:div>
    <w:div w:id="1708220217">
      <w:bodyDiv w:val="1"/>
      <w:marLeft w:val="0"/>
      <w:marRight w:val="0"/>
      <w:marTop w:val="0"/>
      <w:marBottom w:val="0"/>
      <w:divBdr>
        <w:top w:val="none" w:sz="0" w:space="0" w:color="auto"/>
        <w:left w:val="none" w:sz="0" w:space="0" w:color="auto"/>
        <w:bottom w:val="none" w:sz="0" w:space="0" w:color="auto"/>
        <w:right w:val="none" w:sz="0" w:space="0" w:color="auto"/>
      </w:divBdr>
    </w:div>
    <w:div w:id="175350512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3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69C9-0373-4D37-8B5A-E5A149AF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10711</Words>
  <Characters>59107</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69679</CharactersWithSpaces>
  <SharedDoc>false</SharedDoc>
  <HLinks>
    <vt:vector size="456" baseType="variant">
      <vt:variant>
        <vt:i4>1114163</vt:i4>
      </vt:variant>
      <vt:variant>
        <vt:i4>446</vt:i4>
      </vt:variant>
      <vt:variant>
        <vt:i4>0</vt:i4>
      </vt:variant>
      <vt:variant>
        <vt:i4>5</vt:i4>
      </vt:variant>
      <vt:variant>
        <vt:lpwstr/>
      </vt:variant>
      <vt:variant>
        <vt:lpwstr>_Toc22898914</vt:lpwstr>
      </vt:variant>
      <vt:variant>
        <vt:i4>1441843</vt:i4>
      </vt:variant>
      <vt:variant>
        <vt:i4>440</vt:i4>
      </vt:variant>
      <vt:variant>
        <vt:i4>0</vt:i4>
      </vt:variant>
      <vt:variant>
        <vt:i4>5</vt:i4>
      </vt:variant>
      <vt:variant>
        <vt:lpwstr/>
      </vt:variant>
      <vt:variant>
        <vt:lpwstr>_Toc22898913</vt:lpwstr>
      </vt:variant>
      <vt:variant>
        <vt:i4>1507379</vt:i4>
      </vt:variant>
      <vt:variant>
        <vt:i4>434</vt:i4>
      </vt:variant>
      <vt:variant>
        <vt:i4>0</vt:i4>
      </vt:variant>
      <vt:variant>
        <vt:i4>5</vt:i4>
      </vt:variant>
      <vt:variant>
        <vt:lpwstr/>
      </vt:variant>
      <vt:variant>
        <vt:lpwstr>_Toc22898912</vt:lpwstr>
      </vt:variant>
      <vt:variant>
        <vt:i4>1310771</vt:i4>
      </vt:variant>
      <vt:variant>
        <vt:i4>428</vt:i4>
      </vt:variant>
      <vt:variant>
        <vt:i4>0</vt:i4>
      </vt:variant>
      <vt:variant>
        <vt:i4>5</vt:i4>
      </vt:variant>
      <vt:variant>
        <vt:lpwstr/>
      </vt:variant>
      <vt:variant>
        <vt:lpwstr>_Toc22898911</vt:lpwstr>
      </vt:variant>
      <vt:variant>
        <vt:i4>1376307</vt:i4>
      </vt:variant>
      <vt:variant>
        <vt:i4>422</vt:i4>
      </vt:variant>
      <vt:variant>
        <vt:i4>0</vt:i4>
      </vt:variant>
      <vt:variant>
        <vt:i4>5</vt:i4>
      </vt:variant>
      <vt:variant>
        <vt:lpwstr/>
      </vt:variant>
      <vt:variant>
        <vt:lpwstr>_Toc22898910</vt:lpwstr>
      </vt:variant>
      <vt:variant>
        <vt:i4>1835058</vt:i4>
      </vt:variant>
      <vt:variant>
        <vt:i4>416</vt:i4>
      </vt:variant>
      <vt:variant>
        <vt:i4>0</vt:i4>
      </vt:variant>
      <vt:variant>
        <vt:i4>5</vt:i4>
      </vt:variant>
      <vt:variant>
        <vt:lpwstr/>
      </vt:variant>
      <vt:variant>
        <vt:lpwstr>_Toc22898909</vt:lpwstr>
      </vt:variant>
      <vt:variant>
        <vt:i4>1900594</vt:i4>
      </vt:variant>
      <vt:variant>
        <vt:i4>410</vt:i4>
      </vt:variant>
      <vt:variant>
        <vt:i4>0</vt:i4>
      </vt:variant>
      <vt:variant>
        <vt:i4>5</vt:i4>
      </vt:variant>
      <vt:variant>
        <vt:lpwstr/>
      </vt:variant>
      <vt:variant>
        <vt:lpwstr>_Toc22898908</vt:lpwstr>
      </vt:variant>
      <vt:variant>
        <vt:i4>1179698</vt:i4>
      </vt:variant>
      <vt:variant>
        <vt:i4>404</vt:i4>
      </vt:variant>
      <vt:variant>
        <vt:i4>0</vt:i4>
      </vt:variant>
      <vt:variant>
        <vt:i4>5</vt:i4>
      </vt:variant>
      <vt:variant>
        <vt:lpwstr/>
      </vt:variant>
      <vt:variant>
        <vt:lpwstr>_Toc22898907</vt:lpwstr>
      </vt:variant>
      <vt:variant>
        <vt:i4>1245234</vt:i4>
      </vt:variant>
      <vt:variant>
        <vt:i4>398</vt:i4>
      </vt:variant>
      <vt:variant>
        <vt:i4>0</vt:i4>
      </vt:variant>
      <vt:variant>
        <vt:i4>5</vt:i4>
      </vt:variant>
      <vt:variant>
        <vt:lpwstr/>
      </vt:variant>
      <vt:variant>
        <vt:lpwstr>_Toc22898906</vt:lpwstr>
      </vt:variant>
      <vt:variant>
        <vt:i4>1048626</vt:i4>
      </vt:variant>
      <vt:variant>
        <vt:i4>392</vt:i4>
      </vt:variant>
      <vt:variant>
        <vt:i4>0</vt:i4>
      </vt:variant>
      <vt:variant>
        <vt:i4>5</vt:i4>
      </vt:variant>
      <vt:variant>
        <vt:lpwstr/>
      </vt:variant>
      <vt:variant>
        <vt:lpwstr>_Toc22898905</vt:lpwstr>
      </vt:variant>
      <vt:variant>
        <vt:i4>1114162</vt:i4>
      </vt:variant>
      <vt:variant>
        <vt:i4>386</vt:i4>
      </vt:variant>
      <vt:variant>
        <vt:i4>0</vt:i4>
      </vt:variant>
      <vt:variant>
        <vt:i4>5</vt:i4>
      </vt:variant>
      <vt:variant>
        <vt:lpwstr/>
      </vt:variant>
      <vt:variant>
        <vt:lpwstr>_Toc22898904</vt:lpwstr>
      </vt:variant>
      <vt:variant>
        <vt:i4>1441842</vt:i4>
      </vt:variant>
      <vt:variant>
        <vt:i4>380</vt:i4>
      </vt:variant>
      <vt:variant>
        <vt:i4>0</vt:i4>
      </vt:variant>
      <vt:variant>
        <vt:i4>5</vt:i4>
      </vt:variant>
      <vt:variant>
        <vt:lpwstr/>
      </vt:variant>
      <vt:variant>
        <vt:lpwstr>_Toc22898903</vt:lpwstr>
      </vt:variant>
      <vt:variant>
        <vt:i4>1507378</vt:i4>
      </vt:variant>
      <vt:variant>
        <vt:i4>374</vt:i4>
      </vt:variant>
      <vt:variant>
        <vt:i4>0</vt:i4>
      </vt:variant>
      <vt:variant>
        <vt:i4>5</vt:i4>
      </vt:variant>
      <vt:variant>
        <vt:lpwstr/>
      </vt:variant>
      <vt:variant>
        <vt:lpwstr>_Toc22898902</vt:lpwstr>
      </vt:variant>
      <vt:variant>
        <vt:i4>1310770</vt:i4>
      </vt:variant>
      <vt:variant>
        <vt:i4>368</vt:i4>
      </vt:variant>
      <vt:variant>
        <vt:i4>0</vt:i4>
      </vt:variant>
      <vt:variant>
        <vt:i4>5</vt:i4>
      </vt:variant>
      <vt:variant>
        <vt:lpwstr/>
      </vt:variant>
      <vt:variant>
        <vt:lpwstr>_Toc22898901</vt:lpwstr>
      </vt:variant>
      <vt:variant>
        <vt:i4>1376306</vt:i4>
      </vt:variant>
      <vt:variant>
        <vt:i4>362</vt:i4>
      </vt:variant>
      <vt:variant>
        <vt:i4>0</vt:i4>
      </vt:variant>
      <vt:variant>
        <vt:i4>5</vt:i4>
      </vt:variant>
      <vt:variant>
        <vt:lpwstr/>
      </vt:variant>
      <vt:variant>
        <vt:lpwstr>_Toc22898900</vt:lpwstr>
      </vt:variant>
      <vt:variant>
        <vt:i4>1900603</vt:i4>
      </vt:variant>
      <vt:variant>
        <vt:i4>356</vt:i4>
      </vt:variant>
      <vt:variant>
        <vt:i4>0</vt:i4>
      </vt:variant>
      <vt:variant>
        <vt:i4>5</vt:i4>
      </vt:variant>
      <vt:variant>
        <vt:lpwstr/>
      </vt:variant>
      <vt:variant>
        <vt:lpwstr>_Toc22898899</vt:lpwstr>
      </vt:variant>
      <vt:variant>
        <vt:i4>1835067</vt:i4>
      </vt:variant>
      <vt:variant>
        <vt:i4>350</vt:i4>
      </vt:variant>
      <vt:variant>
        <vt:i4>0</vt:i4>
      </vt:variant>
      <vt:variant>
        <vt:i4>5</vt:i4>
      </vt:variant>
      <vt:variant>
        <vt:lpwstr/>
      </vt:variant>
      <vt:variant>
        <vt:lpwstr>_Toc22898898</vt:lpwstr>
      </vt:variant>
      <vt:variant>
        <vt:i4>1245243</vt:i4>
      </vt:variant>
      <vt:variant>
        <vt:i4>344</vt:i4>
      </vt:variant>
      <vt:variant>
        <vt:i4>0</vt:i4>
      </vt:variant>
      <vt:variant>
        <vt:i4>5</vt:i4>
      </vt:variant>
      <vt:variant>
        <vt:lpwstr/>
      </vt:variant>
      <vt:variant>
        <vt:lpwstr>_Toc22898897</vt:lpwstr>
      </vt:variant>
      <vt:variant>
        <vt:i4>1179707</vt:i4>
      </vt:variant>
      <vt:variant>
        <vt:i4>338</vt:i4>
      </vt:variant>
      <vt:variant>
        <vt:i4>0</vt:i4>
      </vt:variant>
      <vt:variant>
        <vt:i4>5</vt:i4>
      </vt:variant>
      <vt:variant>
        <vt:lpwstr/>
      </vt:variant>
      <vt:variant>
        <vt:lpwstr>_Toc22898896</vt:lpwstr>
      </vt:variant>
      <vt:variant>
        <vt:i4>1114171</vt:i4>
      </vt:variant>
      <vt:variant>
        <vt:i4>332</vt:i4>
      </vt:variant>
      <vt:variant>
        <vt:i4>0</vt:i4>
      </vt:variant>
      <vt:variant>
        <vt:i4>5</vt:i4>
      </vt:variant>
      <vt:variant>
        <vt:lpwstr/>
      </vt:variant>
      <vt:variant>
        <vt:lpwstr>_Toc22898895</vt:lpwstr>
      </vt:variant>
      <vt:variant>
        <vt:i4>1048635</vt:i4>
      </vt:variant>
      <vt:variant>
        <vt:i4>326</vt:i4>
      </vt:variant>
      <vt:variant>
        <vt:i4>0</vt:i4>
      </vt:variant>
      <vt:variant>
        <vt:i4>5</vt:i4>
      </vt:variant>
      <vt:variant>
        <vt:lpwstr/>
      </vt:variant>
      <vt:variant>
        <vt:lpwstr>_Toc22898894</vt:lpwstr>
      </vt:variant>
      <vt:variant>
        <vt:i4>1507387</vt:i4>
      </vt:variant>
      <vt:variant>
        <vt:i4>320</vt:i4>
      </vt:variant>
      <vt:variant>
        <vt:i4>0</vt:i4>
      </vt:variant>
      <vt:variant>
        <vt:i4>5</vt:i4>
      </vt:variant>
      <vt:variant>
        <vt:lpwstr/>
      </vt:variant>
      <vt:variant>
        <vt:lpwstr>_Toc22898893</vt:lpwstr>
      </vt:variant>
      <vt:variant>
        <vt:i4>1441851</vt:i4>
      </vt:variant>
      <vt:variant>
        <vt:i4>314</vt:i4>
      </vt:variant>
      <vt:variant>
        <vt:i4>0</vt:i4>
      </vt:variant>
      <vt:variant>
        <vt:i4>5</vt:i4>
      </vt:variant>
      <vt:variant>
        <vt:lpwstr/>
      </vt:variant>
      <vt:variant>
        <vt:lpwstr>_Toc22898892</vt:lpwstr>
      </vt:variant>
      <vt:variant>
        <vt:i4>1376315</vt:i4>
      </vt:variant>
      <vt:variant>
        <vt:i4>308</vt:i4>
      </vt:variant>
      <vt:variant>
        <vt:i4>0</vt:i4>
      </vt:variant>
      <vt:variant>
        <vt:i4>5</vt:i4>
      </vt:variant>
      <vt:variant>
        <vt:lpwstr/>
      </vt:variant>
      <vt:variant>
        <vt:lpwstr>_Toc22898891</vt:lpwstr>
      </vt:variant>
      <vt:variant>
        <vt:i4>1310779</vt:i4>
      </vt:variant>
      <vt:variant>
        <vt:i4>302</vt:i4>
      </vt:variant>
      <vt:variant>
        <vt:i4>0</vt:i4>
      </vt:variant>
      <vt:variant>
        <vt:i4>5</vt:i4>
      </vt:variant>
      <vt:variant>
        <vt:lpwstr/>
      </vt:variant>
      <vt:variant>
        <vt:lpwstr>_Toc22898890</vt:lpwstr>
      </vt:variant>
      <vt:variant>
        <vt:i4>1900602</vt:i4>
      </vt:variant>
      <vt:variant>
        <vt:i4>296</vt:i4>
      </vt:variant>
      <vt:variant>
        <vt:i4>0</vt:i4>
      </vt:variant>
      <vt:variant>
        <vt:i4>5</vt:i4>
      </vt:variant>
      <vt:variant>
        <vt:lpwstr/>
      </vt:variant>
      <vt:variant>
        <vt:lpwstr>_Toc22898889</vt:lpwstr>
      </vt:variant>
      <vt:variant>
        <vt:i4>1835066</vt:i4>
      </vt:variant>
      <vt:variant>
        <vt:i4>290</vt:i4>
      </vt:variant>
      <vt:variant>
        <vt:i4>0</vt:i4>
      </vt:variant>
      <vt:variant>
        <vt:i4>5</vt:i4>
      </vt:variant>
      <vt:variant>
        <vt:lpwstr/>
      </vt:variant>
      <vt:variant>
        <vt:lpwstr>_Toc22898888</vt:lpwstr>
      </vt:variant>
      <vt:variant>
        <vt:i4>1245242</vt:i4>
      </vt:variant>
      <vt:variant>
        <vt:i4>284</vt:i4>
      </vt:variant>
      <vt:variant>
        <vt:i4>0</vt:i4>
      </vt:variant>
      <vt:variant>
        <vt:i4>5</vt:i4>
      </vt:variant>
      <vt:variant>
        <vt:lpwstr/>
      </vt:variant>
      <vt:variant>
        <vt:lpwstr>_Toc22898887</vt:lpwstr>
      </vt:variant>
      <vt:variant>
        <vt:i4>1179706</vt:i4>
      </vt:variant>
      <vt:variant>
        <vt:i4>278</vt:i4>
      </vt:variant>
      <vt:variant>
        <vt:i4>0</vt:i4>
      </vt:variant>
      <vt:variant>
        <vt:i4>5</vt:i4>
      </vt:variant>
      <vt:variant>
        <vt:lpwstr/>
      </vt:variant>
      <vt:variant>
        <vt:lpwstr>_Toc22898886</vt:lpwstr>
      </vt:variant>
      <vt:variant>
        <vt:i4>1114170</vt:i4>
      </vt:variant>
      <vt:variant>
        <vt:i4>272</vt:i4>
      </vt:variant>
      <vt:variant>
        <vt:i4>0</vt:i4>
      </vt:variant>
      <vt:variant>
        <vt:i4>5</vt:i4>
      </vt:variant>
      <vt:variant>
        <vt:lpwstr/>
      </vt:variant>
      <vt:variant>
        <vt:lpwstr>_Toc22898885</vt:lpwstr>
      </vt:variant>
      <vt:variant>
        <vt:i4>1048634</vt:i4>
      </vt:variant>
      <vt:variant>
        <vt:i4>266</vt:i4>
      </vt:variant>
      <vt:variant>
        <vt:i4>0</vt:i4>
      </vt:variant>
      <vt:variant>
        <vt:i4>5</vt:i4>
      </vt:variant>
      <vt:variant>
        <vt:lpwstr/>
      </vt:variant>
      <vt:variant>
        <vt:lpwstr>_Toc22898884</vt:lpwstr>
      </vt:variant>
      <vt:variant>
        <vt:i4>1507386</vt:i4>
      </vt:variant>
      <vt:variant>
        <vt:i4>260</vt:i4>
      </vt:variant>
      <vt:variant>
        <vt:i4>0</vt:i4>
      </vt:variant>
      <vt:variant>
        <vt:i4>5</vt:i4>
      </vt:variant>
      <vt:variant>
        <vt:lpwstr/>
      </vt:variant>
      <vt:variant>
        <vt:lpwstr>_Toc22898883</vt:lpwstr>
      </vt:variant>
      <vt:variant>
        <vt:i4>1441850</vt:i4>
      </vt:variant>
      <vt:variant>
        <vt:i4>254</vt:i4>
      </vt:variant>
      <vt:variant>
        <vt:i4>0</vt:i4>
      </vt:variant>
      <vt:variant>
        <vt:i4>5</vt:i4>
      </vt:variant>
      <vt:variant>
        <vt:lpwstr/>
      </vt:variant>
      <vt:variant>
        <vt:lpwstr>_Toc22898882</vt:lpwstr>
      </vt:variant>
      <vt:variant>
        <vt:i4>1376314</vt:i4>
      </vt:variant>
      <vt:variant>
        <vt:i4>248</vt:i4>
      </vt:variant>
      <vt:variant>
        <vt:i4>0</vt:i4>
      </vt:variant>
      <vt:variant>
        <vt:i4>5</vt:i4>
      </vt:variant>
      <vt:variant>
        <vt:lpwstr/>
      </vt:variant>
      <vt:variant>
        <vt:lpwstr>_Toc22898881</vt:lpwstr>
      </vt:variant>
      <vt:variant>
        <vt:i4>1310778</vt:i4>
      </vt:variant>
      <vt:variant>
        <vt:i4>242</vt:i4>
      </vt:variant>
      <vt:variant>
        <vt:i4>0</vt:i4>
      </vt:variant>
      <vt:variant>
        <vt:i4>5</vt:i4>
      </vt:variant>
      <vt:variant>
        <vt:lpwstr/>
      </vt:variant>
      <vt:variant>
        <vt:lpwstr>_Toc22898880</vt:lpwstr>
      </vt:variant>
      <vt:variant>
        <vt:i4>1900597</vt:i4>
      </vt:variant>
      <vt:variant>
        <vt:i4>236</vt:i4>
      </vt:variant>
      <vt:variant>
        <vt:i4>0</vt:i4>
      </vt:variant>
      <vt:variant>
        <vt:i4>5</vt:i4>
      </vt:variant>
      <vt:variant>
        <vt:lpwstr/>
      </vt:variant>
      <vt:variant>
        <vt:lpwstr>_Toc22898879</vt:lpwstr>
      </vt:variant>
      <vt:variant>
        <vt:i4>1835061</vt:i4>
      </vt:variant>
      <vt:variant>
        <vt:i4>230</vt:i4>
      </vt:variant>
      <vt:variant>
        <vt:i4>0</vt:i4>
      </vt:variant>
      <vt:variant>
        <vt:i4>5</vt:i4>
      </vt:variant>
      <vt:variant>
        <vt:lpwstr/>
      </vt:variant>
      <vt:variant>
        <vt:lpwstr>_Toc22898878</vt:lpwstr>
      </vt:variant>
      <vt:variant>
        <vt:i4>1245237</vt:i4>
      </vt:variant>
      <vt:variant>
        <vt:i4>224</vt:i4>
      </vt:variant>
      <vt:variant>
        <vt:i4>0</vt:i4>
      </vt:variant>
      <vt:variant>
        <vt:i4>5</vt:i4>
      </vt:variant>
      <vt:variant>
        <vt:lpwstr/>
      </vt:variant>
      <vt:variant>
        <vt:lpwstr>_Toc22898877</vt:lpwstr>
      </vt:variant>
      <vt:variant>
        <vt:i4>1179701</vt:i4>
      </vt:variant>
      <vt:variant>
        <vt:i4>218</vt:i4>
      </vt:variant>
      <vt:variant>
        <vt:i4>0</vt:i4>
      </vt:variant>
      <vt:variant>
        <vt:i4>5</vt:i4>
      </vt:variant>
      <vt:variant>
        <vt:lpwstr/>
      </vt:variant>
      <vt:variant>
        <vt:lpwstr>_Toc22898876</vt:lpwstr>
      </vt:variant>
      <vt:variant>
        <vt:i4>1114165</vt:i4>
      </vt:variant>
      <vt:variant>
        <vt:i4>212</vt:i4>
      </vt:variant>
      <vt:variant>
        <vt:i4>0</vt:i4>
      </vt:variant>
      <vt:variant>
        <vt:i4>5</vt:i4>
      </vt:variant>
      <vt:variant>
        <vt:lpwstr/>
      </vt:variant>
      <vt:variant>
        <vt:lpwstr>_Toc22898875</vt:lpwstr>
      </vt:variant>
      <vt:variant>
        <vt:i4>1048629</vt:i4>
      </vt:variant>
      <vt:variant>
        <vt:i4>206</vt:i4>
      </vt:variant>
      <vt:variant>
        <vt:i4>0</vt:i4>
      </vt:variant>
      <vt:variant>
        <vt:i4>5</vt:i4>
      </vt:variant>
      <vt:variant>
        <vt:lpwstr/>
      </vt:variant>
      <vt:variant>
        <vt:lpwstr>_Toc22898874</vt:lpwstr>
      </vt:variant>
      <vt:variant>
        <vt:i4>1507381</vt:i4>
      </vt:variant>
      <vt:variant>
        <vt:i4>200</vt:i4>
      </vt:variant>
      <vt:variant>
        <vt:i4>0</vt:i4>
      </vt:variant>
      <vt:variant>
        <vt:i4>5</vt:i4>
      </vt:variant>
      <vt:variant>
        <vt:lpwstr/>
      </vt:variant>
      <vt:variant>
        <vt:lpwstr>_Toc22898873</vt:lpwstr>
      </vt:variant>
      <vt:variant>
        <vt:i4>1441845</vt:i4>
      </vt:variant>
      <vt:variant>
        <vt:i4>194</vt:i4>
      </vt:variant>
      <vt:variant>
        <vt:i4>0</vt:i4>
      </vt:variant>
      <vt:variant>
        <vt:i4>5</vt:i4>
      </vt:variant>
      <vt:variant>
        <vt:lpwstr/>
      </vt:variant>
      <vt:variant>
        <vt:lpwstr>_Toc22898872</vt:lpwstr>
      </vt:variant>
      <vt:variant>
        <vt:i4>1376309</vt:i4>
      </vt:variant>
      <vt:variant>
        <vt:i4>188</vt:i4>
      </vt:variant>
      <vt:variant>
        <vt:i4>0</vt:i4>
      </vt:variant>
      <vt:variant>
        <vt:i4>5</vt:i4>
      </vt:variant>
      <vt:variant>
        <vt:lpwstr/>
      </vt:variant>
      <vt:variant>
        <vt:lpwstr>_Toc22898871</vt:lpwstr>
      </vt:variant>
      <vt:variant>
        <vt:i4>1310773</vt:i4>
      </vt:variant>
      <vt:variant>
        <vt:i4>182</vt:i4>
      </vt:variant>
      <vt:variant>
        <vt:i4>0</vt:i4>
      </vt:variant>
      <vt:variant>
        <vt:i4>5</vt:i4>
      </vt:variant>
      <vt:variant>
        <vt:lpwstr/>
      </vt:variant>
      <vt:variant>
        <vt:lpwstr>_Toc22898870</vt:lpwstr>
      </vt:variant>
      <vt:variant>
        <vt:i4>1900596</vt:i4>
      </vt:variant>
      <vt:variant>
        <vt:i4>176</vt:i4>
      </vt:variant>
      <vt:variant>
        <vt:i4>0</vt:i4>
      </vt:variant>
      <vt:variant>
        <vt:i4>5</vt:i4>
      </vt:variant>
      <vt:variant>
        <vt:lpwstr/>
      </vt:variant>
      <vt:variant>
        <vt:lpwstr>_Toc22898869</vt:lpwstr>
      </vt:variant>
      <vt:variant>
        <vt:i4>1835060</vt:i4>
      </vt:variant>
      <vt:variant>
        <vt:i4>170</vt:i4>
      </vt:variant>
      <vt:variant>
        <vt:i4>0</vt:i4>
      </vt:variant>
      <vt:variant>
        <vt:i4>5</vt:i4>
      </vt:variant>
      <vt:variant>
        <vt:lpwstr/>
      </vt:variant>
      <vt:variant>
        <vt:lpwstr>_Toc22898868</vt:lpwstr>
      </vt:variant>
      <vt:variant>
        <vt:i4>1245236</vt:i4>
      </vt:variant>
      <vt:variant>
        <vt:i4>164</vt:i4>
      </vt:variant>
      <vt:variant>
        <vt:i4>0</vt:i4>
      </vt:variant>
      <vt:variant>
        <vt:i4>5</vt:i4>
      </vt:variant>
      <vt:variant>
        <vt:lpwstr/>
      </vt:variant>
      <vt:variant>
        <vt:lpwstr>_Toc22898867</vt:lpwstr>
      </vt:variant>
      <vt:variant>
        <vt:i4>1179700</vt:i4>
      </vt:variant>
      <vt:variant>
        <vt:i4>158</vt:i4>
      </vt:variant>
      <vt:variant>
        <vt:i4>0</vt:i4>
      </vt:variant>
      <vt:variant>
        <vt:i4>5</vt:i4>
      </vt:variant>
      <vt:variant>
        <vt:lpwstr/>
      </vt:variant>
      <vt:variant>
        <vt:lpwstr>_Toc22898866</vt:lpwstr>
      </vt:variant>
      <vt:variant>
        <vt:i4>1114164</vt:i4>
      </vt:variant>
      <vt:variant>
        <vt:i4>152</vt:i4>
      </vt:variant>
      <vt:variant>
        <vt:i4>0</vt:i4>
      </vt:variant>
      <vt:variant>
        <vt:i4>5</vt:i4>
      </vt:variant>
      <vt:variant>
        <vt:lpwstr/>
      </vt:variant>
      <vt:variant>
        <vt:lpwstr>_Toc22898865</vt:lpwstr>
      </vt:variant>
      <vt:variant>
        <vt:i4>1048628</vt:i4>
      </vt:variant>
      <vt:variant>
        <vt:i4>146</vt:i4>
      </vt:variant>
      <vt:variant>
        <vt:i4>0</vt:i4>
      </vt:variant>
      <vt:variant>
        <vt:i4>5</vt:i4>
      </vt:variant>
      <vt:variant>
        <vt:lpwstr/>
      </vt:variant>
      <vt:variant>
        <vt:lpwstr>_Toc22898864</vt:lpwstr>
      </vt:variant>
      <vt:variant>
        <vt:i4>1507380</vt:i4>
      </vt:variant>
      <vt:variant>
        <vt:i4>140</vt:i4>
      </vt:variant>
      <vt:variant>
        <vt:i4>0</vt:i4>
      </vt:variant>
      <vt:variant>
        <vt:i4>5</vt:i4>
      </vt:variant>
      <vt:variant>
        <vt:lpwstr/>
      </vt:variant>
      <vt:variant>
        <vt:lpwstr>_Toc22898863</vt:lpwstr>
      </vt:variant>
      <vt:variant>
        <vt:i4>1441844</vt:i4>
      </vt:variant>
      <vt:variant>
        <vt:i4>134</vt:i4>
      </vt:variant>
      <vt:variant>
        <vt:i4>0</vt:i4>
      </vt:variant>
      <vt:variant>
        <vt:i4>5</vt:i4>
      </vt:variant>
      <vt:variant>
        <vt:lpwstr/>
      </vt:variant>
      <vt:variant>
        <vt:lpwstr>_Toc22898862</vt:lpwstr>
      </vt:variant>
      <vt:variant>
        <vt:i4>1376308</vt:i4>
      </vt:variant>
      <vt:variant>
        <vt:i4>128</vt:i4>
      </vt:variant>
      <vt:variant>
        <vt:i4>0</vt:i4>
      </vt:variant>
      <vt:variant>
        <vt:i4>5</vt:i4>
      </vt:variant>
      <vt:variant>
        <vt:lpwstr/>
      </vt:variant>
      <vt:variant>
        <vt:lpwstr>_Toc22898861</vt:lpwstr>
      </vt:variant>
      <vt:variant>
        <vt:i4>1310772</vt:i4>
      </vt:variant>
      <vt:variant>
        <vt:i4>122</vt:i4>
      </vt:variant>
      <vt:variant>
        <vt:i4>0</vt:i4>
      </vt:variant>
      <vt:variant>
        <vt:i4>5</vt:i4>
      </vt:variant>
      <vt:variant>
        <vt:lpwstr/>
      </vt:variant>
      <vt:variant>
        <vt:lpwstr>_Toc22898860</vt:lpwstr>
      </vt:variant>
      <vt:variant>
        <vt:i4>1900599</vt:i4>
      </vt:variant>
      <vt:variant>
        <vt:i4>116</vt:i4>
      </vt:variant>
      <vt:variant>
        <vt:i4>0</vt:i4>
      </vt:variant>
      <vt:variant>
        <vt:i4>5</vt:i4>
      </vt:variant>
      <vt:variant>
        <vt:lpwstr/>
      </vt:variant>
      <vt:variant>
        <vt:lpwstr>_Toc22898859</vt:lpwstr>
      </vt:variant>
      <vt:variant>
        <vt:i4>1835063</vt:i4>
      </vt:variant>
      <vt:variant>
        <vt:i4>110</vt:i4>
      </vt:variant>
      <vt:variant>
        <vt:i4>0</vt:i4>
      </vt:variant>
      <vt:variant>
        <vt:i4>5</vt:i4>
      </vt:variant>
      <vt:variant>
        <vt:lpwstr/>
      </vt:variant>
      <vt:variant>
        <vt:lpwstr>_Toc22898858</vt:lpwstr>
      </vt:variant>
      <vt:variant>
        <vt:i4>1245239</vt:i4>
      </vt:variant>
      <vt:variant>
        <vt:i4>104</vt:i4>
      </vt:variant>
      <vt:variant>
        <vt:i4>0</vt:i4>
      </vt:variant>
      <vt:variant>
        <vt:i4>5</vt:i4>
      </vt:variant>
      <vt:variant>
        <vt:lpwstr/>
      </vt:variant>
      <vt:variant>
        <vt:lpwstr>_Toc22898857</vt:lpwstr>
      </vt:variant>
      <vt:variant>
        <vt:i4>1179703</vt:i4>
      </vt:variant>
      <vt:variant>
        <vt:i4>98</vt:i4>
      </vt:variant>
      <vt:variant>
        <vt:i4>0</vt:i4>
      </vt:variant>
      <vt:variant>
        <vt:i4>5</vt:i4>
      </vt:variant>
      <vt:variant>
        <vt:lpwstr/>
      </vt:variant>
      <vt:variant>
        <vt:lpwstr>_Toc22898856</vt:lpwstr>
      </vt:variant>
      <vt:variant>
        <vt:i4>1114167</vt:i4>
      </vt:variant>
      <vt:variant>
        <vt:i4>92</vt:i4>
      </vt:variant>
      <vt:variant>
        <vt:i4>0</vt:i4>
      </vt:variant>
      <vt:variant>
        <vt:i4>5</vt:i4>
      </vt:variant>
      <vt:variant>
        <vt:lpwstr/>
      </vt:variant>
      <vt:variant>
        <vt:lpwstr>_Toc22898855</vt:lpwstr>
      </vt:variant>
      <vt:variant>
        <vt:i4>1048631</vt:i4>
      </vt:variant>
      <vt:variant>
        <vt:i4>86</vt:i4>
      </vt:variant>
      <vt:variant>
        <vt:i4>0</vt:i4>
      </vt:variant>
      <vt:variant>
        <vt:i4>5</vt:i4>
      </vt:variant>
      <vt:variant>
        <vt:lpwstr/>
      </vt:variant>
      <vt:variant>
        <vt:lpwstr>_Toc22898854</vt:lpwstr>
      </vt:variant>
      <vt:variant>
        <vt:i4>1507383</vt:i4>
      </vt:variant>
      <vt:variant>
        <vt:i4>80</vt:i4>
      </vt:variant>
      <vt:variant>
        <vt:i4>0</vt:i4>
      </vt:variant>
      <vt:variant>
        <vt:i4>5</vt:i4>
      </vt:variant>
      <vt:variant>
        <vt:lpwstr/>
      </vt:variant>
      <vt:variant>
        <vt:lpwstr>_Toc22898853</vt:lpwstr>
      </vt:variant>
      <vt:variant>
        <vt:i4>1441847</vt:i4>
      </vt:variant>
      <vt:variant>
        <vt:i4>74</vt:i4>
      </vt:variant>
      <vt:variant>
        <vt:i4>0</vt:i4>
      </vt:variant>
      <vt:variant>
        <vt:i4>5</vt:i4>
      </vt:variant>
      <vt:variant>
        <vt:lpwstr/>
      </vt:variant>
      <vt:variant>
        <vt:lpwstr>_Toc22898852</vt:lpwstr>
      </vt:variant>
      <vt:variant>
        <vt:i4>1376311</vt:i4>
      </vt:variant>
      <vt:variant>
        <vt:i4>68</vt:i4>
      </vt:variant>
      <vt:variant>
        <vt:i4>0</vt:i4>
      </vt:variant>
      <vt:variant>
        <vt:i4>5</vt:i4>
      </vt:variant>
      <vt:variant>
        <vt:lpwstr/>
      </vt:variant>
      <vt:variant>
        <vt:lpwstr>_Toc22898851</vt:lpwstr>
      </vt:variant>
      <vt:variant>
        <vt:i4>1310775</vt:i4>
      </vt:variant>
      <vt:variant>
        <vt:i4>62</vt:i4>
      </vt:variant>
      <vt:variant>
        <vt:i4>0</vt:i4>
      </vt:variant>
      <vt:variant>
        <vt:i4>5</vt:i4>
      </vt:variant>
      <vt:variant>
        <vt:lpwstr/>
      </vt:variant>
      <vt:variant>
        <vt:lpwstr>_Toc22898850</vt:lpwstr>
      </vt:variant>
      <vt:variant>
        <vt:i4>1900598</vt:i4>
      </vt:variant>
      <vt:variant>
        <vt:i4>56</vt:i4>
      </vt:variant>
      <vt:variant>
        <vt:i4>0</vt:i4>
      </vt:variant>
      <vt:variant>
        <vt:i4>5</vt:i4>
      </vt:variant>
      <vt:variant>
        <vt:lpwstr/>
      </vt:variant>
      <vt:variant>
        <vt:lpwstr>_Toc22898849</vt:lpwstr>
      </vt:variant>
      <vt:variant>
        <vt:i4>1835062</vt:i4>
      </vt:variant>
      <vt:variant>
        <vt:i4>50</vt:i4>
      </vt:variant>
      <vt:variant>
        <vt:i4>0</vt:i4>
      </vt:variant>
      <vt:variant>
        <vt:i4>5</vt:i4>
      </vt:variant>
      <vt:variant>
        <vt:lpwstr/>
      </vt:variant>
      <vt:variant>
        <vt:lpwstr>_Toc22898848</vt:lpwstr>
      </vt:variant>
      <vt:variant>
        <vt:i4>1245238</vt:i4>
      </vt:variant>
      <vt:variant>
        <vt:i4>44</vt:i4>
      </vt:variant>
      <vt:variant>
        <vt:i4>0</vt:i4>
      </vt:variant>
      <vt:variant>
        <vt:i4>5</vt:i4>
      </vt:variant>
      <vt:variant>
        <vt:lpwstr/>
      </vt:variant>
      <vt:variant>
        <vt:lpwstr>_Toc22898847</vt:lpwstr>
      </vt:variant>
      <vt:variant>
        <vt:i4>1179702</vt:i4>
      </vt:variant>
      <vt:variant>
        <vt:i4>38</vt:i4>
      </vt:variant>
      <vt:variant>
        <vt:i4>0</vt:i4>
      </vt:variant>
      <vt:variant>
        <vt:i4>5</vt:i4>
      </vt:variant>
      <vt:variant>
        <vt:lpwstr/>
      </vt:variant>
      <vt:variant>
        <vt:lpwstr>_Toc22898846</vt:lpwstr>
      </vt:variant>
      <vt:variant>
        <vt:i4>1114166</vt:i4>
      </vt:variant>
      <vt:variant>
        <vt:i4>32</vt:i4>
      </vt:variant>
      <vt:variant>
        <vt:i4>0</vt:i4>
      </vt:variant>
      <vt:variant>
        <vt:i4>5</vt:i4>
      </vt:variant>
      <vt:variant>
        <vt:lpwstr/>
      </vt:variant>
      <vt:variant>
        <vt:lpwstr>_Toc22898845</vt:lpwstr>
      </vt:variant>
      <vt:variant>
        <vt:i4>1048630</vt:i4>
      </vt:variant>
      <vt:variant>
        <vt:i4>26</vt:i4>
      </vt:variant>
      <vt:variant>
        <vt:i4>0</vt:i4>
      </vt:variant>
      <vt:variant>
        <vt:i4>5</vt:i4>
      </vt:variant>
      <vt:variant>
        <vt:lpwstr/>
      </vt:variant>
      <vt:variant>
        <vt:lpwstr>_Toc22898844</vt:lpwstr>
      </vt:variant>
      <vt:variant>
        <vt:i4>1507382</vt:i4>
      </vt:variant>
      <vt:variant>
        <vt:i4>20</vt:i4>
      </vt:variant>
      <vt:variant>
        <vt:i4>0</vt:i4>
      </vt:variant>
      <vt:variant>
        <vt:i4>5</vt:i4>
      </vt:variant>
      <vt:variant>
        <vt:lpwstr/>
      </vt:variant>
      <vt:variant>
        <vt:lpwstr>_Toc22898843</vt:lpwstr>
      </vt:variant>
      <vt:variant>
        <vt:i4>1441846</vt:i4>
      </vt:variant>
      <vt:variant>
        <vt:i4>14</vt:i4>
      </vt:variant>
      <vt:variant>
        <vt:i4>0</vt:i4>
      </vt:variant>
      <vt:variant>
        <vt:i4>5</vt:i4>
      </vt:variant>
      <vt:variant>
        <vt:lpwstr/>
      </vt:variant>
      <vt:variant>
        <vt:lpwstr>_Toc22898842</vt:lpwstr>
      </vt:variant>
      <vt:variant>
        <vt:i4>1376310</vt:i4>
      </vt:variant>
      <vt:variant>
        <vt:i4>8</vt:i4>
      </vt:variant>
      <vt:variant>
        <vt:i4>0</vt:i4>
      </vt:variant>
      <vt:variant>
        <vt:i4>5</vt:i4>
      </vt:variant>
      <vt:variant>
        <vt:lpwstr/>
      </vt:variant>
      <vt:variant>
        <vt:lpwstr>_Toc22898841</vt:lpwstr>
      </vt:variant>
      <vt:variant>
        <vt:i4>1310774</vt:i4>
      </vt:variant>
      <vt:variant>
        <vt:i4>2</vt:i4>
      </vt:variant>
      <vt:variant>
        <vt:i4>0</vt:i4>
      </vt:variant>
      <vt:variant>
        <vt:i4>5</vt:i4>
      </vt:variant>
      <vt:variant>
        <vt:lpwstr/>
      </vt:variant>
      <vt:variant>
        <vt:lpwstr>_Toc22898840</vt:lpwstr>
      </vt:variant>
      <vt:variant>
        <vt:i4>1703964</vt:i4>
      </vt:variant>
      <vt:variant>
        <vt:i4>0</vt:i4>
      </vt:variant>
      <vt:variant>
        <vt:i4>0</vt:i4>
      </vt:variant>
      <vt:variant>
        <vt:i4>5</vt:i4>
      </vt:variant>
      <vt:variant>
        <vt:lpwstr>https://www.pbs.gov.au/medicine/item/10386P-10387Q-10406Q-10417G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2021-11-01T10:37:00Z</dcterms:created>
  <dcterms:modified xsi:type="dcterms:W3CDTF">2021-11-01T10:37:00Z</dcterms:modified>
</cp:coreProperties>
</file>