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443" w:rsidRPr="00A655A1" w:rsidRDefault="001F79BC" w:rsidP="000D7D58">
      <w:pPr>
        <w:pStyle w:val="1-MainHeading"/>
      </w:pPr>
      <w:bookmarkStart w:id="0" w:name="_Toc69197069"/>
      <w:bookmarkStart w:id="1" w:name="_Toc72314250"/>
      <w:r w:rsidRPr="00A655A1">
        <w:t>5.07</w:t>
      </w:r>
      <w:r w:rsidR="00E53385" w:rsidRPr="00A655A1">
        <w:tab/>
        <w:t>SELINEXOR,</w:t>
      </w:r>
      <w:r w:rsidR="00E53385" w:rsidRPr="00A655A1">
        <w:br/>
        <w:t xml:space="preserve">Tablet 20 mg, </w:t>
      </w:r>
      <w:r w:rsidR="008E3E1B" w:rsidRPr="00A655A1">
        <w:br/>
      </w:r>
      <w:r w:rsidR="00E53385" w:rsidRPr="00A655A1">
        <w:t>X</w:t>
      </w:r>
      <w:r w:rsidR="00A74967">
        <w:t>povio</w:t>
      </w:r>
      <w:r w:rsidR="00E53385" w:rsidRPr="00A655A1">
        <w:rPr>
          <w:vertAlign w:val="superscript"/>
        </w:rPr>
        <w:t>®</w:t>
      </w:r>
      <w:r w:rsidR="00E53385" w:rsidRPr="00A655A1">
        <w:t>,</w:t>
      </w:r>
      <w:r w:rsidR="00E53385" w:rsidRPr="00A655A1">
        <w:br/>
      </w:r>
      <w:r w:rsidR="00A74967" w:rsidRPr="00457EF6">
        <w:t>Antengene (Aus) Pty. Ltd</w:t>
      </w:r>
      <w:r w:rsidR="00E53385" w:rsidRPr="00A655A1">
        <w:t>.</w:t>
      </w:r>
      <w:bookmarkEnd w:id="0"/>
      <w:bookmarkEnd w:id="1"/>
    </w:p>
    <w:p w:rsidR="00A15C4B" w:rsidRPr="00A655A1" w:rsidRDefault="00A15C4B" w:rsidP="00707864">
      <w:pPr>
        <w:pStyle w:val="2-SectionHeading"/>
        <w:numPr>
          <w:ilvl w:val="0"/>
          <w:numId w:val="7"/>
        </w:numPr>
        <w:snapToGrid w:val="0"/>
      </w:pPr>
      <w:bookmarkStart w:id="2" w:name="_Toc72314252"/>
      <w:bookmarkStart w:id="3" w:name="_Toc22897645"/>
      <w:bookmarkStart w:id="4" w:name="_Toc69197084"/>
      <w:r w:rsidRPr="00A655A1">
        <w:t>Purpose of submission</w:t>
      </w:r>
      <w:bookmarkEnd w:id="2"/>
    </w:p>
    <w:p w:rsidR="00A15C4B" w:rsidRPr="00A655A1" w:rsidRDefault="00A15C4B" w:rsidP="00707864">
      <w:pPr>
        <w:pStyle w:val="3-BodyText"/>
        <w:numPr>
          <w:ilvl w:val="1"/>
          <w:numId w:val="7"/>
        </w:numPr>
        <w:snapToGrid w:val="0"/>
      </w:pPr>
      <w:r w:rsidRPr="00A655A1">
        <w:t xml:space="preserve">The </w:t>
      </w:r>
      <w:r w:rsidR="00D17D37" w:rsidRPr="00A655A1">
        <w:t xml:space="preserve">Category 1 </w:t>
      </w:r>
      <w:r w:rsidRPr="00A655A1">
        <w:t xml:space="preserve">submission requested a Section 100 (Highly Specialised Drug), Authority Required (STREAMLINED) listing for selinexor in combination with bortezomib and dexamethasone (SBd) for the treatment of relapsed and/or refractory multiple myeloma (RRMM). </w:t>
      </w:r>
    </w:p>
    <w:p w:rsidR="00A15C4B" w:rsidRPr="00A655A1" w:rsidRDefault="00A15C4B" w:rsidP="00707864">
      <w:pPr>
        <w:pStyle w:val="3-BodyText"/>
        <w:numPr>
          <w:ilvl w:val="1"/>
          <w:numId w:val="7"/>
        </w:numPr>
        <w:snapToGrid w:val="0"/>
      </w:pPr>
      <w:r w:rsidRPr="00A655A1">
        <w:t xml:space="preserve">Listing was requested </w:t>
      </w:r>
      <w:r w:rsidR="00CA37CF" w:rsidRPr="00A655A1">
        <w:t>based on</w:t>
      </w:r>
      <w:r w:rsidRPr="00A655A1">
        <w:t xml:space="preserve"> a cost-utility analysis (CUA) versus bortezomib plus dexamethasone (Bd) as the main comparator. The submission also presented a cost-minimisation analysis (CMA) versus carfilzomib in combination with dexamethasone (Cd) as a secondary comparator. The key components of the clinical issues addressed by the submission are provided in Table 1.</w:t>
      </w:r>
      <w:r w:rsidRPr="00A655A1">
        <w:rPr>
          <w:color w:val="0066FF"/>
        </w:rPr>
        <w:t xml:space="preserve"> </w:t>
      </w:r>
    </w:p>
    <w:p w:rsidR="00A15C4B" w:rsidRPr="00A655A1" w:rsidRDefault="00A15C4B" w:rsidP="00A15C4B">
      <w:pPr>
        <w:pStyle w:val="TableFigureHeading"/>
        <w:rPr>
          <w:rStyle w:val="CommentReference"/>
          <w:b/>
          <w:bCs w:val="0"/>
        </w:rPr>
      </w:pPr>
      <w:r w:rsidRPr="00A655A1">
        <w:rPr>
          <w:rStyle w:val="CommentReference"/>
          <w:b/>
          <w:bCs w:val="0"/>
        </w:rPr>
        <w:t>Table 1: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414"/>
        <w:gridCol w:w="7603"/>
      </w:tblGrid>
      <w:tr w:rsidR="00A15C4B" w:rsidRPr="00A655A1" w:rsidTr="001740E1">
        <w:trPr>
          <w:cantSplit/>
          <w:tblHeader/>
        </w:trPr>
        <w:tc>
          <w:tcPr>
            <w:tcW w:w="784" w:type="pct"/>
            <w:tcBorders>
              <w:top w:val="single" w:sz="4" w:space="0" w:color="auto"/>
              <w:left w:val="single" w:sz="4" w:space="0" w:color="auto"/>
              <w:bottom w:val="single" w:sz="4" w:space="0" w:color="auto"/>
              <w:right w:val="single" w:sz="4" w:space="0" w:color="auto"/>
            </w:tcBorders>
            <w:hideMark/>
          </w:tcPr>
          <w:p w:rsidR="00A15C4B" w:rsidRPr="00A655A1" w:rsidRDefault="00A15C4B">
            <w:pPr>
              <w:pStyle w:val="In-tableHeading"/>
              <w:rPr>
                <w:szCs w:val="20"/>
                <w:lang w:val="en-AU"/>
              </w:rPr>
            </w:pPr>
            <w:r w:rsidRPr="00A655A1">
              <w:rPr>
                <w:lang w:val="en-AU"/>
              </w:rPr>
              <w:t>Component</w:t>
            </w:r>
          </w:p>
        </w:tc>
        <w:tc>
          <w:tcPr>
            <w:tcW w:w="4216" w:type="pct"/>
            <w:tcBorders>
              <w:top w:val="single" w:sz="4" w:space="0" w:color="auto"/>
              <w:left w:val="single" w:sz="4" w:space="0" w:color="auto"/>
              <w:bottom w:val="single" w:sz="4" w:space="0" w:color="auto"/>
              <w:right w:val="single" w:sz="4" w:space="0" w:color="auto"/>
            </w:tcBorders>
            <w:hideMark/>
          </w:tcPr>
          <w:p w:rsidR="00A15C4B" w:rsidRPr="00A655A1" w:rsidRDefault="00A15C4B">
            <w:pPr>
              <w:pStyle w:val="In-tableHeading"/>
              <w:rPr>
                <w:lang w:val="en-AU"/>
              </w:rPr>
            </w:pPr>
            <w:r w:rsidRPr="00A655A1">
              <w:rPr>
                <w:lang w:val="en-AU"/>
              </w:rPr>
              <w:t>Description</w:t>
            </w:r>
          </w:p>
        </w:tc>
      </w:tr>
      <w:tr w:rsidR="00A15C4B" w:rsidRPr="00A655A1" w:rsidTr="001740E1">
        <w:trPr>
          <w:cantSplit/>
        </w:trPr>
        <w:tc>
          <w:tcPr>
            <w:tcW w:w="784" w:type="pct"/>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Population</w:t>
            </w:r>
          </w:p>
        </w:tc>
        <w:tc>
          <w:tcPr>
            <w:tcW w:w="4216" w:type="pct"/>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rPr>
                <w:szCs w:val="20"/>
              </w:rPr>
            </w:pPr>
            <w:r w:rsidRPr="00A655A1">
              <w:t>Adult patients with relapsed and/or refractory multiple myeloma who have received at least one prior therapy</w:t>
            </w:r>
          </w:p>
        </w:tc>
      </w:tr>
      <w:tr w:rsidR="00A15C4B" w:rsidRPr="00A655A1" w:rsidTr="001740E1">
        <w:trPr>
          <w:cantSplit/>
        </w:trPr>
        <w:tc>
          <w:tcPr>
            <w:tcW w:w="784" w:type="pct"/>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Intervention</w:t>
            </w:r>
          </w:p>
        </w:tc>
        <w:tc>
          <w:tcPr>
            <w:tcW w:w="4216" w:type="pct"/>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XPOVIO® (selinexor) in combination with bortezomib and dexamethasone (SBd)</w:t>
            </w:r>
          </w:p>
        </w:tc>
      </w:tr>
      <w:tr w:rsidR="00A15C4B" w:rsidRPr="00A655A1" w:rsidTr="001740E1">
        <w:trPr>
          <w:cantSplit/>
        </w:trPr>
        <w:tc>
          <w:tcPr>
            <w:tcW w:w="784" w:type="pct"/>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Comparator</w:t>
            </w:r>
          </w:p>
        </w:tc>
        <w:tc>
          <w:tcPr>
            <w:tcW w:w="4216" w:type="pct"/>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Main/direct comparator: bortezomib + dexamethasone (Bd)</w:t>
            </w:r>
          </w:p>
          <w:p w:rsidR="00A15C4B" w:rsidRPr="00A655A1" w:rsidRDefault="00A15C4B">
            <w:pPr>
              <w:pStyle w:val="TableText0"/>
            </w:pPr>
            <w:r w:rsidRPr="00A655A1">
              <w:t>Secondary comparator: carfilzomib + dexamethasone (Cd)</w:t>
            </w:r>
          </w:p>
        </w:tc>
      </w:tr>
      <w:tr w:rsidR="00A15C4B" w:rsidRPr="00A655A1" w:rsidTr="001740E1">
        <w:trPr>
          <w:cantSplit/>
        </w:trPr>
        <w:tc>
          <w:tcPr>
            <w:tcW w:w="784" w:type="pct"/>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Outcomes</w:t>
            </w:r>
          </w:p>
        </w:tc>
        <w:tc>
          <w:tcPr>
            <w:tcW w:w="4216" w:type="pct"/>
            <w:tcBorders>
              <w:top w:val="single" w:sz="4" w:space="0" w:color="auto"/>
              <w:left w:val="single" w:sz="4" w:space="0" w:color="auto"/>
              <w:bottom w:val="single" w:sz="4" w:space="0" w:color="auto"/>
              <w:right w:val="single" w:sz="4" w:space="0" w:color="auto"/>
            </w:tcBorders>
            <w:hideMark/>
          </w:tcPr>
          <w:p w:rsidR="00A15C4B" w:rsidRPr="00A655A1" w:rsidRDefault="00A15C4B" w:rsidP="001754F9">
            <w:pPr>
              <w:pStyle w:val="TableText0"/>
              <w:rPr>
                <w:rFonts w:eastAsia="Times New Roman" w:cs="Arial"/>
                <w:bCs w:val="0"/>
                <w:snapToGrid w:val="0"/>
                <w:color w:val="0066FF"/>
                <w:szCs w:val="20"/>
              </w:rPr>
            </w:pPr>
            <w:r w:rsidRPr="00A655A1">
              <w:t>PFS</w:t>
            </w:r>
            <w:r w:rsidR="001754F9" w:rsidRPr="00A655A1">
              <w:t xml:space="preserve">, </w:t>
            </w:r>
            <w:r w:rsidRPr="00A655A1">
              <w:t>Safety</w:t>
            </w:r>
          </w:p>
        </w:tc>
      </w:tr>
      <w:tr w:rsidR="00A15C4B" w:rsidRPr="00A655A1" w:rsidTr="001740E1">
        <w:trPr>
          <w:cantSplit/>
        </w:trPr>
        <w:tc>
          <w:tcPr>
            <w:tcW w:w="784" w:type="pct"/>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Clinical claim</w:t>
            </w:r>
          </w:p>
        </w:tc>
        <w:tc>
          <w:tcPr>
            <w:tcW w:w="4216" w:type="pct"/>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Primary claim:</w:t>
            </w:r>
          </w:p>
          <w:p w:rsidR="00A15C4B" w:rsidRPr="00A655A1" w:rsidRDefault="00A15C4B" w:rsidP="00707864">
            <w:pPr>
              <w:pStyle w:val="TableText0"/>
              <w:numPr>
                <w:ilvl w:val="0"/>
                <w:numId w:val="8"/>
              </w:numPr>
            </w:pPr>
            <w:r w:rsidRPr="00A655A1">
              <w:t>In patients with multiple myeloma who have received at least one prior therapy, treatment with selinexor in combination with bortezomib and dexamethasone is more effective than Bd alone in extending progression free survival with a manageable safety profile.</w:t>
            </w:r>
          </w:p>
          <w:p w:rsidR="00A15C4B" w:rsidRPr="00A655A1" w:rsidRDefault="00A15C4B">
            <w:pPr>
              <w:pStyle w:val="TableText0"/>
            </w:pPr>
            <w:r w:rsidRPr="00A655A1">
              <w:t xml:space="preserve">Secondary claims: </w:t>
            </w:r>
          </w:p>
          <w:p w:rsidR="00A15C4B" w:rsidRPr="00A655A1" w:rsidRDefault="00A15C4B" w:rsidP="00707864">
            <w:pPr>
              <w:pStyle w:val="TableText0"/>
              <w:numPr>
                <w:ilvl w:val="0"/>
                <w:numId w:val="8"/>
              </w:numPr>
            </w:pPr>
            <w:r w:rsidRPr="00A655A1">
              <w:t>The clinical claim for superior efficacy and different safety of SBd compared with Bd is supported by the primary direct treatment comparison of SBd with Bd in BOSTON.</w:t>
            </w:r>
          </w:p>
          <w:p w:rsidR="00A15C4B" w:rsidRPr="00A655A1" w:rsidRDefault="00A15C4B" w:rsidP="00707864">
            <w:pPr>
              <w:pStyle w:val="TableText0"/>
              <w:numPr>
                <w:ilvl w:val="0"/>
                <w:numId w:val="8"/>
              </w:numPr>
            </w:pPr>
            <w:r w:rsidRPr="00A655A1">
              <w:t>A secondary clinical claim for comparable effectiveness of SBd compared with Cd is supported by a</w:t>
            </w:r>
            <w:r w:rsidR="001F6210" w:rsidRPr="00A655A1">
              <w:t xml:space="preserve">n indirect </w:t>
            </w:r>
            <w:r w:rsidRPr="00A655A1">
              <w:t>comparison of the results from BOSTON with those of ENDEAVOR.</w:t>
            </w:r>
          </w:p>
        </w:tc>
      </w:tr>
    </w:tbl>
    <w:p w:rsidR="00A15C4B" w:rsidRPr="00A655A1" w:rsidRDefault="00A15C4B" w:rsidP="00A15C4B">
      <w:pPr>
        <w:pStyle w:val="TableFigureFooter"/>
      </w:pPr>
      <w:r w:rsidRPr="00A655A1">
        <w:t>Source: Table 1-1, p18 of the submission.</w:t>
      </w:r>
    </w:p>
    <w:p w:rsidR="00A15C4B" w:rsidRPr="00A655A1" w:rsidRDefault="006D7925" w:rsidP="00A15C4B">
      <w:pPr>
        <w:pStyle w:val="TableFigureFooter"/>
        <w:rPr>
          <w:sz w:val="20"/>
        </w:rPr>
      </w:pPr>
      <w:r w:rsidRPr="00A655A1">
        <w:t xml:space="preserve">Bd </w:t>
      </w:r>
      <w:r w:rsidR="00A15C4B" w:rsidRPr="00A655A1">
        <w:t>= bortezomib + dexamethasone; Cd = carfilzomib + dexamethasone; PFS = progression free survival; SBd = selinexor + bortezomib + dexamethasone.</w:t>
      </w:r>
    </w:p>
    <w:p w:rsidR="00A15C4B" w:rsidRPr="00A655A1" w:rsidRDefault="00A15C4B" w:rsidP="00707864">
      <w:pPr>
        <w:pStyle w:val="2-SectionHeading"/>
        <w:numPr>
          <w:ilvl w:val="0"/>
          <w:numId w:val="7"/>
        </w:numPr>
        <w:snapToGrid w:val="0"/>
      </w:pPr>
      <w:bookmarkStart w:id="5" w:name="_Toc22898845"/>
      <w:bookmarkStart w:id="6" w:name="_Toc72314253"/>
      <w:r w:rsidRPr="00A655A1">
        <w:t>Background</w:t>
      </w:r>
      <w:bookmarkEnd w:id="5"/>
      <w:bookmarkEnd w:id="6"/>
    </w:p>
    <w:p w:rsidR="00A15C4B" w:rsidRPr="00A655A1" w:rsidRDefault="00A15C4B" w:rsidP="00A15C4B">
      <w:pPr>
        <w:pStyle w:val="4-SubsectionHeading"/>
      </w:pPr>
      <w:bookmarkStart w:id="7" w:name="_Toc22897638"/>
      <w:bookmarkStart w:id="8" w:name="_Toc22898846"/>
      <w:bookmarkStart w:id="9" w:name="_Toc72314254"/>
      <w:r w:rsidRPr="00A655A1">
        <w:t>Registration status</w:t>
      </w:r>
      <w:bookmarkEnd w:id="7"/>
      <w:bookmarkEnd w:id="8"/>
      <w:bookmarkEnd w:id="9"/>
    </w:p>
    <w:p w:rsidR="00CA37CF" w:rsidRPr="00A655A1" w:rsidRDefault="00CA37CF" w:rsidP="00707864">
      <w:pPr>
        <w:pStyle w:val="3-BodyText"/>
        <w:numPr>
          <w:ilvl w:val="1"/>
          <w:numId w:val="7"/>
        </w:numPr>
        <w:snapToGrid w:val="0"/>
      </w:pPr>
      <w:r w:rsidRPr="00A655A1">
        <w:t xml:space="preserve">The submission was made under the TGA/PBAC parallel process. At the time of PBAC consideration, only the Clinical Evaluation Report was available. The proposed TGA indication </w:t>
      </w:r>
      <w:r w:rsidR="00755032" w:rsidRPr="00A655A1">
        <w:t>wa</w:t>
      </w:r>
      <w:r w:rsidRPr="00A655A1">
        <w:t>s:</w:t>
      </w:r>
    </w:p>
    <w:p w:rsidR="00CA37CF" w:rsidRPr="00A655A1" w:rsidRDefault="00CA37CF" w:rsidP="00CA37CF">
      <w:pPr>
        <w:pStyle w:val="3-BodyText"/>
        <w:numPr>
          <w:ilvl w:val="0"/>
          <w:numId w:val="0"/>
        </w:numPr>
        <w:snapToGrid w:val="0"/>
        <w:ind w:left="720"/>
      </w:pPr>
      <w:r w:rsidRPr="00A655A1">
        <w:lastRenderedPageBreak/>
        <w:t>‘</w:t>
      </w:r>
      <w:r w:rsidR="00CD497B" w:rsidRPr="00A655A1">
        <w:t>For use i</w:t>
      </w:r>
      <w:r w:rsidRPr="00A655A1">
        <w:t>n combination with bortezomib and dexamethasone for the treatment of adult patients with multiple myeloma who have received at least one prior line of therapy.’</w:t>
      </w:r>
    </w:p>
    <w:p w:rsidR="00A15C4B" w:rsidRPr="00A655A1" w:rsidRDefault="00A15C4B" w:rsidP="00707864">
      <w:pPr>
        <w:pStyle w:val="3-BodyText"/>
        <w:numPr>
          <w:ilvl w:val="1"/>
          <w:numId w:val="7"/>
        </w:numPr>
        <w:snapToGrid w:val="0"/>
      </w:pPr>
      <w:r w:rsidRPr="00A655A1">
        <w:t xml:space="preserve">SBd was approved by the FDA in December 2020 for the treatment of adult patients with </w:t>
      </w:r>
      <w:r w:rsidR="0014488E" w:rsidRPr="00A655A1">
        <w:t>multiple myeloma (</w:t>
      </w:r>
      <w:r w:rsidRPr="00A655A1">
        <w:t>MM</w:t>
      </w:r>
      <w:r w:rsidR="0014488E" w:rsidRPr="00A655A1">
        <w:t>)</w:t>
      </w:r>
      <w:r w:rsidRPr="00A655A1">
        <w:t xml:space="preserve"> who have received at least one prior therapy. SBd </w:t>
      </w:r>
      <w:r w:rsidR="00CA37CF" w:rsidRPr="00A655A1">
        <w:t>wa</w:t>
      </w:r>
      <w:r w:rsidRPr="00A655A1">
        <w:t xml:space="preserve">s not approved by </w:t>
      </w:r>
      <w:r w:rsidR="00CA37CF" w:rsidRPr="00A655A1">
        <w:t xml:space="preserve">the </w:t>
      </w:r>
      <w:r w:rsidRPr="00A655A1">
        <w:t>EMA for this indication</w:t>
      </w:r>
      <w:r w:rsidR="00CA37CF" w:rsidRPr="00A655A1">
        <w:t xml:space="preserve"> at the time of</w:t>
      </w:r>
      <w:r w:rsidR="00F75730" w:rsidRPr="00A655A1">
        <w:t xml:space="preserve"> PBAC</w:t>
      </w:r>
      <w:r w:rsidR="00CA37CF" w:rsidRPr="00A655A1">
        <w:t xml:space="preserve"> consideration</w:t>
      </w:r>
      <w:r w:rsidRPr="00A655A1">
        <w:t>.</w:t>
      </w:r>
    </w:p>
    <w:p w:rsidR="00697C64" w:rsidRPr="00A655A1" w:rsidRDefault="00697C64" w:rsidP="00697C64">
      <w:pPr>
        <w:pStyle w:val="3-BodyText"/>
        <w:numPr>
          <w:ilvl w:val="0"/>
          <w:numId w:val="0"/>
        </w:numPr>
        <w:snapToGrid w:val="0"/>
        <w:ind w:left="720"/>
      </w:pPr>
      <w:r w:rsidRPr="00A655A1">
        <w:rPr>
          <w:i/>
        </w:rPr>
        <w:t>For more detail on PBAC’s view, see section 7 PBAC outcome.</w:t>
      </w:r>
    </w:p>
    <w:p w:rsidR="00A15C4B" w:rsidRPr="00A655A1" w:rsidRDefault="00A15C4B" w:rsidP="00707864">
      <w:pPr>
        <w:pStyle w:val="2-SectionHeading"/>
        <w:numPr>
          <w:ilvl w:val="0"/>
          <w:numId w:val="7"/>
        </w:numPr>
        <w:snapToGrid w:val="0"/>
      </w:pPr>
      <w:bookmarkStart w:id="10" w:name="_Toc22898848"/>
      <w:bookmarkStart w:id="11" w:name="_Toc72314255"/>
      <w:r w:rsidRPr="00A655A1">
        <w:t>Requested listing</w:t>
      </w:r>
      <w:bookmarkEnd w:id="10"/>
      <w:bookmarkEnd w:id="11"/>
    </w:p>
    <w:tbl>
      <w:tblPr>
        <w:tblW w:w="4977" w:type="pct"/>
        <w:tblInd w:w="28" w:type="dxa"/>
        <w:tblCellMar>
          <w:left w:w="28" w:type="dxa"/>
          <w:right w:w="28" w:type="dxa"/>
        </w:tblCellMar>
        <w:tblLook w:val="04A0" w:firstRow="1" w:lastRow="0" w:firstColumn="1" w:lastColumn="0" w:noHBand="0" w:noVBand="1"/>
      </w:tblPr>
      <w:tblGrid>
        <w:gridCol w:w="2254"/>
        <w:gridCol w:w="695"/>
        <w:gridCol w:w="1276"/>
        <w:gridCol w:w="1096"/>
        <w:gridCol w:w="1518"/>
        <w:gridCol w:w="2146"/>
      </w:tblGrid>
      <w:tr w:rsidR="00A15C4B" w:rsidRPr="00A655A1" w:rsidTr="00A15C4B">
        <w:trPr>
          <w:cantSplit/>
          <w:trHeight w:val="463"/>
        </w:trPr>
        <w:tc>
          <w:tcPr>
            <w:tcW w:w="1641" w:type="pct"/>
            <w:gridSpan w:val="2"/>
            <w:tcBorders>
              <w:top w:val="single" w:sz="4" w:space="0" w:color="auto"/>
              <w:left w:val="nil"/>
              <w:bottom w:val="single" w:sz="4" w:space="0" w:color="auto"/>
              <w:right w:val="nil"/>
            </w:tcBorders>
            <w:vAlign w:val="center"/>
            <w:hideMark/>
          </w:tcPr>
          <w:p w:rsidR="00A15C4B" w:rsidRPr="00A655A1" w:rsidRDefault="00A15C4B" w:rsidP="0021053E">
            <w:pPr>
              <w:keepNext/>
              <w:jc w:val="left"/>
              <w:rPr>
                <w:rFonts w:ascii="Arial Narrow" w:hAnsi="Arial Narrow"/>
                <w:b/>
                <w:sz w:val="20"/>
              </w:rPr>
            </w:pPr>
            <w:r w:rsidRPr="00A655A1">
              <w:rPr>
                <w:rFonts w:ascii="Arial Narrow" w:hAnsi="Arial Narrow"/>
                <w:b/>
                <w:sz w:val="20"/>
              </w:rPr>
              <w:t>Name, Restriction,</w:t>
            </w:r>
          </w:p>
          <w:p w:rsidR="00A15C4B" w:rsidRPr="00A655A1" w:rsidRDefault="00A15C4B" w:rsidP="0021053E">
            <w:pPr>
              <w:keepNext/>
              <w:jc w:val="left"/>
              <w:rPr>
                <w:rFonts w:ascii="Arial Narrow" w:hAnsi="Arial Narrow"/>
                <w:b/>
                <w:sz w:val="20"/>
              </w:rPr>
            </w:pPr>
            <w:r w:rsidRPr="00A655A1">
              <w:rPr>
                <w:rFonts w:ascii="Arial Narrow" w:hAnsi="Arial Narrow"/>
                <w:b/>
                <w:sz w:val="20"/>
              </w:rPr>
              <w:t>Manner of administration and form</w:t>
            </w:r>
          </w:p>
        </w:tc>
        <w:tc>
          <w:tcPr>
            <w:tcW w:w="710" w:type="pct"/>
            <w:tcBorders>
              <w:top w:val="single" w:sz="4" w:space="0" w:color="auto"/>
              <w:left w:val="nil"/>
              <w:bottom w:val="single" w:sz="4" w:space="0" w:color="auto"/>
              <w:right w:val="nil"/>
            </w:tcBorders>
            <w:vAlign w:val="center"/>
            <w:hideMark/>
          </w:tcPr>
          <w:p w:rsidR="00A15C4B" w:rsidRPr="00A655A1" w:rsidRDefault="00A15C4B" w:rsidP="0021053E">
            <w:pPr>
              <w:keepNext/>
              <w:jc w:val="center"/>
              <w:rPr>
                <w:rFonts w:ascii="Arial Narrow" w:hAnsi="Arial Narrow"/>
                <w:b/>
                <w:sz w:val="20"/>
              </w:rPr>
            </w:pPr>
            <w:r w:rsidRPr="00A655A1">
              <w:rPr>
                <w:rFonts w:ascii="Arial Narrow" w:hAnsi="Arial Narrow"/>
                <w:b/>
                <w:sz w:val="20"/>
              </w:rPr>
              <w:t>Max.</w:t>
            </w:r>
          </w:p>
          <w:p w:rsidR="00A15C4B" w:rsidRPr="00A655A1" w:rsidRDefault="00A15C4B" w:rsidP="0021053E">
            <w:pPr>
              <w:keepNext/>
              <w:jc w:val="center"/>
              <w:rPr>
                <w:rFonts w:ascii="Arial Narrow" w:hAnsi="Arial Narrow"/>
                <w:b/>
                <w:sz w:val="20"/>
              </w:rPr>
            </w:pPr>
            <w:r w:rsidRPr="00A655A1">
              <w:rPr>
                <w:rFonts w:ascii="Arial Narrow" w:hAnsi="Arial Narrow"/>
                <w:b/>
                <w:sz w:val="20"/>
              </w:rPr>
              <w:t xml:space="preserve">Qty </w:t>
            </w:r>
          </w:p>
        </w:tc>
        <w:tc>
          <w:tcPr>
            <w:tcW w:w="610" w:type="pct"/>
            <w:tcBorders>
              <w:top w:val="single" w:sz="4" w:space="0" w:color="auto"/>
              <w:left w:val="nil"/>
              <w:bottom w:val="single" w:sz="4" w:space="0" w:color="auto"/>
              <w:right w:val="nil"/>
            </w:tcBorders>
            <w:vAlign w:val="center"/>
            <w:hideMark/>
          </w:tcPr>
          <w:p w:rsidR="00A15C4B" w:rsidRPr="00A655A1" w:rsidRDefault="00A15C4B" w:rsidP="0021053E">
            <w:pPr>
              <w:keepNext/>
              <w:jc w:val="center"/>
              <w:rPr>
                <w:rFonts w:ascii="Arial Narrow" w:hAnsi="Arial Narrow"/>
                <w:b/>
                <w:sz w:val="20"/>
              </w:rPr>
            </w:pPr>
            <w:r w:rsidRPr="00A655A1">
              <w:rPr>
                <w:rFonts w:ascii="Arial Narrow" w:hAnsi="Arial Narrow"/>
                <w:b/>
                <w:sz w:val="20"/>
              </w:rPr>
              <w:t>No. of</w:t>
            </w:r>
          </w:p>
          <w:p w:rsidR="00A15C4B" w:rsidRPr="00A655A1" w:rsidRDefault="00A15C4B" w:rsidP="0021053E">
            <w:pPr>
              <w:keepNext/>
              <w:jc w:val="center"/>
              <w:rPr>
                <w:rFonts w:ascii="Arial Narrow" w:hAnsi="Arial Narrow"/>
                <w:b/>
                <w:sz w:val="20"/>
              </w:rPr>
            </w:pPr>
            <w:r w:rsidRPr="00A655A1">
              <w:rPr>
                <w:rFonts w:ascii="Arial Narrow" w:hAnsi="Arial Narrow"/>
                <w:b/>
                <w:sz w:val="20"/>
              </w:rPr>
              <w:t>Repeats</w:t>
            </w:r>
          </w:p>
        </w:tc>
        <w:tc>
          <w:tcPr>
            <w:tcW w:w="845" w:type="pct"/>
            <w:tcBorders>
              <w:top w:val="single" w:sz="4" w:space="0" w:color="auto"/>
              <w:left w:val="nil"/>
              <w:bottom w:val="single" w:sz="4" w:space="0" w:color="auto"/>
              <w:right w:val="nil"/>
            </w:tcBorders>
            <w:vAlign w:val="center"/>
            <w:hideMark/>
          </w:tcPr>
          <w:p w:rsidR="00A15C4B" w:rsidRPr="00A655A1" w:rsidRDefault="00A15C4B" w:rsidP="0021053E">
            <w:pPr>
              <w:keepNext/>
              <w:jc w:val="center"/>
              <w:rPr>
                <w:rFonts w:ascii="Arial Narrow" w:hAnsi="Arial Narrow"/>
                <w:b/>
                <w:sz w:val="20"/>
              </w:rPr>
            </w:pPr>
            <w:r w:rsidRPr="00A655A1">
              <w:rPr>
                <w:rFonts w:ascii="Arial Narrow" w:hAnsi="Arial Narrow"/>
                <w:b/>
                <w:sz w:val="20"/>
              </w:rPr>
              <w:t>DPMQ</w:t>
            </w:r>
          </w:p>
        </w:tc>
        <w:tc>
          <w:tcPr>
            <w:tcW w:w="1194" w:type="pct"/>
            <w:tcBorders>
              <w:top w:val="single" w:sz="4" w:space="0" w:color="auto"/>
              <w:left w:val="nil"/>
              <w:bottom w:val="single" w:sz="4" w:space="0" w:color="auto"/>
              <w:right w:val="nil"/>
            </w:tcBorders>
            <w:vAlign w:val="center"/>
            <w:hideMark/>
          </w:tcPr>
          <w:p w:rsidR="00A15C4B" w:rsidRPr="00A655A1" w:rsidRDefault="00A15C4B" w:rsidP="0021053E">
            <w:pPr>
              <w:keepNext/>
              <w:jc w:val="center"/>
              <w:rPr>
                <w:rFonts w:ascii="Arial Narrow" w:hAnsi="Arial Narrow"/>
                <w:b/>
                <w:sz w:val="20"/>
              </w:rPr>
            </w:pPr>
            <w:r w:rsidRPr="00A655A1">
              <w:rPr>
                <w:rFonts w:ascii="Arial Narrow" w:hAnsi="Arial Narrow"/>
                <w:b/>
                <w:sz w:val="20"/>
              </w:rPr>
              <w:t>Proprietary Name and Manufacturer</w:t>
            </w:r>
          </w:p>
        </w:tc>
      </w:tr>
      <w:tr w:rsidR="00A15C4B" w:rsidRPr="00A655A1" w:rsidTr="00A15C4B">
        <w:trPr>
          <w:cantSplit/>
          <w:trHeight w:val="567"/>
        </w:trPr>
        <w:tc>
          <w:tcPr>
            <w:tcW w:w="1641" w:type="pct"/>
            <w:gridSpan w:val="2"/>
            <w:tcBorders>
              <w:top w:val="single" w:sz="4" w:space="0" w:color="auto"/>
              <w:left w:val="nil"/>
              <w:bottom w:val="single" w:sz="4" w:space="0" w:color="auto"/>
              <w:right w:val="nil"/>
            </w:tcBorders>
            <w:vAlign w:val="center"/>
            <w:hideMark/>
          </w:tcPr>
          <w:p w:rsidR="00A15C4B" w:rsidRPr="00A655A1" w:rsidRDefault="00A15C4B" w:rsidP="0021053E">
            <w:pPr>
              <w:keepNext/>
              <w:jc w:val="left"/>
              <w:rPr>
                <w:rFonts w:ascii="Arial Narrow" w:hAnsi="Arial Narrow"/>
                <w:smallCaps/>
                <w:sz w:val="20"/>
              </w:rPr>
            </w:pPr>
            <w:r w:rsidRPr="00A655A1">
              <w:rPr>
                <w:rFonts w:ascii="Arial Narrow" w:hAnsi="Arial Narrow"/>
                <w:smallCaps/>
                <w:sz w:val="20"/>
              </w:rPr>
              <w:t>SELINEXOR,</w:t>
            </w:r>
          </w:p>
          <w:p w:rsidR="00A15C4B" w:rsidRPr="00A655A1" w:rsidRDefault="00A15C4B" w:rsidP="0021053E">
            <w:pPr>
              <w:keepNext/>
              <w:jc w:val="left"/>
              <w:rPr>
                <w:rFonts w:ascii="Arial Narrow" w:hAnsi="Arial Narrow"/>
                <w:sz w:val="20"/>
              </w:rPr>
            </w:pPr>
            <w:r w:rsidRPr="00A655A1">
              <w:rPr>
                <w:rFonts w:ascii="Arial Narrow" w:hAnsi="Arial Narrow"/>
                <w:smallCaps/>
                <w:sz w:val="20"/>
              </w:rPr>
              <w:t>tablets, 20</w:t>
            </w:r>
            <w:r w:rsidRPr="00A655A1">
              <w:t xml:space="preserve"> </w:t>
            </w:r>
            <w:r w:rsidRPr="00A655A1">
              <w:rPr>
                <w:rFonts w:ascii="Arial Narrow" w:hAnsi="Arial Narrow"/>
                <w:sz w:val="20"/>
              </w:rPr>
              <w:t xml:space="preserve">mg </w:t>
            </w:r>
          </w:p>
        </w:tc>
        <w:tc>
          <w:tcPr>
            <w:tcW w:w="710" w:type="pct"/>
            <w:tcBorders>
              <w:top w:val="single" w:sz="4" w:space="0" w:color="auto"/>
              <w:left w:val="nil"/>
              <w:bottom w:val="single" w:sz="4" w:space="0" w:color="auto"/>
              <w:right w:val="nil"/>
            </w:tcBorders>
            <w:vAlign w:val="center"/>
            <w:hideMark/>
          </w:tcPr>
          <w:p w:rsidR="00A15C4B" w:rsidRPr="00A655A1" w:rsidRDefault="00A15C4B" w:rsidP="0021053E">
            <w:pPr>
              <w:keepNext/>
              <w:jc w:val="center"/>
              <w:rPr>
                <w:rFonts w:ascii="Arial Narrow" w:hAnsi="Arial Narrow"/>
                <w:sz w:val="20"/>
              </w:rPr>
            </w:pPr>
            <w:r w:rsidRPr="00A655A1">
              <w:rPr>
                <w:rFonts w:ascii="Arial Narrow" w:hAnsi="Arial Narrow"/>
                <w:sz w:val="20"/>
              </w:rPr>
              <w:t>16</w:t>
            </w:r>
          </w:p>
        </w:tc>
        <w:tc>
          <w:tcPr>
            <w:tcW w:w="610" w:type="pct"/>
            <w:tcBorders>
              <w:top w:val="single" w:sz="4" w:space="0" w:color="auto"/>
              <w:left w:val="nil"/>
              <w:bottom w:val="single" w:sz="4" w:space="0" w:color="auto"/>
              <w:right w:val="nil"/>
            </w:tcBorders>
            <w:vAlign w:val="center"/>
            <w:hideMark/>
          </w:tcPr>
          <w:p w:rsidR="00A15C4B" w:rsidRPr="00A655A1" w:rsidRDefault="00A15C4B" w:rsidP="0021053E">
            <w:pPr>
              <w:keepNext/>
              <w:jc w:val="center"/>
              <w:rPr>
                <w:rFonts w:ascii="Arial Narrow" w:hAnsi="Arial Narrow"/>
                <w:sz w:val="20"/>
              </w:rPr>
            </w:pPr>
            <w:r w:rsidRPr="00A655A1">
              <w:rPr>
                <w:rFonts w:ascii="Arial Narrow" w:hAnsi="Arial Narrow"/>
                <w:sz w:val="20"/>
              </w:rPr>
              <w:t>2</w:t>
            </w:r>
          </w:p>
        </w:tc>
        <w:tc>
          <w:tcPr>
            <w:tcW w:w="845" w:type="pct"/>
            <w:tcBorders>
              <w:top w:val="single" w:sz="4" w:space="0" w:color="auto"/>
              <w:left w:val="nil"/>
              <w:bottom w:val="single" w:sz="4" w:space="0" w:color="auto"/>
              <w:right w:val="nil"/>
            </w:tcBorders>
            <w:vAlign w:val="center"/>
            <w:hideMark/>
          </w:tcPr>
          <w:p w:rsidR="00A15C4B" w:rsidRPr="00A655A1" w:rsidRDefault="00A15C4B" w:rsidP="0021053E">
            <w:pPr>
              <w:keepNext/>
              <w:jc w:val="center"/>
              <w:rPr>
                <w:rFonts w:ascii="Arial Narrow" w:hAnsi="Arial Narrow"/>
                <w:sz w:val="20"/>
                <w:u w:val="single"/>
              </w:rPr>
            </w:pPr>
            <w:r w:rsidRPr="00A655A1">
              <w:rPr>
                <w:rFonts w:ascii="Arial Narrow" w:hAnsi="Arial Narrow"/>
                <w:sz w:val="20"/>
                <w:u w:val="single"/>
              </w:rPr>
              <w:t>Published price:</w:t>
            </w:r>
          </w:p>
          <w:p w:rsidR="00A15C4B" w:rsidRPr="00A655A1" w:rsidRDefault="00A15C4B" w:rsidP="0021053E">
            <w:pPr>
              <w:keepNext/>
              <w:jc w:val="center"/>
              <w:rPr>
                <w:rFonts w:ascii="Arial Narrow" w:hAnsi="Arial Narrow"/>
                <w:sz w:val="20"/>
              </w:rPr>
            </w:pPr>
            <w:r w:rsidRPr="00A655A1">
              <w:rPr>
                <w:rFonts w:ascii="Arial Narrow" w:hAnsi="Arial Narrow"/>
                <w:sz w:val="20"/>
              </w:rPr>
              <w:t>Public $</w:t>
            </w:r>
            <w:r w:rsidR="007004AE">
              <w:rPr>
                <w:rFonts w:ascii="Arial Narrow" w:hAnsi="Arial Narrow"/>
                <w:noProof/>
                <w:color w:val="000000"/>
                <w:sz w:val="20"/>
                <w:highlight w:val="black"/>
              </w:rPr>
              <w:t>'''''''''''''''''''''''</w:t>
            </w:r>
          </w:p>
          <w:p w:rsidR="00A15C4B" w:rsidRPr="00A655A1" w:rsidRDefault="00A15C4B" w:rsidP="0021053E">
            <w:pPr>
              <w:keepNext/>
              <w:jc w:val="center"/>
              <w:rPr>
                <w:rFonts w:ascii="Arial Narrow" w:hAnsi="Arial Narrow"/>
                <w:sz w:val="20"/>
              </w:rPr>
            </w:pPr>
            <w:r w:rsidRPr="00A655A1">
              <w:rPr>
                <w:rFonts w:ascii="Arial Narrow" w:hAnsi="Arial Narrow"/>
                <w:sz w:val="20"/>
              </w:rPr>
              <w:t>Private $</w:t>
            </w:r>
            <w:r w:rsidR="007004AE">
              <w:rPr>
                <w:rFonts w:ascii="Arial Narrow" w:hAnsi="Arial Narrow"/>
                <w:noProof/>
                <w:color w:val="000000"/>
                <w:sz w:val="20"/>
                <w:highlight w:val="black"/>
              </w:rPr>
              <w:t>'''''''''''''''''''''''</w:t>
            </w:r>
          </w:p>
          <w:p w:rsidR="00A15C4B" w:rsidRPr="00A655A1" w:rsidRDefault="00A15C4B" w:rsidP="0021053E">
            <w:pPr>
              <w:keepNext/>
              <w:jc w:val="center"/>
              <w:rPr>
                <w:rFonts w:ascii="Arial Narrow" w:hAnsi="Arial Narrow"/>
                <w:sz w:val="20"/>
                <w:u w:val="single"/>
              </w:rPr>
            </w:pPr>
            <w:r w:rsidRPr="00A655A1">
              <w:rPr>
                <w:rFonts w:ascii="Arial Narrow" w:hAnsi="Arial Narrow"/>
                <w:sz w:val="20"/>
                <w:u w:val="single"/>
              </w:rPr>
              <w:t>Effective price:</w:t>
            </w:r>
          </w:p>
          <w:p w:rsidR="00A15C4B" w:rsidRPr="00A655A1" w:rsidRDefault="00A15C4B" w:rsidP="0021053E">
            <w:pPr>
              <w:keepNext/>
              <w:jc w:val="center"/>
              <w:rPr>
                <w:rFonts w:ascii="Arial Narrow" w:hAnsi="Arial Narrow"/>
                <w:sz w:val="20"/>
              </w:rPr>
            </w:pPr>
            <w:r w:rsidRPr="00A655A1">
              <w:rPr>
                <w:rFonts w:ascii="Arial Narrow" w:hAnsi="Arial Narrow"/>
                <w:sz w:val="20"/>
              </w:rPr>
              <w:t>Public $</w:t>
            </w:r>
            <w:r w:rsidR="007004AE">
              <w:rPr>
                <w:rFonts w:ascii="Arial Narrow" w:hAnsi="Arial Narrow"/>
                <w:noProof/>
                <w:color w:val="000000"/>
                <w:sz w:val="20"/>
                <w:highlight w:val="black"/>
              </w:rPr>
              <w:t>''''''''''''''''''''</w:t>
            </w:r>
          </w:p>
          <w:p w:rsidR="00A15C4B" w:rsidRPr="00A655A1" w:rsidRDefault="00A15C4B" w:rsidP="0021053E">
            <w:pPr>
              <w:keepNext/>
              <w:jc w:val="center"/>
              <w:rPr>
                <w:rFonts w:ascii="Arial Narrow" w:hAnsi="Arial Narrow"/>
                <w:sz w:val="20"/>
              </w:rPr>
            </w:pPr>
            <w:r w:rsidRPr="00A655A1">
              <w:rPr>
                <w:rFonts w:ascii="Arial Narrow" w:hAnsi="Arial Narrow"/>
                <w:sz w:val="20"/>
              </w:rPr>
              <w:t xml:space="preserve"> Private $</w:t>
            </w:r>
            <w:r w:rsidR="007004AE">
              <w:rPr>
                <w:rFonts w:ascii="Arial Narrow" w:hAnsi="Arial Narrow"/>
                <w:noProof/>
                <w:color w:val="000000"/>
                <w:sz w:val="20"/>
                <w:highlight w:val="black"/>
              </w:rPr>
              <w:t>'''''''''''''''''''''</w:t>
            </w:r>
            <w:r w:rsidRPr="00A655A1">
              <w:rPr>
                <w:rFonts w:ascii="Arial Narrow" w:hAnsi="Arial Narrow"/>
                <w:sz w:val="20"/>
              </w:rPr>
              <w:t xml:space="preserve"> </w:t>
            </w:r>
          </w:p>
        </w:tc>
        <w:tc>
          <w:tcPr>
            <w:tcW w:w="1194" w:type="pct"/>
            <w:tcBorders>
              <w:top w:val="single" w:sz="4" w:space="0" w:color="auto"/>
              <w:left w:val="nil"/>
              <w:bottom w:val="single" w:sz="4" w:space="0" w:color="auto"/>
              <w:right w:val="nil"/>
            </w:tcBorders>
            <w:vAlign w:val="center"/>
          </w:tcPr>
          <w:p w:rsidR="00A15C4B" w:rsidRPr="00A655A1" w:rsidRDefault="00A15C4B" w:rsidP="0021053E">
            <w:pPr>
              <w:keepNext/>
              <w:jc w:val="center"/>
              <w:rPr>
                <w:rFonts w:ascii="Arial Narrow" w:hAnsi="Arial Narrow"/>
                <w:sz w:val="20"/>
              </w:rPr>
            </w:pPr>
            <w:r w:rsidRPr="00A655A1">
              <w:rPr>
                <w:rFonts w:ascii="Arial Narrow" w:hAnsi="Arial Narrow"/>
                <w:sz w:val="20"/>
              </w:rPr>
              <w:t xml:space="preserve">XPOVIO® </w:t>
            </w:r>
          </w:p>
          <w:p w:rsidR="00A15C4B" w:rsidRPr="00A655A1" w:rsidRDefault="00A15C4B" w:rsidP="0021053E">
            <w:pPr>
              <w:keepNext/>
              <w:jc w:val="center"/>
              <w:rPr>
                <w:rFonts w:ascii="Arial Narrow" w:hAnsi="Arial Narrow"/>
                <w:sz w:val="20"/>
              </w:rPr>
            </w:pPr>
            <w:r w:rsidRPr="00A655A1">
              <w:rPr>
                <w:rFonts w:ascii="Arial Narrow" w:hAnsi="Arial Narrow"/>
                <w:sz w:val="20"/>
              </w:rPr>
              <w:t>ANTENGENE Pty Ltd</w:t>
            </w:r>
          </w:p>
          <w:p w:rsidR="00A15C4B" w:rsidRPr="00A655A1" w:rsidRDefault="00A15C4B" w:rsidP="0021053E">
            <w:pPr>
              <w:keepNext/>
              <w:jc w:val="center"/>
              <w:rPr>
                <w:rFonts w:ascii="Arial Narrow" w:hAnsi="Arial Narrow"/>
                <w:sz w:val="20"/>
              </w:rPr>
            </w:pPr>
          </w:p>
        </w:tc>
      </w:tr>
      <w:tr w:rsidR="00A15C4B" w:rsidRPr="00A655A1" w:rsidTr="00A15C4B">
        <w:trPr>
          <w:cantSplit/>
          <w:trHeight w:val="567"/>
        </w:trPr>
        <w:tc>
          <w:tcPr>
            <w:tcW w:w="1641" w:type="pct"/>
            <w:gridSpan w:val="2"/>
            <w:tcBorders>
              <w:top w:val="single" w:sz="4" w:space="0" w:color="auto"/>
              <w:left w:val="nil"/>
              <w:bottom w:val="nil"/>
              <w:right w:val="nil"/>
            </w:tcBorders>
            <w:vAlign w:val="center"/>
            <w:hideMark/>
          </w:tcPr>
          <w:p w:rsidR="00A15C4B" w:rsidRPr="00A655A1" w:rsidRDefault="00A15C4B" w:rsidP="0021053E">
            <w:pPr>
              <w:keepNext/>
              <w:jc w:val="left"/>
              <w:rPr>
                <w:rFonts w:ascii="Arial Narrow" w:hAnsi="Arial Narrow"/>
                <w:smallCaps/>
                <w:sz w:val="20"/>
              </w:rPr>
            </w:pPr>
            <w:r w:rsidRPr="00A655A1">
              <w:rPr>
                <w:rFonts w:ascii="Arial Narrow" w:hAnsi="Arial Narrow"/>
                <w:smallCaps/>
                <w:sz w:val="20"/>
              </w:rPr>
              <w:t>SELINEXOR,</w:t>
            </w:r>
          </w:p>
          <w:p w:rsidR="00A15C4B" w:rsidRPr="00A655A1" w:rsidRDefault="00A15C4B" w:rsidP="0021053E">
            <w:pPr>
              <w:keepNext/>
              <w:jc w:val="left"/>
              <w:rPr>
                <w:rFonts w:ascii="Arial Narrow" w:hAnsi="Arial Narrow"/>
                <w:smallCaps/>
                <w:sz w:val="20"/>
              </w:rPr>
            </w:pPr>
            <w:r w:rsidRPr="00A655A1">
              <w:rPr>
                <w:rFonts w:ascii="Arial Narrow" w:hAnsi="Arial Narrow"/>
                <w:smallCaps/>
                <w:sz w:val="20"/>
              </w:rPr>
              <w:t>tablets, 20</w:t>
            </w:r>
            <w:r w:rsidRPr="00A655A1">
              <w:t xml:space="preserve"> </w:t>
            </w:r>
            <w:r w:rsidRPr="00A655A1">
              <w:rPr>
                <w:rFonts w:ascii="Arial Narrow" w:hAnsi="Arial Narrow"/>
                <w:sz w:val="20"/>
              </w:rPr>
              <w:t>mg</w:t>
            </w:r>
          </w:p>
        </w:tc>
        <w:tc>
          <w:tcPr>
            <w:tcW w:w="710" w:type="pct"/>
            <w:tcBorders>
              <w:top w:val="single" w:sz="4" w:space="0" w:color="auto"/>
              <w:left w:val="nil"/>
              <w:bottom w:val="nil"/>
              <w:right w:val="nil"/>
            </w:tcBorders>
            <w:vAlign w:val="center"/>
            <w:hideMark/>
          </w:tcPr>
          <w:p w:rsidR="00A15C4B" w:rsidRPr="00A655A1" w:rsidRDefault="00A15C4B" w:rsidP="0021053E">
            <w:pPr>
              <w:keepNext/>
              <w:jc w:val="center"/>
              <w:rPr>
                <w:rFonts w:ascii="Arial Narrow" w:hAnsi="Arial Narrow"/>
                <w:sz w:val="20"/>
              </w:rPr>
            </w:pPr>
            <w:r w:rsidRPr="00A655A1">
              <w:rPr>
                <w:rFonts w:ascii="Arial Narrow" w:hAnsi="Arial Narrow"/>
                <w:sz w:val="20"/>
              </w:rPr>
              <w:t>20</w:t>
            </w:r>
          </w:p>
        </w:tc>
        <w:tc>
          <w:tcPr>
            <w:tcW w:w="610" w:type="pct"/>
            <w:tcBorders>
              <w:top w:val="single" w:sz="4" w:space="0" w:color="auto"/>
              <w:left w:val="nil"/>
              <w:bottom w:val="nil"/>
              <w:right w:val="nil"/>
            </w:tcBorders>
            <w:vAlign w:val="center"/>
            <w:hideMark/>
          </w:tcPr>
          <w:p w:rsidR="00A15C4B" w:rsidRPr="00A655A1" w:rsidRDefault="00A15C4B" w:rsidP="0021053E">
            <w:pPr>
              <w:keepNext/>
              <w:jc w:val="center"/>
              <w:rPr>
                <w:rFonts w:ascii="Arial Narrow" w:hAnsi="Arial Narrow"/>
                <w:sz w:val="20"/>
              </w:rPr>
            </w:pPr>
            <w:r w:rsidRPr="00A655A1">
              <w:rPr>
                <w:rFonts w:ascii="Arial Narrow" w:hAnsi="Arial Narrow"/>
                <w:sz w:val="20"/>
              </w:rPr>
              <w:t>2</w:t>
            </w:r>
          </w:p>
        </w:tc>
        <w:tc>
          <w:tcPr>
            <w:tcW w:w="845" w:type="pct"/>
            <w:tcBorders>
              <w:top w:val="single" w:sz="4" w:space="0" w:color="auto"/>
              <w:left w:val="nil"/>
              <w:bottom w:val="nil"/>
              <w:right w:val="nil"/>
            </w:tcBorders>
            <w:vAlign w:val="center"/>
            <w:hideMark/>
          </w:tcPr>
          <w:p w:rsidR="00A15C4B" w:rsidRPr="00A655A1" w:rsidRDefault="00A15C4B" w:rsidP="0021053E">
            <w:pPr>
              <w:keepNext/>
              <w:jc w:val="center"/>
              <w:rPr>
                <w:rFonts w:ascii="Arial Narrow" w:hAnsi="Arial Narrow"/>
                <w:sz w:val="20"/>
                <w:u w:val="single"/>
              </w:rPr>
            </w:pPr>
            <w:r w:rsidRPr="00A655A1">
              <w:rPr>
                <w:rFonts w:ascii="Arial Narrow" w:hAnsi="Arial Narrow"/>
                <w:sz w:val="20"/>
                <w:u w:val="single"/>
              </w:rPr>
              <w:t>Published price:</w:t>
            </w:r>
          </w:p>
          <w:p w:rsidR="00A15C4B" w:rsidRPr="00A655A1" w:rsidRDefault="00A15C4B" w:rsidP="0021053E">
            <w:pPr>
              <w:keepNext/>
              <w:jc w:val="center"/>
              <w:rPr>
                <w:rFonts w:ascii="Arial Narrow" w:hAnsi="Arial Narrow"/>
                <w:sz w:val="20"/>
              </w:rPr>
            </w:pPr>
            <w:r w:rsidRPr="00A655A1">
              <w:rPr>
                <w:rFonts w:ascii="Arial Narrow" w:hAnsi="Arial Narrow"/>
                <w:sz w:val="20"/>
              </w:rPr>
              <w:t>Public $</w:t>
            </w:r>
            <w:r w:rsidR="007004AE">
              <w:rPr>
                <w:rFonts w:ascii="Arial Narrow" w:hAnsi="Arial Narrow"/>
                <w:noProof/>
                <w:color w:val="000000"/>
                <w:sz w:val="20"/>
                <w:highlight w:val="black"/>
              </w:rPr>
              <w:t>'''''''''''''''''''''''</w:t>
            </w:r>
            <w:r w:rsidRPr="00A655A1">
              <w:rPr>
                <w:rFonts w:ascii="Arial Narrow" w:hAnsi="Arial Narrow"/>
                <w:sz w:val="20"/>
              </w:rPr>
              <w:t xml:space="preserve"> </w:t>
            </w:r>
          </w:p>
          <w:p w:rsidR="00A15C4B" w:rsidRPr="00A655A1" w:rsidRDefault="00A15C4B" w:rsidP="0021053E">
            <w:pPr>
              <w:keepNext/>
              <w:jc w:val="center"/>
              <w:rPr>
                <w:rFonts w:ascii="Arial Narrow" w:hAnsi="Arial Narrow"/>
                <w:sz w:val="20"/>
              </w:rPr>
            </w:pPr>
            <w:r w:rsidRPr="00A655A1">
              <w:rPr>
                <w:rFonts w:ascii="Arial Narrow" w:hAnsi="Arial Narrow"/>
                <w:sz w:val="20"/>
              </w:rPr>
              <w:t>Private $</w:t>
            </w:r>
            <w:r w:rsidR="007004AE">
              <w:rPr>
                <w:rFonts w:ascii="Arial Narrow" w:hAnsi="Arial Narrow"/>
                <w:noProof/>
                <w:color w:val="000000"/>
                <w:sz w:val="20"/>
                <w:highlight w:val="black"/>
              </w:rPr>
              <w:t>''''''''''''''''''''''</w:t>
            </w:r>
            <w:r w:rsidRPr="00A655A1">
              <w:rPr>
                <w:rFonts w:ascii="Arial Narrow" w:hAnsi="Arial Narrow"/>
                <w:sz w:val="20"/>
              </w:rPr>
              <w:t xml:space="preserve"> </w:t>
            </w:r>
          </w:p>
          <w:p w:rsidR="00A15C4B" w:rsidRPr="00A655A1" w:rsidRDefault="00A15C4B" w:rsidP="0021053E">
            <w:pPr>
              <w:keepNext/>
              <w:jc w:val="center"/>
              <w:rPr>
                <w:rFonts w:ascii="Arial Narrow" w:hAnsi="Arial Narrow"/>
                <w:sz w:val="20"/>
              </w:rPr>
            </w:pPr>
            <w:r w:rsidRPr="00A655A1">
              <w:rPr>
                <w:rFonts w:ascii="Arial Narrow" w:hAnsi="Arial Narrow"/>
                <w:sz w:val="20"/>
                <w:u w:val="single"/>
              </w:rPr>
              <w:t>Effective price</w:t>
            </w:r>
            <w:r w:rsidRPr="00A655A1">
              <w:rPr>
                <w:rFonts w:ascii="Arial Narrow" w:hAnsi="Arial Narrow"/>
                <w:sz w:val="20"/>
              </w:rPr>
              <w:t>:</w:t>
            </w:r>
          </w:p>
          <w:p w:rsidR="00A15C4B" w:rsidRPr="00A655A1" w:rsidRDefault="00A15C4B" w:rsidP="0021053E">
            <w:pPr>
              <w:keepNext/>
              <w:jc w:val="center"/>
              <w:rPr>
                <w:rFonts w:ascii="Arial Narrow" w:hAnsi="Arial Narrow"/>
                <w:sz w:val="20"/>
              </w:rPr>
            </w:pPr>
            <w:r w:rsidRPr="00A655A1">
              <w:rPr>
                <w:rFonts w:ascii="Arial Narrow" w:hAnsi="Arial Narrow"/>
                <w:sz w:val="20"/>
              </w:rPr>
              <w:t>Public $</w:t>
            </w:r>
            <w:r w:rsidR="007004AE">
              <w:rPr>
                <w:rFonts w:ascii="Arial Narrow" w:hAnsi="Arial Narrow"/>
                <w:noProof/>
                <w:color w:val="000000"/>
                <w:sz w:val="20"/>
                <w:highlight w:val="black"/>
              </w:rPr>
              <w:t xml:space="preserve">''''''''''''''''''''''' </w:t>
            </w:r>
          </w:p>
          <w:p w:rsidR="00A15C4B" w:rsidRPr="003B2FC6" w:rsidRDefault="00A15C4B" w:rsidP="0021053E">
            <w:pPr>
              <w:keepNext/>
              <w:jc w:val="center"/>
              <w:rPr>
                <w:rFonts w:ascii="Arial Narrow" w:hAnsi="Arial Narrow"/>
                <w:sz w:val="20"/>
              </w:rPr>
            </w:pPr>
            <w:r w:rsidRPr="00A655A1">
              <w:rPr>
                <w:rFonts w:ascii="Arial Narrow" w:hAnsi="Arial Narrow"/>
                <w:sz w:val="20"/>
              </w:rPr>
              <w:t>Private $</w:t>
            </w:r>
            <w:r w:rsidR="007004AE">
              <w:rPr>
                <w:rFonts w:ascii="Arial Narrow" w:hAnsi="Arial Narrow"/>
                <w:noProof/>
                <w:color w:val="000000"/>
                <w:sz w:val="20"/>
                <w:highlight w:val="black"/>
              </w:rPr>
              <w:t>''''''''''''''''''''</w:t>
            </w:r>
            <w:r w:rsidRPr="00A655A1">
              <w:rPr>
                <w:rFonts w:ascii="Arial Narrow" w:hAnsi="Arial Narrow"/>
                <w:sz w:val="20"/>
              </w:rPr>
              <w:t xml:space="preserve"> </w:t>
            </w:r>
          </w:p>
        </w:tc>
        <w:tc>
          <w:tcPr>
            <w:tcW w:w="1194" w:type="pct"/>
            <w:tcBorders>
              <w:top w:val="single" w:sz="4" w:space="0" w:color="auto"/>
              <w:left w:val="nil"/>
              <w:bottom w:val="nil"/>
              <w:right w:val="nil"/>
            </w:tcBorders>
            <w:vAlign w:val="center"/>
          </w:tcPr>
          <w:p w:rsidR="00A15C4B" w:rsidRPr="00A655A1" w:rsidRDefault="00A15C4B" w:rsidP="0021053E">
            <w:pPr>
              <w:keepNext/>
              <w:jc w:val="center"/>
              <w:rPr>
                <w:rFonts w:ascii="Arial Narrow" w:hAnsi="Arial Narrow"/>
                <w:sz w:val="20"/>
              </w:rPr>
            </w:pPr>
            <w:r w:rsidRPr="00A655A1">
              <w:rPr>
                <w:rFonts w:ascii="Arial Narrow" w:hAnsi="Arial Narrow"/>
                <w:sz w:val="20"/>
              </w:rPr>
              <w:t xml:space="preserve">XPOVIO® </w:t>
            </w:r>
          </w:p>
          <w:p w:rsidR="00A15C4B" w:rsidRPr="00A655A1" w:rsidRDefault="00A15C4B" w:rsidP="0021053E">
            <w:pPr>
              <w:keepNext/>
              <w:jc w:val="center"/>
              <w:rPr>
                <w:rFonts w:ascii="Arial Narrow" w:hAnsi="Arial Narrow"/>
                <w:sz w:val="20"/>
              </w:rPr>
            </w:pPr>
            <w:r w:rsidRPr="00A655A1">
              <w:rPr>
                <w:rFonts w:ascii="Arial Narrow" w:hAnsi="Arial Narrow"/>
                <w:sz w:val="20"/>
              </w:rPr>
              <w:t>ANTENGENE Pty Ltd</w:t>
            </w:r>
          </w:p>
          <w:p w:rsidR="00A15C4B" w:rsidRPr="00A655A1" w:rsidRDefault="00A15C4B" w:rsidP="0021053E">
            <w:pPr>
              <w:keepNext/>
              <w:jc w:val="center"/>
              <w:rPr>
                <w:rFonts w:ascii="Arial Narrow" w:hAnsi="Arial Narrow"/>
                <w:sz w:val="20"/>
              </w:rPr>
            </w:pPr>
          </w:p>
        </w:tc>
      </w:tr>
      <w:tr w:rsidR="00A15C4B" w:rsidRPr="00A655A1" w:rsidTr="00A15C4B">
        <w:trPr>
          <w:trHeight w:val="20"/>
        </w:trPr>
        <w:tc>
          <w:tcPr>
            <w:tcW w:w="1254" w:type="pct"/>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
              <w:keepNext/>
            </w:pPr>
            <w:r w:rsidRPr="00A655A1">
              <w:t>Category/Program:</w:t>
            </w:r>
          </w:p>
        </w:tc>
        <w:tc>
          <w:tcPr>
            <w:tcW w:w="3746" w:type="pct"/>
            <w:gridSpan w:val="5"/>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
              <w:keepNext/>
            </w:pPr>
            <w:r w:rsidRPr="00A655A1">
              <w:t>Section 100 – Highly Specialised Drugs Program</w:t>
            </w:r>
          </w:p>
        </w:tc>
      </w:tr>
      <w:tr w:rsidR="00A15C4B" w:rsidRPr="00A655A1" w:rsidTr="00A15C4B">
        <w:trPr>
          <w:trHeight w:val="20"/>
        </w:trPr>
        <w:tc>
          <w:tcPr>
            <w:tcW w:w="1254" w:type="pct"/>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
              <w:keepNext/>
            </w:pPr>
            <w:r w:rsidRPr="00A655A1">
              <w:t>PBS indication:</w:t>
            </w:r>
          </w:p>
        </w:tc>
        <w:tc>
          <w:tcPr>
            <w:tcW w:w="3746" w:type="pct"/>
            <w:gridSpan w:val="5"/>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
              <w:keepNext/>
            </w:pPr>
            <w:r w:rsidRPr="00A655A1">
              <w:t>Relapsed and/or refractory multiple myeloma</w:t>
            </w:r>
          </w:p>
        </w:tc>
      </w:tr>
      <w:tr w:rsidR="00A15C4B" w:rsidRPr="00A655A1" w:rsidTr="00A15C4B">
        <w:trPr>
          <w:trHeight w:val="20"/>
        </w:trPr>
        <w:tc>
          <w:tcPr>
            <w:tcW w:w="1254" w:type="pct"/>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
              <w:keepNext/>
            </w:pPr>
            <w:r w:rsidRPr="00A655A1">
              <w:t>Treatment phase:</w:t>
            </w:r>
          </w:p>
        </w:tc>
        <w:tc>
          <w:tcPr>
            <w:tcW w:w="3746" w:type="pct"/>
            <w:gridSpan w:val="5"/>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
              <w:keepNext/>
            </w:pPr>
            <w:r w:rsidRPr="00A655A1">
              <w:t>Initial treatment: Initial treatment following at least one prior line of drug therapy</w:t>
            </w:r>
          </w:p>
        </w:tc>
      </w:tr>
      <w:tr w:rsidR="00A15C4B" w:rsidRPr="00A655A1" w:rsidTr="00A15C4B">
        <w:trPr>
          <w:trHeight w:val="20"/>
        </w:trPr>
        <w:tc>
          <w:tcPr>
            <w:tcW w:w="1254" w:type="pct"/>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
              <w:keepNext/>
            </w:pPr>
            <w:r w:rsidRPr="00A655A1">
              <w:t>Restriction:</w:t>
            </w:r>
          </w:p>
        </w:tc>
        <w:tc>
          <w:tcPr>
            <w:tcW w:w="3746" w:type="pct"/>
            <w:gridSpan w:val="5"/>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
              <w:keepNext/>
            </w:pPr>
            <w:r w:rsidRPr="00A655A1">
              <w:fldChar w:fldCharType="begin">
                <w:ffData>
                  <w:name w:val=""/>
                  <w:enabled/>
                  <w:calcOnExit w:val="0"/>
                  <w:checkBox>
                    <w:sizeAuto/>
                    <w:default w:val="1"/>
                  </w:checkBox>
                </w:ffData>
              </w:fldChar>
            </w:r>
            <w:r w:rsidRPr="00A655A1">
              <w:instrText xml:space="preserve"> FORMCHECKBOX </w:instrText>
            </w:r>
            <w:r w:rsidR="00185816">
              <w:fldChar w:fldCharType="separate"/>
            </w:r>
            <w:r w:rsidRPr="00A655A1">
              <w:fldChar w:fldCharType="end"/>
            </w:r>
            <w:r w:rsidRPr="00A655A1">
              <w:t>Authority Required - STREAMLINED</w:t>
            </w:r>
          </w:p>
        </w:tc>
      </w:tr>
      <w:tr w:rsidR="00A15C4B" w:rsidRPr="00A655A1" w:rsidTr="00A15C4B">
        <w:trPr>
          <w:trHeight w:val="20"/>
        </w:trPr>
        <w:tc>
          <w:tcPr>
            <w:tcW w:w="1254" w:type="pct"/>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
              <w:keepNext/>
            </w:pPr>
            <w:r w:rsidRPr="00A655A1">
              <w:t>Treatment criteria:</w:t>
            </w:r>
          </w:p>
        </w:tc>
        <w:tc>
          <w:tcPr>
            <w:tcW w:w="3746" w:type="pct"/>
            <w:gridSpan w:val="5"/>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
              <w:keepNext/>
            </w:pPr>
            <w:r w:rsidRPr="00A655A1">
              <w:rPr>
                <w:rFonts w:cs="Arial"/>
              </w:rPr>
              <w:t>Initial treatment</w:t>
            </w:r>
          </w:p>
        </w:tc>
      </w:tr>
      <w:tr w:rsidR="00A15C4B" w:rsidRPr="00A655A1" w:rsidTr="00A15C4B">
        <w:trPr>
          <w:trHeight w:val="20"/>
        </w:trPr>
        <w:tc>
          <w:tcPr>
            <w:tcW w:w="1254" w:type="pct"/>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
              <w:keepNext/>
            </w:pPr>
            <w:r w:rsidRPr="00A655A1">
              <w:t>Clinical criteria:</w:t>
            </w:r>
          </w:p>
        </w:tc>
        <w:tc>
          <w:tcPr>
            <w:tcW w:w="3746" w:type="pct"/>
            <w:gridSpan w:val="5"/>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0"/>
              <w:rPr>
                <w:rFonts w:cs="Arial"/>
              </w:rPr>
            </w:pPr>
            <w:r w:rsidRPr="00A655A1">
              <w:rPr>
                <w:rFonts w:cs="Arial"/>
              </w:rPr>
              <w:t>The condition must be confirmed by a histological diagnosis</w:t>
            </w:r>
          </w:p>
          <w:p w:rsidR="00A15C4B" w:rsidRPr="00A655A1" w:rsidRDefault="00A15C4B" w:rsidP="0021053E">
            <w:pPr>
              <w:pStyle w:val="TableText0"/>
              <w:rPr>
                <w:rFonts w:cs="Arial"/>
              </w:rPr>
            </w:pPr>
            <w:r w:rsidRPr="00A655A1">
              <w:rPr>
                <w:rFonts w:cs="Arial"/>
              </w:rPr>
              <w:t>AND</w:t>
            </w:r>
          </w:p>
          <w:p w:rsidR="00A15C4B" w:rsidRPr="00A655A1" w:rsidRDefault="00A15C4B" w:rsidP="0021053E">
            <w:pPr>
              <w:pStyle w:val="TableText0"/>
              <w:rPr>
                <w:rFonts w:cs="Arial"/>
              </w:rPr>
            </w:pPr>
            <w:r w:rsidRPr="00A655A1">
              <w:rPr>
                <w:rFonts w:cs="Arial"/>
              </w:rPr>
              <w:t>The treatment must be in combination with bortezomib and dexamethasone</w:t>
            </w:r>
          </w:p>
          <w:p w:rsidR="00A15C4B" w:rsidRPr="00A655A1" w:rsidRDefault="00A15C4B" w:rsidP="0021053E">
            <w:pPr>
              <w:pStyle w:val="TableText0"/>
              <w:rPr>
                <w:rFonts w:cs="Arial"/>
              </w:rPr>
            </w:pPr>
            <w:r w:rsidRPr="00A655A1">
              <w:rPr>
                <w:rFonts w:cs="Arial"/>
              </w:rPr>
              <w:t>AND</w:t>
            </w:r>
          </w:p>
          <w:p w:rsidR="00A15C4B" w:rsidRPr="00A655A1" w:rsidRDefault="00A15C4B" w:rsidP="0021053E">
            <w:pPr>
              <w:pStyle w:val="TableText0"/>
              <w:rPr>
                <w:rFonts w:cs="Arial"/>
              </w:rPr>
            </w:pPr>
            <w:r w:rsidRPr="00A655A1">
              <w:rPr>
                <w:rFonts w:cs="Arial"/>
              </w:rPr>
              <w:t>Patient must have progressive disease after at least one prior therapy</w:t>
            </w:r>
          </w:p>
          <w:p w:rsidR="00A15C4B" w:rsidRPr="00A655A1" w:rsidRDefault="00A15C4B" w:rsidP="0021053E">
            <w:pPr>
              <w:pStyle w:val="TableText0"/>
              <w:rPr>
                <w:rFonts w:cs="Arial"/>
              </w:rPr>
            </w:pPr>
            <w:r w:rsidRPr="00A655A1">
              <w:rPr>
                <w:rFonts w:cs="Arial"/>
              </w:rPr>
              <w:t>AND</w:t>
            </w:r>
          </w:p>
          <w:p w:rsidR="00A15C4B" w:rsidRPr="00A655A1" w:rsidRDefault="00A15C4B" w:rsidP="0021053E">
            <w:pPr>
              <w:pStyle w:val="Tabletext"/>
              <w:keepNext/>
            </w:pPr>
            <w:r w:rsidRPr="00A655A1">
              <w:rPr>
                <w:rFonts w:cs="Arial"/>
              </w:rPr>
              <w:t>Patient must not be receiving concomitant PBS-subsidised daratumumab, carfilzomib, pomalidomide, lenalidomide, or thalidomide or its analogues</w:t>
            </w:r>
          </w:p>
        </w:tc>
      </w:tr>
      <w:tr w:rsidR="00A15C4B" w:rsidRPr="00A655A1" w:rsidTr="00A15C4B">
        <w:trPr>
          <w:trHeight w:val="20"/>
        </w:trPr>
        <w:tc>
          <w:tcPr>
            <w:tcW w:w="1254" w:type="pct"/>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
              <w:keepNext/>
            </w:pPr>
            <w:r w:rsidRPr="00A655A1">
              <w:t>Treatment criteria:</w:t>
            </w:r>
          </w:p>
        </w:tc>
        <w:tc>
          <w:tcPr>
            <w:tcW w:w="3746" w:type="pct"/>
            <w:gridSpan w:val="5"/>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0"/>
              <w:rPr>
                <w:rFonts w:cs="Arial"/>
              </w:rPr>
            </w:pPr>
            <w:r w:rsidRPr="00A655A1">
              <w:rPr>
                <w:rFonts w:cs="Arial"/>
              </w:rPr>
              <w:t>Continuing treatment</w:t>
            </w:r>
          </w:p>
        </w:tc>
      </w:tr>
      <w:tr w:rsidR="00A15C4B" w:rsidRPr="00A655A1" w:rsidTr="00A15C4B">
        <w:trPr>
          <w:trHeight w:val="20"/>
        </w:trPr>
        <w:tc>
          <w:tcPr>
            <w:tcW w:w="1254" w:type="pct"/>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
              <w:keepNext/>
            </w:pPr>
            <w:r w:rsidRPr="00A655A1">
              <w:t>Clinical criteria:</w:t>
            </w:r>
          </w:p>
        </w:tc>
        <w:tc>
          <w:tcPr>
            <w:tcW w:w="3746" w:type="pct"/>
            <w:gridSpan w:val="5"/>
            <w:tcBorders>
              <w:top w:val="single" w:sz="4" w:space="0" w:color="auto"/>
              <w:left w:val="single" w:sz="4" w:space="0" w:color="auto"/>
              <w:bottom w:val="single" w:sz="4" w:space="0" w:color="auto"/>
              <w:right w:val="single" w:sz="4" w:space="0" w:color="auto"/>
            </w:tcBorders>
            <w:hideMark/>
          </w:tcPr>
          <w:p w:rsidR="00A15C4B" w:rsidRPr="00A655A1" w:rsidRDefault="00A15C4B" w:rsidP="0021053E">
            <w:pPr>
              <w:pStyle w:val="TableText0"/>
              <w:rPr>
                <w:rFonts w:cs="Arial"/>
              </w:rPr>
            </w:pPr>
            <w:r w:rsidRPr="00A655A1">
              <w:rPr>
                <w:rFonts w:cs="Arial"/>
              </w:rPr>
              <w:t xml:space="preserve">Patient must have previously received PBS-subsidised treatment with an authority prescription for this drug for this condition </w:t>
            </w:r>
          </w:p>
          <w:p w:rsidR="00A15C4B" w:rsidRPr="00A655A1" w:rsidRDefault="00A15C4B" w:rsidP="0021053E">
            <w:pPr>
              <w:pStyle w:val="TableText0"/>
              <w:rPr>
                <w:rFonts w:cs="Arial"/>
              </w:rPr>
            </w:pPr>
            <w:r w:rsidRPr="00A655A1">
              <w:rPr>
                <w:rFonts w:cs="Arial"/>
              </w:rPr>
              <w:t>AND</w:t>
            </w:r>
          </w:p>
          <w:p w:rsidR="00A15C4B" w:rsidRPr="00A655A1" w:rsidRDefault="00A15C4B" w:rsidP="0021053E">
            <w:pPr>
              <w:pStyle w:val="TableText0"/>
              <w:rPr>
                <w:rFonts w:cs="Arial"/>
              </w:rPr>
            </w:pPr>
            <w:r w:rsidRPr="00A655A1">
              <w:rPr>
                <w:rFonts w:cs="Arial"/>
              </w:rPr>
              <w:t>The treatment must be in combination with bortezomib and dexamethasone</w:t>
            </w:r>
          </w:p>
          <w:p w:rsidR="00A15C4B" w:rsidRPr="00A655A1" w:rsidRDefault="00A15C4B" w:rsidP="0021053E">
            <w:pPr>
              <w:pStyle w:val="TableText0"/>
              <w:rPr>
                <w:rFonts w:cs="Arial"/>
              </w:rPr>
            </w:pPr>
            <w:r w:rsidRPr="00A655A1">
              <w:rPr>
                <w:rFonts w:cs="Arial"/>
              </w:rPr>
              <w:t>AND</w:t>
            </w:r>
          </w:p>
          <w:p w:rsidR="00A15C4B" w:rsidRPr="00A655A1" w:rsidRDefault="00A15C4B" w:rsidP="0021053E">
            <w:pPr>
              <w:pStyle w:val="TableText0"/>
              <w:rPr>
                <w:rFonts w:cs="Arial"/>
              </w:rPr>
            </w:pPr>
            <w:r w:rsidRPr="00A655A1">
              <w:rPr>
                <w:rFonts w:cs="Arial"/>
              </w:rPr>
              <w:t>Patient must not have developed disease progression while receiving treatment with this drug for this condition</w:t>
            </w:r>
          </w:p>
          <w:p w:rsidR="00A15C4B" w:rsidRPr="00A655A1" w:rsidRDefault="00A15C4B" w:rsidP="0021053E">
            <w:pPr>
              <w:pStyle w:val="TableText0"/>
              <w:rPr>
                <w:rFonts w:cs="Arial"/>
              </w:rPr>
            </w:pPr>
            <w:r w:rsidRPr="00A655A1">
              <w:rPr>
                <w:rFonts w:cs="Arial"/>
              </w:rPr>
              <w:t>AND</w:t>
            </w:r>
          </w:p>
          <w:p w:rsidR="00A15C4B" w:rsidRPr="00A655A1" w:rsidRDefault="00A15C4B" w:rsidP="0021053E">
            <w:pPr>
              <w:pStyle w:val="TableText0"/>
              <w:rPr>
                <w:rFonts w:cs="Arial"/>
              </w:rPr>
            </w:pPr>
            <w:r w:rsidRPr="00A655A1">
              <w:rPr>
                <w:rFonts w:cs="Arial"/>
              </w:rPr>
              <w:t>Patient must not be receiving concomitant PBS-subsidised daratumumab, carfilzomib, pomalidomide lenalidomide, or thalidomide or its analogues</w:t>
            </w:r>
          </w:p>
        </w:tc>
      </w:tr>
    </w:tbl>
    <w:p w:rsidR="00A15C4B" w:rsidRPr="00A655A1" w:rsidRDefault="00A15C4B" w:rsidP="00A15C4B">
      <w:pPr>
        <w:pStyle w:val="TableFigureFooter"/>
      </w:pPr>
      <w:r w:rsidRPr="00A655A1">
        <w:t xml:space="preserve">Source: Table 1-12, p43, Table 1-13, pp44-45, and Table 1-14, p45 of the submission. </w:t>
      </w:r>
    </w:p>
    <w:p w:rsidR="00A15C4B" w:rsidRPr="00A655A1" w:rsidRDefault="00A655A1" w:rsidP="00A15C4B">
      <w:pPr>
        <w:pStyle w:val="TableFigureFooter"/>
      </w:pPr>
      <w:r w:rsidRPr="00A655A1">
        <w:t>DP</w:t>
      </w:r>
      <w:r w:rsidR="00A15C4B" w:rsidRPr="00A655A1">
        <w:t>M</w:t>
      </w:r>
      <w:r w:rsidRPr="00A655A1">
        <w:t>Q</w:t>
      </w:r>
      <w:r w:rsidR="00A15C4B" w:rsidRPr="00A655A1">
        <w:t xml:space="preserve"> = dispensed price for maximum quantity; HSD = highly specialised drug; max = maximum; N/A = not applicable; qty = quantity.</w:t>
      </w:r>
    </w:p>
    <w:p w:rsidR="00A15C4B" w:rsidRPr="00A655A1" w:rsidRDefault="00A15C4B" w:rsidP="00A15C4B"/>
    <w:p w:rsidR="00351AC2" w:rsidRPr="00A655A1" w:rsidRDefault="00A15C4B" w:rsidP="00707864">
      <w:pPr>
        <w:pStyle w:val="3-BodyText"/>
        <w:numPr>
          <w:ilvl w:val="1"/>
          <w:numId w:val="7"/>
        </w:numPr>
        <w:snapToGrid w:val="0"/>
        <w:rPr>
          <w:iCs/>
        </w:rPr>
      </w:pPr>
      <w:r w:rsidRPr="00A655A1">
        <w:t xml:space="preserve">The submission proposed restrictions for initial treatment, continuing treatment, and grandfathering with restriction level of Authority Required (STREAMLINED). </w:t>
      </w:r>
      <w:r w:rsidR="00351AC2" w:rsidRPr="00A655A1">
        <w:t>The submission stated that the requested restriction level was based on the restriction granted to carfilzomib in July 2020 when the PBAC considered it would be appropriate to lower the restriction authority type to Authority Required (STREAMLINED) for all carfilzomib listings in RRMM to help improve patient access to MM treatment.</w:t>
      </w:r>
      <w:r w:rsidR="00351AC2" w:rsidRPr="00A655A1">
        <w:rPr>
          <w:i/>
          <w:iCs/>
        </w:rPr>
        <w:t xml:space="preserve"> </w:t>
      </w:r>
      <w:r w:rsidR="00CD497B" w:rsidRPr="00A655A1">
        <w:rPr>
          <w:iCs/>
        </w:rPr>
        <w:t>The PBAC considered that an Authority Required (telephone/electronic) listing would be more appropriate, given selinexor is a new chemical entity and a first in class for which there is no prior experience on the PBS and given the potential safety concerns.</w:t>
      </w:r>
    </w:p>
    <w:p w:rsidR="00BE31BE" w:rsidRPr="00A655A1" w:rsidRDefault="00A15C4B" w:rsidP="00CD497B">
      <w:pPr>
        <w:pStyle w:val="3-BodyText"/>
        <w:numPr>
          <w:ilvl w:val="1"/>
          <w:numId w:val="7"/>
        </w:numPr>
        <w:snapToGrid w:val="0"/>
        <w:rPr>
          <w:iCs/>
        </w:rPr>
      </w:pPr>
      <w:r w:rsidRPr="00A655A1">
        <w:t xml:space="preserve">The submission claimed that </w:t>
      </w:r>
      <w:r w:rsidR="00351AC2" w:rsidRPr="00A655A1">
        <w:t xml:space="preserve">the </w:t>
      </w:r>
      <w:r w:rsidRPr="00A655A1">
        <w:t>requested listing (pack size of 16 and 20 tablets with 2 rep</w:t>
      </w:r>
      <w:r w:rsidR="00600F5C" w:rsidRPr="00A655A1">
        <w:t>e</w:t>
      </w:r>
      <w:r w:rsidRPr="00A655A1">
        <w:t xml:space="preserve">ats) </w:t>
      </w:r>
      <w:r w:rsidR="00351AC2" w:rsidRPr="00A655A1">
        <w:t xml:space="preserve">would </w:t>
      </w:r>
      <w:r w:rsidRPr="00A655A1">
        <w:t>allow for a total of 3 treatment cycles equating to approximately 3 months of treatment.</w:t>
      </w:r>
      <w:r w:rsidRPr="00A655A1">
        <w:rPr>
          <w:iCs/>
        </w:rPr>
        <w:t xml:space="preserve"> The proposed listing for initial and continuing treatment with the requested 2 repeats will not allow for a total of 3 treatment cycles</w:t>
      </w:r>
      <w:r w:rsidR="00351AC2" w:rsidRPr="00A655A1">
        <w:rPr>
          <w:iCs/>
        </w:rPr>
        <w:t xml:space="preserve"> at the recommended treatment of 100 mg per week for five weeks per cycle (</w:t>
      </w:r>
      <w:r w:rsidRPr="00A655A1">
        <w:rPr>
          <w:iCs/>
        </w:rPr>
        <w:t>allowing for approximately 2</w:t>
      </w:r>
      <w:r w:rsidR="00351AC2" w:rsidRPr="00A655A1">
        <w:rPr>
          <w:iCs/>
        </w:rPr>
        <w:t>.5</w:t>
      </w:r>
      <w:r w:rsidRPr="00A655A1">
        <w:rPr>
          <w:iCs/>
        </w:rPr>
        <w:t xml:space="preserve"> cycles</w:t>
      </w:r>
      <w:r w:rsidR="00351AC2" w:rsidRPr="00A655A1">
        <w:rPr>
          <w:iCs/>
        </w:rPr>
        <w:t>).</w:t>
      </w:r>
      <w:r w:rsidRPr="00A655A1">
        <w:rPr>
          <w:iCs/>
        </w:rPr>
        <w:t xml:space="preserve"> The recommended dose will require 25 tab</w:t>
      </w:r>
      <w:r w:rsidR="0014488E" w:rsidRPr="00A655A1">
        <w:rPr>
          <w:iCs/>
        </w:rPr>
        <w:t>let</w:t>
      </w:r>
      <w:r w:rsidRPr="00A655A1">
        <w:rPr>
          <w:iCs/>
        </w:rPr>
        <w:t>s (five tablets per week over five weeks), and therefore three cycles of treatment will require 75 tab</w:t>
      </w:r>
      <w:r w:rsidR="0014488E" w:rsidRPr="00A655A1">
        <w:rPr>
          <w:iCs/>
        </w:rPr>
        <w:t>let</w:t>
      </w:r>
      <w:r w:rsidRPr="00A655A1">
        <w:rPr>
          <w:iCs/>
        </w:rPr>
        <w:t>s.</w:t>
      </w:r>
    </w:p>
    <w:p w:rsidR="00697C64" w:rsidRPr="00A655A1" w:rsidRDefault="00697C64" w:rsidP="00697C64">
      <w:pPr>
        <w:pStyle w:val="3-BodyText"/>
        <w:numPr>
          <w:ilvl w:val="0"/>
          <w:numId w:val="0"/>
        </w:numPr>
        <w:snapToGrid w:val="0"/>
        <w:ind w:left="720"/>
        <w:rPr>
          <w:iCs/>
        </w:rPr>
      </w:pPr>
      <w:r w:rsidRPr="00A655A1">
        <w:rPr>
          <w:i/>
        </w:rPr>
        <w:t>For more detail on PBAC’s view, see section 7 PBAC outcome.</w:t>
      </w:r>
    </w:p>
    <w:p w:rsidR="00A15C4B" w:rsidRPr="00A655A1" w:rsidRDefault="00A15C4B" w:rsidP="00707864">
      <w:pPr>
        <w:pStyle w:val="2-SectionHeading"/>
        <w:numPr>
          <w:ilvl w:val="0"/>
          <w:numId w:val="7"/>
        </w:numPr>
        <w:snapToGrid w:val="0"/>
      </w:pPr>
      <w:bookmarkStart w:id="12" w:name="_Toc22898849"/>
      <w:bookmarkStart w:id="13" w:name="_Toc72314256"/>
      <w:r w:rsidRPr="00A655A1">
        <w:t>Population and disease</w:t>
      </w:r>
      <w:bookmarkEnd w:id="12"/>
      <w:bookmarkEnd w:id="13"/>
    </w:p>
    <w:p w:rsidR="00A15C4B" w:rsidRPr="00A655A1" w:rsidRDefault="004C6BA1" w:rsidP="00707864">
      <w:pPr>
        <w:pStyle w:val="3-BodyText"/>
        <w:numPr>
          <w:ilvl w:val="1"/>
          <w:numId w:val="7"/>
        </w:numPr>
        <w:snapToGrid w:val="0"/>
      </w:pPr>
      <w:r w:rsidRPr="00A655A1">
        <w:t>MM is a relatively uncommon cancer of the plasma cells, accounting for approximately 1-2% of all cancers, and approximately 17% of haematological malignancies.</w:t>
      </w:r>
      <w:r w:rsidR="00403091" w:rsidRPr="00A655A1">
        <w:t xml:space="preserve"> MM may remain asymptomatic until later stages of disease</w:t>
      </w:r>
      <w:r w:rsidR="00600F5C" w:rsidRPr="00A655A1">
        <w:t>;</w:t>
      </w:r>
      <w:r w:rsidR="00403091" w:rsidRPr="00A655A1">
        <w:t xml:space="preserve"> however</w:t>
      </w:r>
      <w:r w:rsidR="00600F5C" w:rsidRPr="00A655A1">
        <w:t>,</w:t>
      </w:r>
      <w:r w:rsidR="00403091" w:rsidRPr="00A655A1">
        <w:t xml:space="preserve"> several signs and symptoms may be clinically identifiable at diagnosis. Those with MM may also be at increased risk of infection due to immune dysfunction. </w:t>
      </w:r>
    </w:p>
    <w:p w:rsidR="00600F5C" w:rsidRPr="00A655A1" w:rsidRDefault="00A15C4B" w:rsidP="00707864">
      <w:pPr>
        <w:pStyle w:val="3-BodyText"/>
        <w:numPr>
          <w:ilvl w:val="1"/>
          <w:numId w:val="7"/>
        </w:numPr>
        <w:snapToGrid w:val="0"/>
      </w:pPr>
      <w:r w:rsidRPr="00A655A1">
        <w:t>The clinical management algorithms presented in the submission were primarily based on recommendations by the Australian Medical Scientific Advisor</w:t>
      </w:r>
      <w:r w:rsidR="0014488E" w:rsidRPr="00A655A1">
        <w:t>y</w:t>
      </w:r>
      <w:r w:rsidRPr="00A655A1">
        <w:t xml:space="preserve"> Group (MSAG) MM clinical practice guidelines, which were updated in October 2019. The submission noted that </w:t>
      </w:r>
      <w:r w:rsidR="009E5BC7" w:rsidRPr="00A655A1">
        <w:t>these</w:t>
      </w:r>
      <w:r w:rsidRPr="00A655A1">
        <w:t xml:space="preserve"> guidelines do not make specific recommendations for treatment regimens to be used in first and subsequent</w:t>
      </w:r>
      <w:r w:rsidR="001F77D5" w:rsidRPr="00A655A1">
        <w:t xml:space="preserve"> </w:t>
      </w:r>
      <w:r w:rsidRPr="00A655A1">
        <w:t>lines</w:t>
      </w:r>
      <w:r w:rsidR="001754F9" w:rsidRPr="00A655A1">
        <w:t>;</w:t>
      </w:r>
      <w:r w:rsidRPr="00A655A1">
        <w:t xml:space="preserve"> rather, the guideline</w:t>
      </w:r>
      <w:r w:rsidR="001754F9" w:rsidRPr="00A655A1">
        <w:t>s provide</w:t>
      </w:r>
      <w:r w:rsidRPr="00A655A1">
        <w:t xml:space="preserve"> recommendations for various protocols, with these being based on a specific ‘backbone’ agent, and </w:t>
      </w:r>
      <w:r w:rsidR="001754F9" w:rsidRPr="00A655A1">
        <w:t xml:space="preserve">state that </w:t>
      </w:r>
      <w:r w:rsidRPr="00A655A1">
        <w:t xml:space="preserve">the treatment should be catered to the specific need of the individual patient. </w:t>
      </w:r>
      <w:r w:rsidR="00721B89" w:rsidRPr="00A655A1">
        <w:t xml:space="preserve">The </w:t>
      </w:r>
      <w:r w:rsidR="00A57E3D" w:rsidRPr="00A655A1">
        <w:t>submission</w:t>
      </w:r>
      <w:r w:rsidR="00EB0034" w:rsidRPr="00A655A1">
        <w:t>’s</w:t>
      </w:r>
      <w:r w:rsidR="00A57E3D" w:rsidRPr="00A655A1">
        <w:t xml:space="preserve"> </w:t>
      </w:r>
      <w:r w:rsidR="00721B89" w:rsidRPr="00A655A1">
        <w:t>proposed clinical algorit</w:t>
      </w:r>
      <w:r w:rsidR="00930AE9" w:rsidRPr="00A655A1">
        <w:t xml:space="preserve">hm </w:t>
      </w:r>
      <w:r w:rsidR="00DB6634" w:rsidRPr="00A655A1">
        <w:t>is</w:t>
      </w:r>
      <w:r w:rsidR="00A57E3D" w:rsidRPr="00A655A1">
        <w:t xml:space="preserve"> presented in Figure 1. </w:t>
      </w:r>
    </w:p>
    <w:p w:rsidR="00600F5C" w:rsidRPr="00A655A1" w:rsidRDefault="00580426" w:rsidP="00707864">
      <w:pPr>
        <w:pStyle w:val="3-BodyText"/>
        <w:numPr>
          <w:ilvl w:val="1"/>
          <w:numId w:val="7"/>
        </w:numPr>
        <w:snapToGrid w:val="0"/>
      </w:pPr>
      <w:r w:rsidRPr="00A655A1">
        <w:rPr>
          <w:iCs/>
        </w:rPr>
        <w:t>The proposed clinical algorithm placed SBd as a second or third</w:t>
      </w:r>
      <w:r w:rsidR="00755032" w:rsidRPr="00A655A1">
        <w:rPr>
          <w:iCs/>
        </w:rPr>
        <w:t xml:space="preserve"> </w:t>
      </w:r>
      <w:r w:rsidRPr="00A655A1">
        <w:rPr>
          <w:iCs/>
        </w:rPr>
        <w:t>line of therapy</w:t>
      </w:r>
      <w:r w:rsidR="003171AE" w:rsidRPr="00A655A1">
        <w:rPr>
          <w:iCs/>
        </w:rPr>
        <w:t>. The proposed clinical algorithm was mostly consistent with the proposed PBS restriction; the proposed P</w:t>
      </w:r>
      <w:r w:rsidR="0014488E" w:rsidRPr="00A655A1">
        <w:rPr>
          <w:iCs/>
        </w:rPr>
        <w:t xml:space="preserve">roduct </w:t>
      </w:r>
      <w:r w:rsidR="003171AE" w:rsidRPr="00A655A1">
        <w:rPr>
          <w:iCs/>
        </w:rPr>
        <w:t>I</w:t>
      </w:r>
      <w:r w:rsidR="0014488E" w:rsidRPr="00A655A1">
        <w:rPr>
          <w:iCs/>
        </w:rPr>
        <w:t>nformation</w:t>
      </w:r>
      <w:r w:rsidR="003171AE" w:rsidRPr="00A655A1">
        <w:rPr>
          <w:iCs/>
        </w:rPr>
        <w:t>; and the clinical evidence presented (although</w:t>
      </w:r>
      <w:r w:rsidRPr="00A655A1">
        <w:rPr>
          <w:iCs/>
        </w:rPr>
        <w:t xml:space="preserve"> the clinical evidence presented by the submission was for the use of SBd after </w:t>
      </w:r>
      <w:r w:rsidR="003171AE" w:rsidRPr="00A655A1">
        <w:rPr>
          <w:iCs/>
        </w:rPr>
        <w:t>one to three</w:t>
      </w:r>
      <w:r w:rsidRPr="00A655A1">
        <w:rPr>
          <w:iCs/>
        </w:rPr>
        <w:t xml:space="preserve"> prior therapies (second, third and fourth</w:t>
      </w:r>
      <w:r w:rsidR="001F77D5" w:rsidRPr="00A655A1">
        <w:rPr>
          <w:iCs/>
        </w:rPr>
        <w:t xml:space="preserve"> </w:t>
      </w:r>
      <w:r w:rsidRPr="00A655A1">
        <w:rPr>
          <w:iCs/>
        </w:rPr>
        <w:t>line of therapy)</w:t>
      </w:r>
      <w:r w:rsidR="003171AE" w:rsidRPr="00A655A1">
        <w:rPr>
          <w:iCs/>
        </w:rPr>
        <w:t>)</w:t>
      </w:r>
      <w:r w:rsidRPr="00A655A1">
        <w:rPr>
          <w:iCs/>
        </w:rPr>
        <w:t>.</w:t>
      </w:r>
      <w:r w:rsidR="00600F5C" w:rsidRPr="00A655A1">
        <w:rPr>
          <w:iCs/>
        </w:rPr>
        <w:t>The proposed clinical algorithm did not</w:t>
      </w:r>
      <w:r w:rsidR="00207B0A" w:rsidRPr="00A655A1">
        <w:rPr>
          <w:iCs/>
        </w:rPr>
        <w:t xml:space="preserve"> specifically</w:t>
      </w:r>
      <w:r w:rsidR="00600F5C" w:rsidRPr="00A655A1">
        <w:rPr>
          <w:iCs/>
        </w:rPr>
        <w:t xml:space="preserve"> include DBd</w:t>
      </w:r>
      <w:r w:rsidR="003171AE" w:rsidRPr="00A655A1">
        <w:rPr>
          <w:iCs/>
        </w:rPr>
        <w:t xml:space="preserve"> as a </w:t>
      </w:r>
      <w:r w:rsidR="00600F5C" w:rsidRPr="00A655A1">
        <w:rPr>
          <w:iCs/>
        </w:rPr>
        <w:t>second</w:t>
      </w:r>
      <w:r w:rsidR="001F77D5" w:rsidRPr="00A655A1">
        <w:rPr>
          <w:iCs/>
        </w:rPr>
        <w:t xml:space="preserve"> </w:t>
      </w:r>
      <w:r w:rsidR="00600F5C" w:rsidRPr="00A655A1">
        <w:rPr>
          <w:iCs/>
        </w:rPr>
        <w:t xml:space="preserve">line therapy. </w:t>
      </w:r>
    </w:p>
    <w:p w:rsidR="00221411" w:rsidRPr="00A655A1" w:rsidRDefault="00600F5C" w:rsidP="00707864">
      <w:pPr>
        <w:pStyle w:val="3-BodyText"/>
        <w:numPr>
          <w:ilvl w:val="1"/>
          <w:numId w:val="7"/>
        </w:numPr>
        <w:snapToGrid w:val="0"/>
      </w:pPr>
      <w:r w:rsidRPr="00A655A1">
        <w:rPr>
          <w:iCs/>
        </w:rPr>
        <w:t xml:space="preserve">The place in therapy of SBd was unclear given </w:t>
      </w:r>
      <w:r w:rsidR="001754F9" w:rsidRPr="00A655A1">
        <w:rPr>
          <w:iCs/>
        </w:rPr>
        <w:t>its</w:t>
      </w:r>
      <w:r w:rsidRPr="00A655A1">
        <w:rPr>
          <w:iCs/>
        </w:rPr>
        <w:t xml:space="preserve"> unfavourable safety profile</w:t>
      </w:r>
      <w:r w:rsidR="009E5BC7" w:rsidRPr="00A655A1">
        <w:rPr>
          <w:iCs/>
        </w:rPr>
        <w:t xml:space="preserve">. SBd </w:t>
      </w:r>
      <w:r w:rsidR="003171AE" w:rsidRPr="00A655A1">
        <w:rPr>
          <w:iCs/>
        </w:rPr>
        <w:t>might</w:t>
      </w:r>
      <w:r w:rsidRPr="00A655A1">
        <w:rPr>
          <w:iCs/>
        </w:rPr>
        <w:t xml:space="preserve"> </w:t>
      </w:r>
      <w:r w:rsidR="009E5BC7" w:rsidRPr="00A655A1">
        <w:rPr>
          <w:iCs/>
        </w:rPr>
        <w:t>be reserved until later in the treatment algorithm (</w:t>
      </w:r>
      <w:r w:rsidR="0014488E" w:rsidRPr="00A655A1">
        <w:rPr>
          <w:iCs/>
        </w:rPr>
        <w:t xml:space="preserve">i.e. </w:t>
      </w:r>
      <w:r w:rsidR="009E5BC7" w:rsidRPr="00A655A1">
        <w:rPr>
          <w:iCs/>
        </w:rPr>
        <w:t xml:space="preserve">after </w:t>
      </w:r>
      <w:r w:rsidR="0014488E" w:rsidRPr="00A655A1">
        <w:rPr>
          <w:iCs/>
        </w:rPr>
        <w:t>daratumumab plus bortezomib and dexamethasone (</w:t>
      </w:r>
      <w:r w:rsidR="009E5BC7" w:rsidRPr="00A655A1">
        <w:rPr>
          <w:iCs/>
        </w:rPr>
        <w:t>DBd</w:t>
      </w:r>
      <w:r w:rsidR="0014488E" w:rsidRPr="00A655A1">
        <w:rPr>
          <w:iCs/>
        </w:rPr>
        <w:t>)</w:t>
      </w:r>
      <w:r w:rsidR="009E5BC7" w:rsidRPr="00A655A1">
        <w:rPr>
          <w:iCs/>
        </w:rPr>
        <w:t xml:space="preserve">, Bd, Cd, and </w:t>
      </w:r>
      <w:r w:rsidR="0014488E" w:rsidRPr="00A655A1">
        <w:rPr>
          <w:iCs/>
        </w:rPr>
        <w:t>lenalidomide plus dexamethasone (</w:t>
      </w:r>
      <w:r w:rsidR="009E5BC7" w:rsidRPr="00A655A1">
        <w:rPr>
          <w:iCs/>
        </w:rPr>
        <w:t>Ld)</w:t>
      </w:r>
      <w:r w:rsidR="0014488E" w:rsidRPr="00A655A1">
        <w:rPr>
          <w:iCs/>
        </w:rPr>
        <w:t>)</w:t>
      </w:r>
      <w:r w:rsidR="009E5BC7" w:rsidRPr="00A655A1">
        <w:rPr>
          <w:iCs/>
        </w:rPr>
        <w:t xml:space="preserve"> for patients without other treatment options</w:t>
      </w:r>
      <w:r w:rsidR="003171AE" w:rsidRPr="00A655A1">
        <w:rPr>
          <w:iCs/>
        </w:rPr>
        <w:t>.</w:t>
      </w:r>
    </w:p>
    <w:p w:rsidR="00BE20B0" w:rsidRPr="00A655A1" w:rsidRDefault="00BE20B0" w:rsidP="00404ED2">
      <w:pPr>
        <w:pStyle w:val="3-BodyText"/>
        <w:numPr>
          <w:ilvl w:val="1"/>
          <w:numId w:val="7"/>
        </w:numPr>
        <w:snapToGrid w:val="0"/>
      </w:pPr>
      <w:r w:rsidRPr="00404ED2">
        <w:rPr>
          <w:iCs/>
        </w:rPr>
        <w:t xml:space="preserve">The </w:t>
      </w:r>
      <w:r w:rsidR="00404ED2" w:rsidRPr="00404ED2">
        <w:rPr>
          <w:iCs/>
        </w:rPr>
        <w:t xml:space="preserve">Pre-Sub-Committee Response </w:t>
      </w:r>
      <w:r w:rsidR="00404ED2">
        <w:rPr>
          <w:iCs/>
        </w:rPr>
        <w:t>(</w:t>
      </w:r>
      <w:r w:rsidRPr="00404ED2">
        <w:rPr>
          <w:iCs/>
        </w:rPr>
        <w:t>PSCR</w:t>
      </w:r>
      <w:r w:rsidR="00404ED2">
        <w:rPr>
          <w:iCs/>
        </w:rPr>
        <w:t>)</w:t>
      </w:r>
      <w:r w:rsidRPr="00404ED2">
        <w:rPr>
          <w:iCs/>
        </w:rPr>
        <w:t xml:space="preserve"> stated that there was a high unmet clinical need for treatments for RRMM and that SBd was a treatment option for elderly</w:t>
      </w:r>
      <w:r w:rsidR="001E0516" w:rsidRPr="00404ED2">
        <w:rPr>
          <w:iCs/>
        </w:rPr>
        <w:t xml:space="preserve"> and</w:t>
      </w:r>
      <w:r w:rsidRPr="00404ED2">
        <w:rPr>
          <w:iCs/>
        </w:rPr>
        <w:t>/</w:t>
      </w:r>
      <w:r w:rsidR="001E0516" w:rsidRPr="00404ED2">
        <w:rPr>
          <w:iCs/>
        </w:rPr>
        <w:t xml:space="preserve">or </w:t>
      </w:r>
      <w:r w:rsidRPr="00404ED2">
        <w:rPr>
          <w:iCs/>
        </w:rPr>
        <w:t xml:space="preserve">frail patients. The ESC noted that there </w:t>
      </w:r>
      <w:r w:rsidR="004A4BC4" w:rsidRPr="00404ED2">
        <w:rPr>
          <w:iCs/>
        </w:rPr>
        <w:t xml:space="preserve">were </w:t>
      </w:r>
      <w:r w:rsidRPr="00404ED2">
        <w:rPr>
          <w:iCs/>
        </w:rPr>
        <w:t xml:space="preserve">various </w:t>
      </w:r>
      <w:r w:rsidR="004A4BC4" w:rsidRPr="00404ED2">
        <w:rPr>
          <w:iCs/>
        </w:rPr>
        <w:t xml:space="preserve">PBS listed </w:t>
      </w:r>
      <w:r w:rsidRPr="00404ED2">
        <w:rPr>
          <w:iCs/>
        </w:rPr>
        <w:t xml:space="preserve">treatment options available for patients with RRMM including </w:t>
      </w:r>
      <w:r w:rsidR="004A4BC4" w:rsidRPr="00404ED2">
        <w:rPr>
          <w:iCs/>
        </w:rPr>
        <w:t>thalidomide, bortezomib, lenalidomide, carfilzomib, daratumumab and pomalidomide. In addition, the ESC considered that the use of SBd in elderly and</w:t>
      </w:r>
      <w:r w:rsidR="001E0516" w:rsidRPr="00404ED2">
        <w:rPr>
          <w:iCs/>
        </w:rPr>
        <w:t>/or</w:t>
      </w:r>
      <w:r w:rsidR="004A4BC4" w:rsidRPr="00404ED2">
        <w:rPr>
          <w:iCs/>
        </w:rPr>
        <w:t xml:space="preserve"> frail patients would be low considering the high incidence of adverse events</w:t>
      </w:r>
      <w:r w:rsidR="00B46DC5" w:rsidRPr="00404ED2">
        <w:rPr>
          <w:iCs/>
        </w:rPr>
        <w:t>, particularly</w:t>
      </w:r>
      <w:r w:rsidR="004A4BC4" w:rsidRPr="00404ED2">
        <w:rPr>
          <w:iCs/>
        </w:rPr>
        <w:t xml:space="preserve"> haematological events. </w:t>
      </w:r>
      <w:r w:rsidRPr="00404ED2">
        <w:rPr>
          <w:iCs/>
        </w:rPr>
        <w:t xml:space="preserve"> </w:t>
      </w:r>
    </w:p>
    <w:p w:rsidR="00A15C4B" w:rsidRPr="00A655A1" w:rsidRDefault="00A15C4B" w:rsidP="00A15C4B">
      <w:pPr>
        <w:pStyle w:val="TableFigureHeading"/>
        <w:rPr>
          <w:rStyle w:val="CommentReference"/>
          <w:b/>
        </w:rPr>
      </w:pPr>
      <w:r w:rsidRPr="00A655A1">
        <w:rPr>
          <w:rStyle w:val="CommentReference"/>
          <w:b/>
        </w:rPr>
        <w:t>Figure 1: Proposed clinical management algorithm with introduction of SBd</w:t>
      </w:r>
    </w:p>
    <w:p w:rsidR="00A15C4B" w:rsidRPr="00A655A1" w:rsidRDefault="00A15C4B" w:rsidP="00A15C4B">
      <w:r w:rsidRPr="00A655A1">
        <w:rPr>
          <w:noProof/>
        </w:rPr>
        <w:drawing>
          <wp:inline distT="0" distB="0" distL="0" distR="0" wp14:anchorId="194C9F53" wp14:editId="2B89013B">
            <wp:extent cx="5175885" cy="6556375"/>
            <wp:effectExtent l="0" t="0" r="0" b="0"/>
            <wp:docPr id="11" name="Picture 11" title="Figure 1: Proposed clinical management algorithm with introduction of S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885" cy="6556375"/>
                    </a:xfrm>
                    <a:prstGeom prst="rect">
                      <a:avLst/>
                    </a:prstGeom>
                    <a:noFill/>
                    <a:ln>
                      <a:noFill/>
                    </a:ln>
                  </pic:spPr>
                </pic:pic>
              </a:graphicData>
            </a:graphic>
          </wp:inline>
        </w:drawing>
      </w:r>
    </w:p>
    <w:p w:rsidR="00A15C4B" w:rsidRPr="00A655A1" w:rsidRDefault="00A15C4B" w:rsidP="00A15C4B">
      <w:pPr>
        <w:rPr>
          <w:rFonts w:ascii="Arial Narrow" w:hAnsi="Arial Narrow"/>
          <w:sz w:val="18"/>
        </w:rPr>
      </w:pPr>
      <w:r w:rsidRPr="00A655A1">
        <w:rPr>
          <w:rFonts w:ascii="Arial Narrow" w:hAnsi="Arial Narrow"/>
          <w:sz w:val="18"/>
        </w:rPr>
        <w:t xml:space="preserve">Source: Figure 1-4, p41 of the </w:t>
      </w:r>
      <w:r w:rsidR="006F3F43" w:rsidRPr="00A655A1">
        <w:rPr>
          <w:rFonts w:ascii="Arial Narrow" w:hAnsi="Arial Narrow"/>
          <w:sz w:val="18"/>
        </w:rPr>
        <w:t>S</w:t>
      </w:r>
      <w:r w:rsidRPr="00A655A1">
        <w:rPr>
          <w:rFonts w:ascii="Arial Narrow" w:hAnsi="Arial Narrow"/>
          <w:sz w:val="18"/>
        </w:rPr>
        <w:t>ubmission</w:t>
      </w:r>
    </w:p>
    <w:p w:rsidR="00A15C4B" w:rsidRPr="00A655A1" w:rsidRDefault="006D7925" w:rsidP="00A15C4B">
      <w:pPr>
        <w:rPr>
          <w:rFonts w:ascii="Arial Narrow" w:hAnsi="Arial Narrow"/>
          <w:sz w:val="18"/>
        </w:rPr>
      </w:pPr>
      <w:r w:rsidRPr="00A655A1">
        <w:rPr>
          <w:rFonts w:ascii="Arial Narrow" w:hAnsi="Arial Narrow"/>
          <w:sz w:val="18"/>
        </w:rPr>
        <w:t xml:space="preserve">allo-SCT = allogeneic stem cell transplant; </w:t>
      </w:r>
      <w:r w:rsidR="00A15C4B" w:rsidRPr="00A655A1">
        <w:rPr>
          <w:rFonts w:ascii="Arial Narrow" w:hAnsi="Arial Narrow"/>
          <w:sz w:val="18"/>
        </w:rPr>
        <w:t xml:space="preserve">ASCT = autologous stem cell transplant; BSC = best supportive care; HDT = High-dose therapy; IMiD = immunomodulator; </w:t>
      </w:r>
      <w:r w:rsidRPr="00A655A1">
        <w:rPr>
          <w:rFonts w:ascii="Arial Narrow" w:hAnsi="Arial Narrow"/>
          <w:sz w:val="18"/>
        </w:rPr>
        <w:t xml:space="preserve">mAb = monoclonal antibody; </w:t>
      </w:r>
      <w:r w:rsidR="00A15C4B" w:rsidRPr="00A655A1">
        <w:rPr>
          <w:rFonts w:ascii="Arial Narrow" w:hAnsi="Arial Narrow"/>
          <w:sz w:val="18"/>
        </w:rPr>
        <w:t>MM = multiple myeloma; PI = protease inhibitor.</w:t>
      </w:r>
    </w:p>
    <w:p w:rsidR="00A15C4B" w:rsidRPr="00A655A1" w:rsidRDefault="00A15C4B" w:rsidP="00A15C4B">
      <w:pPr>
        <w:rPr>
          <w:rFonts w:ascii="Arial Narrow" w:hAnsi="Arial Narrow"/>
          <w:iCs/>
          <w:snapToGrid w:val="0"/>
          <w:sz w:val="18"/>
          <w:szCs w:val="22"/>
        </w:rPr>
      </w:pPr>
      <w:r w:rsidRPr="00A655A1">
        <w:rPr>
          <w:rFonts w:ascii="Arial Narrow" w:hAnsi="Arial Narrow"/>
          <w:snapToGrid w:val="0"/>
          <w:sz w:val="18"/>
          <w:szCs w:val="22"/>
        </w:rPr>
        <w:t xml:space="preserve">Notes: </w:t>
      </w:r>
      <w:r w:rsidRPr="00A655A1">
        <w:rPr>
          <w:rFonts w:ascii="Arial Narrow" w:hAnsi="Arial Narrow"/>
          <w:iCs/>
          <w:snapToGrid w:val="0"/>
          <w:sz w:val="18"/>
          <w:szCs w:val="22"/>
        </w:rPr>
        <w:t>The abbreviation of XVd referred to SBd (selinexor</w:t>
      </w:r>
      <w:r w:rsidR="006D7925" w:rsidRPr="00A655A1">
        <w:rPr>
          <w:rFonts w:ascii="Arial Narrow" w:hAnsi="Arial Narrow"/>
          <w:iCs/>
          <w:snapToGrid w:val="0"/>
          <w:sz w:val="18"/>
          <w:szCs w:val="22"/>
        </w:rPr>
        <w:t xml:space="preserve"> +</w:t>
      </w:r>
      <w:r w:rsidRPr="00A655A1">
        <w:rPr>
          <w:rFonts w:ascii="Arial Narrow" w:hAnsi="Arial Narrow"/>
          <w:iCs/>
          <w:snapToGrid w:val="0"/>
          <w:sz w:val="18"/>
          <w:szCs w:val="22"/>
        </w:rPr>
        <w:t xml:space="preserve"> bortezomib</w:t>
      </w:r>
      <w:r w:rsidR="006D7925" w:rsidRPr="00A655A1">
        <w:rPr>
          <w:rFonts w:ascii="Arial Narrow" w:hAnsi="Arial Narrow"/>
          <w:iCs/>
          <w:snapToGrid w:val="0"/>
          <w:sz w:val="18"/>
          <w:szCs w:val="22"/>
        </w:rPr>
        <w:t xml:space="preserve"> +</w:t>
      </w:r>
      <w:r w:rsidRPr="00A655A1">
        <w:rPr>
          <w:rFonts w:ascii="Arial Narrow" w:hAnsi="Arial Narrow"/>
          <w:iCs/>
          <w:snapToGrid w:val="0"/>
          <w:sz w:val="18"/>
          <w:szCs w:val="22"/>
        </w:rPr>
        <w:t xml:space="preserve"> dexamethasone). </w:t>
      </w:r>
      <w:r w:rsidRPr="00A655A1">
        <w:rPr>
          <w:rFonts w:ascii="Arial Narrow" w:hAnsi="Arial Narrow"/>
          <w:sz w:val="18"/>
        </w:rPr>
        <w:t xml:space="preserve">  </w:t>
      </w:r>
    </w:p>
    <w:p w:rsidR="00A15C4B" w:rsidRPr="00A655A1" w:rsidRDefault="00A15C4B" w:rsidP="00A15C4B">
      <w:pPr>
        <w:rPr>
          <w:rFonts w:ascii="Arial Narrow" w:hAnsi="Arial Narrow"/>
          <w:i/>
          <w:iCs/>
          <w:snapToGrid w:val="0"/>
          <w:sz w:val="18"/>
          <w:szCs w:val="22"/>
        </w:rPr>
      </w:pPr>
    </w:p>
    <w:p w:rsidR="00A15C4B" w:rsidRPr="00A655A1" w:rsidRDefault="00A15C4B" w:rsidP="00707864">
      <w:pPr>
        <w:pStyle w:val="3-BodyText"/>
        <w:numPr>
          <w:ilvl w:val="1"/>
          <w:numId w:val="7"/>
        </w:numPr>
        <w:snapToGrid w:val="0"/>
        <w:rPr>
          <w:snapToGrid/>
        </w:rPr>
      </w:pPr>
      <w:r w:rsidRPr="00A655A1">
        <w:t xml:space="preserve">Selinexor is an oral, first-in-class, potent, selective inhibitor of nuclear export (SINE) compound that specifically blocks </w:t>
      </w:r>
      <w:r w:rsidR="00933202">
        <w:t>E</w:t>
      </w:r>
      <w:r w:rsidRPr="00A655A1">
        <w:t>xportin</w:t>
      </w:r>
      <w:r w:rsidR="00596329">
        <w:t>-</w:t>
      </w:r>
      <w:r w:rsidRPr="00A655A1">
        <w:t>1 (XPO1). Inhibition of XPO1 leads, amongst other mechanisms, to the nuclear accumulation and activation of tumour suppressor proteins (TSPs), which then initiate apoptosis in cancer cells.</w:t>
      </w:r>
    </w:p>
    <w:p w:rsidR="00697C64" w:rsidRPr="00A655A1" w:rsidRDefault="00A15C4B" w:rsidP="00707864">
      <w:pPr>
        <w:pStyle w:val="3-BodyText"/>
        <w:numPr>
          <w:ilvl w:val="1"/>
          <w:numId w:val="7"/>
        </w:numPr>
        <w:snapToGrid w:val="0"/>
      </w:pPr>
      <w:r w:rsidRPr="00A655A1">
        <w:t>The rationale for combining selinexor with bortezomib and dexamethasone is based on non-clinical models of MM and other cancers, including in vitro and in vivo studies</w:t>
      </w:r>
      <w:r w:rsidR="00351AC2" w:rsidRPr="00A655A1">
        <w:t>,</w:t>
      </w:r>
      <w:r w:rsidRPr="00A655A1">
        <w:t xml:space="preserve"> which have shown that selinexor strongly synergises with PIs such as bortezomib and carfilzomib leading to inhibition of cell proliferation and induction of MM cell death.</w:t>
      </w:r>
    </w:p>
    <w:p w:rsidR="00A15C4B" w:rsidRPr="00A655A1" w:rsidRDefault="00697C64" w:rsidP="00697C64">
      <w:pPr>
        <w:pStyle w:val="3-BodyText"/>
        <w:numPr>
          <w:ilvl w:val="0"/>
          <w:numId w:val="0"/>
        </w:numPr>
        <w:snapToGrid w:val="0"/>
        <w:ind w:left="720"/>
      </w:pPr>
      <w:r w:rsidRPr="00A655A1">
        <w:rPr>
          <w:i/>
        </w:rPr>
        <w:t>For more detail on PBAC’s view, see section 7 PBAC outcome.</w:t>
      </w:r>
      <w:r w:rsidR="00A15C4B" w:rsidRPr="00A655A1">
        <w:t xml:space="preserve"> </w:t>
      </w:r>
    </w:p>
    <w:p w:rsidR="00A15C4B" w:rsidRPr="00A655A1" w:rsidRDefault="00A15C4B" w:rsidP="00707864">
      <w:pPr>
        <w:pStyle w:val="2-SectionHeading"/>
        <w:numPr>
          <w:ilvl w:val="0"/>
          <w:numId w:val="7"/>
        </w:numPr>
        <w:snapToGrid w:val="0"/>
      </w:pPr>
      <w:bookmarkStart w:id="14" w:name="_Toc22898850"/>
      <w:bookmarkStart w:id="15" w:name="_Toc72314257"/>
      <w:r w:rsidRPr="00A655A1">
        <w:t>Comparator</w:t>
      </w:r>
      <w:bookmarkEnd w:id="14"/>
      <w:bookmarkEnd w:id="15"/>
    </w:p>
    <w:p w:rsidR="00A15C4B" w:rsidRPr="00A655A1" w:rsidRDefault="00A15C4B" w:rsidP="00707864">
      <w:pPr>
        <w:pStyle w:val="3-BodyText"/>
        <w:numPr>
          <w:ilvl w:val="1"/>
          <w:numId w:val="7"/>
        </w:numPr>
        <w:snapToGrid w:val="0"/>
        <w:rPr>
          <w:iCs/>
        </w:rPr>
      </w:pPr>
      <w:r w:rsidRPr="00A655A1">
        <w:t>The submission nominated Bd as the main comparator</w:t>
      </w:r>
      <w:r w:rsidR="008C4249" w:rsidRPr="00A655A1">
        <w:t xml:space="preserve"> and</w:t>
      </w:r>
      <w:r w:rsidRPr="00A655A1">
        <w:t xml:space="preserve"> Cd as a secondary comparator. </w:t>
      </w:r>
    </w:p>
    <w:p w:rsidR="00A15C4B" w:rsidRPr="00A655A1" w:rsidRDefault="00DB361C" w:rsidP="00707864">
      <w:pPr>
        <w:pStyle w:val="3-BodyText"/>
        <w:numPr>
          <w:ilvl w:val="1"/>
          <w:numId w:val="7"/>
        </w:numPr>
        <w:snapToGrid w:val="0"/>
        <w:rPr>
          <w:iCs/>
        </w:rPr>
      </w:pPr>
      <w:r w:rsidRPr="00A655A1">
        <w:rPr>
          <w:iCs/>
        </w:rPr>
        <w:t xml:space="preserve">Although the </w:t>
      </w:r>
      <w:r w:rsidR="00A15C4B" w:rsidRPr="00A655A1">
        <w:rPr>
          <w:iCs/>
        </w:rPr>
        <w:t xml:space="preserve">submission </w:t>
      </w:r>
      <w:r w:rsidRPr="00A655A1">
        <w:rPr>
          <w:iCs/>
        </w:rPr>
        <w:t>presented cost offsets due to reduced use of DBd in the second</w:t>
      </w:r>
      <w:r w:rsidR="00755032" w:rsidRPr="00A655A1">
        <w:rPr>
          <w:iCs/>
        </w:rPr>
        <w:t xml:space="preserve"> </w:t>
      </w:r>
      <w:r w:rsidRPr="00A655A1">
        <w:rPr>
          <w:iCs/>
        </w:rPr>
        <w:t>line setting, DBd was no</w:t>
      </w:r>
      <w:r w:rsidR="005F7DFE" w:rsidRPr="00A655A1">
        <w:rPr>
          <w:iCs/>
        </w:rPr>
        <w:t>t nominated as a comparator and the submission did not present evidence of the comparative efficacy, safety or cost effectiveness of SBd relative to DBd. The submission also did not presen</w:t>
      </w:r>
      <w:r w:rsidR="00A655A1" w:rsidRPr="00A655A1">
        <w:rPr>
          <w:iCs/>
        </w:rPr>
        <w:t>t any comparative evidence of SB</w:t>
      </w:r>
      <w:r w:rsidR="005F7DFE" w:rsidRPr="00A655A1">
        <w:rPr>
          <w:iCs/>
        </w:rPr>
        <w:t>d relative to Ld.</w:t>
      </w:r>
      <w:r w:rsidRPr="00A655A1">
        <w:rPr>
          <w:iCs/>
        </w:rPr>
        <w:t xml:space="preserve"> </w:t>
      </w:r>
    </w:p>
    <w:p w:rsidR="00697C64" w:rsidRPr="00A655A1" w:rsidRDefault="00BE20B0" w:rsidP="00707864">
      <w:pPr>
        <w:pStyle w:val="3-BodyText"/>
        <w:numPr>
          <w:ilvl w:val="1"/>
          <w:numId w:val="7"/>
        </w:numPr>
        <w:snapToGrid w:val="0"/>
        <w:rPr>
          <w:iCs/>
        </w:rPr>
      </w:pPr>
      <w:r w:rsidRPr="00A655A1">
        <w:rPr>
          <w:iCs/>
        </w:rPr>
        <w:t>The ESC considered that SBd would most likely be used as a third or later</w:t>
      </w:r>
      <w:r w:rsidR="00755032" w:rsidRPr="00A655A1">
        <w:rPr>
          <w:iCs/>
        </w:rPr>
        <w:t xml:space="preserve"> </w:t>
      </w:r>
      <w:r w:rsidRPr="00A655A1">
        <w:rPr>
          <w:iCs/>
        </w:rPr>
        <w:t>line therapy and would replace and/or displace Cd, Ld, pomalidomide plus dexamethasone (Pd) and bortezomib based regimens including Bd.</w:t>
      </w:r>
    </w:p>
    <w:p w:rsidR="00BE20B0" w:rsidRPr="00A655A1" w:rsidRDefault="00697C64" w:rsidP="00697C64">
      <w:pPr>
        <w:pStyle w:val="3-BodyText"/>
        <w:numPr>
          <w:ilvl w:val="0"/>
          <w:numId w:val="0"/>
        </w:numPr>
        <w:snapToGrid w:val="0"/>
        <w:ind w:left="720"/>
        <w:rPr>
          <w:iCs/>
        </w:rPr>
      </w:pPr>
      <w:r w:rsidRPr="00A655A1">
        <w:rPr>
          <w:i/>
        </w:rPr>
        <w:t>For more detail on PBAC’s view, see section 7 PBAC outcome.</w:t>
      </w:r>
      <w:r w:rsidR="00BE20B0" w:rsidRPr="00A655A1">
        <w:rPr>
          <w:iCs/>
        </w:rPr>
        <w:t xml:space="preserve"> </w:t>
      </w:r>
    </w:p>
    <w:p w:rsidR="00A15C4B" w:rsidRPr="00A655A1" w:rsidRDefault="00A15C4B" w:rsidP="00707864">
      <w:pPr>
        <w:pStyle w:val="2-SectionHeading"/>
        <w:numPr>
          <w:ilvl w:val="0"/>
          <w:numId w:val="7"/>
        </w:numPr>
        <w:snapToGrid w:val="0"/>
      </w:pPr>
      <w:bookmarkStart w:id="16" w:name="_Toc72314258"/>
      <w:bookmarkStart w:id="17" w:name="_Toc22897640"/>
      <w:bookmarkStart w:id="18" w:name="_Toc22898852"/>
      <w:r w:rsidRPr="00A655A1">
        <w:t>Consideration of the evidence</w:t>
      </w:r>
      <w:bookmarkEnd w:id="16"/>
    </w:p>
    <w:p w:rsidR="004C5EF3" w:rsidRPr="00A655A1" w:rsidRDefault="004C5EF3" w:rsidP="004C5EF3">
      <w:pPr>
        <w:pStyle w:val="4-SubsectionHeading"/>
        <w:rPr>
          <w:snapToGrid w:val="0"/>
        </w:rPr>
      </w:pPr>
      <w:bookmarkStart w:id="19" w:name="_Toc72314259"/>
      <w:r w:rsidRPr="00A655A1">
        <w:rPr>
          <w:snapToGrid w:val="0"/>
        </w:rPr>
        <w:t>Sponsor hearing</w:t>
      </w:r>
    </w:p>
    <w:p w:rsidR="004C5EF3" w:rsidRPr="00A655A1" w:rsidRDefault="004C5EF3" w:rsidP="00D80B36">
      <w:pPr>
        <w:widowControl w:val="0"/>
        <w:numPr>
          <w:ilvl w:val="1"/>
          <w:numId w:val="1"/>
        </w:numPr>
        <w:spacing w:after="120"/>
        <w:rPr>
          <w:rFonts w:asciiTheme="minorHAnsi" w:hAnsiTheme="minorHAnsi"/>
          <w:bCs/>
          <w:snapToGrid w:val="0"/>
        </w:rPr>
      </w:pPr>
      <w:r w:rsidRPr="00A655A1">
        <w:rPr>
          <w:rFonts w:asciiTheme="minorHAnsi" w:hAnsiTheme="minorHAnsi"/>
          <w:bCs/>
          <w:snapToGrid w:val="0"/>
        </w:rPr>
        <w:t xml:space="preserve">The sponsor </w:t>
      </w:r>
      <w:r w:rsidR="00053838" w:rsidRPr="00A655A1">
        <w:rPr>
          <w:rFonts w:asciiTheme="minorHAnsi" w:hAnsiTheme="minorHAnsi"/>
          <w:bCs/>
          <w:snapToGrid w:val="0"/>
        </w:rPr>
        <w:t xml:space="preserve">provided </w:t>
      </w:r>
      <w:r w:rsidRPr="00A655A1">
        <w:rPr>
          <w:rFonts w:asciiTheme="minorHAnsi" w:hAnsiTheme="minorHAnsi"/>
          <w:bCs/>
          <w:snapToGrid w:val="0"/>
        </w:rPr>
        <w:t xml:space="preserve">a hearing for this item.  The clinician presented </w:t>
      </w:r>
      <w:r w:rsidR="00053838" w:rsidRPr="00A655A1">
        <w:rPr>
          <w:rFonts w:asciiTheme="minorHAnsi" w:hAnsiTheme="minorHAnsi"/>
          <w:bCs/>
          <w:snapToGrid w:val="0"/>
        </w:rPr>
        <w:t>results f</w:t>
      </w:r>
      <w:r w:rsidR="00D80B36" w:rsidRPr="00A655A1">
        <w:rPr>
          <w:rFonts w:asciiTheme="minorHAnsi" w:hAnsiTheme="minorHAnsi"/>
          <w:bCs/>
          <w:snapToGrid w:val="0"/>
        </w:rPr>
        <w:t xml:space="preserve">rom the BOSTON trial </w:t>
      </w:r>
      <w:r w:rsidRPr="00A655A1">
        <w:rPr>
          <w:rFonts w:asciiTheme="minorHAnsi" w:hAnsiTheme="minorHAnsi"/>
          <w:bCs/>
          <w:snapToGrid w:val="0"/>
        </w:rPr>
        <w:t>and discussed the natural history of the disease</w:t>
      </w:r>
      <w:r w:rsidR="00D80B36" w:rsidRPr="00A655A1">
        <w:rPr>
          <w:rFonts w:asciiTheme="minorHAnsi" w:hAnsiTheme="minorHAnsi"/>
          <w:bCs/>
          <w:snapToGrid w:val="0"/>
        </w:rPr>
        <w:t>. The clinician described the benefits of SBd therapy, particularly in patients who are refractory to lenalidomide</w:t>
      </w:r>
      <w:r w:rsidR="00CD497B" w:rsidRPr="00A655A1">
        <w:rPr>
          <w:rFonts w:asciiTheme="minorHAnsi" w:hAnsiTheme="minorHAnsi"/>
          <w:bCs/>
          <w:snapToGrid w:val="0"/>
        </w:rPr>
        <w:t xml:space="preserve">, </w:t>
      </w:r>
      <w:r w:rsidR="00D80B36" w:rsidRPr="00A655A1">
        <w:rPr>
          <w:rFonts w:asciiTheme="minorHAnsi" w:hAnsiTheme="minorHAnsi"/>
          <w:bCs/>
          <w:snapToGrid w:val="0"/>
        </w:rPr>
        <w:t>have high risk cytogenet</w:t>
      </w:r>
      <w:r w:rsidR="00D01D86" w:rsidRPr="00A655A1">
        <w:rPr>
          <w:rFonts w:asciiTheme="minorHAnsi" w:hAnsiTheme="minorHAnsi"/>
          <w:bCs/>
          <w:snapToGrid w:val="0"/>
        </w:rPr>
        <w:t>i</w:t>
      </w:r>
      <w:r w:rsidR="00D80B36" w:rsidRPr="00A655A1">
        <w:rPr>
          <w:rFonts w:asciiTheme="minorHAnsi" w:hAnsiTheme="minorHAnsi"/>
          <w:bCs/>
          <w:snapToGrid w:val="0"/>
        </w:rPr>
        <w:t xml:space="preserve">cs or extramedullary disease. The clinician also described management of the potential adverse events associated with treatment. </w:t>
      </w:r>
      <w:r w:rsidRPr="00A655A1">
        <w:rPr>
          <w:rFonts w:asciiTheme="minorHAnsi" w:hAnsiTheme="minorHAnsi"/>
          <w:bCs/>
          <w:snapToGrid w:val="0"/>
        </w:rPr>
        <w:t xml:space="preserve"> The PBAC considered that the hearing was informative as it provided a clinical perspective on </w:t>
      </w:r>
      <w:r w:rsidR="00D80B36" w:rsidRPr="00A655A1">
        <w:rPr>
          <w:rFonts w:asciiTheme="minorHAnsi" w:hAnsiTheme="minorHAnsi"/>
          <w:bCs/>
          <w:snapToGrid w:val="0"/>
        </w:rPr>
        <w:t>the utilisation of SBd</w:t>
      </w:r>
      <w:r w:rsidRPr="00A655A1">
        <w:rPr>
          <w:rFonts w:asciiTheme="minorHAnsi" w:hAnsiTheme="minorHAnsi"/>
          <w:bCs/>
          <w:snapToGrid w:val="0"/>
        </w:rPr>
        <w:t>.</w:t>
      </w:r>
    </w:p>
    <w:p w:rsidR="004C5EF3" w:rsidRPr="00A655A1" w:rsidRDefault="004C5EF3" w:rsidP="004C5EF3">
      <w:pPr>
        <w:pStyle w:val="4-SubsectionHeading"/>
        <w:rPr>
          <w:snapToGrid w:val="0"/>
        </w:rPr>
      </w:pPr>
      <w:r w:rsidRPr="00A655A1">
        <w:rPr>
          <w:snapToGrid w:val="0"/>
        </w:rPr>
        <w:t>Consumer comments</w:t>
      </w:r>
    </w:p>
    <w:p w:rsidR="004C5EF3" w:rsidRPr="00A655A1" w:rsidRDefault="004C5EF3" w:rsidP="004C5EF3">
      <w:pPr>
        <w:widowControl w:val="0"/>
        <w:numPr>
          <w:ilvl w:val="1"/>
          <w:numId w:val="1"/>
        </w:numPr>
        <w:spacing w:after="120"/>
        <w:rPr>
          <w:rFonts w:asciiTheme="minorHAnsi" w:hAnsiTheme="minorHAnsi"/>
          <w:bCs/>
          <w:snapToGrid w:val="0"/>
        </w:rPr>
      </w:pPr>
      <w:r w:rsidRPr="00A655A1">
        <w:rPr>
          <w:rFonts w:asciiTheme="minorHAnsi" w:hAnsiTheme="minorHAnsi"/>
          <w:bCs/>
          <w:snapToGrid w:val="0"/>
        </w:rPr>
        <w:t>The PBAC noted and welcomed the input from individuals (</w:t>
      </w:r>
      <w:r w:rsidR="00CA37CF" w:rsidRPr="00A655A1">
        <w:rPr>
          <w:rFonts w:asciiTheme="minorHAnsi" w:hAnsiTheme="minorHAnsi"/>
          <w:bCs/>
          <w:snapToGrid w:val="0"/>
        </w:rPr>
        <w:t>18</w:t>
      </w:r>
      <w:r w:rsidRPr="00A655A1">
        <w:rPr>
          <w:rFonts w:asciiTheme="minorHAnsi" w:hAnsiTheme="minorHAnsi"/>
          <w:bCs/>
          <w:snapToGrid w:val="0"/>
        </w:rPr>
        <w:t>) and organisations (</w:t>
      </w:r>
      <w:r w:rsidR="00CA37CF" w:rsidRPr="00A655A1">
        <w:rPr>
          <w:rFonts w:asciiTheme="minorHAnsi" w:hAnsiTheme="minorHAnsi"/>
          <w:bCs/>
          <w:snapToGrid w:val="0"/>
        </w:rPr>
        <w:t>4</w:t>
      </w:r>
      <w:r w:rsidRPr="00A655A1">
        <w:rPr>
          <w:rFonts w:asciiTheme="minorHAnsi" w:hAnsiTheme="minorHAnsi"/>
          <w:bCs/>
          <w:snapToGrid w:val="0"/>
        </w:rPr>
        <w:t xml:space="preserve">) via the Consumer Comments facility on the PBS website.  The comments </w:t>
      </w:r>
      <w:r w:rsidR="00CA37CF" w:rsidRPr="00A655A1">
        <w:rPr>
          <w:rFonts w:asciiTheme="minorHAnsi" w:hAnsiTheme="minorHAnsi"/>
          <w:bCs/>
          <w:snapToGrid w:val="0"/>
        </w:rPr>
        <w:t xml:space="preserve">from the individuals </w:t>
      </w:r>
      <w:r w:rsidRPr="00A655A1">
        <w:rPr>
          <w:rFonts w:asciiTheme="minorHAnsi" w:hAnsiTheme="minorHAnsi"/>
          <w:bCs/>
          <w:snapToGrid w:val="0"/>
        </w:rPr>
        <w:t xml:space="preserve">described </w:t>
      </w:r>
      <w:r w:rsidR="00CA37CF" w:rsidRPr="00A655A1">
        <w:rPr>
          <w:rFonts w:asciiTheme="minorHAnsi" w:hAnsiTheme="minorHAnsi"/>
          <w:bCs/>
          <w:snapToGrid w:val="0"/>
        </w:rPr>
        <w:t xml:space="preserve">the ongoing need for new treatment options for the </w:t>
      </w:r>
      <w:r w:rsidR="000F35EA" w:rsidRPr="00A655A1">
        <w:rPr>
          <w:rFonts w:asciiTheme="minorHAnsi" w:hAnsiTheme="minorHAnsi"/>
          <w:bCs/>
          <w:snapToGrid w:val="0"/>
        </w:rPr>
        <w:t>management</w:t>
      </w:r>
      <w:r w:rsidR="00CA37CF" w:rsidRPr="00A655A1">
        <w:rPr>
          <w:rFonts w:asciiTheme="minorHAnsi" w:hAnsiTheme="minorHAnsi"/>
          <w:bCs/>
          <w:snapToGrid w:val="0"/>
        </w:rPr>
        <w:t xml:space="preserve"> of RRMM</w:t>
      </w:r>
      <w:r w:rsidR="00053838" w:rsidRPr="00A655A1">
        <w:rPr>
          <w:rFonts w:asciiTheme="minorHAnsi" w:hAnsiTheme="minorHAnsi"/>
          <w:bCs/>
          <w:snapToGrid w:val="0"/>
        </w:rPr>
        <w:t xml:space="preserve">. </w:t>
      </w:r>
      <w:r w:rsidRPr="00A655A1">
        <w:rPr>
          <w:rFonts w:asciiTheme="minorHAnsi" w:hAnsiTheme="minorHAnsi"/>
          <w:bCs/>
          <w:snapToGrid w:val="0"/>
        </w:rPr>
        <w:t xml:space="preserve"> </w:t>
      </w:r>
    </w:p>
    <w:p w:rsidR="004C5EF3" w:rsidRPr="00A655A1" w:rsidRDefault="004C5EF3" w:rsidP="00053838">
      <w:pPr>
        <w:widowControl w:val="0"/>
        <w:numPr>
          <w:ilvl w:val="1"/>
          <w:numId w:val="1"/>
        </w:numPr>
        <w:spacing w:after="120"/>
        <w:rPr>
          <w:rFonts w:asciiTheme="minorHAnsi" w:hAnsiTheme="minorHAnsi"/>
          <w:bCs/>
          <w:snapToGrid w:val="0"/>
        </w:rPr>
      </w:pPr>
      <w:r w:rsidRPr="00A655A1">
        <w:rPr>
          <w:rFonts w:asciiTheme="minorHAnsi" w:hAnsiTheme="minorHAnsi"/>
          <w:bCs/>
          <w:snapToGrid w:val="0"/>
        </w:rPr>
        <w:t xml:space="preserve">The PBAC noted the advice received from </w:t>
      </w:r>
      <w:r w:rsidR="00053838" w:rsidRPr="00A655A1">
        <w:rPr>
          <w:rFonts w:asciiTheme="minorHAnsi" w:hAnsiTheme="minorHAnsi"/>
          <w:bCs/>
          <w:snapToGrid w:val="0"/>
        </w:rPr>
        <w:t xml:space="preserve">(i) Myeloma Australia, (ii) Rare Cancers Australia, and (iii) the Leukaemia Foundation which described the ongoing clinical need for new therapies, such as selinexor, for the treatment of RRMM. Myeloma Australia’s </w:t>
      </w:r>
      <w:r w:rsidR="0014488E" w:rsidRPr="00A655A1">
        <w:rPr>
          <w:rFonts w:asciiTheme="minorHAnsi" w:hAnsiTheme="minorHAnsi"/>
          <w:bCs/>
          <w:snapToGrid w:val="0"/>
        </w:rPr>
        <w:t>MSAG</w:t>
      </w:r>
      <w:r w:rsidR="00053838" w:rsidRPr="00A655A1">
        <w:rPr>
          <w:rFonts w:asciiTheme="minorHAnsi" w:hAnsiTheme="minorHAnsi"/>
          <w:bCs/>
          <w:snapToGrid w:val="0"/>
        </w:rPr>
        <w:t xml:space="preserve"> cited results from the BOSTON trial and stated that SBd would provide a significant alternative for RRMM patients. </w:t>
      </w:r>
      <w:r w:rsidRPr="00A655A1">
        <w:rPr>
          <w:rFonts w:asciiTheme="minorHAnsi" w:hAnsiTheme="minorHAnsi"/>
          <w:bCs/>
          <w:snapToGrid w:val="0"/>
        </w:rPr>
        <w:t>The PBAC noted that this advice was supportive of the evidence provided in the submission.</w:t>
      </w:r>
    </w:p>
    <w:p w:rsidR="00A15C4B" w:rsidRPr="00A655A1" w:rsidRDefault="00A15C4B" w:rsidP="00A15C4B">
      <w:pPr>
        <w:pStyle w:val="4-SubsectionHeading"/>
      </w:pPr>
      <w:r w:rsidRPr="00A655A1">
        <w:t>Clinical trials</w:t>
      </w:r>
      <w:bookmarkEnd w:id="17"/>
      <w:bookmarkEnd w:id="18"/>
      <w:bookmarkEnd w:id="19"/>
      <w:r w:rsidRPr="00A655A1">
        <w:rPr>
          <w:color w:val="0066FF"/>
        </w:rPr>
        <w:t xml:space="preserve"> </w:t>
      </w:r>
    </w:p>
    <w:p w:rsidR="00A15C4B" w:rsidRPr="00A655A1" w:rsidRDefault="00A15C4B" w:rsidP="00707864">
      <w:pPr>
        <w:pStyle w:val="3-BodyText"/>
        <w:numPr>
          <w:ilvl w:val="1"/>
          <w:numId w:val="7"/>
        </w:numPr>
        <w:snapToGrid w:val="0"/>
      </w:pPr>
      <w:r w:rsidRPr="00A655A1">
        <w:t>The submission was based on one head-to-head randomised trial (Study KCP-330-023, referred to as ‘BOSTON’; N</w:t>
      </w:r>
      <w:r w:rsidR="008C4249" w:rsidRPr="00A655A1">
        <w:t xml:space="preserve"> </w:t>
      </w:r>
      <w:r w:rsidRPr="00A655A1">
        <w:t xml:space="preserve">= 402) comparing SBd to Bd in patients with MM who have received </w:t>
      </w:r>
      <w:r w:rsidR="003171AE" w:rsidRPr="00A655A1">
        <w:t>one to three</w:t>
      </w:r>
      <w:r w:rsidRPr="00A655A1">
        <w:t xml:space="preserve"> prior therapies. </w:t>
      </w:r>
    </w:p>
    <w:p w:rsidR="00A15C4B" w:rsidRPr="00A655A1" w:rsidRDefault="00A15C4B" w:rsidP="00707864">
      <w:pPr>
        <w:pStyle w:val="3-BodyText"/>
        <w:numPr>
          <w:ilvl w:val="1"/>
          <w:numId w:val="7"/>
        </w:numPr>
        <w:snapToGrid w:val="0"/>
      </w:pPr>
      <w:r w:rsidRPr="00A655A1">
        <w:t xml:space="preserve">The submission presented a </w:t>
      </w:r>
      <w:r w:rsidR="001F6210" w:rsidRPr="00A655A1">
        <w:t xml:space="preserve">non-matched </w:t>
      </w:r>
      <w:r w:rsidRPr="00A655A1">
        <w:t xml:space="preserve">indirect treatment comparison (ITC) of SBd and Cd informed by two head-to-head randomised control trials: BOSTON and ENDEAVOR, comparing Cd with Bd (N = 929). </w:t>
      </w:r>
    </w:p>
    <w:p w:rsidR="00A15C4B" w:rsidRPr="00A655A1" w:rsidRDefault="00A15C4B" w:rsidP="00404ED2">
      <w:pPr>
        <w:pStyle w:val="3-BodyText"/>
        <w:numPr>
          <w:ilvl w:val="1"/>
          <w:numId w:val="7"/>
        </w:numPr>
        <w:snapToGrid w:val="0"/>
      </w:pPr>
      <w:r w:rsidRPr="00404ED2">
        <w:rPr>
          <w:iCs/>
        </w:rPr>
        <w:t xml:space="preserve">The PBAC has reviewed the ENDEAVOR study on </w:t>
      </w:r>
      <w:r w:rsidR="00CD497B" w:rsidRPr="00404ED2">
        <w:rPr>
          <w:iCs/>
        </w:rPr>
        <w:t>previous</w:t>
      </w:r>
      <w:r w:rsidRPr="00404ED2">
        <w:rPr>
          <w:iCs/>
        </w:rPr>
        <w:t xml:space="preserve"> occasions (carfilzomib, </w:t>
      </w:r>
      <w:r w:rsidR="00404ED2" w:rsidRPr="00404ED2">
        <w:rPr>
          <w:iCs/>
        </w:rPr>
        <w:t xml:space="preserve">Public Summary Document </w:t>
      </w:r>
      <w:r w:rsidR="00404ED2">
        <w:rPr>
          <w:iCs/>
        </w:rPr>
        <w:t>(</w:t>
      </w:r>
      <w:r w:rsidRPr="00404ED2">
        <w:rPr>
          <w:iCs/>
        </w:rPr>
        <w:t>PSD</w:t>
      </w:r>
      <w:r w:rsidR="00404ED2">
        <w:rPr>
          <w:iCs/>
        </w:rPr>
        <w:t>)</w:t>
      </w:r>
      <w:r w:rsidRPr="00404ED2">
        <w:rPr>
          <w:iCs/>
        </w:rPr>
        <w:t xml:space="preserve">, November 2016 and its resubmission in July 2017; daratumumab PSD, November 2017). Previously, the PBAC accepted the claim of superior comparative effectiveness for Cd over Bd based on a clinically meaningful </w:t>
      </w:r>
      <w:r w:rsidR="0014488E" w:rsidRPr="00404ED2">
        <w:rPr>
          <w:iCs/>
        </w:rPr>
        <w:t>overall survival (</w:t>
      </w:r>
      <w:r w:rsidR="001E0516" w:rsidRPr="00404ED2">
        <w:rPr>
          <w:iCs/>
        </w:rPr>
        <w:t>OS</w:t>
      </w:r>
      <w:r w:rsidR="0014488E" w:rsidRPr="00404ED2">
        <w:rPr>
          <w:iCs/>
        </w:rPr>
        <w:t>)</w:t>
      </w:r>
      <w:r w:rsidRPr="00404ED2">
        <w:rPr>
          <w:iCs/>
        </w:rPr>
        <w:t xml:space="preserve"> advantage as shown by the updated clinical trial data in the </w:t>
      </w:r>
      <w:r w:rsidR="005F7DFE" w:rsidRPr="00404ED2">
        <w:rPr>
          <w:iCs/>
        </w:rPr>
        <w:t xml:space="preserve">July 2017 </w:t>
      </w:r>
      <w:r w:rsidRPr="00404ED2">
        <w:rPr>
          <w:iCs/>
        </w:rPr>
        <w:t xml:space="preserve">resubmission. </w:t>
      </w:r>
      <w:r w:rsidR="001E0516" w:rsidRPr="00404ED2">
        <w:rPr>
          <w:iCs/>
        </w:rPr>
        <w:t xml:space="preserve">Final </w:t>
      </w:r>
      <w:r w:rsidR="0014488E" w:rsidRPr="00404ED2">
        <w:rPr>
          <w:iCs/>
        </w:rPr>
        <w:t>progression free survival (</w:t>
      </w:r>
      <w:r w:rsidR="001E0516" w:rsidRPr="00404ED2">
        <w:rPr>
          <w:iCs/>
        </w:rPr>
        <w:t>PFS</w:t>
      </w:r>
      <w:r w:rsidR="0014488E" w:rsidRPr="00404ED2">
        <w:rPr>
          <w:iCs/>
        </w:rPr>
        <w:t>)</w:t>
      </w:r>
      <w:r w:rsidR="001E0516" w:rsidRPr="00404ED2">
        <w:rPr>
          <w:iCs/>
        </w:rPr>
        <w:t xml:space="preserve"> data were</w:t>
      </w:r>
      <w:r w:rsidRPr="00404ED2">
        <w:rPr>
          <w:iCs/>
        </w:rPr>
        <w:t xml:space="preserve"> from the prespecified interim analysis of ENDEAVOR, dated 10 November 2014.</w:t>
      </w:r>
    </w:p>
    <w:p w:rsidR="00A15C4B" w:rsidRPr="00A655A1" w:rsidRDefault="00A15C4B" w:rsidP="00707864">
      <w:pPr>
        <w:pStyle w:val="3-BodyText"/>
        <w:numPr>
          <w:ilvl w:val="1"/>
          <w:numId w:val="7"/>
        </w:numPr>
        <w:snapToGrid w:val="0"/>
      </w:pPr>
      <w:r w:rsidRPr="00A655A1">
        <w:t xml:space="preserve">Details of the two </w:t>
      </w:r>
      <w:r w:rsidR="0014488E" w:rsidRPr="00A655A1">
        <w:t>trials</w:t>
      </w:r>
      <w:r w:rsidRPr="00A655A1">
        <w:t xml:space="preserve"> presented in the submission are provided in Table 2. </w:t>
      </w:r>
    </w:p>
    <w:p w:rsidR="00A15C4B" w:rsidRPr="00A655A1" w:rsidRDefault="00A15C4B" w:rsidP="005F7DFE">
      <w:pPr>
        <w:pStyle w:val="TableFigureHeading"/>
        <w:rPr>
          <w:rStyle w:val="CommentReference"/>
          <w:b/>
          <w:bCs w:val="0"/>
        </w:rPr>
      </w:pPr>
      <w:r w:rsidRPr="00A655A1">
        <w:rPr>
          <w:rStyle w:val="CommentReference"/>
          <w:b/>
          <w:bCs w:val="0"/>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A15C4B" w:rsidRPr="00A655A1" w:rsidTr="00A15C4B">
        <w:trPr>
          <w:tblHeader/>
        </w:trPr>
        <w:tc>
          <w:tcPr>
            <w:tcW w:w="796"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5F7DFE">
            <w:pPr>
              <w:pStyle w:val="In-tableHeading"/>
              <w:widowControl w:val="0"/>
              <w:rPr>
                <w:lang w:val="en-AU"/>
              </w:rPr>
            </w:pPr>
            <w:r w:rsidRPr="00A655A1">
              <w:rPr>
                <w:lang w:val="en-AU"/>
              </w:rPr>
              <w:t>Trial ID</w:t>
            </w:r>
          </w:p>
        </w:tc>
        <w:tc>
          <w:tcPr>
            <w:tcW w:w="3027"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5F7DFE">
            <w:pPr>
              <w:pStyle w:val="In-tableHeading"/>
              <w:widowControl w:val="0"/>
              <w:rPr>
                <w:lang w:val="en-AU"/>
              </w:rPr>
            </w:pPr>
            <w:r w:rsidRPr="00A655A1">
              <w:rPr>
                <w:lang w:val="en-AU"/>
              </w:rPr>
              <w:t>Protocol title/ Publication title</w:t>
            </w:r>
          </w:p>
        </w:tc>
        <w:tc>
          <w:tcPr>
            <w:tcW w:w="1177"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5F7DFE">
            <w:pPr>
              <w:pStyle w:val="In-tableHeading"/>
              <w:widowControl w:val="0"/>
              <w:rPr>
                <w:lang w:val="en-AU"/>
              </w:rPr>
            </w:pPr>
            <w:r w:rsidRPr="00A655A1">
              <w:rPr>
                <w:lang w:val="en-AU"/>
              </w:rPr>
              <w:t>Publication citation</w:t>
            </w:r>
          </w:p>
        </w:tc>
      </w:tr>
      <w:tr w:rsidR="00A15C4B" w:rsidRPr="00A655A1" w:rsidTr="00A15C4B">
        <w:tc>
          <w:tcPr>
            <w:tcW w:w="5000" w:type="pct"/>
            <w:gridSpan w:val="3"/>
            <w:tcBorders>
              <w:top w:val="single" w:sz="4" w:space="0" w:color="auto"/>
              <w:left w:val="single" w:sz="4" w:space="0" w:color="auto"/>
              <w:bottom w:val="nil"/>
              <w:right w:val="single" w:sz="4" w:space="0" w:color="auto"/>
            </w:tcBorders>
            <w:vAlign w:val="center"/>
            <w:hideMark/>
          </w:tcPr>
          <w:p w:rsidR="00A15C4B" w:rsidRPr="00A655A1" w:rsidRDefault="00A15C4B" w:rsidP="005F7DFE">
            <w:pPr>
              <w:pStyle w:val="TableText0"/>
              <w:widowControl w:val="0"/>
            </w:pPr>
            <w:r w:rsidRPr="00A655A1">
              <w:rPr>
                <w:szCs w:val="18"/>
              </w:rPr>
              <w:t>Direct trials (SBd versus Bd)</w:t>
            </w:r>
          </w:p>
        </w:tc>
      </w:tr>
      <w:tr w:rsidR="00A15C4B" w:rsidRPr="00A655A1" w:rsidTr="00A15C4B">
        <w:tc>
          <w:tcPr>
            <w:tcW w:w="796" w:type="pct"/>
            <w:tcBorders>
              <w:top w:val="single" w:sz="4" w:space="0" w:color="auto"/>
              <w:left w:val="single" w:sz="4" w:space="0" w:color="auto"/>
              <w:bottom w:val="nil"/>
              <w:right w:val="single" w:sz="4" w:space="0" w:color="auto"/>
            </w:tcBorders>
            <w:hideMark/>
          </w:tcPr>
          <w:p w:rsidR="00A15C4B" w:rsidRPr="00A655A1" w:rsidRDefault="00A15C4B" w:rsidP="005F7DFE">
            <w:pPr>
              <w:pStyle w:val="TableText0"/>
              <w:widowControl w:val="0"/>
            </w:pPr>
            <w:r w:rsidRPr="00A655A1">
              <w:t>BOSTON</w:t>
            </w:r>
          </w:p>
        </w:tc>
        <w:tc>
          <w:tcPr>
            <w:tcW w:w="3027" w:type="pct"/>
            <w:tcBorders>
              <w:top w:val="single" w:sz="4" w:space="0" w:color="auto"/>
              <w:left w:val="single" w:sz="4" w:space="0" w:color="auto"/>
              <w:bottom w:val="nil"/>
              <w:right w:val="single" w:sz="4" w:space="0" w:color="auto"/>
            </w:tcBorders>
            <w:hideMark/>
          </w:tcPr>
          <w:p w:rsidR="00A15C4B" w:rsidRPr="00A655A1" w:rsidRDefault="00A15C4B" w:rsidP="005F7DFE">
            <w:pPr>
              <w:pStyle w:val="TableLeft"/>
              <w:keepNext/>
              <w:widowControl w:val="0"/>
              <w:rPr>
                <w:rFonts w:ascii="Arial Narrow" w:eastAsiaTheme="majorEastAsia" w:hAnsi="Arial Narrow" w:cstheme="majorBidi"/>
                <w:lang w:eastAsia="en-AU"/>
              </w:rPr>
            </w:pPr>
            <w:r w:rsidRPr="00A655A1">
              <w:rPr>
                <w:rFonts w:ascii="Arial Narrow" w:eastAsiaTheme="majorEastAsia" w:hAnsi="Arial Narrow" w:cstheme="majorBidi"/>
                <w:lang w:eastAsia="en-AU"/>
              </w:rPr>
              <w:t xml:space="preserve">KCP-330-023 A PHASE 3 RANDOMISED, CONTROLLED, OPEN-LABEL STUDY OF SBD (SBd) VERSUS BORTEZOMIB AND DEXAMETHASONE (Bd) IN PATIENTS WITH RELAPSED OR REFRACTORY MULTIPLE MYELOMA (RRMM). </w:t>
            </w:r>
          </w:p>
        </w:tc>
        <w:tc>
          <w:tcPr>
            <w:tcW w:w="1177" w:type="pct"/>
            <w:tcBorders>
              <w:top w:val="single" w:sz="4" w:space="0" w:color="auto"/>
              <w:left w:val="single" w:sz="4" w:space="0" w:color="auto"/>
              <w:bottom w:val="nil"/>
              <w:right w:val="single" w:sz="4" w:space="0" w:color="auto"/>
            </w:tcBorders>
            <w:hideMark/>
          </w:tcPr>
          <w:p w:rsidR="00A15C4B" w:rsidRPr="00A655A1" w:rsidRDefault="00A15C4B" w:rsidP="005F7DFE">
            <w:pPr>
              <w:pStyle w:val="TableText0"/>
              <w:widowControl w:val="0"/>
              <w:rPr>
                <w:iCs/>
              </w:rPr>
            </w:pPr>
            <w:r w:rsidRPr="00A655A1">
              <w:rPr>
                <w:iCs/>
              </w:rPr>
              <w:t>May 2020</w:t>
            </w:r>
          </w:p>
        </w:tc>
      </w:tr>
      <w:tr w:rsidR="00A15C4B" w:rsidRPr="00A655A1" w:rsidTr="00A15C4B">
        <w:tc>
          <w:tcPr>
            <w:tcW w:w="796" w:type="pct"/>
            <w:tcBorders>
              <w:top w:val="nil"/>
              <w:left w:val="single" w:sz="4" w:space="0" w:color="auto"/>
              <w:bottom w:val="single" w:sz="4" w:space="0" w:color="auto"/>
              <w:right w:val="single" w:sz="4" w:space="0" w:color="auto"/>
            </w:tcBorders>
          </w:tcPr>
          <w:p w:rsidR="00A15C4B" w:rsidRPr="00A655A1" w:rsidRDefault="00A15C4B" w:rsidP="005F7DFE">
            <w:pPr>
              <w:pStyle w:val="TableText0"/>
              <w:widowControl w:val="0"/>
            </w:pPr>
          </w:p>
        </w:tc>
        <w:tc>
          <w:tcPr>
            <w:tcW w:w="3027" w:type="pct"/>
            <w:tcBorders>
              <w:top w:val="nil"/>
              <w:left w:val="single" w:sz="4" w:space="0" w:color="auto"/>
              <w:bottom w:val="single" w:sz="4" w:space="0" w:color="auto"/>
              <w:right w:val="single" w:sz="4" w:space="0" w:color="auto"/>
            </w:tcBorders>
            <w:hideMark/>
          </w:tcPr>
          <w:p w:rsidR="00A15C4B" w:rsidRPr="00A655A1" w:rsidRDefault="00A15C4B" w:rsidP="005F7DFE">
            <w:pPr>
              <w:pStyle w:val="TableText0"/>
              <w:widowControl w:val="0"/>
              <w:rPr>
                <w:bCs w:val="0"/>
                <w:szCs w:val="22"/>
              </w:rPr>
            </w:pPr>
            <w:r w:rsidRPr="00A655A1">
              <w:rPr>
                <w:bCs w:val="0"/>
                <w:szCs w:val="22"/>
              </w:rPr>
              <w:t>Grosicki S, Simonova M, Spicka I,</w:t>
            </w:r>
            <w:r w:rsidR="008A6557" w:rsidRPr="00A655A1">
              <w:rPr>
                <w:bCs w:val="0"/>
                <w:szCs w:val="22"/>
              </w:rPr>
              <w:t xml:space="preserve"> et al</w:t>
            </w:r>
            <w:r w:rsidRPr="00A655A1">
              <w:rPr>
                <w:bCs w:val="0"/>
                <w:szCs w:val="22"/>
              </w:rPr>
              <w:t xml:space="preserve">. Once-per-week SBd versus twice-per-week bortezomib and dexamethasone in patients with multiple myeloma (BOSTON): a randomised, open-label, phase 3 trial. </w:t>
            </w:r>
          </w:p>
        </w:tc>
        <w:tc>
          <w:tcPr>
            <w:tcW w:w="1177" w:type="pct"/>
            <w:tcBorders>
              <w:top w:val="nil"/>
              <w:left w:val="single" w:sz="4" w:space="0" w:color="auto"/>
              <w:bottom w:val="single" w:sz="4" w:space="0" w:color="auto"/>
              <w:right w:val="single" w:sz="4" w:space="0" w:color="auto"/>
            </w:tcBorders>
            <w:hideMark/>
          </w:tcPr>
          <w:p w:rsidR="00A15C4B" w:rsidRPr="00A655A1" w:rsidRDefault="00A15C4B" w:rsidP="005F7DFE">
            <w:pPr>
              <w:pStyle w:val="TableText0"/>
              <w:widowControl w:val="0"/>
              <w:rPr>
                <w:iCs/>
                <w:szCs w:val="18"/>
              </w:rPr>
            </w:pPr>
            <w:r w:rsidRPr="00A655A1">
              <w:rPr>
                <w:bCs w:val="0"/>
                <w:iCs/>
                <w:szCs w:val="22"/>
              </w:rPr>
              <w:t xml:space="preserve">Lancet 2020 Nov; 14;396(10262):1563-1573. </w:t>
            </w:r>
          </w:p>
        </w:tc>
      </w:tr>
      <w:tr w:rsidR="00A15C4B" w:rsidRPr="00A655A1" w:rsidTr="00A15C4B">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5F7DFE">
            <w:pPr>
              <w:pStyle w:val="TableText0"/>
              <w:widowControl w:val="0"/>
              <w:rPr>
                <w:bCs w:val="0"/>
                <w:iCs/>
                <w:szCs w:val="22"/>
              </w:rPr>
            </w:pPr>
            <w:r w:rsidRPr="00A655A1">
              <w:rPr>
                <w:szCs w:val="18"/>
              </w:rPr>
              <w:t>Direct trials (Cd versus Bd)</w:t>
            </w:r>
          </w:p>
        </w:tc>
      </w:tr>
      <w:tr w:rsidR="00A15C4B" w:rsidRPr="00A655A1" w:rsidTr="00A15C4B">
        <w:tc>
          <w:tcPr>
            <w:tcW w:w="796" w:type="pct"/>
            <w:tcBorders>
              <w:top w:val="single" w:sz="4" w:space="0" w:color="auto"/>
              <w:left w:val="single" w:sz="4" w:space="0" w:color="auto"/>
              <w:bottom w:val="nil"/>
              <w:right w:val="single" w:sz="4" w:space="0" w:color="auto"/>
            </w:tcBorders>
            <w:hideMark/>
          </w:tcPr>
          <w:p w:rsidR="00A15C4B" w:rsidRPr="00A655A1" w:rsidRDefault="00A15C4B" w:rsidP="005F7DFE">
            <w:pPr>
              <w:pStyle w:val="TableText0"/>
              <w:widowControl w:val="0"/>
              <w:rPr>
                <w:szCs w:val="18"/>
              </w:rPr>
            </w:pPr>
            <w:r w:rsidRPr="00A655A1">
              <w:rPr>
                <w:szCs w:val="18"/>
              </w:rPr>
              <w:t>ENDEAVOR</w:t>
            </w:r>
          </w:p>
        </w:tc>
        <w:tc>
          <w:tcPr>
            <w:tcW w:w="3027" w:type="pct"/>
            <w:tcBorders>
              <w:top w:val="single" w:sz="4" w:space="0" w:color="auto"/>
              <w:left w:val="single" w:sz="4" w:space="0" w:color="auto"/>
              <w:bottom w:val="nil"/>
              <w:right w:val="single" w:sz="4" w:space="0" w:color="auto"/>
            </w:tcBorders>
            <w:hideMark/>
          </w:tcPr>
          <w:p w:rsidR="00A15C4B" w:rsidRPr="00A655A1" w:rsidRDefault="00A15C4B" w:rsidP="005F7DFE">
            <w:pPr>
              <w:pStyle w:val="TableText0"/>
              <w:widowControl w:val="0"/>
              <w:rPr>
                <w:bCs w:val="0"/>
                <w:szCs w:val="22"/>
              </w:rPr>
            </w:pPr>
            <w:r w:rsidRPr="00A655A1">
              <w:t>Dimopoulos MA, Moreau P, Palumbo A, et al. Carfilzomib and dexamethasone versus bortezomib and dexamethasone for patients with relapsed or refractory multiple myeloma (ENDEAVOR): A randomised, phase 3, open-label, multicentre study.</w:t>
            </w:r>
          </w:p>
        </w:tc>
        <w:tc>
          <w:tcPr>
            <w:tcW w:w="1177" w:type="pct"/>
            <w:tcBorders>
              <w:top w:val="single" w:sz="4" w:space="0" w:color="auto"/>
              <w:left w:val="single" w:sz="4" w:space="0" w:color="auto"/>
              <w:bottom w:val="nil"/>
              <w:right w:val="single" w:sz="4" w:space="0" w:color="auto"/>
            </w:tcBorders>
            <w:hideMark/>
          </w:tcPr>
          <w:p w:rsidR="00A15C4B" w:rsidRPr="00A655A1" w:rsidRDefault="00A15C4B" w:rsidP="005F7DFE">
            <w:pPr>
              <w:pStyle w:val="TableText0"/>
              <w:widowControl w:val="0"/>
              <w:rPr>
                <w:bCs w:val="0"/>
                <w:iCs/>
                <w:szCs w:val="22"/>
              </w:rPr>
            </w:pPr>
            <w:r w:rsidRPr="00A655A1">
              <w:rPr>
                <w:bCs w:val="0"/>
                <w:iCs/>
              </w:rPr>
              <w:t>The Lancet Oncology 2016; 17(1): 27-38.</w:t>
            </w:r>
          </w:p>
        </w:tc>
      </w:tr>
      <w:tr w:rsidR="00A15C4B" w:rsidRPr="00A655A1" w:rsidTr="00A15C4B">
        <w:tc>
          <w:tcPr>
            <w:tcW w:w="796" w:type="pct"/>
            <w:tcBorders>
              <w:top w:val="nil"/>
              <w:left w:val="single" w:sz="4" w:space="0" w:color="auto"/>
              <w:bottom w:val="nil"/>
              <w:right w:val="single" w:sz="4" w:space="0" w:color="auto"/>
            </w:tcBorders>
          </w:tcPr>
          <w:p w:rsidR="00A15C4B" w:rsidRPr="00A655A1" w:rsidRDefault="00A15C4B" w:rsidP="005F7DFE">
            <w:pPr>
              <w:pStyle w:val="TableText0"/>
              <w:widowControl w:val="0"/>
              <w:rPr>
                <w:szCs w:val="18"/>
              </w:rPr>
            </w:pPr>
          </w:p>
        </w:tc>
        <w:tc>
          <w:tcPr>
            <w:tcW w:w="3027" w:type="pct"/>
            <w:tcBorders>
              <w:top w:val="nil"/>
              <w:left w:val="single" w:sz="4" w:space="0" w:color="auto"/>
              <w:bottom w:val="nil"/>
              <w:right w:val="single" w:sz="4" w:space="0" w:color="auto"/>
            </w:tcBorders>
            <w:hideMark/>
          </w:tcPr>
          <w:p w:rsidR="00A15C4B" w:rsidRPr="00A655A1" w:rsidRDefault="00A15C4B" w:rsidP="005F7DFE">
            <w:pPr>
              <w:pStyle w:val="TableText0"/>
              <w:widowControl w:val="0"/>
            </w:pPr>
            <w:r w:rsidRPr="00A655A1">
              <w:t>Dimopoulos MA, Goldschmidt H, Niesvizky R, et al. Carfilzomib or bortezomib in relapsed or refractory multiple myeloma (ENDEAVOR): an interim overall survival analysis of an open-label, randomised, phase 3 trial.</w:t>
            </w:r>
            <w:r w:rsidRPr="00A655A1">
              <w:rPr>
                <w:szCs w:val="18"/>
              </w:rPr>
              <w:t xml:space="preserve"> </w:t>
            </w:r>
            <w:r w:rsidRPr="00A655A1">
              <w:t>Correction: Carfilzomib or bortezomib in relapsed or refractory multiple myeloma (ENDEAVOR): an interim overall survival analysis of an openlabel, randomised, phase 3 trial.</w:t>
            </w:r>
          </w:p>
        </w:tc>
        <w:tc>
          <w:tcPr>
            <w:tcW w:w="1177" w:type="pct"/>
            <w:tcBorders>
              <w:top w:val="nil"/>
              <w:left w:val="single" w:sz="4" w:space="0" w:color="auto"/>
              <w:bottom w:val="nil"/>
              <w:right w:val="single" w:sz="4" w:space="0" w:color="auto"/>
            </w:tcBorders>
          </w:tcPr>
          <w:p w:rsidR="00A15C4B" w:rsidRPr="00A655A1" w:rsidRDefault="00A15C4B" w:rsidP="005F7DFE">
            <w:pPr>
              <w:pStyle w:val="TableLeft"/>
              <w:keepNext/>
              <w:widowControl w:val="0"/>
              <w:rPr>
                <w:rFonts w:ascii="Arial Narrow" w:eastAsiaTheme="majorEastAsia" w:hAnsi="Arial Narrow" w:cstheme="majorBidi"/>
                <w:bCs/>
                <w:iCs/>
                <w:lang w:eastAsia="en-AU"/>
              </w:rPr>
            </w:pPr>
            <w:r w:rsidRPr="00A655A1">
              <w:rPr>
                <w:rFonts w:ascii="Arial Narrow" w:eastAsiaTheme="majorEastAsia" w:hAnsi="Arial Narrow" w:cstheme="majorBidi"/>
                <w:bCs/>
                <w:iCs/>
                <w:lang w:eastAsia="en-AU"/>
              </w:rPr>
              <w:t xml:space="preserve">The Lancet Oncology 2017; 18(10): 1327-1337. </w:t>
            </w:r>
          </w:p>
          <w:p w:rsidR="00A15C4B" w:rsidRPr="00A655A1" w:rsidRDefault="00A15C4B" w:rsidP="005F7DFE">
            <w:pPr>
              <w:pStyle w:val="TableLeft"/>
              <w:keepNext/>
              <w:widowControl w:val="0"/>
              <w:rPr>
                <w:rFonts w:ascii="Arial Narrow" w:hAnsi="Arial Narrow" w:cstheme="majorBidi"/>
                <w:iCs/>
              </w:rPr>
            </w:pPr>
            <w:r w:rsidRPr="00A655A1">
              <w:rPr>
                <w:rFonts w:ascii="Arial Narrow" w:hAnsi="Arial Narrow" w:cstheme="majorBidi"/>
                <w:iCs/>
              </w:rPr>
              <w:t>The Lancet Oncology. 18(10): e562.</w:t>
            </w:r>
          </w:p>
          <w:p w:rsidR="00A15C4B" w:rsidRPr="00A655A1" w:rsidRDefault="00A15C4B" w:rsidP="005F7DFE">
            <w:pPr>
              <w:pStyle w:val="TableLeft"/>
              <w:keepNext/>
              <w:widowControl w:val="0"/>
              <w:rPr>
                <w:rFonts w:ascii="Arial Narrow" w:eastAsiaTheme="majorEastAsia" w:hAnsi="Arial Narrow" w:cstheme="majorBidi"/>
                <w:bCs/>
                <w:lang w:eastAsia="en-AU"/>
              </w:rPr>
            </w:pPr>
          </w:p>
          <w:p w:rsidR="00A15C4B" w:rsidRPr="00A655A1" w:rsidRDefault="00A15C4B" w:rsidP="005F7DFE">
            <w:pPr>
              <w:pStyle w:val="TableText0"/>
              <w:widowControl w:val="0"/>
              <w:rPr>
                <w:bCs w:val="0"/>
                <w:iCs/>
              </w:rPr>
            </w:pPr>
          </w:p>
        </w:tc>
      </w:tr>
      <w:tr w:rsidR="00A15C4B" w:rsidRPr="00A655A1" w:rsidTr="00A15C4B">
        <w:tc>
          <w:tcPr>
            <w:tcW w:w="796" w:type="pct"/>
            <w:tcBorders>
              <w:top w:val="nil"/>
              <w:left w:val="single" w:sz="4" w:space="0" w:color="auto"/>
              <w:bottom w:val="single" w:sz="4" w:space="0" w:color="auto"/>
              <w:right w:val="single" w:sz="4" w:space="0" w:color="auto"/>
            </w:tcBorders>
          </w:tcPr>
          <w:p w:rsidR="00A15C4B" w:rsidRPr="00A655A1" w:rsidRDefault="00A15C4B" w:rsidP="005F7DFE">
            <w:pPr>
              <w:pStyle w:val="TableText0"/>
              <w:widowControl w:val="0"/>
              <w:rPr>
                <w:szCs w:val="18"/>
              </w:rPr>
            </w:pPr>
          </w:p>
        </w:tc>
        <w:tc>
          <w:tcPr>
            <w:tcW w:w="3027" w:type="pct"/>
            <w:tcBorders>
              <w:top w:val="nil"/>
              <w:left w:val="single" w:sz="4" w:space="0" w:color="auto"/>
              <w:bottom w:val="single" w:sz="4" w:space="0" w:color="auto"/>
              <w:right w:val="single" w:sz="4" w:space="0" w:color="auto"/>
            </w:tcBorders>
            <w:hideMark/>
          </w:tcPr>
          <w:p w:rsidR="00A15C4B" w:rsidRPr="00A655A1" w:rsidRDefault="00A15C4B" w:rsidP="005F7DFE">
            <w:pPr>
              <w:pStyle w:val="TableText0"/>
              <w:widowControl w:val="0"/>
            </w:pPr>
            <w:r w:rsidRPr="00A655A1">
              <w:t>Orlowski RZ, Moreau P, Niesvizky R,</w:t>
            </w:r>
            <w:r w:rsidR="008A6557" w:rsidRPr="00A655A1">
              <w:t xml:space="preserve"> et al</w:t>
            </w:r>
            <w:r w:rsidRPr="00A655A1">
              <w:t xml:space="preserve">. Carfilzomib-Dexamethasone Versus Bortezomib-Dexamethasone in Relapsed or Refractory Multiple Myeloma: Updated Overall Survival, Safety, and Subgroups. </w:t>
            </w:r>
          </w:p>
        </w:tc>
        <w:tc>
          <w:tcPr>
            <w:tcW w:w="1177" w:type="pct"/>
            <w:tcBorders>
              <w:top w:val="nil"/>
              <w:left w:val="single" w:sz="4" w:space="0" w:color="auto"/>
              <w:bottom w:val="single" w:sz="4" w:space="0" w:color="auto"/>
              <w:right w:val="single" w:sz="4" w:space="0" w:color="auto"/>
            </w:tcBorders>
            <w:hideMark/>
          </w:tcPr>
          <w:p w:rsidR="00A15C4B" w:rsidRPr="00A655A1" w:rsidRDefault="00A15C4B" w:rsidP="005F7DFE">
            <w:pPr>
              <w:pStyle w:val="TableLeft"/>
              <w:keepNext/>
              <w:widowControl w:val="0"/>
              <w:rPr>
                <w:rFonts w:ascii="Arial Narrow" w:eastAsiaTheme="majorEastAsia" w:hAnsi="Arial Narrow" w:cstheme="majorBidi"/>
                <w:bCs/>
                <w:iCs/>
                <w:lang w:eastAsia="en-AU"/>
              </w:rPr>
            </w:pPr>
            <w:r w:rsidRPr="00A655A1">
              <w:rPr>
                <w:rFonts w:ascii="Arial Narrow" w:eastAsiaTheme="majorEastAsia" w:hAnsi="Arial Narrow" w:cstheme="majorBidi"/>
                <w:bCs/>
                <w:iCs/>
                <w:lang w:eastAsia="en-AU"/>
              </w:rPr>
              <w:t>Clin Lymphoma Myeloma Leuk. 2019 Aug; 19(8):522-530.e1.</w:t>
            </w:r>
            <w:r w:rsidRPr="00A655A1">
              <w:rPr>
                <w:iCs/>
              </w:rPr>
              <w:t xml:space="preserve"> </w:t>
            </w:r>
          </w:p>
        </w:tc>
      </w:tr>
    </w:tbl>
    <w:p w:rsidR="00A15C4B" w:rsidRPr="00A655A1" w:rsidRDefault="00A15C4B" w:rsidP="00A15C4B">
      <w:pPr>
        <w:pStyle w:val="TableFigureFooter"/>
      </w:pPr>
      <w:r w:rsidRPr="00A655A1">
        <w:t>Source: Table 2-3, pp53-56 of the submission.</w:t>
      </w:r>
    </w:p>
    <w:p w:rsidR="00A15C4B" w:rsidRPr="00A655A1" w:rsidRDefault="00A15C4B" w:rsidP="00A15C4B">
      <w:pPr>
        <w:pStyle w:val="TableFigureFooter"/>
        <w:rPr>
          <w:sz w:val="20"/>
        </w:rPr>
      </w:pPr>
      <w:r w:rsidRPr="00A655A1">
        <w:t>Bd = bortezomib + dexamethasone; Cd = carfilzomib + dexamethasone; N/A = not applicable; OS = overall survival; PFS = progression free survival; SBd = selinexor + bortezomib + dexamethasone.</w:t>
      </w:r>
    </w:p>
    <w:p w:rsidR="00A15C4B" w:rsidRPr="00A655A1" w:rsidRDefault="00A15C4B" w:rsidP="00707864">
      <w:pPr>
        <w:pStyle w:val="3-BodyText"/>
        <w:numPr>
          <w:ilvl w:val="1"/>
          <w:numId w:val="7"/>
        </w:numPr>
        <w:snapToGrid w:val="0"/>
        <w:rPr>
          <w:color w:val="0066FF"/>
        </w:rPr>
      </w:pPr>
      <w:r w:rsidRPr="00A655A1">
        <w:t xml:space="preserve">The key features of the </w:t>
      </w:r>
      <w:r w:rsidR="0014488E" w:rsidRPr="00A655A1">
        <w:t>trials</w:t>
      </w:r>
      <w:r w:rsidRPr="00A655A1">
        <w:t xml:space="preserve"> are summarised in Table 3.</w:t>
      </w:r>
    </w:p>
    <w:p w:rsidR="00A15C4B" w:rsidRPr="00A655A1" w:rsidRDefault="00A15C4B" w:rsidP="00A15C4B">
      <w:pPr>
        <w:pStyle w:val="TableFigureHeading"/>
        <w:rPr>
          <w:rStyle w:val="CommentReference"/>
          <w:b/>
          <w:bCs w:val="0"/>
        </w:rPr>
      </w:pPr>
      <w:r w:rsidRPr="00A655A1">
        <w:rPr>
          <w:rStyle w:val="CommentReference"/>
          <w:b/>
          <w:bCs w:val="0"/>
        </w:rPr>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7"/>
        <w:gridCol w:w="566"/>
        <w:gridCol w:w="1562"/>
        <w:gridCol w:w="849"/>
        <w:gridCol w:w="1562"/>
        <w:gridCol w:w="1984"/>
        <w:gridCol w:w="1367"/>
      </w:tblGrid>
      <w:tr w:rsidR="00A15C4B" w:rsidRPr="00A655A1" w:rsidTr="00913FBD">
        <w:trPr>
          <w:cantSplit/>
          <w:tblHeader/>
        </w:trPr>
        <w:tc>
          <w:tcPr>
            <w:tcW w:w="625"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In-tableHeading"/>
              <w:rPr>
                <w:lang w:val="en-AU"/>
              </w:rPr>
            </w:pPr>
            <w:r w:rsidRPr="00A655A1">
              <w:rPr>
                <w:lang w:val="en-AU"/>
              </w:rPr>
              <w:t>Trial</w:t>
            </w:r>
          </w:p>
        </w:tc>
        <w:tc>
          <w:tcPr>
            <w:tcW w:w="314"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In-tableHeading"/>
              <w:jc w:val="center"/>
              <w:rPr>
                <w:lang w:val="en-AU"/>
              </w:rPr>
            </w:pPr>
            <w:r w:rsidRPr="00A655A1">
              <w:rPr>
                <w:lang w:val="en-AU"/>
              </w:rPr>
              <w:t>N</w:t>
            </w:r>
          </w:p>
        </w:tc>
        <w:tc>
          <w:tcPr>
            <w:tcW w:w="866"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913FBD">
            <w:pPr>
              <w:pStyle w:val="In-tableHeading"/>
              <w:jc w:val="center"/>
              <w:rPr>
                <w:lang w:val="en-AU"/>
              </w:rPr>
            </w:pPr>
            <w:r w:rsidRPr="00A655A1">
              <w:rPr>
                <w:lang w:val="en-AU"/>
              </w:rPr>
              <w:t>Design</w:t>
            </w:r>
          </w:p>
        </w:tc>
        <w:tc>
          <w:tcPr>
            <w:tcW w:w="471"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In-tableHeading"/>
              <w:jc w:val="center"/>
              <w:rPr>
                <w:lang w:val="en-AU"/>
              </w:rPr>
            </w:pPr>
            <w:r w:rsidRPr="00A655A1">
              <w:rPr>
                <w:lang w:val="en-AU"/>
              </w:rPr>
              <w:t>Risk of bias</w:t>
            </w:r>
          </w:p>
        </w:tc>
        <w:tc>
          <w:tcPr>
            <w:tcW w:w="866"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In-tableHeading"/>
              <w:jc w:val="center"/>
              <w:rPr>
                <w:lang w:val="en-AU"/>
              </w:rPr>
            </w:pPr>
            <w:r w:rsidRPr="00A655A1">
              <w:rPr>
                <w:lang w:val="en-AU"/>
              </w:rPr>
              <w:t>Patient population</w:t>
            </w:r>
          </w:p>
        </w:tc>
        <w:tc>
          <w:tcPr>
            <w:tcW w:w="1100"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In-tableHeading"/>
              <w:jc w:val="center"/>
              <w:rPr>
                <w:lang w:val="en-AU"/>
              </w:rPr>
            </w:pPr>
            <w:r w:rsidRPr="00A655A1">
              <w:rPr>
                <w:lang w:val="en-AU"/>
              </w:rPr>
              <w:t>Outcome(s)</w:t>
            </w:r>
          </w:p>
        </w:tc>
        <w:tc>
          <w:tcPr>
            <w:tcW w:w="758"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In-tableHeading"/>
              <w:jc w:val="center"/>
              <w:rPr>
                <w:lang w:val="en-AU"/>
              </w:rPr>
            </w:pPr>
            <w:r w:rsidRPr="00A655A1">
              <w:rPr>
                <w:lang w:val="en-AU"/>
              </w:rPr>
              <w:t>Use in modelled evaluation</w:t>
            </w:r>
          </w:p>
        </w:tc>
      </w:tr>
      <w:tr w:rsidR="00A15C4B" w:rsidRPr="00A655A1" w:rsidTr="00A15C4B">
        <w:trPr>
          <w:cantSplit/>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In-tableHeading"/>
              <w:rPr>
                <w:lang w:val="en-AU"/>
              </w:rPr>
            </w:pPr>
            <w:r w:rsidRPr="00A655A1">
              <w:rPr>
                <w:lang w:val="en-AU"/>
              </w:rPr>
              <w:t>SBd vs. Bd</w:t>
            </w:r>
          </w:p>
        </w:tc>
      </w:tr>
      <w:tr w:rsidR="00A15C4B" w:rsidRPr="00A655A1" w:rsidTr="00913FBD">
        <w:trPr>
          <w:cantSplit/>
        </w:trPr>
        <w:tc>
          <w:tcPr>
            <w:tcW w:w="625"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pPr>
            <w:r w:rsidRPr="00A655A1">
              <w:t>BOSTON</w:t>
            </w:r>
            <w:r w:rsidRPr="00A655A1">
              <w:rPr>
                <w:vertAlign w:val="superscript"/>
              </w:rPr>
              <w:t>1, 2, 3</w:t>
            </w:r>
          </w:p>
        </w:tc>
        <w:tc>
          <w:tcPr>
            <w:tcW w:w="314"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402</w:t>
            </w:r>
          </w:p>
        </w:tc>
        <w:tc>
          <w:tcPr>
            <w:tcW w:w="866"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R, OL, phase 3, 2-arm, global, active comparator-controlled, multicentre study</w:t>
            </w:r>
          </w:p>
        </w:tc>
        <w:tc>
          <w:tcPr>
            <w:tcW w:w="471"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 xml:space="preserve">Low </w:t>
            </w:r>
          </w:p>
        </w:tc>
        <w:tc>
          <w:tcPr>
            <w:tcW w:w="866"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Patients with RRMM who had 1-3 prior treatments</w:t>
            </w:r>
          </w:p>
        </w:tc>
        <w:tc>
          <w:tcPr>
            <w:tcW w:w="1100"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Primary:</w:t>
            </w:r>
            <w:r w:rsidR="00913FBD" w:rsidRPr="00A655A1">
              <w:t xml:space="preserve"> </w:t>
            </w:r>
            <w:r w:rsidRPr="00A655A1">
              <w:t>PFS</w:t>
            </w:r>
          </w:p>
          <w:p w:rsidR="00A15C4B" w:rsidRPr="00A655A1" w:rsidRDefault="00A15C4B" w:rsidP="00913FBD">
            <w:pPr>
              <w:pStyle w:val="TableText0"/>
              <w:jc w:val="center"/>
            </w:pPr>
            <w:r w:rsidRPr="00A655A1">
              <w:t>Secondary:</w:t>
            </w:r>
            <w:r w:rsidR="00913FBD" w:rsidRPr="00A655A1">
              <w:t xml:space="preserve"> </w:t>
            </w:r>
            <w:r w:rsidRPr="00A655A1">
              <w:t>ORR, ≥VGPR, PN, OS, DOR, TTNT, safety and tolerability.</w:t>
            </w:r>
          </w:p>
        </w:tc>
        <w:tc>
          <w:tcPr>
            <w:tcW w:w="758"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PFS, OS and TTNT used in the CUA</w:t>
            </w:r>
          </w:p>
        </w:tc>
      </w:tr>
      <w:tr w:rsidR="00A15C4B" w:rsidRPr="00A655A1" w:rsidTr="00A15C4B">
        <w:trPr>
          <w:cantSplit/>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rPr>
                <w:b/>
                <w:bCs w:val="0"/>
              </w:rPr>
            </w:pPr>
            <w:r w:rsidRPr="00A655A1">
              <w:rPr>
                <w:b/>
                <w:bCs w:val="0"/>
              </w:rPr>
              <w:t>Cd vs. Bd</w:t>
            </w:r>
          </w:p>
        </w:tc>
      </w:tr>
      <w:tr w:rsidR="00A15C4B" w:rsidRPr="00A655A1" w:rsidTr="00913FBD">
        <w:trPr>
          <w:cantSplit/>
        </w:trPr>
        <w:tc>
          <w:tcPr>
            <w:tcW w:w="625"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pPr>
            <w:r w:rsidRPr="00A655A1">
              <w:t>ENDEAVOR</w:t>
            </w:r>
            <w:r w:rsidRPr="00A655A1">
              <w:rPr>
                <w:vertAlign w:val="superscript"/>
              </w:rPr>
              <w:t>3</w:t>
            </w:r>
          </w:p>
        </w:tc>
        <w:tc>
          <w:tcPr>
            <w:tcW w:w="314"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929</w:t>
            </w:r>
          </w:p>
        </w:tc>
        <w:tc>
          <w:tcPr>
            <w:tcW w:w="866"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R, OL, phase 3, multicentre study</w:t>
            </w:r>
          </w:p>
        </w:tc>
        <w:tc>
          <w:tcPr>
            <w:tcW w:w="471"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 xml:space="preserve">Low </w:t>
            </w:r>
          </w:p>
        </w:tc>
        <w:tc>
          <w:tcPr>
            <w:tcW w:w="866"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Patients with RRMM who had 1-3 prior treatments</w:t>
            </w:r>
          </w:p>
        </w:tc>
        <w:tc>
          <w:tcPr>
            <w:tcW w:w="1100"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Primary:</w:t>
            </w:r>
            <w:r w:rsidR="00913FBD" w:rsidRPr="00A655A1">
              <w:t xml:space="preserve"> </w:t>
            </w:r>
            <w:r w:rsidRPr="00A655A1">
              <w:t>PFS</w:t>
            </w:r>
          </w:p>
          <w:p w:rsidR="00A15C4B" w:rsidRPr="00A655A1" w:rsidRDefault="00A15C4B" w:rsidP="00913FBD">
            <w:pPr>
              <w:pStyle w:val="TableText0"/>
              <w:jc w:val="center"/>
            </w:pPr>
            <w:r w:rsidRPr="00A655A1">
              <w:t>Secondary:</w:t>
            </w:r>
            <w:r w:rsidR="00913FBD" w:rsidRPr="00A655A1">
              <w:t xml:space="preserve"> </w:t>
            </w:r>
            <w:r w:rsidRPr="00A655A1">
              <w:t>OS, ORR, DOR, incidence of Grade ≥ 2 PN, safety.</w:t>
            </w:r>
          </w:p>
        </w:tc>
        <w:tc>
          <w:tcPr>
            <w:tcW w:w="758"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 xml:space="preserve">Formed part of CMA </w:t>
            </w:r>
          </w:p>
        </w:tc>
      </w:tr>
    </w:tbl>
    <w:p w:rsidR="00A15C4B" w:rsidRPr="00A655A1" w:rsidRDefault="00A15C4B" w:rsidP="00A15C4B">
      <w:pPr>
        <w:pStyle w:val="TableFigureFooter"/>
      </w:pPr>
      <w:r w:rsidRPr="00A655A1">
        <w:t>Source: Source: Table 2-37, p103 of the submission.</w:t>
      </w:r>
    </w:p>
    <w:p w:rsidR="00A15C4B" w:rsidRPr="00A655A1" w:rsidRDefault="00A15C4B" w:rsidP="00A15C4B">
      <w:pPr>
        <w:pStyle w:val="TableFigureFooter"/>
      </w:pPr>
      <w:r w:rsidRPr="00A655A1">
        <w:t xml:space="preserve">Bd = bortezomib + dexamethasone; Cd = carfilzomib + dexamethasone; CMA = cost minimisation analysis; CUA = cost utility analysis; </w:t>
      </w:r>
      <w:r w:rsidR="006D7925" w:rsidRPr="00A655A1">
        <w:t xml:space="preserve">DOR = duration of response; </w:t>
      </w:r>
      <w:r w:rsidRPr="00A655A1">
        <w:t xml:space="preserve">IMWG = International Myeloma Working Group; </w:t>
      </w:r>
      <w:r w:rsidR="006D7925" w:rsidRPr="00A655A1">
        <w:t xml:space="preserve">IRC = Independent Review Committee; ITC = indirect treatment comparison; </w:t>
      </w:r>
      <w:r w:rsidRPr="00A655A1">
        <w:t xml:space="preserve">OL = open-label; ORR = overall response rate; OS = overall survival; PFS = progression free survival; PN = peripheral neuropathy; R = randomised; </w:t>
      </w:r>
      <w:r w:rsidR="006D7925" w:rsidRPr="00A655A1">
        <w:t xml:space="preserve">RRMM = relapsed and/or refractory multiple myeloma; </w:t>
      </w:r>
      <w:r w:rsidRPr="00A655A1">
        <w:t>SBd = selinexor + bortezomib + dexamethasone; TTNT = time to next treatment; VGPR = very good partial response.</w:t>
      </w:r>
    </w:p>
    <w:p w:rsidR="00A15C4B" w:rsidRPr="00A655A1" w:rsidRDefault="00A15C4B" w:rsidP="00A15C4B">
      <w:pPr>
        <w:pStyle w:val="TableFigureFooter"/>
      </w:pPr>
      <w:r w:rsidRPr="00A655A1">
        <w:t xml:space="preserve">1. Crossover from the Bd </w:t>
      </w:r>
      <w:r w:rsidR="006D7925" w:rsidRPr="00A655A1">
        <w:t>a</w:t>
      </w:r>
      <w:r w:rsidRPr="00A655A1">
        <w:t>rm to a treatment that included selinexor was allowed at the point of IRC-confirmed objective disease progression per the IMWG criteria for patients in the Bd arm.</w:t>
      </w:r>
    </w:p>
    <w:p w:rsidR="00A15C4B" w:rsidRPr="00A655A1" w:rsidRDefault="00A15C4B" w:rsidP="00A15C4B">
      <w:pPr>
        <w:pStyle w:val="TableFigureFooter"/>
      </w:pPr>
      <w:r w:rsidRPr="00A655A1">
        <w:t>2. Used for direct comparison of SBd versus Bd (primary comparator).</w:t>
      </w:r>
    </w:p>
    <w:p w:rsidR="00A15C4B" w:rsidRPr="00A655A1" w:rsidRDefault="00A15C4B" w:rsidP="00A15C4B">
      <w:pPr>
        <w:pStyle w:val="TableFigureFooter"/>
      </w:pPr>
      <w:r w:rsidRPr="00A655A1">
        <w:t xml:space="preserve">3. Used for ITC of SBd versus Cd (secondary comparator).  </w:t>
      </w:r>
    </w:p>
    <w:p w:rsidR="006D7925" w:rsidRPr="00A655A1" w:rsidRDefault="006D7925" w:rsidP="00A15C4B">
      <w:pPr>
        <w:pStyle w:val="TableFigureFooter"/>
      </w:pPr>
    </w:p>
    <w:p w:rsidR="00A15C4B" w:rsidRPr="00A655A1" w:rsidRDefault="00A15C4B" w:rsidP="00707864">
      <w:pPr>
        <w:pStyle w:val="3-BodyText"/>
        <w:numPr>
          <w:ilvl w:val="1"/>
          <w:numId w:val="7"/>
        </w:numPr>
        <w:snapToGrid w:val="0"/>
        <w:rPr>
          <w:iCs/>
        </w:rPr>
      </w:pPr>
      <w:r w:rsidRPr="00A655A1">
        <w:rPr>
          <w:iCs/>
        </w:rPr>
        <w:t xml:space="preserve">The overall risk of bias in BOSTON and ENDEAVOR was considered </w:t>
      </w:r>
      <w:r w:rsidR="008C4249" w:rsidRPr="00A655A1">
        <w:rPr>
          <w:iCs/>
        </w:rPr>
        <w:t>low</w:t>
      </w:r>
      <w:r w:rsidRPr="00A655A1">
        <w:rPr>
          <w:iCs/>
        </w:rPr>
        <w:t xml:space="preserve">. The potential sources of bias included: </w:t>
      </w:r>
    </w:p>
    <w:p w:rsidR="003F32FE" w:rsidRPr="00A655A1" w:rsidRDefault="00A15C4B" w:rsidP="00707864">
      <w:pPr>
        <w:pStyle w:val="3-BodyText"/>
        <w:numPr>
          <w:ilvl w:val="0"/>
          <w:numId w:val="9"/>
        </w:numPr>
        <w:snapToGrid w:val="0"/>
        <w:ind w:left="1077" w:hanging="357"/>
        <w:rPr>
          <w:iCs/>
        </w:rPr>
      </w:pPr>
      <w:r w:rsidRPr="00A655A1">
        <w:rPr>
          <w:iCs/>
        </w:rPr>
        <w:t>the open-label nature of both trials</w:t>
      </w:r>
      <w:r w:rsidR="003171AE" w:rsidRPr="00A655A1">
        <w:rPr>
          <w:iCs/>
        </w:rPr>
        <w:t xml:space="preserve">. This meant that the </w:t>
      </w:r>
      <w:r w:rsidRPr="00A655A1">
        <w:rPr>
          <w:iCs/>
        </w:rPr>
        <w:t>assessment of subjective outcomes such as treatment-related adverse events m</w:t>
      </w:r>
      <w:r w:rsidR="003171AE" w:rsidRPr="00A655A1">
        <w:rPr>
          <w:iCs/>
        </w:rPr>
        <w:t>ight have been</w:t>
      </w:r>
      <w:r w:rsidRPr="00A655A1">
        <w:rPr>
          <w:iCs/>
        </w:rPr>
        <w:t xml:space="preserve"> biased</w:t>
      </w:r>
      <w:r w:rsidR="00612A11" w:rsidRPr="00A655A1">
        <w:rPr>
          <w:iCs/>
        </w:rPr>
        <w:t>. However, the PBAC previously noted that the assessment of PFS in ENDEAVOR was blinded and was based on objective measures of response (para</w:t>
      </w:r>
      <w:r w:rsidR="00CD497B" w:rsidRPr="00A655A1">
        <w:rPr>
          <w:iCs/>
        </w:rPr>
        <w:t>graph</w:t>
      </w:r>
      <w:r w:rsidR="00612A11" w:rsidRPr="00A655A1">
        <w:rPr>
          <w:iCs/>
        </w:rPr>
        <w:t xml:space="preserve"> 7.5, </w:t>
      </w:r>
      <w:r w:rsidR="00CD497B" w:rsidRPr="00A655A1">
        <w:rPr>
          <w:iCs/>
        </w:rPr>
        <w:t>c</w:t>
      </w:r>
      <w:r w:rsidR="00612A11" w:rsidRPr="00A655A1">
        <w:rPr>
          <w:iCs/>
        </w:rPr>
        <w:t xml:space="preserve">arfilzomib PSD, November 2016). </w:t>
      </w:r>
      <w:r w:rsidR="00612A11" w:rsidRPr="00A655A1">
        <w:t>The same consideration of the extent of bias is likely to be applicable to the conduct and evidence from BOSTON</w:t>
      </w:r>
      <w:r w:rsidR="003171AE" w:rsidRPr="00A655A1">
        <w:rPr>
          <w:iCs/>
        </w:rPr>
        <w:t>;</w:t>
      </w:r>
      <w:r w:rsidRPr="00A655A1">
        <w:rPr>
          <w:iCs/>
        </w:rPr>
        <w:t xml:space="preserve"> </w:t>
      </w:r>
    </w:p>
    <w:p w:rsidR="00E96842" w:rsidRPr="00A655A1" w:rsidRDefault="003171AE" w:rsidP="00707864">
      <w:pPr>
        <w:pStyle w:val="3-BodyText"/>
        <w:numPr>
          <w:ilvl w:val="0"/>
          <w:numId w:val="9"/>
        </w:numPr>
        <w:snapToGrid w:val="0"/>
        <w:ind w:left="1077" w:hanging="357"/>
        <w:rPr>
          <w:iCs/>
        </w:rPr>
      </w:pPr>
      <w:r w:rsidRPr="00A655A1">
        <w:rPr>
          <w:iCs/>
        </w:rPr>
        <w:t>that b</w:t>
      </w:r>
      <w:r w:rsidR="008F7BD0" w:rsidRPr="00A655A1">
        <w:rPr>
          <w:iCs/>
        </w:rPr>
        <w:t>oth trials</w:t>
      </w:r>
      <w:r w:rsidR="002134DB" w:rsidRPr="00A655A1">
        <w:rPr>
          <w:iCs/>
        </w:rPr>
        <w:t xml:space="preserve"> </w:t>
      </w:r>
      <w:r w:rsidR="008F7BD0" w:rsidRPr="00A655A1">
        <w:rPr>
          <w:iCs/>
        </w:rPr>
        <w:t xml:space="preserve">included </w:t>
      </w:r>
      <w:r w:rsidR="00DA5DC2" w:rsidRPr="00A655A1">
        <w:rPr>
          <w:iCs/>
        </w:rPr>
        <w:t xml:space="preserve">a high proportion of </w:t>
      </w:r>
      <w:r w:rsidR="00E7777E" w:rsidRPr="00A655A1">
        <w:rPr>
          <w:iCs/>
        </w:rPr>
        <w:t xml:space="preserve">patients who had failed </w:t>
      </w:r>
      <w:r w:rsidR="0043212F" w:rsidRPr="00A655A1">
        <w:rPr>
          <w:iCs/>
        </w:rPr>
        <w:t xml:space="preserve">prior </w:t>
      </w:r>
      <w:r w:rsidR="00D61FB3" w:rsidRPr="00A655A1">
        <w:rPr>
          <w:iCs/>
        </w:rPr>
        <w:t>bortezomib</w:t>
      </w:r>
      <w:r w:rsidR="002204AC" w:rsidRPr="00A655A1">
        <w:rPr>
          <w:iCs/>
        </w:rPr>
        <w:t xml:space="preserve"> </w:t>
      </w:r>
      <w:r w:rsidR="002722B4" w:rsidRPr="00A655A1">
        <w:rPr>
          <w:iCs/>
        </w:rPr>
        <w:t xml:space="preserve">therapy </w:t>
      </w:r>
      <w:r w:rsidRPr="00A655A1">
        <w:rPr>
          <w:iCs/>
        </w:rPr>
        <w:t xml:space="preserve">(BOSTON: </w:t>
      </w:r>
      <w:r w:rsidR="002722B4" w:rsidRPr="00A655A1">
        <w:rPr>
          <w:iCs/>
        </w:rPr>
        <w:t>69.4</w:t>
      </w:r>
      <w:r w:rsidR="00B62D7E" w:rsidRPr="00A655A1">
        <w:rPr>
          <w:iCs/>
        </w:rPr>
        <w:t>%</w:t>
      </w:r>
      <w:r w:rsidRPr="00A655A1">
        <w:rPr>
          <w:iCs/>
        </w:rPr>
        <w:t xml:space="preserve">; ENDEAVOR: </w:t>
      </w:r>
      <w:r w:rsidR="00F57D47" w:rsidRPr="00A655A1">
        <w:rPr>
          <w:iCs/>
        </w:rPr>
        <w:t>54%</w:t>
      </w:r>
      <w:r w:rsidRPr="00A655A1">
        <w:rPr>
          <w:iCs/>
        </w:rPr>
        <w:t>);</w:t>
      </w:r>
      <w:r w:rsidR="00F57D47" w:rsidRPr="00A655A1">
        <w:rPr>
          <w:iCs/>
        </w:rPr>
        <w:t xml:space="preserve"> </w:t>
      </w:r>
      <w:r w:rsidR="002722B4" w:rsidRPr="00A655A1">
        <w:rPr>
          <w:iCs/>
        </w:rPr>
        <w:t xml:space="preserve"> </w:t>
      </w:r>
    </w:p>
    <w:p w:rsidR="00177CBF" w:rsidRPr="00A655A1" w:rsidRDefault="00612A11" w:rsidP="00707864">
      <w:pPr>
        <w:pStyle w:val="3-BodyText"/>
        <w:numPr>
          <w:ilvl w:val="0"/>
          <w:numId w:val="9"/>
        </w:numPr>
        <w:snapToGrid w:val="0"/>
        <w:ind w:left="1077" w:hanging="357"/>
        <w:rPr>
          <w:iCs/>
        </w:rPr>
      </w:pPr>
      <w:r w:rsidRPr="00A655A1">
        <w:rPr>
          <w:iCs/>
        </w:rPr>
        <w:t>that a</w:t>
      </w:r>
      <w:r w:rsidR="00A15C4B" w:rsidRPr="00A655A1">
        <w:rPr>
          <w:iCs/>
        </w:rPr>
        <w:t xml:space="preserve"> high proportion of patients (59% in SBd arm versus 40% in Bd arm) in </w:t>
      </w:r>
      <w:r w:rsidRPr="00A655A1">
        <w:rPr>
          <w:iCs/>
        </w:rPr>
        <w:t>the</w:t>
      </w:r>
      <w:r w:rsidR="00A15C4B" w:rsidRPr="00A655A1">
        <w:rPr>
          <w:iCs/>
        </w:rPr>
        <w:t xml:space="preserve"> BOSTON</w:t>
      </w:r>
      <w:r w:rsidRPr="00A655A1">
        <w:rPr>
          <w:iCs/>
        </w:rPr>
        <w:t xml:space="preserve"> trial</w:t>
      </w:r>
      <w:r w:rsidR="00A15C4B" w:rsidRPr="00A655A1">
        <w:rPr>
          <w:iCs/>
        </w:rPr>
        <w:t xml:space="preserve"> were censored (primarily due to treatment discontinuation) at the time of data cut-off for the primary analysis of PFS</w:t>
      </w:r>
      <w:r w:rsidRPr="00A655A1">
        <w:rPr>
          <w:iCs/>
        </w:rPr>
        <w:t>; and</w:t>
      </w:r>
    </w:p>
    <w:p w:rsidR="00432A3D" w:rsidRPr="00A655A1" w:rsidRDefault="00612A11" w:rsidP="00707864">
      <w:pPr>
        <w:pStyle w:val="3-BodyText"/>
        <w:numPr>
          <w:ilvl w:val="0"/>
          <w:numId w:val="9"/>
        </w:numPr>
        <w:snapToGrid w:val="0"/>
        <w:ind w:left="1077" w:hanging="357"/>
        <w:rPr>
          <w:iCs/>
        </w:rPr>
      </w:pPr>
      <w:r w:rsidRPr="00A655A1">
        <w:rPr>
          <w:iCs/>
        </w:rPr>
        <w:t xml:space="preserve">that </w:t>
      </w:r>
      <w:r w:rsidR="00177CBF" w:rsidRPr="00A655A1">
        <w:rPr>
          <w:iCs/>
        </w:rPr>
        <w:t xml:space="preserve">11 patients </w:t>
      </w:r>
      <w:r w:rsidR="00BF27B5" w:rsidRPr="00A655A1">
        <w:rPr>
          <w:iCs/>
        </w:rPr>
        <w:t xml:space="preserve">(5.6%) </w:t>
      </w:r>
      <w:r w:rsidR="00DB5723" w:rsidRPr="00A655A1">
        <w:rPr>
          <w:iCs/>
        </w:rPr>
        <w:t xml:space="preserve">in SBd arm and </w:t>
      </w:r>
      <w:r w:rsidR="0032799B" w:rsidRPr="00A655A1">
        <w:rPr>
          <w:iCs/>
        </w:rPr>
        <w:t>5 patients (</w:t>
      </w:r>
      <w:r w:rsidR="00870953" w:rsidRPr="00A655A1">
        <w:rPr>
          <w:iCs/>
        </w:rPr>
        <w:t>2.5</w:t>
      </w:r>
      <w:r w:rsidR="0032799B" w:rsidRPr="00A655A1">
        <w:rPr>
          <w:iCs/>
        </w:rPr>
        <w:t xml:space="preserve">%) in </w:t>
      </w:r>
      <w:r w:rsidR="00925E11" w:rsidRPr="00A655A1">
        <w:rPr>
          <w:iCs/>
        </w:rPr>
        <w:t xml:space="preserve">Bd arm </w:t>
      </w:r>
      <w:r w:rsidRPr="00A655A1">
        <w:rPr>
          <w:iCs/>
        </w:rPr>
        <w:t xml:space="preserve">of the BOSTON trial </w:t>
      </w:r>
      <w:r w:rsidR="00F91FD3" w:rsidRPr="00A655A1">
        <w:rPr>
          <w:iCs/>
        </w:rPr>
        <w:t>discontinued the study</w:t>
      </w:r>
      <w:r w:rsidR="00925E11" w:rsidRPr="00A655A1">
        <w:rPr>
          <w:iCs/>
        </w:rPr>
        <w:t xml:space="preserve"> </w:t>
      </w:r>
      <w:r w:rsidR="002A2E96" w:rsidRPr="00A655A1">
        <w:rPr>
          <w:iCs/>
        </w:rPr>
        <w:t xml:space="preserve">without </w:t>
      </w:r>
      <w:r w:rsidR="002A0FCE" w:rsidRPr="00A655A1">
        <w:rPr>
          <w:iCs/>
        </w:rPr>
        <w:t xml:space="preserve">confirmed </w:t>
      </w:r>
      <w:r w:rsidR="002A2E96" w:rsidRPr="00A655A1">
        <w:rPr>
          <w:iCs/>
        </w:rPr>
        <w:t>progressive disease</w:t>
      </w:r>
      <w:r w:rsidR="00D62302" w:rsidRPr="00A655A1">
        <w:rPr>
          <w:iCs/>
        </w:rPr>
        <w:t>,</w:t>
      </w:r>
      <w:r w:rsidR="00267B94" w:rsidRPr="00A655A1">
        <w:rPr>
          <w:iCs/>
        </w:rPr>
        <w:t xml:space="preserve"> </w:t>
      </w:r>
      <w:r w:rsidR="00D62302" w:rsidRPr="00A655A1">
        <w:rPr>
          <w:iCs/>
        </w:rPr>
        <w:t>and no</w:t>
      </w:r>
      <w:r w:rsidR="00267B94" w:rsidRPr="00A655A1">
        <w:rPr>
          <w:iCs/>
        </w:rPr>
        <w:t xml:space="preserve"> </w:t>
      </w:r>
      <w:r w:rsidR="0075009A" w:rsidRPr="00A655A1">
        <w:rPr>
          <w:iCs/>
        </w:rPr>
        <w:t xml:space="preserve">specific </w:t>
      </w:r>
      <w:r w:rsidR="00267B94" w:rsidRPr="00A655A1">
        <w:rPr>
          <w:iCs/>
        </w:rPr>
        <w:t xml:space="preserve">reason for </w:t>
      </w:r>
      <w:r w:rsidR="00BF5B90" w:rsidRPr="00A655A1">
        <w:rPr>
          <w:iCs/>
        </w:rPr>
        <w:t>their</w:t>
      </w:r>
      <w:r w:rsidR="00267B94" w:rsidRPr="00A655A1">
        <w:rPr>
          <w:iCs/>
        </w:rPr>
        <w:t xml:space="preserve"> withdrawal </w:t>
      </w:r>
      <w:r w:rsidR="008014B2" w:rsidRPr="00A655A1">
        <w:rPr>
          <w:iCs/>
        </w:rPr>
        <w:t>w</w:t>
      </w:r>
      <w:r w:rsidR="00F65168" w:rsidRPr="00A655A1">
        <w:rPr>
          <w:iCs/>
        </w:rPr>
        <w:t>as</w:t>
      </w:r>
      <w:r w:rsidR="00267B94" w:rsidRPr="00A655A1">
        <w:rPr>
          <w:iCs/>
        </w:rPr>
        <w:t xml:space="preserve"> reported</w:t>
      </w:r>
      <w:r w:rsidRPr="00A655A1">
        <w:rPr>
          <w:iCs/>
        </w:rPr>
        <w:t>.</w:t>
      </w:r>
      <w:r w:rsidR="00BF27B5" w:rsidRPr="00A655A1">
        <w:rPr>
          <w:iCs/>
        </w:rPr>
        <w:t xml:space="preserve"> </w:t>
      </w:r>
    </w:p>
    <w:p w:rsidR="00612A11" w:rsidRPr="00A655A1" w:rsidRDefault="00612A11" w:rsidP="00707864">
      <w:pPr>
        <w:pStyle w:val="3-BodyText"/>
        <w:numPr>
          <w:ilvl w:val="1"/>
          <w:numId w:val="7"/>
        </w:numPr>
        <w:snapToGrid w:val="0"/>
      </w:pPr>
      <w:r w:rsidRPr="00A655A1">
        <w:t xml:space="preserve">The eligibility criteria were similar for both trials with both recruiting RRMM patients who had received one to three prior therapies. </w:t>
      </w:r>
    </w:p>
    <w:p w:rsidR="00963237" w:rsidRPr="00A655A1" w:rsidRDefault="00A15C4B" w:rsidP="00707864">
      <w:pPr>
        <w:pStyle w:val="3-BodyText"/>
        <w:numPr>
          <w:ilvl w:val="1"/>
          <w:numId w:val="7"/>
        </w:numPr>
        <w:snapToGrid w:val="0"/>
      </w:pPr>
      <w:r w:rsidRPr="00A655A1">
        <w:t xml:space="preserve">Baseline demographic, disease, and clinical characteristics in BOSTON were balanced across the two treatment arms. </w:t>
      </w:r>
      <w:r w:rsidR="00012FB8" w:rsidRPr="00A655A1">
        <w:t>Similarly, b</w:t>
      </w:r>
      <w:r w:rsidRPr="00A655A1">
        <w:t xml:space="preserve">aseline characteristics of the ENDEAVOR population were </w:t>
      </w:r>
      <w:r w:rsidR="008C2386" w:rsidRPr="00A655A1">
        <w:t xml:space="preserve">also </w:t>
      </w:r>
      <w:r w:rsidRPr="00A655A1">
        <w:t>generally balanced between treatment arms</w:t>
      </w:r>
      <w:r w:rsidR="00012FB8" w:rsidRPr="00A655A1">
        <w:t>.</w:t>
      </w:r>
      <w:r w:rsidR="008E65F8" w:rsidRPr="00A655A1">
        <w:t xml:space="preserve"> </w:t>
      </w:r>
      <w:r w:rsidR="00612A11" w:rsidRPr="00A655A1">
        <w:t>Differences between the trials which may impac</w:t>
      </w:r>
      <w:r w:rsidR="00CE2697" w:rsidRPr="00A655A1">
        <w:t xml:space="preserve">t the transitivity </w:t>
      </w:r>
      <w:r w:rsidR="00612A11" w:rsidRPr="00A655A1">
        <w:t xml:space="preserve">of the </w:t>
      </w:r>
      <w:r w:rsidR="00CE2697" w:rsidRPr="00A655A1">
        <w:t>trials</w:t>
      </w:r>
      <w:r w:rsidR="00612A11" w:rsidRPr="00A655A1">
        <w:t xml:space="preserve"> included</w:t>
      </w:r>
      <w:r w:rsidR="00CE2697" w:rsidRPr="00A655A1">
        <w:t>:</w:t>
      </w:r>
    </w:p>
    <w:p w:rsidR="003D40E9" w:rsidRPr="00A655A1" w:rsidRDefault="00612A11" w:rsidP="00707864">
      <w:pPr>
        <w:pStyle w:val="3-BodyText"/>
        <w:numPr>
          <w:ilvl w:val="0"/>
          <w:numId w:val="15"/>
        </w:numPr>
        <w:snapToGrid w:val="0"/>
        <w:ind w:left="1077" w:hanging="357"/>
      </w:pPr>
      <w:r w:rsidRPr="00A655A1">
        <w:rPr>
          <w:iCs/>
        </w:rPr>
        <w:t>that p</w:t>
      </w:r>
      <w:r w:rsidR="003D40E9" w:rsidRPr="00A655A1">
        <w:rPr>
          <w:iCs/>
        </w:rPr>
        <w:t xml:space="preserve">atients in BOSTON </w:t>
      </w:r>
      <w:r w:rsidRPr="00A655A1">
        <w:rPr>
          <w:iCs/>
        </w:rPr>
        <w:t xml:space="preserve">were slightly older, </w:t>
      </w:r>
      <w:r w:rsidR="003D40E9" w:rsidRPr="00A655A1">
        <w:rPr>
          <w:iCs/>
        </w:rPr>
        <w:t>appear</w:t>
      </w:r>
      <w:r w:rsidRPr="00A655A1">
        <w:rPr>
          <w:iCs/>
        </w:rPr>
        <w:t>ed</w:t>
      </w:r>
      <w:r w:rsidR="003D40E9" w:rsidRPr="00A655A1">
        <w:rPr>
          <w:iCs/>
        </w:rPr>
        <w:t xml:space="preserve"> to have more advanced/severe disease </w:t>
      </w:r>
      <w:r w:rsidR="00601B0D" w:rsidRPr="00A655A1">
        <w:rPr>
          <w:iCs/>
        </w:rPr>
        <w:t>compare</w:t>
      </w:r>
      <w:r w:rsidR="001F74D3" w:rsidRPr="00A655A1">
        <w:rPr>
          <w:iCs/>
        </w:rPr>
        <w:t>d</w:t>
      </w:r>
      <w:r w:rsidR="00601B0D" w:rsidRPr="00A655A1">
        <w:rPr>
          <w:iCs/>
        </w:rPr>
        <w:t xml:space="preserve"> to ENDEAVOR</w:t>
      </w:r>
      <w:r w:rsidR="001F74D3" w:rsidRPr="00A655A1">
        <w:rPr>
          <w:iCs/>
        </w:rPr>
        <w:t>,</w:t>
      </w:r>
      <w:r w:rsidR="00601B0D" w:rsidRPr="00A655A1">
        <w:rPr>
          <w:iCs/>
        </w:rPr>
        <w:t xml:space="preserve"> </w:t>
      </w:r>
      <w:r w:rsidR="003D40E9" w:rsidRPr="00A655A1">
        <w:rPr>
          <w:iCs/>
        </w:rPr>
        <w:t xml:space="preserve">with a greater proportion of patients (67%) with higher stages of </w:t>
      </w:r>
      <w:r w:rsidR="0014488E" w:rsidRPr="00A655A1">
        <w:rPr>
          <w:iCs/>
        </w:rPr>
        <w:t>revised international staging system (</w:t>
      </w:r>
      <w:r w:rsidR="003D40E9" w:rsidRPr="00A655A1">
        <w:rPr>
          <w:iCs/>
        </w:rPr>
        <w:t>R-ISS</w:t>
      </w:r>
      <w:r w:rsidR="0014488E" w:rsidRPr="00A655A1">
        <w:rPr>
          <w:iCs/>
        </w:rPr>
        <w:t xml:space="preserve">; </w:t>
      </w:r>
      <w:r w:rsidR="003D40E9" w:rsidRPr="00A655A1">
        <w:rPr>
          <w:iCs/>
        </w:rPr>
        <w:t>stage II and III) disease</w:t>
      </w:r>
      <w:r w:rsidRPr="00A655A1">
        <w:rPr>
          <w:iCs/>
        </w:rPr>
        <w:t xml:space="preserve"> and higher average </w:t>
      </w:r>
      <w:r w:rsidR="0014488E" w:rsidRPr="00A655A1">
        <w:rPr>
          <w:iCs/>
        </w:rPr>
        <w:t>Eastern Cooperative Oncology Group (</w:t>
      </w:r>
      <w:r w:rsidRPr="00A655A1">
        <w:rPr>
          <w:iCs/>
        </w:rPr>
        <w:t>ECOG</w:t>
      </w:r>
      <w:r w:rsidR="0014488E" w:rsidRPr="00A655A1">
        <w:rPr>
          <w:iCs/>
        </w:rPr>
        <w:t>)</w:t>
      </w:r>
      <w:r w:rsidRPr="00A655A1">
        <w:rPr>
          <w:iCs/>
        </w:rPr>
        <w:t xml:space="preserve"> performance status</w:t>
      </w:r>
      <w:r w:rsidR="00D04195" w:rsidRPr="00A655A1">
        <w:rPr>
          <w:iCs/>
        </w:rPr>
        <w:t>;</w:t>
      </w:r>
      <w:r w:rsidR="003D40E9" w:rsidRPr="00A655A1">
        <w:t xml:space="preserve"> </w:t>
      </w:r>
    </w:p>
    <w:p w:rsidR="00D04195" w:rsidRPr="00A655A1" w:rsidRDefault="00612A11" w:rsidP="00707864">
      <w:pPr>
        <w:pStyle w:val="3-BodyText"/>
        <w:numPr>
          <w:ilvl w:val="0"/>
          <w:numId w:val="14"/>
        </w:numPr>
        <w:snapToGrid w:val="0"/>
        <w:ind w:left="1077" w:hanging="357"/>
      </w:pPr>
      <w:r w:rsidRPr="00A655A1">
        <w:t>t</w:t>
      </w:r>
      <w:r w:rsidR="000B42B9" w:rsidRPr="00A655A1">
        <w:t>he time</w:t>
      </w:r>
      <w:r w:rsidR="004919C9" w:rsidRPr="00A655A1">
        <w:t xml:space="preserve"> difference between the </w:t>
      </w:r>
      <w:r w:rsidR="000B42B9" w:rsidRPr="00A655A1">
        <w:t>trials</w:t>
      </w:r>
      <w:r w:rsidRPr="00A655A1">
        <w:t xml:space="preserve"> of </w:t>
      </w:r>
      <w:r w:rsidR="00E03117" w:rsidRPr="00A655A1">
        <w:t xml:space="preserve">five </w:t>
      </w:r>
      <w:r w:rsidR="000B42B9" w:rsidRPr="00A655A1">
        <w:t>years</w:t>
      </w:r>
      <w:r w:rsidRPr="00A655A1">
        <w:t xml:space="preserve">. The submission stated that this </w:t>
      </w:r>
      <w:r w:rsidR="000B42B9" w:rsidRPr="00A655A1">
        <w:t>partly explained the fact that</w:t>
      </w:r>
      <w:r w:rsidR="004919C9" w:rsidRPr="00A655A1">
        <w:t xml:space="preserve"> patients in BOSTON </w:t>
      </w:r>
      <w:r w:rsidR="000B42B9" w:rsidRPr="00A655A1">
        <w:t xml:space="preserve">had </w:t>
      </w:r>
      <w:r w:rsidR="004919C9" w:rsidRPr="00A655A1">
        <w:t xml:space="preserve">more advanced disease </w:t>
      </w:r>
      <w:r w:rsidR="000B42B9" w:rsidRPr="00A655A1">
        <w:t>and were</w:t>
      </w:r>
      <w:r w:rsidR="004919C9" w:rsidRPr="00A655A1">
        <w:t xml:space="preserve"> exposed to a wider range of prior therapies</w:t>
      </w:r>
      <w:r w:rsidR="000B42B9" w:rsidRPr="00A655A1">
        <w:t xml:space="preserve"> (5 prior unique therapies compared with 3 in ENDEAVOR)</w:t>
      </w:r>
      <w:r w:rsidR="00D04195" w:rsidRPr="00A655A1">
        <w:t>; and</w:t>
      </w:r>
      <w:r w:rsidR="004919C9" w:rsidRPr="00A655A1">
        <w:t xml:space="preserve"> </w:t>
      </w:r>
    </w:p>
    <w:p w:rsidR="008A64F3" w:rsidRPr="00A655A1" w:rsidRDefault="00D04195" w:rsidP="00707864">
      <w:pPr>
        <w:pStyle w:val="3-BodyText"/>
        <w:numPr>
          <w:ilvl w:val="0"/>
          <w:numId w:val="14"/>
        </w:numPr>
        <w:snapToGrid w:val="0"/>
        <w:ind w:left="1077" w:hanging="357"/>
        <w:rPr>
          <w:iCs/>
        </w:rPr>
      </w:pPr>
      <w:r w:rsidRPr="00A655A1">
        <w:rPr>
          <w:iCs/>
        </w:rPr>
        <w:t>that the</w:t>
      </w:r>
      <w:r w:rsidR="00612A11" w:rsidRPr="00A655A1">
        <w:rPr>
          <w:iCs/>
        </w:rPr>
        <w:t xml:space="preserve"> b</w:t>
      </w:r>
      <w:r w:rsidR="005236C4" w:rsidRPr="00A655A1">
        <w:rPr>
          <w:iCs/>
        </w:rPr>
        <w:t xml:space="preserve">ortezomib dosing regimen differed between </w:t>
      </w:r>
      <w:r w:rsidRPr="00A655A1">
        <w:rPr>
          <w:iCs/>
        </w:rPr>
        <w:t xml:space="preserve">the </w:t>
      </w:r>
      <w:r w:rsidR="005236C4" w:rsidRPr="00A655A1">
        <w:rPr>
          <w:iCs/>
        </w:rPr>
        <w:t>trials</w:t>
      </w:r>
      <w:r w:rsidRPr="00A655A1">
        <w:rPr>
          <w:iCs/>
        </w:rPr>
        <w:t xml:space="preserve">. In BOSTON bortezomib was administered twice weekly for the first eight cycles and once per week </w:t>
      </w:r>
      <w:r w:rsidR="00E03117" w:rsidRPr="00A655A1">
        <w:rPr>
          <w:iCs/>
        </w:rPr>
        <w:t>thereafter,</w:t>
      </w:r>
      <w:r w:rsidRPr="00A655A1">
        <w:rPr>
          <w:iCs/>
        </w:rPr>
        <w:t xml:space="preserve"> whereas in ENDEAVOR it was administered </w:t>
      </w:r>
      <w:r w:rsidR="005236C4" w:rsidRPr="00A655A1">
        <w:rPr>
          <w:iCs/>
        </w:rPr>
        <w:t xml:space="preserve">twice weekly </w:t>
      </w:r>
      <w:r w:rsidRPr="00A655A1">
        <w:rPr>
          <w:iCs/>
        </w:rPr>
        <w:t>for the entire treat</w:t>
      </w:r>
      <w:r w:rsidR="005236C4" w:rsidRPr="00A655A1">
        <w:rPr>
          <w:iCs/>
        </w:rPr>
        <w:t>ment duration</w:t>
      </w:r>
      <w:r w:rsidRPr="00A655A1">
        <w:rPr>
          <w:iCs/>
        </w:rPr>
        <w:t>.</w:t>
      </w:r>
    </w:p>
    <w:p w:rsidR="00D04195" w:rsidRPr="00A655A1" w:rsidRDefault="00A15C4B" w:rsidP="00707864">
      <w:pPr>
        <w:pStyle w:val="3-BodyText"/>
        <w:numPr>
          <w:ilvl w:val="1"/>
          <w:numId w:val="7"/>
        </w:numPr>
        <w:snapToGrid w:val="0"/>
      </w:pPr>
      <w:r w:rsidRPr="00A655A1">
        <w:t xml:space="preserve">Within BOSTON, seventy-four (36%) patients crossed over to SBd from Bd following progression. The submission presented </w:t>
      </w:r>
      <w:r w:rsidR="00F4210B" w:rsidRPr="00A655A1">
        <w:t xml:space="preserve">a </w:t>
      </w:r>
      <w:r w:rsidRPr="00A655A1">
        <w:t xml:space="preserve">switch-adjusted </w:t>
      </w:r>
      <w:r w:rsidR="00E03117" w:rsidRPr="00A655A1">
        <w:t xml:space="preserve">hazard ratio </w:t>
      </w:r>
      <w:r w:rsidRPr="00A655A1">
        <w:t xml:space="preserve">based on the two-stage estimation method (TSEM) comparing OS for SBd versus Bd. </w:t>
      </w:r>
      <w:r w:rsidR="00F4210B" w:rsidRPr="00A655A1">
        <w:t xml:space="preserve">The adjusted </w:t>
      </w:r>
      <w:r w:rsidR="003B3132" w:rsidRPr="00A655A1">
        <w:rPr>
          <w:iCs/>
        </w:rPr>
        <w:t xml:space="preserve">OS </w:t>
      </w:r>
      <w:r w:rsidR="008D7417" w:rsidRPr="00A655A1">
        <w:rPr>
          <w:iCs/>
        </w:rPr>
        <w:t>forms the basis of the economic model comparing SBd and Bd.</w:t>
      </w:r>
      <w:r w:rsidR="008D7417" w:rsidRPr="00A655A1">
        <w:t xml:space="preserve"> </w:t>
      </w:r>
    </w:p>
    <w:p w:rsidR="00D04195" w:rsidRPr="00A655A1" w:rsidRDefault="00D04195" w:rsidP="005F7DFE">
      <w:pPr>
        <w:pStyle w:val="Heading2"/>
        <w:keepNext/>
      </w:pPr>
      <w:bookmarkStart w:id="20" w:name="_Toc22897641"/>
      <w:bookmarkStart w:id="21" w:name="_Toc22898853"/>
      <w:bookmarkStart w:id="22" w:name="_Toc72314260"/>
      <w:r w:rsidRPr="00A655A1">
        <w:t>Comparative effectiveness</w:t>
      </w:r>
      <w:bookmarkEnd w:id="20"/>
      <w:bookmarkEnd w:id="21"/>
      <w:bookmarkEnd w:id="22"/>
    </w:p>
    <w:p w:rsidR="00D04195" w:rsidRPr="00A655A1" w:rsidRDefault="00D04195" w:rsidP="005F7DFE">
      <w:pPr>
        <w:keepNext/>
        <w:rPr>
          <w:u w:val="single"/>
        </w:rPr>
      </w:pPr>
    </w:p>
    <w:p w:rsidR="00D04195" w:rsidRPr="00A655A1" w:rsidRDefault="00D04195" w:rsidP="005F7DFE">
      <w:pPr>
        <w:keepNext/>
        <w:spacing w:after="120"/>
        <w:rPr>
          <w:u w:val="single"/>
        </w:rPr>
      </w:pPr>
      <w:r w:rsidRPr="00A655A1">
        <w:rPr>
          <w:u w:val="single"/>
        </w:rPr>
        <w:t>BOSTON (SBd versus Bd)</w:t>
      </w:r>
    </w:p>
    <w:p w:rsidR="008F3A84" w:rsidRPr="00A655A1" w:rsidRDefault="00A15C4B" w:rsidP="00E03117">
      <w:pPr>
        <w:pStyle w:val="3-BodyText"/>
        <w:numPr>
          <w:ilvl w:val="1"/>
          <w:numId w:val="7"/>
        </w:numPr>
        <w:snapToGrid w:val="0"/>
        <w:rPr>
          <w:i/>
        </w:rPr>
      </w:pPr>
      <w:r w:rsidRPr="00A655A1">
        <w:t>The median PFS was 13.9 months in the SBd arm and 9.4 months in the Bd arm (HR</w:t>
      </w:r>
      <w:r w:rsidR="00640D1C" w:rsidRPr="00A655A1">
        <w:t xml:space="preserve"> </w:t>
      </w:r>
      <w:r w:rsidR="001754F9" w:rsidRPr="00A655A1">
        <w:t>= 0.70</w:t>
      </w:r>
      <w:r w:rsidRPr="00A655A1">
        <w:t xml:space="preserve">; </w:t>
      </w:r>
      <w:r w:rsidR="00E03117" w:rsidRPr="00A655A1">
        <w:t>95% CI: 0.53, 0</w:t>
      </w:r>
      <w:r w:rsidR="00E03117" w:rsidRPr="00A655A1">
        <w:rPr>
          <w:i/>
        </w:rPr>
        <w:t>.</w:t>
      </w:r>
      <w:r w:rsidR="00E03117" w:rsidRPr="00A655A1">
        <w:rPr>
          <w:iCs/>
        </w:rPr>
        <w:t>93</w:t>
      </w:r>
      <w:r w:rsidRPr="00A655A1">
        <w:t xml:space="preserve">). The submission noted that this represents an increase in median PFS of more than 4.4 months and a 30% reduction in the risk of </w:t>
      </w:r>
      <w:r w:rsidR="0014488E" w:rsidRPr="00A655A1">
        <w:t>progressed disease</w:t>
      </w:r>
      <w:r w:rsidRPr="00A655A1">
        <w:t xml:space="preserve"> or death</w:t>
      </w:r>
      <w:r w:rsidR="00E03117" w:rsidRPr="00A655A1">
        <w:t xml:space="preserve"> (see Table 4 and Figure 2)</w:t>
      </w:r>
      <w:r w:rsidRPr="00A655A1">
        <w:t xml:space="preserve">. </w:t>
      </w:r>
    </w:p>
    <w:p w:rsidR="00A15C4B" w:rsidRPr="00A655A1" w:rsidRDefault="00A15C4B" w:rsidP="00A15C4B">
      <w:pPr>
        <w:pStyle w:val="TableFigureHeading"/>
        <w:widowControl w:val="0"/>
        <w:rPr>
          <w:b w:val="0"/>
        </w:rPr>
      </w:pPr>
      <w:r w:rsidRPr="00A655A1">
        <w:t>Table 4: Progression free survival by treatment arm (ITT population)</w:t>
      </w:r>
    </w:p>
    <w:tbl>
      <w:tblPr>
        <w:tblStyle w:val="TableGrid"/>
        <w:tblW w:w="0" w:type="auto"/>
        <w:tblLook w:val="04A0" w:firstRow="1" w:lastRow="0" w:firstColumn="1" w:lastColumn="0" w:noHBand="0" w:noVBand="1"/>
        <w:tblCaption w:val="Table 4: Progression free survival by treatment arm (ITT population)"/>
      </w:tblPr>
      <w:tblGrid>
        <w:gridCol w:w="4106"/>
        <w:gridCol w:w="2410"/>
        <w:gridCol w:w="2501"/>
      </w:tblGrid>
      <w:tr w:rsidR="00A15C4B" w:rsidRPr="00A655A1" w:rsidTr="00185816">
        <w:trPr>
          <w:tblHeader/>
        </w:trPr>
        <w:tc>
          <w:tcPr>
            <w:tcW w:w="4106" w:type="dxa"/>
            <w:tcBorders>
              <w:top w:val="single" w:sz="4" w:space="0" w:color="auto"/>
              <w:left w:val="single" w:sz="4" w:space="0" w:color="auto"/>
              <w:bottom w:val="single" w:sz="4" w:space="0" w:color="auto"/>
              <w:right w:val="single" w:sz="4" w:space="0" w:color="auto"/>
            </w:tcBorders>
          </w:tcPr>
          <w:p w:rsidR="00A15C4B" w:rsidRPr="00A655A1" w:rsidRDefault="00A15C4B">
            <w:pPr>
              <w:pStyle w:val="In-tableHeading"/>
              <w:keepNext w:val="0"/>
              <w:widowControl w:val="0"/>
              <w:rPr>
                <w:lang w:val="en-A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In-tableHeading"/>
              <w:keepNext w:val="0"/>
              <w:widowControl w:val="0"/>
              <w:jc w:val="center"/>
              <w:rPr>
                <w:lang w:val="en-AU"/>
              </w:rPr>
            </w:pPr>
            <w:r w:rsidRPr="00A655A1">
              <w:rPr>
                <w:lang w:val="en-AU"/>
              </w:rPr>
              <w:t>SBd arm</w:t>
            </w:r>
          </w:p>
          <w:p w:rsidR="00A15C4B" w:rsidRPr="00A655A1" w:rsidRDefault="00A15C4B">
            <w:pPr>
              <w:pStyle w:val="In-tableHeading"/>
              <w:keepNext w:val="0"/>
              <w:widowControl w:val="0"/>
              <w:jc w:val="center"/>
              <w:rPr>
                <w:lang w:val="en-AU"/>
              </w:rPr>
            </w:pPr>
            <w:r w:rsidRPr="00A655A1">
              <w:rPr>
                <w:lang w:val="en-AU"/>
              </w:rPr>
              <w:t>(N=195)</w:t>
            </w:r>
          </w:p>
        </w:tc>
        <w:tc>
          <w:tcPr>
            <w:tcW w:w="25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In-tableHeading"/>
              <w:keepNext w:val="0"/>
              <w:widowControl w:val="0"/>
              <w:jc w:val="center"/>
              <w:rPr>
                <w:lang w:val="en-AU"/>
              </w:rPr>
            </w:pPr>
            <w:r w:rsidRPr="00A655A1">
              <w:rPr>
                <w:lang w:val="en-AU"/>
              </w:rPr>
              <w:t>Bd arm</w:t>
            </w:r>
          </w:p>
          <w:p w:rsidR="00A15C4B" w:rsidRPr="00A655A1" w:rsidRDefault="00A15C4B">
            <w:pPr>
              <w:pStyle w:val="In-tableHeading"/>
              <w:keepNext w:val="0"/>
              <w:widowControl w:val="0"/>
              <w:jc w:val="center"/>
              <w:rPr>
                <w:lang w:val="en-AU"/>
              </w:rPr>
            </w:pPr>
            <w:r w:rsidRPr="00A655A1">
              <w:rPr>
                <w:lang w:val="en-AU"/>
              </w:rPr>
              <w:t>(N=207)</w:t>
            </w:r>
          </w:p>
        </w:tc>
      </w:tr>
      <w:tr w:rsidR="00A15C4B" w:rsidRPr="00A655A1" w:rsidTr="00A15C4B">
        <w:tc>
          <w:tcPr>
            <w:tcW w:w="4106" w:type="dxa"/>
            <w:tcBorders>
              <w:top w:val="single" w:sz="4" w:space="0" w:color="auto"/>
              <w:left w:val="single" w:sz="4" w:space="0" w:color="auto"/>
              <w:bottom w:val="single" w:sz="4" w:space="0" w:color="auto"/>
              <w:right w:val="single" w:sz="4" w:space="0" w:color="auto"/>
            </w:tcBorders>
            <w:hideMark/>
          </w:tcPr>
          <w:p w:rsidR="00A15C4B" w:rsidRPr="00A655A1" w:rsidRDefault="00B27569">
            <w:pPr>
              <w:pStyle w:val="TableText0"/>
              <w:keepNext w:val="0"/>
              <w:widowControl w:val="0"/>
            </w:pPr>
            <w:r w:rsidRPr="00A655A1">
              <w:t>Median p</w:t>
            </w:r>
            <w:r w:rsidR="00A15C4B" w:rsidRPr="00A655A1">
              <w:t>rogression-free survival</w:t>
            </w:r>
            <w:r w:rsidRPr="00A655A1">
              <w:t xml:space="preserve">, </w:t>
            </w:r>
            <w:r w:rsidR="00A15C4B" w:rsidRPr="00A655A1">
              <w:t xml:space="preserve">months </w:t>
            </w:r>
          </w:p>
        </w:tc>
        <w:tc>
          <w:tcPr>
            <w:tcW w:w="2410"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keepNext w:val="0"/>
              <w:widowControl w:val="0"/>
              <w:jc w:val="center"/>
            </w:pPr>
            <w:r w:rsidRPr="00A655A1">
              <w:t>13.9</w:t>
            </w:r>
          </w:p>
        </w:tc>
        <w:tc>
          <w:tcPr>
            <w:tcW w:w="25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keepNext w:val="0"/>
              <w:widowControl w:val="0"/>
              <w:jc w:val="center"/>
            </w:pPr>
            <w:r w:rsidRPr="00A655A1">
              <w:t>9.5</w:t>
            </w:r>
          </w:p>
        </w:tc>
      </w:tr>
      <w:tr w:rsidR="00A15C4B" w:rsidRPr="00A655A1" w:rsidTr="00A15C4B">
        <w:tc>
          <w:tcPr>
            <w:tcW w:w="4106"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keepNext w:val="0"/>
              <w:widowControl w:val="0"/>
            </w:pPr>
            <w:r w:rsidRPr="00A655A1">
              <w:t xml:space="preserve">95% CI </w:t>
            </w:r>
          </w:p>
        </w:tc>
        <w:tc>
          <w:tcPr>
            <w:tcW w:w="2410"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keepNext w:val="0"/>
              <w:widowControl w:val="0"/>
              <w:jc w:val="center"/>
            </w:pPr>
            <w:r w:rsidRPr="00A655A1">
              <w:t>11.73, NE</w:t>
            </w:r>
          </w:p>
        </w:tc>
        <w:tc>
          <w:tcPr>
            <w:tcW w:w="25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keepNext w:val="0"/>
              <w:widowControl w:val="0"/>
              <w:jc w:val="center"/>
            </w:pPr>
            <w:r w:rsidRPr="00A655A1">
              <w:t>8.11, 10.78</w:t>
            </w:r>
          </w:p>
        </w:tc>
      </w:tr>
      <w:tr w:rsidR="00A15C4B" w:rsidRPr="00A655A1" w:rsidTr="00A15C4B">
        <w:tc>
          <w:tcPr>
            <w:tcW w:w="4106"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keepNext w:val="0"/>
              <w:widowControl w:val="0"/>
            </w:pPr>
            <w:r w:rsidRPr="00A655A1">
              <w:t xml:space="preserve">Stratified log-rank test </w:t>
            </w:r>
            <w:r w:rsidRPr="00A655A1">
              <w:rPr>
                <w:vertAlign w:val="superscript"/>
              </w:rPr>
              <w:t>a</w:t>
            </w:r>
            <w:r w:rsidRPr="00A655A1">
              <w:t xml:space="preserve"> </w:t>
            </w:r>
            <w:r w:rsidR="00B27569" w:rsidRPr="00A655A1">
              <w:t>o</w:t>
            </w:r>
            <w:r w:rsidRPr="00A655A1">
              <w:t>ne</w:t>
            </w:r>
            <w:r w:rsidR="00B27569" w:rsidRPr="00A655A1">
              <w:t>-</w:t>
            </w:r>
            <w:r w:rsidRPr="00A655A1">
              <w:t xml:space="preserve">sided </w:t>
            </w:r>
            <w:r w:rsidR="00B27569" w:rsidRPr="00A655A1">
              <w:t>p</w:t>
            </w:r>
            <w:r w:rsidRPr="00A655A1">
              <w:t xml:space="preserve">-value </w:t>
            </w:r>
          </w:p>
        </w:tc>
        <w:tc>
          <w:tcPr>
            <w:tcW w:w="4911" w:type="dxa"/>
            <w:gridSpan w:val="2"/>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keepNext w:val="0"/>
              <w:widowControl w:val="0"/>
              <w:jc w:val="center"/>
              <w:rPr>
                <w:b/>
                <w:bCs w:val="0"/>
              </w:rPr>
            </w:pPr>
            <w:r w:rsidRPr="00A655A1">
              <w:rPr>
                <w:b/>
                <w:bCs w:val="0"/>
              </w:rPr>
              <w:t>0.0075</w:t>
            </w:r>
          </w:p>
        </w:tc>
      </w:tr>
      <w:tr w:rsidR="00A15C4B" w:rsidRPr="00A655A1" w:rsidTr="00A15C4B">
        <w:tc>
          <w:tcPr>
            <w:tcW w:w="4106"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keepNext w:val="0"/>
              <w:widowControl w:val="0"/>
            </w:pPr>
            <w:r w:rsidRPr="00A655A1">
              <w:t xml:space="preserve">Hazard ratio </w:t>
            </w:r>
            <w:r w:rsidRPr="00A655A1">
              <w:rPr>
                <w:vertAlign w:val="superscript"/>
              </w:rPr>
              <w:t>a,b</w:t>
            </w:r>
            <w:r w:rsidRPr="00A655A1">
              <w:t xml:space="preserve"> (95% CI) </w:t>
            </w:r>
          </w:p>
        </w:tc>
        <w:tc>
          <w:tcPr>
            <w:tcW w:w="4911" w:type="dxa"/>
            <w:gridSpan w:val="2"/>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keepNext w:val="0"/>
              <w:widowControl w:val="0"/>
              <w:jc w:val="center"/>
              <w:rPr>
                <w:b/>
                <w:bCs w:val="0"/>
              </w:rPr>
            </w:pPr>
            <w:r w:rsidRPr="00A655A1">
              <w:rPr>
                <w:b/>
                <w:bCs w:val="0"/>
              </w:rPr>
              <w:t>0.70 (0.53, 0.93)</w:t>
            </w:r>
          </w:p>
        </w:tc>
      </w:tr>
    </w:tbl>
    <w:p w:rsidR="00A15C4B" w:rsidRPr="00A655A1" w:rsidRDefault="00A15C4B" w:rsidP="00A15C4B">
      <w:pPr>
        <w:widowControl w:val="0"/>
        <w:rPr>
          <w:rFonts w:ascii="Arial Narrow" w:hAnsi="Arial Narrow"/>
          <w:snapToGrid w:val="0"/>
          <w:sz w:val="18"/>
          <w:szCs w:val="22"/>
        </w:rPr>
      </w:pPr>
      <w:r w:rsidRPr="00A655A1">
        <w:rPr>
          <w:rFonts w:ascii="Arial Narrow" w:hAnsi="Arial Narrow"/>
          <w:snapToGrid w:val="0"/>
          <w:sz w:val="18"/>
          <w:szCs w:val="22"/>
        </w:rPr>
        <w:t xml:space="preserve">Source: Table 2-15, p72 of the submission. </w:t>
      </w:r>
    </w:p>
    <w:p w:rsidR="00A15C4B" w:rsidRPr="00A655A1" w:rsidRDefault="00A15C4B" w:rsidP="00A15C4B">
      <w:pPr>
        <w:widowControl w:val="0"/>
        <w:rPr>
          <w:rFonts w:ascii="Arial Narrow" w:hAnsi="Arial Narrow"/>
          <w:snapToGrid w:val="0"/>
          <w:sz w:val="18"/>
          <w:szCs w:val="22"/>
        </w:rPr>
      </w:pPr>
      <w:r w:rsidRPr="00A655A1">
        <w:rPr>
          <w:rFonts w:ascii="Arial Narrow" w:hAnsi="Arial Narrow"/>
          <w:snapToGrid w:val="0"/>
          <w:sz w:val="18"/>
          <w:szCs w:val="22"/>
        </w:rPr>
        <w:t xml:space="preserve">Bd = bortezomib + dexamethasone; CI = confidence interval; ITT = intent to treat; IRC = independent review committee; NE = not estimable; PD = progressive disease; SBd = selinexor + bortezomib + dexamethasone. </w:t>
      </w:r>
    </w:p>
    <w:p w:rsidR="00A15C4B" w:rsidRPr="00A655A1" w:rsidRDefault="00A15C4B" w:rsidP="00A15C4B">
      <w:pPr>
        <w:widowControl w:val="0"/>
        <w:rPr>
          <w:rFonts w:ascii="Arial Narrow" w:hAnsi="Arial Narrow"/>
          <w:snapToGrid w:val="0"/>
          <w:sz w:val="18"/>
          <w:szCs w:val="22"/>
        </w:rPr>
      </w:pPr>
      <w:r w:rsidRPr="00A655A1">
        <w:rPr>
          <w:rFonts w:ascii="Arial Narrow" w:hAnsi="Arial Narrow"/>
          <w:snapToGrid w:val="0"/>
          <w:sz w:val="18"/>
          <w:szCs w:val="22"/>
        </w:rPr>
        <w:t xml:space="preserve">Notes: </w:t>
      </w:r>
      <w:r w:rsidRPr="00A655A1">
        <w:rPr>
          <w:rFonts w:ascii="Arial Narrow" w:hAnsi="Arial Narrow"/>
          <w:b/>
          <w:bCs/>
          <w:snapToGrid w:val="0"/>
          <w:sz w:val="18"/>
          <w:szCs w:val="22"/>
        </w:rPr>
        <w:t xml:space="preserve">Bold </w:t>
      </w:r>
      <w:r w:rsidRPr="00A655A1">
        <w:rPr>
          <w:rFonts w:ascii="Arial Narrow" w:hAnsi="Arial Narrow"/>
          <w:snapToGrid w:val="0"/>
          <w:sz w:val="18"/>
          <w:szCs w:val="22"/>
        </w:rPr>
        <w:t>indicates a statistically significant difference.</w:t>
      </w:r>
    </w:p>
    <w:p w:rsidR="00A15C4B" w:rsidRPr="00A655A1" w:rsidRDefault="00A15C4B" w:rsidP="00A15C4B">
      <w:pPr>
        <w:widowControl w:val="0"/>
        <w:rPr>
          <w:rFonts w:ascii="Arial Narrow" w:hAnsi="Arial Narrow"/>
          <w:snapToGrid w:val="0"/>
          <w:sz w:val="18"/>
          <w:szCs w:val="22"/>
        </w:rPr>
      </w:pPr>
      <w:r w:rsidRPr="00A655A1">
        <w:rPr>
          <w:rFonts w:ascii="Arial Narrow" w:hAnsi="Arial Narrow"/>
          <w:snapToGrid w:val="0"/>
          <w:sz w:val="18"/>
          <w:szCs w:val="22"/>
        </w:rPr>
        <w:t>Progression-free survival is calculated from date of randomisation until the first date of IRC-confirmed PD per International Myeloma Working Group response criteria, or death due to any cause, whichever occurs first.</w:t>
      </w:r>
    </w:p>
    <w:p w:rsidR="00A15C4B" w:rsidRPr="00A655A1" w:rsidRDefault="00A15C4B" w:rsidP="00A15C4B">
      <w:pPr>
        <w:widowControl w:val="0"/>
        <w:rPr>
          <w:rFonts w:ascii="Arial Narrow" w:hAnsi="Arial Narrow"/>
          <w:snapToGrid w:val="0"/>
          <w:sz w:val="18"/>
          <w:szCs w:val="22"/>
        </w:rPr>
      </w:pPr>
      <w:r w:rsidRPr="00A655A1">
        <w:rPr>
          <w:rFonts w:ascii="Arial Narrow" w:hAnsi="Arial Narrow"/>
          <w:snapToGrid w:val="0"/>
          <w:sz w:val="18"/>
          <w:szCs w:val="22"/>
        </w:rPr>
        <w:t>a. Stratified for prior proteasome inhibitor therapies, number of prior anti-MM regimens and R-ISS Stage at study entry.</w:t>
      </w:r>
    </w:p>
    <w:p w:rsidR="00A15C4B" w:rsidRPr="00A655A1" w:rsidRDefault="00A15C4B" w:rsidP="00A15C4B">
      <w:pPr>
        <w:widowControl w:val="0"/>
        <w:rPr>
          <w:rFonts w:ascii="Arial Narrow" w:hAnsi="Arial Narrow"/>
          <w:snapToGrid w:val="0"/>
          <w:sz w:val="18"/>
          <w:szCs w:val="22"/>
        </w:rPr>
      </w:pPr>
      <w:r w:rsidRPr="00A655A1">
        <w:rPr>
          <w:rFonts w:ascii="Arial Narrow" w:hAnsi="Arial Narrow"/>
          <w:snapToGrid w:val="0"/>
          <w:sz w:val="18"/>
          <w:szCs w:val="22"/>
        </w:rPr>
        <w:t>b. Based on stratified Cox Proportional Hazard model with Efron's Method of handling ties.</w:t>
      </w:r>
    </w:p>
    <w:p w:rsidR="00A15C4B" w:rsidRPr="00A655A1" w:rsidRDefault="00A15C4B" w:rsidP="00A15C4B">
      <w:pPr>
        <w:widowControl w:val="0"/>
        <w:rPr>
          <w:rFonts w:ascii="Arial Narrow" w:hAnsi="Arial Narrow"/>
          <w:snapToGrid w:val="0"/>
          <w:sz w:val="18"/>
          <w:szCs w:val="22"/>
        </w:rPr>
      </w:pPr>
    </w:p>
    <w:p w:rsidR="00A15C4B" w:rsidRPr="00A655A1" w:rsidRDefault="00A15C4B" w:rsidP="00D04195">
      <w:pPr>
        <w:pStyle w:val="TableFigureFooter"/>
        <w:keepNext/>
        <w:rPr>
          <w:rFonts w:eastAsia="Calibri"/>
          <w:bCs/>
          <w:snapToGrid/>
        </w:rPr>
      </w:pPr>
      <w:r w:rsidRPr="00A655A1">
        <w:rPr>
          <w:rStyle w:val="CommentReference"/>
          <w:bCs/>
          <w:szCs w:val="24"/>
        </w:rPr>
        <w:t>Figure 2: Kaplan-Meier curve of PFS by treatment arm (ITT population)</w:t>
      </w:r>
    </w:p>
    <w:p w:rsidR="00A15C4B" w:rsidRPr="00A655A1" w:rsidRDefault="00A15C4B" w:rsidP="00D04195">
      <w:pPr>
        <w:pStyle w:val="TableFigureFooter"/>
        <w:keepNext/>
        <w:rPr>
          <w:rFonts w:eastAsia="Calibri"/>
        </w:rPr>
      </w:pPr>
      <w:r w:rsidRPr="00A655A1">
        <w:rPr>
          <w:noProof/>
        </w:rPr>
        <w:drawing>
          <wp:inline distT="0" distB="0" distL="0" distR="0" wp14:anchorId="4200F240" wp14:editId="395A5578">
            <wp:extent cx="5520690" cy="2286000"/>
            <wp:effectExtent l="0" t="0" r="3810" b="0"/>
            <wp:docPr id="10" name="Picture 10" descr="Graphical user interface, 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9">
                      <a:extLst>
                        <a:ext uri="{28A0092B-C50C-407E-A947-70E740481C1C}">
                          <a14:useLocalDpi xmlns:a14="http://schemas.microsoft.com/office/drawing/2010/main" val="0"/>
                        </a:ext>
                      </a:extLst>
                    </a:blip>
                    <a:srcRect/>
                    <a:stretch>
                      <a:fillRect/>
                    </a:stretch>
                  </pic:blipFill>
                  <pic:spPr>
                    <a:xfrm>
                      <a:off x="0" y="0"/>
                      <a:ext cx="5520690" cy="2286000"/>
                    </a:xfrm>
                    <a:prstGeom prst="rect">
                      <a:avLst/>
                    </a:prstGeom>
                  </pic:spPr>
                </pic:pic>
              </a:graphicData>
            </a:graphic>
          </wp:inline>
        </w:drawing>
      </w:r>
    </w:p>
    <w:p w:rsidR="00A15C4B" w:rsidRPr="00A655A1" w:rsidRDefault="00A15C4B" w:rsidP="00D04195">
      <w:pPr>
        <w:pStyle w:val="TableFigureFooter"/>
        <w:keepNext/>
      </w:pPr>
      <w:r w:rsidRPr="00A655A1">
        <w:t>Source: Figure 2-6, p73 of the submission.</w:t>
      </w:r>
    </w:p>
    <w:p w:rsidR="00A15C4B" w:rsidRPr="00A655A1" w:rsidRDefault="00A15C4B" w:rsidP="00A15C4B">
      <w:pPr>
        <w:pStyle w:val="TableFigureFooter"/>
      </w:pPr>
      <w:r w:rsidRPr="00A655A1">
        <w:t xml:space="preserve">CI = confidence interval; HR = hazard ratio; ITT = intent to treat; PFS = progression free survival. </w:t>
      </w:r>
    </w:p>
    <w:p w:rsidR="00A15C4B" w:rsidRPr="00A655A1" w:rsidRDefault="00A15C4B" w:rsidP="00A15C4B">
      <w:pPr>
        <w:pStyle w:val="TableFigureFooter"/>
        <w:rPr>
          <w:iCs/>
        </w:rPr>
      </w:pPr>
      <w:r w:rsidRPr="00A655A1">
        <w:t xml:space="preserve">Notes: </w:t>
      </w:r>
      <w:r w:rsidRPr="00A655A1">
        <w:rPr>
          <w:iCs/>
        </w:rPr>
        <w:t>The abbreviation of SVd referred to SBd (selinexor</w:t>
      </w:r>
      <w:r w:rsidR="00B27569" w:rsidRPr="00A655A1">
        <w:rPr>
          <w:iCs/>
        </w:rPr>
        <w:t xml:space="preserve"> +</w:t>
      </w:r>
      <w:r w:rsidRPr="00A655A1">
        <w:rPr>
          <w:iCs/>
        </w:rPr>
        <w:t xml:space="preserve"> bortezomib </w:t>
      </w:r>
      <w:r w:rsidR="00B27569" w:rsidRPr="00A655A1">
        <w:rPr>
          <w:iCs/>
        </w:rPr>
        <w:t>+</w:t>
      </w:r>
      <w:r w:rsidRPr="00A655A1">
        <w:rPr>
          <w:iCs/>
        </w:rPr>
        <w:t xml:space="preserve"> dexamethasone)</w:t>
      </w:r>
      <w:r w:rsidR="00B27569" w:rsidRPr="00A655A1">
        <w:rPr>
          <w:iCs/>
        </w:rPr>
        <w:t xml:space="preserve">; </w:t>
      </w:r>
      <w:r w:rsidRPr="00A655A1">
        <w:rPr>
          <w:iCs/>
        </w:rPr>
        <w:t>The abbreviation of Vd referred t</w:t>
      </w:r>
      <w:r w:rsidR="00B27569" w:rsidRPr="00A655A1">
        <w:rPr>
          <w:iCs/>
        </w:rPr>
        <w:t>o</w:t>
      </w:r>
      <w:r w:rsidRPr="00A655A1">
        <w:rPr>
          <w:iCs/>
        </w:rPr>
        <w:t xml:space="preserve"> Bd (bortezomib </w:t>
      </w:r>
      <w:r w:rsidR="00B27569" w:rsidRPr="00A655A1">
        <w:rPr>
          <w:iCs/>
        </w:rPr>
        <w:t>+</w:t>
      </w:r>
      <w:r w:rsidRPr="00A655A1">
        <w:rPr>
          <w:iCs/>
        </w:rPr>
        <w:t xml:space="preserve"> dexamethasone).</w:t>
      </w:r>
    </w:p>
    <w:p w:rsidR="00A15C4B" w:rsidRPr="00A655A1" w:rsidRDefault="00D04195" w:rsidP="00707864">
      <w:pPr>
        <w:pStyle w:val="3-BodyText"/>
        <w:numPr>
          <w:ilvl w:val="1"/>
          <w:numId w:val="7"/>
        </w:numPr>
        <w:snapToGrid w:val="0"/>
        <w:rPr>
          <w:iCs/>
        </w:rPr>
      </w:pPr>
      <w:r w:rsidRPr="00A655A1">
        <w:rPr>
          <w:iCs/>
        </w:rPr>
        <w:t xml:space="preserve">At the time of the data cut-off for the primary analysis of PFS, </w:t>
      </w:r>
      <w:r w:rsidR="00A15C4B" w:rsidRPr="00A655A1">
        <w:rPr>
          <w:iCs/>
        </w:rPr>
        <w:t>115 patients (59%) in the SBd arm and 83 patients (40%) in the Bd arm were censored (primarily due to treatment discontinuation). When treatment discontinuation for any reason was counted as a PFS event there w</w:t>
      </w:r>
      <w:r w:rsidR="00414693" w:rsidRPr="00A655A1">
        <w:rPr>
          <w:iCs/>
        </w:rPr>
        <w:t>as</w:t>
      </w:r>
      <w:r w:rsidR="00A15C4B" w:rsidRPr="00A655A1">
        <w:rPr>
          <w:iCs/>
        </w:rPr>
        <w:t xml:space="preserve"> no significant di</w:t>
      </w:r>
      <w:r w:rsidR="00CF694D" w:rsidRPr="00A655A1">
        <w:rPr>
          <w:iCs/>
        </w:rPr>
        <w:t xml:space="preserve">fference between treatment arms, </w:t>
      </w:r>
      <w:r w:rsidR="00CE2697" w:rsidRPr="00A655A1">
        <w:rPr>
          <w:iCs/>
        </w:rPr>
        <w:t xml:space="preserve">noting that </w:t>
      </w:r>
      <w:r w:rsidR="00414693" w:rsidRPr="00A655A1">
        <w:rPr>
          <w:iCs/>
        </w:rPr>
        <w:t xml:space="preserve">the result </w:t>
      </w:r>
      <w:r w:rsidR="00A15C4B" w:rsidRPr="00A655A1">
        <w:rPr>
          <w:iCs/>
        </w:rPr>
        <w:t>was numerically in favour of Bd</w:t>
      </w:r>
      <w:r w:rsidR="00CF694D" w:rsidRPr="00A655A1">
        <w:rPr>
          <w:iCs/>
        </w:rPr>
        <w:t xml:space="preserve"> (</w:t>
      </w:r>
      <w:r w:rsidR="00A15C4B" w:rsidRPr="00A655A1">
        <w:rPr>
          <w:iCs/>
        </w:rPr>
        <w:t xml:space="preserve">the median PFS </w:t>
      </w:r>
      <w:r w:rsidR="00CF694D" w:rsidRPr="00A655A1">
        <w:rPr>
          <w:iCs/>
        </w:rPr>
        <w:t xml:space="preserve">in the SBd arm </w:t>
      </w:r>
      <w:r w:rsidR="00A15C4B" w:rsidRPr="00A655A1">
        <w:rPr>
          <w:iCs/>
        </w:rPr>
        <w:t>was 6.70 months and 6.97 months in the Bd arm</w:t>
      </w:r>
      <w:r w:rsidR="00CF694D" w:rsidRPr="00A655A1">
        <w:rPr>
          <w:iCs/>
        </w:rPr>
        <w:t>)</w:t>
      </w:r>
      <w:r w:rsidR="00A15C4B" w:rsidRPr="00A655A1">
        <w:rPr>
          <w:iCs/>
        </w:rPr>
        <w:t>.</w:t>
      </w:r>
    </w:p>
    <w:p w:rsidR="00A15C4B" w:rsidRPr="00A655A1" w:rsidRDefault="004A4BC4" w:rsidP="00707864">
      <w:pPr>
        <w:pStyle w:val="3-BodyText"/>
        <w:numPr>
          <w:ilvl w:val="1"/>
          <w:numId w:val="7"/>
        </w:numPr>
        <w:snapToGrid w:val="0"/>
      </w:pPr>
      <w:r w:rsidRPr="00A655A1">
        <w:t xml:space="preserve">The ESC noted that the OS data were </w:t>
      </w:r>
      <w:r w:rsidR="006B3388" w:rsidRPr="00A655A1">
        <w:t>immature</w:t>
      </w:r>
      <w:r w:rsidRPr="00A655A1">
        <w:t xml:space="preserve"> with m</w:t>
      </w:r>
      <w:r w:rsidR="00A15C4B" w:rsidRPr="00A655A1">
        <w:t>edian OS not reached for the SBd arm (median follow-up of 17.3 months)</w:t>
      </w:r>
      <w:r w:rsidR="001C2336" w:rsidRPr="00A655A1">
        <w:t>;</w:t>
      </w:r>
      <w:r w:rsidR="00A15C4B" w:rsidRPr="00A655A1">
        <w:t xml:space="preserve"> the median OS for patients in Bd arm was 24.97 months (median follow-up of 17.5 months; see Table 5 and Figure 3). </w:t>
      </w:r>
      <w:r w:rsidR="00E03117" w:rsidRPr="00A655A1">
        <w:rPr>
          <w:iCs/>
        </w:rPr>
        <w:t xml:space="preserve">The difference in OS was not statistically significant between the two trial arms (HR = 0.84; 95% CI: 0.57, 1.23). </w:t>
      </w:r>
      <w:r w:rsidR="001626CA" w:rsidRPr="00A655A1">
        <w:t>The PSCR stated that the BOSTON trial was not powered to show a difference in OS.</w:t>
      </w:r>
    </w:p>
    <w:p w:rsidR="00A15C4B" w:rsidRPr="00A655A1" w:rsidRDefault="00A15C4B" w:rsidP="00A15C4B">
      <w:pPr>
        <w:pStyle w:val="TableFigureHeading"/>
        <w:rPr>
          <w:bCs w:val="0"/>
        </w:rPr>
      </w:pPr>
      <w:r w:rsidRPr="00A655A1">
        <w:rPr>
          <w:bCs w:val="0"/>
        </w:rPr>
        <w:t xml:space="preserve">Table 5: </w:t>
      </w:r>
      <w:r w:rsidR="00B27569" w:rsidRPr="00A655A1">
        <w:rPr>
          <w:bCs w:val="0"/>
        </w:rPr>
        <w:t>OS</w:t>
      </w:r>
      <w:r w:rsidRPr="00A655A1">
        <w:rPr>
          <w:bCs w:val="0"/>
        </w:rPr>
        <w:t xml:space="preserve"> by treatment arm (ITT population)</w:t>
      </w:r>
    </w:p>
    <w:tbl>
      <w:tblPr>
        <w:tblStyle w:val="TableGrid"/>
        <w:tblpPr w:leftFromText="180" w:rightFromText="180" w:vertAnchor="text" w:horzAnchor="margin" w:tblpY="12"/>
        <w:tblW w:w="0" w:type="auto"/>
        <w:tblLook w:val="04A0" w:firstRow="1" w:lastRow="0" w:firstColumn="1" w:lastColumn="0" w:noHBand="0" w:noVBand="1"/>
        <w:tblCaption w:val="Table 5: OS by treatment arm (ITT population)"/>
      </w:tblPr>
      <w:tblGrid>
        <w:gridCol w:w="3256"/>
        <w:gridCol w:w="2976"/>
        <w:gridCol w:w="2785"/>
      </w:tblGrid>
      <w:tr w:rsidR="00A15C4B" w:rsidRPr="00A655A1" w:rsidTr="00CF694D">
        <w:trPr>
          <w:tblHeader/>
        </w:trPr>
        <w:tc>
          <w:tcPr>
            <w:tcW w:w="3256"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In-tableHeading"/>
              <w:rPr>
                <w:lang w:val="en-AU"/>
              </w:rPr>
            </w:pPr>
          </w:p>
        </w:tc>
        <w:tc>
          <w:tcPr>
            <w:tcW w:w="2976"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In-tableHeading"/>
              <w:jc w:val="center"/>
              <w:rPr>
                <w:lang w:val="en-AU"/>
              </w:rPr>
            </w:pPr>
            <w:r w:rsidRPr="00A655A1">
              <w:rPr>
                <w:lang w:val="en-AU"/>
              </w:rPr>
              <w:t>SBd arm (N=195)</w:t>
            </w:r>
          </w:p>
        </w:tc>
        <w:tc>
          <w:tcPr>
            <w:tcW w:w="2785"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In-tableHeading"/>
              <w:jc w:val="center"/>
              <w:rPr>
                <w:lang w:val="en-AU"/>
              </w:rPr>
            </w:pPr>
            <w:r w:rsidRPr="00A655A1">
              <w:rPr>
                <w:lang w:val="en-AU"/>
              </w:rPr>
              <w:t>Bd arm (N=207)</w:t>
            </w:r>
          </w:p>
        </w:tc>
      </w:tr>
      <w:tr w:rsidR="00A15C4B" w:rsidRPr="00A655A1" w:rsidTr="00CF694D">
        <w:tc>
          <w:tcPr>
            <w:tcW w:w="325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pPr>
            <w:r w:rsidRPr="00A655A1">
              <w:t>Death</w:t>
            </w:r>
            <w:r w:rsidR="00067AED" w:rsidRPr="00A655A1">
              <w:t>, n (%)</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47 (24.1)</w:t>
            </w:r>
          </w:p>
        </w:tc>
        <w:tc>
          <w:tcPr>
            <w:tcW w:w="2785"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62 (30.0)</w:t>
            </w:r>
          </w:p>
        </w:tc>
      </w:tr>
      <w:tr w:rsidR="00A15C4B" w:rsidRPr="00A655A1" w:rsidTr="00CF694D">
        <w:tc>
          <w:tcPr>
            <w:tcW w:w="325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pPr>
            <w:r w:rsidRPr="00A655A1">
              <w:t xml:space="preserve">Patients </w:t>
            </w:r>
            <w:r w:rsidR="00390DC5" w:rsidRPr="00A655A1">
              <w:t>c</w:t>
            </w:r>
            <w:r w:rsidRPr="00A655A1">
              <w:t>ensored, n (%)</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148 (75.9)</w:t>
            </w:r>
          </w:p>
        </w:tc>
        <w:tc>
          <w:tcPr>
            <w:tcW w:w="2785"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145 (70.0)</w:t>
            </w:r>
          </w:p>
        </w:tc>
      </w:tr>
      <w:tr w:rsidR="00A15C4B" w:rsidRPr="00A655A1" w:rsidTr="00CF694D">
        <w:tc>
          <w:tcPr>
            <w:tcW w:w="325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CF694D">
            <w:pPr>
              <w:pStyle w:val="TableText0"/>
            </w:pPr>
            <w:r w:rsidRPr="00A655A1">
              <w:t xml:space="preserve">Median </w:t>
            </w:r>
            <w:r w:rsidR="00390DC5" w:rsidRPr="00A655A1">
              <w:t>f</w:t>
            </w:r>
            <w:r w:rsidRPr="00A655A1">
              <w:t xml:space="preserve">ollow-up </w:t>
            </w:r>
            <w:r w:rsidR="00390DC5" w:rsidRPr="00A655A1">
              <w:t>t</w:t>
            </w:r>
            <w:r w:rsidRPr="00A655A1">
              <w:t>ime</w:t>
            </w:r>
            <w:r w:rsidR="00CF694D" w:rsidRPr="00A655A1">
              <w:t>,</w:t>
            </w:r>
            <w:r w:rsidRPr="00A655A1">
              <w:t xml:space="preserve"> </w:t>
            </w:r>
            <w:r w:rsidR="00512C96" w:rsidRPr="00A655A1">
              <w:t>m</w:t>
            </w:r>
            <w:r w:rsidRPr="00A655A1">
              <w:t>onths</w:t>
            </w:r>
            <w:r w:rsidR="000330F8" w:rsidRPr="00A655A1">
              <w:t xml:space="preserve"> </w:t>
            </w:r>
            <w:r w:rsidR="005D7B91" w:rsidRPr="00A655A1">
              <w:t>(</w:t>
            </w:r>
            <w:r w:rsidR="000330F8" w:rsidRPr="00A655A1">
              <w:t>95% CI</w:t>
            </w:r>
            <w:r w:rsidR="005D7B91" w:rsidRPr="00A655A1">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0330F8" w:rsidRPr="00A655A1" w:rsidRDefault="00A15C4B" w:rsidP="00CF694D">
            <w:pPr>
              <w:pStyle w:val="TableText0"/>
              <w:jc w:val="center"/>
            </w:pPr>
            <w:r w:rsidRPr="00A655A1">
              <w:t>17.28</w:t>
            </w:r>
            <w:r w:rsidR="00CF694D" w:rsidRPr="00A655A1">
              <w:t xml:space="preserve"> </w:t>
            </w:r>
            <w:r w:rsidR="000330F8" w:rsidRPr="00A655A1">
              <w:t>(16.56, 18.27)</w:t>
            </w:r>
          </w:p>
        </w:tc>
        <w:tc>
          <w:tcPr>
            <w:tcW w:w="2785" w:type="dxa"/>
            <w:tcBorders>
              <w:top w:val="single" w:sz="4" w:space="0" w:color="auto"/>
              <w:left w:val="single" w:sz="4" w:space="0" w:color="auto"/>
              <w:bottom w:val="single" w:sz="4" w:space="0" w:color="auto"/>
              <w:right w:val="single" w:sz="4" w:space="0" w:color="auto"/>
            </w:tcBorders>
            <w:vAlign w:val="center"/>
            <w:hideMark/>
          </w:tcPr>
          <w:p w:rsidR="000330F8" w:rsidRPr="00A655A1" w:rsidRDefault="00A15C4B" w:rsidP="00CF694D">
            <w:pPr>
              <w:pStyle w:val="TableText0"/>
              <w:jc w:val="center"/>
            </w:pPr>
            <w:r w:rsidRPr="00A655A1">
              <w:t>17.51</w:t>
            </w:r>
            <w:r w:rsidR="00CF694D" w:rsidRPr="00A655A1">
              <w:t xml:space="preserve"> </w:t>
            </w:r>
            <w:r w:rsidR="000330F8" w:rsidRPr="00A655A1">
              <w:t>(17.08, 18.23)</w:t>
            </w:r>
          </w:p>
        </w:tc>
      </w:tr>
      <w:tr w:rsidR="00A15C4B" w:rsidRPr="00A655A1" w:rsidTr="00CF694D">
        <w:tc>
          <w:tcPr>
            <w:tcW w:w="325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CF694D">
            <w:pPr>
              <w:pStyle w:val="TableText0"/>
            </w:pPr>
            <w:r w:rsidRPr="00A655A1">
              <w:t>Median</w:t>
            </w:r>
            <w:r w:rsidR="004948D9" w:rsidRPr="00A655A1">
              <w:t xml:space="preserve"> OS</w:t>
            </w:r>
            <w:r w:rsidR="00CF694D" w:rsidRPr="00A655A1">
              <w:t>,</w:t>
            </w:r>
            <w:r w:rsidR="004948D9" w:rsidRPr="00A655A1">
              <w:t xml:space="preserve"> </w:t>
            </w:r>
            <w:r w:rsidR="00512C96" w:rsidRPr="00A655A1">
              <w:t>m</w:t>
            </w:r>
            <w:r w:rsidR="004948D9" w:rsidRPr="00A655A1">
              <w:t>onths</w:t>
            </w:r>
            <w:r w:rsidR="00205B58" w:rsidRPr="00A655A1">
              <w:t xml:space="preserve"> </w:t>
            </w:r>
            <w:r w:rsidR="005D7B91" w:rsidRPr="00A655A1">
              <w:t>(</w:t>
            </w:r>
            <w:r w:rsidR="00205B58" w:rsidRPr="00A655A1">
              <w:t>95% CI</w:t>
            </w:r>
            <w:r w:rsidR="005D7B91" w:rsidRPr="00A655A1">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205B58" w:rsidRPr="00A655A1" w:rsidRDefault="00A15C4B" w:rsidP="00CF694D">
            <w:pPr>
              <w:pStyle w:val="TableText0"/>
              <w:jc w:val="center"/>
            </w:pPr>
            <w:r w:rsidRPr="00A655A1">
              <w:t>NE</w:t>
            </w:r>
            <w:r w:rsidR="00CF694D" w:rsidRPr="00A655A1">
              <w:t xml:space="preserve"> </w:t>
            </w:r>
            <w:r w:rsidR="00205B58" w:rsidRPr="00A655A1">
              <w:t>(NE, NE)</w:t>
            </w:r>
          </w:p>
        </w:tc>
        <w:tc>
          <w:tcPr>
            <w:tcW w:w="2785" w:type="dxa"/>
            <w:tcBorders>
              <w:top w:val="single" w:sz="4" w:space="0" w:color="auto"/>
              <w:left w:val="single" w:sz="4" w:space="0" w:color="auto"/>
              <w:bottom w:val="single" w:sz="4" w:space="0" w:color="auto"/>
              <w:right w:val="single" w:sz="4" w:space="0" w:color="auto"/>
            </w:tcBorders>
            <w:vAlign w:val="center"/>
            <w:hideMark/>
          </w:tcPr>
          <w:p w:rsidR="00205B58" w:rsidRPr="00A655A1" w:rsidRDefault="00A15C4B" w:rsidP="00CF694D">
            <w:pPr>
              <w:pStyle w:val="TableText0"/>
              <w:jc w:val="center"/>
            </w:pPr>
            <w:r w:rsidRPr="00A655A1">
              <w:t>24.97</w:t>
            </w:r>
            <w:r w:rsidR="00CF694D" w:rsidRPr="00A655A1">
              <w:t xml:space="preserve"> </w:t>
            </w:r>
            <w:r w:rsidR="00205B58" w:rsidRPr="00A655A1">
              <w:t>(23.49, NE)</w:t>
            </w:r>
          </w:p>
        </w:tc>
      </w:tr>
      <w:tr w:rsidR="00A15C4B" w:rsidRPr="00A655A1" w:rsidTr="00A15C4B">
        <w:tc>
          <w:tcPr>
            <w:tcW w:w="9017" w:type="dxa"/>
            <w:gridSpan w:val="3"/>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pPr>
            <w:r w:rsidRPr="00A655A1">
              <w:t>Stratified log-rank test</w:t>
            </w:r>
            <w:r w:rsidRPr="00A655A1">
              <w:rPr>
                <w:vertAlign w:val="superscript"/>
              </w:rPr>
              <w:t>a</w:t>
            </w:r>
          </w:p>
        </w:tc>
      </w:tr>
      <w:tr w:rsidR="00A15C4B" w:rsidRPr="00A655A1" w:rsidTr="00CF694D">
        <w:tc>
          <w:tcPr>
            <w:tcW w:w="325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pPr>
            <w:r w:rsidRPr="00A655A1">
              <w:t xml:space="preserve">One </w:t>
            </w:r>
            <w:r w:rsidR="00512C96" w:rsidRPr="00A655A1">
              <w:t>s</w:t>
            </w:r>
            <w:r w:rsidRPr="00A655A1">
              <w:t xml:space="preserve">ided </w:t>
            </w:r>
            <w:r w:rsidR="00512C96" w:rsidRPr="00A655A1">
              <w:t>p</w:t>
            </w:r>
            <w:r w:rsidRPr="00A655A1">
              <w:t>-value</w:t>
            </w:r>
          </w:p>
        </w:tc>
        <w:tc>
          <w:tcPr>
            <w:tcW w:w="5761" w:type="dxa"/>
            <w:gridSpan w:val="2"/>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0.1852</w:t>
            </w:r>
          </w:p>
        </w:tc>
      </w:tr>
      <w:tr w:rsidR="00A15C4B" w:rsidRPr="00A655A1" w:rsidTr="00CF694D">
        <w:tc>
          <w:tcPr>
            <w:tcW w:w="325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pPr>
            <w:r w:rsidRPr="00A655A1">
              <w:t xml:space="preserve">Hazard </w:t>
            </w:r>
            <w:r w:rsidR="00512C96" w:rsidRPr="00A655A1">
              <w:t>r</w:t>
            </w:r>
            <w:r w:rsidRPr="00A655A1">
              <w:t xml:space="preserve">atio </w:t>
            </w:r>
            <w:r w:rsidRPr="00A655A1">
              <w:rPr>
                <w:vertAlign w:val="superscript"/>
              </w:rPr>
              <w:t>a,b</w:t>
            </w:r>
            <w:r w:rsidR="00AF170C" w:rsidRPr="00A655A1">
              <w:t xml:space="preserve">, </w:t>
            </w:r>
            <w:r w:rsidR="005D7B91" w:rsidRPr="00A655A1">
              <w:t>(</w:t>
            </w:r>
            <w:r w:rsidR="00AF170C" w:rsidRPr="00A655A1">
              <w:t>95% CI</w:t>
            </w:r>
            <w:r w:rsidR="005D7B91" w:rsidRPr="00A655A1">
              <w:t>)</w:t>
            </w:r>
          </w:p>
        </w:tc>
        <w:tc>
          <w:tcPr>
            <w:tcW w:w="5761" w:type="dxa"/>
            <w:gridSpan w:val="2"/>
            <w:tcBorders>
              <w:top w:val="single" w:sz="4" w:space="0" w:color="auto"/>
              <w:left w:val="single" w:sz="4" w:space="0" w:color="auto"/>
              <w:bottom w:val="single" w:sz="4" w:space="0" w:color="auto"/>
              <w:right w:val="single" w:sz="4" w:space="0" w:color="auto"/>
            </w:tcBorders>
            <w:vAlign w:val="center"/>
            <w:hideMark/>
          </w:tcPr>
          <w:p w:rsidR="00AF170C" w:rsidRPr="00A655A1" w:rsidRDefault="00A15C4B" w:rsidP="00CF694D">
            <w:pPr>
              <w:pStyle w:val="TableText0"/>
              <w:jc w:val="center"/>
            </w:pPr>
            <w:r w:rsidRPr="00A655A1">
              <w:t>0.84</w:t>
            </w:r>
            <w:r w:rsidR="00CF694D" w:rsidRPr="00A655A1">
              <w:t xml:space="preserve"> </w:t>
            </w:r>
            <w:r w:rsidR="00AF170C" w:rsidRPr="00A655A1">
              <w:t>(0.57, 1.23)</w:t>
            </w:r>
          </w:p>
        </w:tc>
      </w:tr>
    </w:tbl>
    <w:p w:rsidR="00A15C4B" w:rsidRPr="00A655A1" w:rsidRDefault="00A15C4B" w:rsidP="00A15C4B">
      <w:pPr>
        <w:pStyle w:val="TableFigureFooter"/>
      </w:pPr>
      <w:r w:rsidRPr="00A655A1">
        <w:t>Source: Table 2-18, p77 of the submission.</w:t>
      </w:r>
    </w:p>
    <w:p w:rsidR="00A15C4B" w:rsidRPr="00A655A1" w:rsidRDefault="00A15C4B" w:rsidP="00A15C4B">
      <w:pPr>
        <w:pStyle w:val="TableFigureFooter"/>
      </w:pPr>
      <w:r w:rsidRPr="00A655A1">
        <w:t xml:space="preserve">Bd = bortezomib + dexamethasone; CI = confidence interval; ITT = intention to treat; MM = multiple myeloma; NE = not evaluable; </w:t>
      </w:r>
      <w:r w:rsidR="004948D9" w:rsidRPr="00A655A1">
        <w:t xml:space="preserve">OS = overall survival; </w:t>
      </w:r>
      <w:r w:rsidRPr="00A655A1">
        <w:t>PI = proteasome inhibitors; R-ISS = Revised International Staging System; SBd</w:t>
      </w:r>
      <w:r w:rsidR="00B27569" w:rsidRPr="00A655A1">
        <w:t xml:space="preserve"> </w:t>
      </w:r>
      <w:r w:rsidRPr="00A655A1">
        <w:t>= selinexor + bortezomib + dexamethasone</w:t>
      </w:r>
    </w:p>
    <w:p w:rsidR="00A15C4B" w:rsidRPr="00A655A1" w:rsidRDefault="00A15C4B" w:rsidP="00A15C4B">
      <w:pPr>
        <w:pStyle w:val="TableFigureFooter"/>
      </w:pPr>
      <w:r w:rsidRPr="00A655A1">
        <w:t xml:space="preserve">Notes: </w:t>
      </w:r>
      <w:r w:rsidR="00B27569" w:rsidRPr="00A655A1">
        <w:t>OS</w:t>
      </w:r>
      <w:r w:rsidRPr="00A655A1">
        <w:t xml:space="preserve"> is calculated from date of randomisation to date of death. Patients without events were censored at the date of study discontinuation or date of last participating visit, whichever occurred first.</w:t>
      </w:r>
    </w:p>
    <w:p w:rsidR="00A15C4B" w:rsidRPr="00A655A1" w:rsidRDefault="00A15C4B" w:rsidP="00A15C4B">
      <w:pPr>
        <w:pStyle w:val="TableFigureFooter"/>
      </w:pPr>
      <w:r w:rsidRPr="00A655A1">
        <w:t>a. Stratified for prior PI therapies, number of prior anti-MM regimens and R-ISS Stage at screening.</w:t>
      </w:r>
    </w:p>
    <w:p w:rsidR="00A15C4B" w:rsidRPr="00A655A1" w:rsidRDefault="00A15C4B" w:rsidP="00A15C4B">
      <w:pPr>
        <w:pStyle w:val="TableFigureFooter"/>
      </w:pPr>
      <w:r w:rsidRPr="00A655A1">
        <w:t>b. Based on stratified Cox Proportional Hazard model with Efron's Method of handling ties.</w:t>
      </w:r>
    </w:p>
    <w:p w:rsidR="00414693" w:rsidRPr="00A655A1" w:rsidRDefault="00414693" w:rsidP="00A15C4B">
      <w:pPr>
        <w:pStyle w:val="TableFigureFooter"/>
      </w:pPr>
    </w:p>
    <w:p w:rsidR="00A15C4B" w:rsidRPr="00A655A1" w:rsidRDefault="00A15C4B" w:rsidP="00A15C4B">
      <w:pPr>
        <w:pStyle w:val="TableFigureFooter"/>
        <w:keepNext/>
      </w:pPr>
      <w:r w:rsidRPr="00A655A1">
        <w:rPr>
          <w:rStyle w:val="CommentReference"/>
          <w:bCs/>
          <w:szCs w:val="24"/>
        </w:rPr>
        <w:t>Figure 3: Kaplan-Meier curve of OS by treatment arm (ITT population)</w:t>
      </w:r>
    </w:p>
    <w:p w:rsidR="00A15C4B" w:rsidRPr="00A655A1" w:rsidRDefault="00A15C4B" w:rsidP="00A15C4B">
      <w:r w:rsidRPr="00A655A1">
        <w:rPr>
          <w:noProof/>
        </w:rPr>
        <w:drawing>
          <wp:inline distT="0" distB="0" distL="0" distR="0" wp14:anchorId="598DBCBA" wp14:editId="2D8E0722">
            <wp:extent cx="5732145" cy="2353310"/>
            <wp:effectExtent l="0" t="0" r="1905" b="8890"/>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5732145" cy="2353310"/>
                    </a:xfrm>
                    <a:prstGeom prst="rect">
                      <a:avLst/>
                    </a:prstGeom>
                  </pic:spPr>
                </pic:pic>
              </a:graphicData>
            </a:graphic>
          </wp:inline>
        </w:drawing>
      </w:r>
    </w:p>
    <w:p w:rsidR="00A15C4B" w:rsidRPr="00A655A1" w:rsidRDefault="00A15C4B" w:rsidP="00A15C4B">
      <w:pPr>
        <w:rPr>
          <w:rFonts w:ascii="Arial Narrow" w:hAnsi="Arial Narrow"/>
          <w:snapToGrid w:val="0"/>
          <w:sz w:val="18"/>
          <w:szCs w:val="22"/>
        </w:rPr>
      </w:pPr>
      <w:r w:rsidRPr="00A655A1">
        <w:rPr>
          <w:rFonts w:ascii="Arial Narrow" w:hAnsi="Arial Narrow"/>
          <w:snapToGrid w:val="0"/>
          <w:sz w:val="18"/>
          <w:szCs w:val="22"/>
        </w:rPr>
        <w:t xml:space="preserve">Source: Figure 2-9, p77 of the submission. </w:t>
      </w:r>
    </w:p>
    <w:p w:rsidR="00A15C4B" w:rsidRPr="00A655A1" w:rsidRDefault="00B27569" w:rsidP="00A15C4B">
      <w:pPr>
        <w:rPr>
          <w:rFonts w:ascii="Arial Narrow" w:hAnsi="Arial Narrow"/>
          <w:snapToGrid w:val="0"/>
          <w:sz w:val="18"/>
          <w:szCs w:val="22"/>
        </w:rPr>
      </w:pPr>
      <w:r w:rsidRPr="00A655A1">
        <w:rPr>
          <w:rFonts w:ascii="Arial Narrow" w:hAnsi="Arial Narrow"/>
          <w:snapToGrid w:val="0"/>
          <w:sz w:val="18"/>
          <w:szCs w:val="22"/>
        </w:rPr>
        <w:t xml:space="preserve">Bd = bortezomib + dexamethasone; CI = confidence interval; </w:t>
      </w:r>
      <w:r w:rsidR="00A15C4B" w:rsidRPr="00A655A1">
        <w:rPr>
          <w:rFonts w:ascii="Arial Narrow" w:hAnsi="Arial Narrow"/>
          <w:snapToGrid w:val="0"/>
          <w:sz w:val="18"/>
          <w:szCs w:val="22"/>
        </w:rPr>
        <w:t>HR = hazard ratio; ITT = intention to treat; OS = overall survival; SBd = selinexor + bortezomib + dexamethasone.</w:t>
      </w:r>
    </w:p>
    <w:p w:rsidR="00A15C4B" w:rsidRPr="00A655A1" w:rsidRDefault="00A15C4B" w:rsidP="00B27569">
      <w:pPr>
        <w:rPr>
          <w:rFonts w:ascii="Arial Narrow" w:hAnsi="Arial Narrow"/>
          <w:iCs/>
          <w:sz w:val="18"/>
          <w:szCs w:val="22"/>
        </w:rPr>
      </w:pPr>
      <w:r w:rsidRPr="00A655A1">
        <w:rPr>
          <w:rFonts w:ascii="Arial Narrow" w:hAnsi="Arial Narrow"/>
          <w:snapToGrid w:val="0"/>
          <w:sz w:val="18"/>
          <w:szCs w:val="22"/>
        </w:rPr>
        <w:t xml:space="preserve">Notes: </w:t>
      </w:r>
      <w:r w:rsidRPr="00A655A1">
        <w:rPr>
          <w:rFonts w:ascii="Arial Narrow" w:hAnsi="Arial Narrow"/>
          <w:iCs/>
          <w:snapToGrid w:val="0"/>
          <w:sz w:val="18"/>
          <w:szCs w:val="22"/>
        </w:rPr>
        <w:t>The abbreviation of SVd referred to SBd (selinexor</w:t>
      </w:r>
      <w:r w:rsidR="00B27569" w:rsidRPr="00A655A1">
        <w:rPr>
          <w:rFonts w:ascii="Arial Narrow" w:hAnsi="Arial Narrow"/>
          <w:iCs/>
          <w:snapToGrid w:val="0"/>
          <w:sz w:val="18"/>
          <w:szCs w:val="22"/>
        </w:rPr>
        <w:t xml:space="preserve"> +</w:t>
      </w:r>
      <w:r w:rsidRPr="00A655A1">
        <w:rPr>
          <w:rFonts w:ascii="Arial Narrow" w:hAnsi="Arial Narrow"/>
          <w:iCs/>
          <w:snapToGrid w:val="0"/>
          <w:sz w:val="18"/>
          <w:szCs w:val="22"/>
        </w:rPr>
        <w:t xml:space="preserve"> bortezomib </w:t>
      </w:r>
      <w:r w:rsidR="00B27569" w:rsidRPr="00A655A1">
        <w:rPr>
          <w:rFonts w:ascii="Arial Narrow" w:hAnsi="Arial Narrow"/>
          <w:iCs/>
          <w:snapToGrid w:val="0"/>
          <w:sz w:val="18"/>
          <w:szCs w:val="22"/>
        </w:rPr>
        <w:t>+</w:t>
      </w:r>
      <w:r w:rsidRPr="00A655A1">
        <w:rPr>
          <w:rFonts w:ascii="Arial Narrow" w:hAnsi="Arial Narrow"/>
          <w:iCs/>
          <w:snapToGrid w:val="0"/>
          <w:sz w:val="18"/>
          <w:szCs w:val="22"/>
        </w:rPr>
        <w:t xml:space="preserve"> dexamethasone). </w:t>
      </w:r>
      <w:r w:rsidRPr="00A655A1">
        <w:rPr>
          <w:rFonts w:ascii="Arial Narrow" w:hAnsi="Arial Narrow"/>
          <w:iCs/>
          <w:sz w:val="18"/>
          <w:szCs w:val="22"/>
        </w:rPr>
        <w:t xml:space="preserve">The abbreviation of Vd referred to Bd (bortezomib </w:t>
      </w:r>
      <w:r w:rsidR="00B27569" w:rsidRPr="00A655A1">
        <w:rPr>
          <w:rFonts w:ascii="Arial Narrow" w:hAnsi="Arial Narrow"/>
          <w:iCs/>
          <w:sz w:val="18"/>
          <w:szCs w:val="22"/>
        </w:rPr>
        <w:t>+</w:t>
      </w:r>
      <w:r w:rsidRPr="00A655A1">
        <w:rPr>
          <w:rFonts w:ascii="Arial Narrow" w:hAnsi="Arial Narrow"/>
          <w:iCs/>
          <w:sz w:val="18"/>
          <w:szCs w:val="22"/>
        </w:rPr>
        <w:t xml:space="preserve"> dexamethasone).</w:t>
      </w:r>
    </w:p>
    <w:p w:rsidR="00E03117" w:rsidRPr="00A655A1" w:rsidRDefault="00E03117" w:rsidP="00E03117"/>
    <w:p w:rsidR="00A15C4B" w:rsidRPr="00A655A1" w:rsidRDefault="00A64A94" w:rsidP="00707864">
      <w:pPr>
        <w:pStyle w:val="3-BodyText"/>
        <w:numPr>
          <w:ilvl w:val="1"/>
          <w:numId w:val="7"/>
        </w:numPr>
        <w:snapToGrid w:val="0"/>
      </w:pPr>
      <w:r w:rsidRPr="00A655A1">
        <w:rPr>
          <w:iCs/>
        </w:rPr>
        <w:t xml:space="preserve">Patients in the BOSTON trial were permitted to crossover from the Bd treatment arm to SBd treatment at the point of </w:t>
      </w:r>
      <w:r w:rsidR="001E0516" w:rsidRPr="00A655A1">
        <w:rPr>
          <w:iCs/>
        </w:rPr>
        <w:t>independent review committee (</w:t>
      </w:r>
      <w:r w:rsidRPr="00A655A1">
        <w:rPr>
          <w:iCs/>
        </w:rPr>
        <w:t>IRC</w:t>
      </w:r>
      <w:r w:rsidR="001E0516" w:rsidRPr="00A655A1">
        <w:rPr>
          <w:iCs/>
        </w:rPr>
        <w:t xml:space="preserve">) </w:t>
      </w:r>
      <w:r w:rsidRPr="00A655A1">
        <w:rPr>
          <w:iCs/>
        </w:rPr>
        <w:t xml:space="preserve">confirmed objective disease progression. </w:t>
      </w:r>
    </w:p>
    <w:p w:rsidR="00A13799" w:rsidRPr="00A655A1" w:rsidRDefault="00A15C4B" w:rsidP="00707864">
      <w:pPr>
        <w:pStyle w:val="3-BodyText"/>
        <w:numPr>
          <w:ilvl w:val="1"/>
          <w:numId w:val="7"/>
        </w:numPr>
        <w:snapToGrid w:val="0"/>
      </w:pPr>
      <w:r w:rsidRPr="00A655A1">
        <w:t xml:space="preserve">The submission presented </w:t>
      </w:r>
      <w:r w:rsidR="00414693" w:rsidRPr="00A655A1">
        <w:t xml:space="preserve">a </w:t>
      </w:r>
      <w:r w:rsidRPr="00A655A1">
        <w:t xml:space="preserve">switch-adjusted </w:t>
      </w:r>
      <w:r w:rsidR="00B46DC5" w:rsidRPr="00A655A1">
        <w:t>OS estimate between SBd and Bd</w:t>
      </w:r>
      <w:r w:rsidRPr="00A655A1">
        <w:t xml:space="preserve"> based on the TSEM </w:t>
      </w:r>
      <w:r w:rsidR="00B46DC5" w:rsidRPr="00A655A1">
        <w:t>(HR = 0.77; 95% CI: 0.52, 1.14)</w:t>
      </w:r>
      <w:r w:rsidRPr="00A655A1">
        <w:rPr>
          <w:iCs/>
        </w:rPr>
        <w:t>.</w:t>
      </w:r>
      <w:r w:rsidR="005F7DFE" w:rsidRPr="00A655A1">
        <w:rPr>
          <w:iCs/>
        </w:rPr>
        <w:t xml:space="preserve"> </w:t>
      </w:r>
    </w:p>
    <w:p w:rsidR="00B46DC5" w:rsidRPr="00A655A1" w:rsidRDefault="006B3388" w:rsidP="00707864">
      <w:pPr>
        <w:pStyle w:val="3-BodyText"/>
        <w:numPr>
          <w:ilvl w:val="1"/>
          <w:numId w:val="7"/>
        </w:numPr>
        <w:snapToGrid w:val="0"/>
      </w:pPr>
      <w:r w:rsidRPr="00A655A1">
        <w:rPr>
          <w:iCs/>
        </w:rPr>
        <w:t>Although</w:t>
      </w:r>
      <w:r w:rsidR="00B46DC5" w:rsidRPr="00A655A1">
        <w:rPr>
          <w:iCs/>
        </w:rPr>
        <w:t xml:space="preserve"> the submission did not justify selection of the TSEM approach, the PSCR presented some rationale for why the inverse probability of censoring weight (IPCW) and the rank preserving structural failure time model (RPSFTM) were not chosen. The ESC noted that the neither the submission</w:t>
      </w:r>
      <w:r w:rsidR="00E03117" w:rsidRPr="00A655A1">
        <w:rPr>
          <w:iCs/>
        </w:rPr>
        <w:t>,</w:t>
      </w:r>
      <w:r w:rsidR="00B46DC5" w:rsidRPr="00A655A1">
        <w:rPr>
          <w:iCs/>
        </w:rPr>
        <w:t xml:space="preserve"> nor the PSCR</w:t>
      </w:r>
      <w:r w:rsidR="00E03117" w:rsidRPr="00A655A1">
        <w:rPr>
          <w:iCs/>
        </w:rPr>
        <w:t>,</w:t>
      </w:r>
      <w:r w:rsidR="00B46DC5" w:rsidRPr="00A655A1">
        <w:rPr>
          <w:iCs/>
        </w:rPr>
        <w:t xml:space="preserve"> presented results using alternative methods as required in the PBAC Guidelines </w:t>
      </w:r>
      <w:r w:rsidR="00E03117" w:rsidRPr="00A655A1">
        <w:rPr>
          <w:iCs/>
        </w:rPr>
        <w:t xml:space="preserve">2016, </w:t>
      </w:r>
      <w:r w:rsidR="00B46DC5" w:rsidRPr="00A655A1">
        <w:rPr>
          <w:iCs/>
        </w:rPr>
        <w:t>v5.0. The ESC also noted that results based on the IPCW method, with weights trimmed a</w:t>
      </w:r>
      <w:r w:rsidR="009B2499" w:rsidRPr="00A655A1">
        <w:rPr>
          <w:iCs/>
        </w:rPr>
        <w:t>t</w:t>
      </w:r>
      <w:r w:rsidR="00B46DC5" w:rsidRPr="00A655A1">
        <w:rPr>
          <w:iCs/>
        </w:rPr>
        <w:t xml:space="preserve"> the 99</w:t>
      </w:r>
      <w:r w:rsidR="00B46DC5" w:rsidRPr="00A655A1">
        <w:rPr>
          <w:iCs/>
          <w:vertAlign w:val="superscript"/>
        </w:rPr>
        <w:t>th</w:t>
      </w:r>
      <w:r w:rsidR="00B46DC5" w:rsidRPr="00A655A1">
        <w:rPr>
          <w:iCs/>
        </w:rPr>
        <w:t xml:space="preserve"> percentile, were presented in the BOSTON Clinical Study Report (</w:t>
      </w:r>
      <w:r w:rsidR="009D4548" w:rsidRPr="00A655A1">
        <w:rPr>
          <w:iCs/>
        </w:rPr>
        <w:t xml:space="preserve">CSR; </w:t>
      </w:r>
      <w:r w:rsidR="00B46DC5" w:rsidRPr="00A655A1">
        <w:rPr>
          <w:iCs/>
        </w:rPr>
        <w:t>HR = 0.86; 95% CI: 0.53, 1.40).</w:t>
      </w:r>
      <w:r w:rsidR="00A13799" w:rsidRPr="00A655A1">
        <w:rPr>
          <w:iCs/>
        </w:rPr>
        <w:t xml:space="preserve"> The CSR also stated that the artificial censoring of death when deaths are, in fact, known to have occurred favoured the TSEM over the IPCW method for crossover adjustment in the present context.</w:t>
      </w:r>
    </w:p>
    <w:p w:rsidR="00A15C4B" w:rsidRPr="00A655A1" w:rsidRDefault="00E03117" w:rsidP="00707864">
      <w:pPr>
        <w:pStyle w:val="3-BodyText"/>
        <w:numPr>
          <w:ilvl w:val="1"/>
          <w:numId w:val="7"/>
        </w:numPr>
        <w:snapToGrid w:val="0"/>
      </w:pPr>
      <w:r w:rsidRPr="00A655A1">
        <w:t>Table 6 demonstrates that o</w:t>
      </w:r>
      <w:r w:rsidR="00A13799" w:rsidRPr="00A655A1">
        <w:t xml:space="preserve">verall </w:t>
      </w:r>
      <w:r w:rsidR="006B3388" w:rsidRPr="00A655A1">
        <w:t>response</w:t>
      </w:r>
      <w:r w:rsidR="00A13799" w:rsidRPr="00A655A1">
        <w:t xml:space="preserve"> rate (</w:t>
      </w:r>
      <w:r w:rsidR="00A15C4B" w:rsidRPr="00A655A1">
        <w:t>ORR</w:t>
      </w:r>
      <w:r w:rsidR="00A13799" w:rsidRPr="00A655A1">
        <w:t>)</w:t>
      </w:r>
      <w:r w:rsidR="00A15C4B" w:rsidRPr="00A655A1">
        <w:t xml:space="preserve"> was significantly higher in the SBd arm (76.4%) than in the Bd arm (62.3%)</w:t>
      </w:r>
      <w:r w:rsidRPr="00A655A1">
        <w:t xml:space="preserve"> (OR</w:t>
      </w:r>
      <w:r w:rsidR="00A15C4B" w:rsidRPr="00A655A1">
        <w:t xml:space="preserve"> = 1.96</w:t>
      </w:r>
      <w:r w:rsidRPr="00A655A1">
        <w:t xml:space="preserve">; </w:t>
      </w:r>
      <w:r w:rsidR="00A15C4B" w:rsidRPr="00A655A1">
        <w:t>95% CI</w:t>
      </w:r>
      <w:r w:rsidR="00CF694D" w:rsidRPr="00A655A1">
        <w:t>:</w:t>
      </w:r>
      <w:r w:rsidR="00A15C4B" w:rsidRPr="00A655A1">
        <w:t xml:space="preserve"> 1.3</w:t>
      </w:r>
      <w:r w:rsidR="00CF694D" w:rsidRPr="00A655A1">
        <w:t>, 3</w:t>
      </w:r>
      <w:r w:rsidR="00A15C4B" w:rsidRPr="00A655A1">
        <w:t>.1</w:t>
      </w:r>
      <w:r w:rsidR="00CF694D" w:rsidRPr="00A655A1">
        <w:t>)</w:t>
      </w:r>
      <w:r w:rsidR="00A15C4B" w:rsidRPr="00A655A1">
        <w:t xml:space="preserve">. </w:t>
      </w:r>
    </w:p>
    <w:p w:rsidR="00A15C4B" w:rsidRPr="00A655A1" w:rsidRDefault="00A15C4B" w:rsidP="00A15C4B">
      <w:pPr>
        <w:pStyle w:val="TableFigureHeading"/>
        <w:rPr>
          <w:bCs w:val="0"/>
        </w:rPr>
      </w:pPr>
      <w:r w:rsidRPr="00A655A1">
        <w:rPr>
          <w:bCs w:val="0"/>
        </w:rPr>
        <w:t xml:space="preserve">Table 6: </w:t>
      </w:r>
      <w:r w:rsidR="00B27569" w:rsidRPr="00A655A1">
        <w:rPr>
          <w:bCs w:val="0"/>
        </w:rPr>
        <w:t>ORR</w:t>
      </w:r>
      <w:r w:rsidRPr="00A655A1">
        <w:rPr>
          <w:bCs w:val="0"/>
        </w:rPr>
        <w:t xml:space="preserve"> by treatment arm (ITT population)</w:t>
      </w:r>
    </w:p>
    <w:tbl>
      <w:tblPr>
        <w:tblStyle w:val="TableGrid"/>
        <w:tblW w:w="0" w:type="auto"/>
        <w:tblLook w:val="04A0" w:firstRow="1" w:lastRow="0" w:firstColumn="1" w:lastColumn="0" w:noHBand="0" w:noVBand="1"/>
        <w:tblCaption w:val="Table 6: ORR by treatment arm (ITT population)"/>
      </w:tblPr>
      <w:tblGrid>
        <w:gridCol w:w="3014"/>
        <w:gridCol w:w="3001"/>
        <w:gridCol w:w="3002"/>
      </w:tblGrid>
      <w:tr w:rsidR="00A15C4B" w:rsidRPr="00A655A1" w:rsidTr="00185816">
        <w:trPr>
          <w:tblHeader/>
        </w:trPr>
        <w:tc>
          <w:tcPr>
            <w:tcW w:w="3014" w:type="dxa"/>
            <w:tcBorders>
              <w:top w:val="single" w:sz="4" w:space="0" w:color="auto"/>
              <w:left w:val="single" w:sz="4" w:space="0" w:color="auto"/>
              <w:bottom w:val="single" w:sz="4" w:space="0" w:color="auto"/>
              <w:right w:val="single" w:sz="4" w:space="0" w:color="auto"/>
            </w:tcBorders>
          </w:tcPr>
          <w:p w:rsidR="00A15C4B" w:rsidRPr="00A655A1" w:rsidRDefault="00A15C4B">
            <w:pPr>
              <w:pStyle w:val="In-tableHeading"/>
              <w:jc w:val="center"/>
              <w:rPr>
                <w:lang w:val="en-AU"/>
              </w:rPr>
            </w:pPr>
          </w:p>
        </w:tc>
        <w:tc>
          <w:tcPr>
            <w:tcW w:w="3001"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In-tableHeading"/>
              <w:jc w:val="center"/>
              <w:rPr>
                <w:lang w:val="en-AU"/>
              </w:rPr>
            </w:pPr>
            <w:r w:rsidRPr="00A655A1">
              <w:rPr>
                <w:lang w:val="en-AU"/>
              </w:rPr>
              <w:t>SBd arm</w:t>
            </w:r>
          </w:p>
          <w:p w:rsidR="00A15C4B" w:rsidRPr="00A655A1" w:rsidRDefault="00A15C4B">
            <w:pPr>
              <w:pStyle w:val="In-tableHeading"/>
              <w:jc w:val="center"/>
              <w:rPr>
                <w:lang w:val="en-AU"/>
              </w:rPr>
            </w:pPr>
            <w:r w:rsidRPr="00A655A1">
              <w:rPr>
                <w:lang w:val="en-AU"/>
              </w:rPr>
              <w:t>(N=195)</w:t>
            </w:r>
          </w:p>
        </w:tc>
        <w:tc>
          <w:tcPr>
            <w:tcW w:w="3002"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In-tableHeading"/>
              <w:jc w:val="center"/>
              <w:rPr>
                <w:lang w:val="en-AU"/>
              </w:rPr>
            </w:pPr>
            <w:r w:rsidRPr="00A655A1">
              <w:rPr>
                <w:lang w:val="en-AU"/>
              </w:rPr>
              <w:t>Bd arm</w:t>
            </w:r>
          </w:p>
          <w:p w:rsidR="00A15C4B" w:rsidRPr="00A655A1" w:rsidRDefault="00A15C4B">
            <w:pPr>
              <w:pStyle w:val="In-tableHeading"/>
              <w:jc w:val="center"/>
              <w:rPr>
                <w:lang w:val="en-AU"/>
              </w:rPr>
            </w:pPr>
            <w:r w:rsidRPr="00A655A1">
              <w:rPr>
                <w:lang w:val="en-AU"/>
              </w:rPr>
              <w:t>(N=207)</w:t>
            </w:r>
          </w:p>
        </w:tc>
      </w:tr>
      <w:tr w:rsidR="00A15C4B" w:rsidRPr="00A655A1" w:rsidTr="00A15C4B">
        <w:tc>
          <w:tcPr>
            <w:tcW w:w="3014"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ORR, n (%)</w:t>
            </w:r>
            <w:r w:rsidRPr="00A655A1">
              <w:rPr>
                <w:vertAlign w:val="superscript"/>
              </w:rPr>
              <w:t>a</w:t>
            </w:r>
            <w:r w:rsidRPr="00A655A1">
              <w:t xml:space="preserve"> </w:t>
            </w:r>
          </w:p>
        </w:tc>
        <w:tc>
          <w:tcPr>
            <w:tcW w:w="30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149 (76.4)</w:t>
            </w:r>
          </w:p>
        </w:tc>
        <w:tc>
          <w:tcPr>
            <w:tcW w:w="300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129 (62.3)</w:t>
            </w:r>
          </w:p>
        </w:tc>
      </w:tr>
      <w:tr w:rsidR="00A15C4B" w:rsidRPr="00A655A1" w:rsidTr="00A15C4B">
        <w:tc>
          <w:tcPr>
            <w:tcW w:w="3014"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Exact 95% CI </w:t>
            </w:r>
          </w:p>
        </w:tc>
        <w:tc>
          <w:tcPr>
            <w:tcW w:w="30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69.8, 82.2</w:t>
            </w:r>
          </w:p>
        </w:tc>
        <w:tc>
          <w:tcPr>
            <w:tcW w:w="300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55.3, 68.9</w:t>
            </w:r>
          </w:p>
        </w:tc>
      </w:tr>
      <w:tr w:rsidR="003C28A7" w:rsidRPr="00A655A1" w:rsidTr="009E5BC7">
        <w:tc>
          <w:tcPr>
            <w:tcW w:w="3014" w:type="dxa"/>
            <w:tcBorders>
              <w:top w:val="single" w:sz="4" w:space="0" w:color="auto"/>
              <w:left w:val="single" w:sz="4" w:space="0" w:color="auto"/>
              <w:bottom w:val="single" w:sz="4" w:space="0" w:color="auto"/>
              <w:right w:val="single" w:sz="4" w:space="0" w:color="auto"/>
            </w:tcBorders>
          </w:tcPr>
          <w:p w:rsidR="003C28A7" w:rsidRPr="00A655A1" w:rsidRDefault="003C28A7">
            <w:pPr>
              <w:pStyle w:val="TableText0"/>
            </w:pPr>
            <w:r w:rsidRPr="00A655A1">
              <w:t>RR (95% CI)</w:t>
            </w:r>
          </w:p>
        </w:tc>
        <w:tc>
          <w:tcPr>
            <w:tcW w:w="6003" w:type="dxa"/>
            <w:gridSpan w:val="2"/>
            <w:tcBorders>
              <w:top w:val="single" w:sz="4" w:space="0" w:color="auto"/>
              <w:left w:val="single" w:sz="4" w:space="0" w:color="auto"/>
              <w:bottom w:val="single" w:sz="4" w:space="0" w:color="auto"/>
              <w:right w:val="single" w:sz="4" w:space="0" w:color="auto"/>
            </w:tcBorders>
            <w:vAlign w:val="center"/>
          </w:tcPr>
          <w:p w:rsidR="0016525B" w:rsidRPr="00A655A1" w:rsidRDefault="0016525B" w:rsidP="0016525B">
            <w:pPr>
              <w:pStyle w:val="TableText0"/>
              <w:jc w:val="center"/>
              <w:rPr>
                <w:b/>
                <w:bCs w:val="0"/>
              </w:rPr>
            </w:pPr>
            <w:r w:rsidRPr="00A655A1">
              <w:rPr>
                <w:b/>
                <w:bCs w:val="0"/>
              </w:rPr>
              <w:t xml:space="preserve">1.23 (1.07, </w:t>
            </w:r>
            <w:r w:rsidR="00B24276" w:rsidRPr="00A655A1">
              <w:rPr>
                <w:b/>
                <w:bCs w:val="0"/>
              </w:rPr>
              <w:t>1.40)</w:t>
            </w:r>
          </w:p>
        </w:tc>
      </w:tr>
      <w:tr w:rsidR="00A15C4B" w:rsidRPr="00A655A1" w:rsidTr="00A15C4B">
        <w:tc>
          <w:tcPr>
            <w:tcW w:w="9017" w:type="dxa"/>
            <w:gridSpan w:val="3"/>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pPr>
            <w:r w:rsidRPr="00A655A1">
              <w:t>Cochran-Mantel-Haenszel Test (SBd vs. Bd)</w:t>
            </w:r>
            <w:r w:rsidRPr="00A655A1">
              <w:rPr>
                <w:vertAlign w:val="superscript"/>
              </w:rPr>
              <w:t>b</w:t>
            </w:r>
          </w:p>
        </w:tc>
      </w:tr>
      <w:tr w:rsidR="00A15C4B" w:rsidRPr="00A655A1" w:rsidTr="00A15C4B">
        <w:tc>
          <w:tcPr>
            <w:tcW w:w="3014"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OR (95% CI)</w:t>
            </w:r>
          </w:p>
        </w:tc>
        <w:tc>
          <w:tcPr>
            <w:tcW w:w="6003" w:type="dxa"/>
            <w:gridSpan w:val="2"/>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rPr>
                <w:b/>
                <w:bCs w:val="0"/>
              </w:rPr>
            </w:pPr>
            <w:r w:rsidRPr="00A655A1">
              <w:rPr>
                <w:b/>
                <w:bCs w:val="0"/>
              </w:rPr>
              <w:t>1.96 (1.26, 3.05)</w:t>
            </w:r>
          </w:p>
        </w:tc>
      </w:tr>
      <w:tr w:rsidR="00A15C4B" w:rsidRPr="00A655A1" w:rsidTr="00A15C4B">
        <w:tc>
          <w:tcPr>
            <w:tcW w:w="3014"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One</w:t>
            </w:r>
            <w:r w:rsidR="00B27569" w:rsidRPr="00A655A1">
              <w:t>-s</w:t>
            </w:r>
            <w:r w:rsidRPr="00A655A1">
              <w:t xml:space="preserve">ided </w:t>
            </w:r>
            <w:r w:rsidR="00B27569" w:rsidRPr="00A655A1">
              <w:t>p</w:t>
            </w:r>
            <w:r w:rsidRPr="00A655A1">
              <w:t xml:space="preserve">-value </w:t>
            </w:r>
          </w:p>
        </w:tc>
        <w:tc>
          <w:tcPr>
            <w:tcW w:w="6003" w:type="dxa"/>
            <w:gridSpan w:val="2"/>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rPr>
                <w:b/>
                <w:bCs w:val="0"/>
              </w:rPr>
            </w:pPr>
            <w:r w:rsidRPr="00A655A1">
              <w:rPr>
                <w:b/>
                <w:bCs w:val="0"/>
              </w:rPr>
              <w:t>0.0012</w:t>
            </w:r>
          </w:p>
        </w:tc>
      </w:tr>
      <w:tr w:rsidR="00A15C4B" w:rsidRPr="00A655A1" w:rsidTr="00A15C4B">
        <w:tc>
          <w:tcPr>
            <w:tcW w:w="9017" w:type="dxa"/>
            <w:gridSpan w:val="3"/>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pPr>
            <w:r w:rsidRPr="00A655A1">
              <w:t>Breslow-Day Test for homogeneity</w:t>
            </w:r>
          </w:p>
        </w:tc>
      </w:tr>
      <w:tr w:rsidR="00A15C4B" w:rsidRPr="00A655A1" w:rsidTr="00A15C4B">
        <w:tc>
          <w:tcPr>
            <w:tcW w:w="3014" w:type="dxa"/>
            <w:tcBorders>
              <w:top w:val="single" w:sz="4" w:space="0" w:color="auto"/>
              <w:left w:val="single" w:sz="4" w:space="0" w:color="auto"/>
              <w:bottom w:val="single" w:sz="4" w:space="0" w:color="auto"/>
              <w:right w:val="single" w:sz="4" w:space="0" w:color="auto"/>
            </w:tcBorders>
            <w:hideMark/>
          </w:tcPr>
          <w:p w:rsidR="00A15C4B" w:rsidRPr="00A655A1" w:rsidRDefault="00B27569">
            <w:pPr>
              <w:pStyle w:val="TableText0"/>
            </w:pPr>
            <w:r w:rsidRPr="00A655A1">
              <w:t>p</w:t>
            </w:r>
            <w:r w:rsidR="00A15C4B" w:rsidRPr="00A655A1">
              <w:t xml:space="preserve">-value </w:t>
            </w:r>
          </w:p>
        </w:tc>
        <w:tc>
          <w:tcPr>
            <w:tcW w:w="6003" w:type="dxa"/>
            <w:gridSpan w:val="2"/>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0.2430</w:t>
            </w:r>
          </w:p>
        </w:tc>
      </w:tr>
    </w:tbl>
    <w:p w:rsidR="00A15C4B" w:rsidRPr="00A655A1" w:rsidRDefault="00A15C4B" w:rsidP="00A15C4B">
      <w:pPr>
        <w:pStyle w:val="TableFigureFooter"/>
      </w:pPr>
      <w:r w:rsidRPr="00A655A1">
        <w:t>Source: Table 2-17, p76 of the submission.</w:t>
      </w:r>
    </w:p>
    <w:p w:rsidR="00A15C4B" w:rsidRPr="00A655A1" w:rsidRDefault="00A15C4B" w:rsidP="00A15C4B">
      <w:pPr>
        <w:pStyle w:val="TableFigureFooter"/>
      </w:pPr>
      <w:r w:rsidRPr="00A655A1">
        <w:t xml:space="preserve">Bd = bortezomib + dexamethasone; CI = confidence interval; ITT = intention to treat; IRC = Independent Review Committee; </w:t>
      </w:r>
      <w:r w:rsidR="00B27569" w:rsidRPr="00A655A1">
        <w:t xml:space="preserve">OR = odds ratio; </w:t>
      </w:r>
      <w:r w:rsidRPr="00A655A1">
        <w:t xml:space="preserve">ORR = overall response rate; </w:t>
      </w:r>
      <w:r w:rsidR="00B24276" w:rsidRPr="00A655A1">
        <w:t xml:space="preserve">RR = risk ratio; </w:t>
      </w:r>
      <w:r w:rsidRPr="00A655A1">
        <w:t>SBd = selinexor + bortezomib + dexamethasone.</w:t>
      </w:r>
    </w:p>
    <w:p w:rsidR="00A15C4B" w:rsidRPr="00A655A1" w:rsidRDefault="00A15C4B" w:rsidP="00A15C4B">
      <w:pPr>
        <w:pStyle w:val="TableFigureFooter"/>
      </w:pPr>
      <w:r w:rsidRPr="00A655A1">
        <w:t xml:space="preserve">Notes: </w:t>
      </w:r>
      <w:r w:rsidRPr="00A655A1">
        <w:rPr>
          <w:b/>
          <w:bCs/>
        </w:rPr>
        <w:t xml:space="preserve">Bold </w:t>
      </w:r>
      <w:r w:rsidRPr="00A655A1">
        <w:t>indicates a statistically significant difference.</w:t>
      </w:r>
    </w:p>
    <w:p w:rsidR="00A15C4B" w:rsidRPr="00A655A1" w:rsidRDefault="00A15C4B" w:rsidP="00A15C4B">
      <w:pPr>
        <w:pStyle w:val="TableFigureFooter"/>
      </w:pPr>
      <w:r w:rsidRPr="00A655A1">
        <w:t xml:space="preserve">a. </w:t>
      </w:r>
      <w:r w:rsidR="00B27569" w:rsidRPr="00A655A1">
        <w:t>ORR</w:t>
      </w:r>
      <w:r w:rsidRPr="00A655A1">
        <w:t xml:space="preserve"> is the proportion of patients who achieve a partial response or better, before IRC-confirmed PD or initiating a new MM treatment or crossover.</w:t>
      </w:r>
    </w:p>
    <w:p w:rsidR="00DF0E03" w:rsidRPr="00A655A1" w:rsidRDefault="00A15C4B" w:rsidP="00FB4C53">
      <w:pPr>
        <w:pStyle w:val="TableFigureFooter"/>
        <w:rPr>
          <w:i/>
          <w:iCs/>
        </w:rPr>
      </w:pPr>
      <w:r w:rsidRPr="00A655A1">
        <w:t>b. Analysis using Cochran-Mantel-Haenszel test stratified by prior PI therapies, number of prior anti-MM regimens, and R-ISS stage at screening.</w:t>
      </w:r>
      <w:r w:rsidR="00A76210" w:rsidRPr="00A655A1">
        <w:t xml:space="preserve"> </w:t>
      </w:r>
    </w:p>
    <w:p w:rsidR="00DF0E03" w:rsidRPr="00A655A1" w:rsidRDefault="00E77100" w:rsidP="00707864">
      <w:pPr>
        <w:pStyle w:val="3-BodyText"/>
        <w:numPr>
          <w:ilvl w:val="1"/>
          <w:numId w:val="7"/>
        </w:numPr>
        <w:snapToGrid w:val="0"/>
        <w:rPr>
          <w:iCs/>
          <w:color w:val="0066FF"/>
        </w:rPr>
      </w:pPr>
      <w:r w:rsidRPr="00A655A1">
        <w:t xml:space="preserve">BOSTON </w:t>
      </w:r>
      <w:r w:rsidR="00890049" w:rsidRPr="00A655A1">
        <w:t>assessed</w:t>
      </w:r>
      <w:r w:rsidRPr="00A655A1">
        <w:t xml:space="preserve"> data on </w:t>
      </w:r>
      <w:r w:rsidR="009D4548" w:rsidRPr="00A655A1">
        <w:t>health-related quality of life (</w:t>
      </w:r>
      <w:r w:rsidRPr="00A655A1">
        <w:t>HRQoL</w:t>
      </w:r>
      <w:r w:rsidR="009D4548" w:rsidRPr="00A655A1">
        <w:t>)</w:t>
      </w:r>
      <w:r w:rsidRPr="00A655A1">
        <w:t xml:space="preserve"> </w:t>
      </w:r>
      <w:r w:rsidR="00890049" w:rsidRPr="00A655A1">
        <w:t xml:space="preserve">as an exploratory endpoint </w:t>
      </w:r>
      <w:r w:rsidRPr="00A655A1">
        <w:t xml:space="preserve">using the EQ-5D-5L and </w:t>
      </w:r>
      <w:r w:rsidR="00890049" w:rsidRPr="00A655A1">
        <w:t xml:space="preserve">the </w:t>
      </w:r>
      <w:r w:rsidRPr="00A655A1">
        <w:t>EORTC QLQ-C30 instruments</w:t>
      </w:r>
      <w:r w:rsidR="00DF0E03" w:rsidRPr="00A655A1">
        <w:t>.</w:t>
      </w:r>
      <w:r w:rsidR="00DF0E03" w:rsidRPr="00A655A1">
        <w:rPr>
          <w:iCs/>
        </w:rPr>
        <w:t xml:space="preserve"> </w:t>
      </w:r>
      <w:r w:rsidR="009267A3" w:rsidRPr="00A655A1">
        <w:rPr>
          <w:iCs/>
        </w:rPr>
        <w:t>Model</w:t>
      </w:r>
      <w:r w:rsidR="00CF694D" w:rsidRPr="00A655A1">
        <w:rPr>
          <w:iCs/>
        </w:rPr>
        <w:t>-based change from baseline to D</w:t>
      </w:r>
      <w:r w:rsidR="009267A3" w:rsidRPr="00A655A1">
        <w:rPr>
          <w:iCs/>
        </w:rPr>
        <w:t xml:space="preserve">ay 106 on patients reported symptoms showed statistically significant difference in levels of sensory, pain, and autonomic neuropathy symptoms between treatment arms. </w:t>
      </w:r>
    </w:p>
    <w:p w:rsidR="00DF0E03" w:rsidRPr="00A655A1" w:rsidRDefault="00FB4C53" w:rsidP="00913FBD">
      <w:pPr>
        <w:pStyle w:val="3-BodyText"/>
        <w:keepNext/>
        <w:numPr>
          <w:ilvl w:val="0"/>
          <w:numId w:val="0"/>
        </w:numPr>
        <w:snapToGrid w:val="0"/>
        <w:rPr>
          <w:i/>
          <w:iCs/>
          <w:color w:val="0066FF"/>
        </w:rPr>
      </w:pPr>
      <w:r w:rsidRPr="00A655A1">
        <w:rPr>
          <w:u w:val="single"/>
        </w:rPr>
        <w:t>ENDEAVOR (Cd versus Bd)</w:t>
      </w:r>
    </w:p>
    <w:p w:rsidR="00A15C4B" w:rsidRPr="00A655A1" w:rsidRDefault="001E0516" w:rsidP="00707864">
      <w:pPr>
        <w:pStyle w:val="3-BodyText"/>
        <w:keepNext/>
        <w:numPr>
          <w:ilvl w:val="1"/>
          <w:numId w:val="7"/>
        </w:numPr>
        <w:snapToGrid w:val="0"/>
        <w:rPr>
          <w:iCs/>
          <w:color w:val="0066FF"/>
        </w:rPr>
      </w:pPr>
      <w:r w:rsidRPr="00A655A1">
        <w:t>The</w:t>
      </w:r>
      <w:r w:rsidR="00A15C4B" w:rsidRPr="00A655A1">
        <w:t xml:space="preserve"> median PFS was 18.7 months in the Cd arm versus 9.4 months in Bd arm</w:t>
      </w:r>
      <w:r w:rsidR="00E03117" w:rsidRPr="00A655A1">
        <w:t xml:space="preserve"> (</w:t>
      </w:r>
      <w:r w:rsidR="00A15C4B" w:rsidRPr="00A655A1">
        <w:t>HR</w:t>
      </w:r>
      <w:r w:rsidR="00640D1C" w:rsidRPr="00A655A1">
        <w:t xml:space="preserve"> </w:t>
      </w:r>
      <w:r w:rsidR="00A15C4B" w:rsidRPr="00A655A1">
        <w:t>= 0.53</w:t>
      </w:r>
      <w:r w:rsidR="00E03117" w:rsidRPr="00A655A1">
        <w:t xml:space="preserve">; </w:t>
      </w:r>
      <w:r w:rsidR="00640D1C" w:rsidRPr="00A655A1">
        <w:t xml:space="preserve">95% CI: </w:t>
      </w:r>
      <w:r w:rsidR="00A15C4B" w:rsidRPr="00A655A1">
        <w:t>0.44</w:t>
      </w:r>
      <w:r w:rsidR="00640D1C" w:rsidRPr="00A655A1">
        <w:t xml:space="preserve">, </w:t>
      </w:r>
      <w:r w:rsidR="00A15C4B" w:rsidRPr="00A655A1">
        <w:t>0.65</w:t>
      </w:r>
      <w:r w:rsidR="00640D1C" w:rsidRPr="00A655A1">
        <w:t>)</w:t>
      </w:r>
      <w:r w:rsidR="00A15C4B" w:rsidRPr="00A655A1">
        <w:t xml:space="preserve"> </w:t>
      </w:r>
      <w:r w:rsidR="00E03117" w:rsidRPr="00A655A1">
        <w:t>at a m</w:t>
      </w:r>
      <w:r w:rsidR="007E0890" w:rsidRPr="00A655A1">
        <w:t xml:space="preserve">edian follow </w:t>
      </w:r>
      <w:r w:rsidR="00E03117" w:rsidRPr="00A655A1">
        <w:t xml:space="preserve">of </w:t>
      </w:r>
      <w:r w:rsidR="007E0890" w:rsidRPr="00A655A1">
        <w:t>11.9 months in the Cd arm and 11.1 months in the Bd arm</w:t>
      </w:r>
      <w:r w:rsidR="00E03117" w:rsidRPr="00A655A1">
        <w:t xml:space="preserve"> (see Table 7)</w:t>
      </w:r>
      <w:r w:rsidR="007E0890" w:rsidRPr="00A655A1">
        <w:t>.</w:t>
      </w:r>
    </w:p>
    <w:p w:rsidR="00A15C4B" w:rsidRPr="00A655A1" w:rsidRDefault="00A15C4B" w:rsidP="00A15C4B">
      <w:pPr>
        <w:pStyle w:val="TableFigureHeading"/>
        <w:rPr>
          <w:bCs w:val="0"/>
        </w:rPr>
      </w:pPr>
      <w:r w:rsidRPr="00A655A1">
        <w:rPr>
          <w:bCs w:val="0"/>
        </w:rPr>
        <w:t>Table 7: Results of PFS in ENDEAVOR</w:t>
      </w:r>
    </w:p>
    <w:tbl>
      <w:tblPr>
        <w:tblStyle w:val="TableGrid"/>
        <w:tblW w:w="9067" w:type="dxa"/>
        <w:tblLook w:val="04A0" w:firstRow="1" w:lastRow="0" w:firstColumn="1" w:lastColumn="0" w:noHBand="0" w:noVBand="1"/>
        <w:tblCaption w:val="Table 7: Results of PFS in ENDEAVOR"/>
      </w:tblPr>
      <w:tblGrid>
        <w:gridCol w:w="704"/>
        <w:gridCol w:w="1843"/>
        <w:gridCol w:w="1843"/>
        <w:gridCol w:w="1842"/>
        <w:gridCol w:w="1418"/>
        <w:gridCol w:w="1417"/>
      </w:tblGrid>
      <w:tr w:rsidR="00A15C4B" w:rsidRPr="00A655A1" w:rsidTr="00185816">
        <w:trPr>
          <w:tblHeader/>
        </w:trPr>
        <w:tc>
          <w:tcPr>
            <w:tcW w:w="70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43F1C" w:rsidRPr="00A655A1" w:rsidRDefault="00043F1C" w:rsidP="00043F1C">
            <w:pPr>
              <w:pStyle w:val="TableText0"/>
              <w:jc w:val="center"/>
              <w:rPr>
                <w:b/>
                <w:bCs w:val="0"/>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15C4B" w:rsidRPr="00A655A1" w:rsidRDefault="00A15C4B">
            <w:pPr>
              <w:pStyle w:val="TableText0"/>
              <w:jc w:val="center"/>
              <w:rPr>
                <w:b/>
                <w:bCs w:val="0"/>
              </w:rPr>
            </w:pPr>
            <w:r w:rsidRPr="00A655A1">
              <w:rPr>
                <w:b/>
                <w:bCs w:val="0"/>
              </w:rPr>
              <w:t xml:space="preserve">Patients with event, </w:t>
            </w:r>
            <w:r w:rsidR="00640D1C" w:rsidRPr="00A655A1">
              <w:rPr>
                <w:b/>
                <w:bCs w:val="0"/>
              </w:rPr>
              <w:br/>
            </w:r>
            <w:r w:rsidRPr="00A655A1">
              <w:rPr>
                <w:b/>
                <w:bCs w:val="0"/>
              </w:rPr>
              <w:t>n/N (%)</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15C4B" w:rsidRPr="00A655A1" w:rsidRDefault="00A15C4B" w:rsidP="00640D1C">
            <w:pPr>
              <w:pStyle w:val="TableText0"/>
              <w:jc w:val="center"/>
              <w:rPr>
                <w:b/>
                <w:bCs w:val="0"/>
              </w:rPr>
            </w:pPr>
            <w:r w:rsidRPr="00A655A1">
              <w:rPr>
                <w:b/>
                <w:bCs w:val="0"/>
              </w:rPr>
              <w:t xml:space="preserve">Median, </w:t>
            </w:r>
            <w:r w:rsidR="00640D1C" w:rsidRPr="00A655A1">
              <w:rPr>
                <w:b/>
                <w:bCs w:val="0"/>
              </w:rPr>
              <w:br/>
            </w:r>
            <w:r w:rsidRPr="00A655A1">
              <w:rPr>
                <w:b/>
                <w:bCs w:val="0"/>
              </w:rPr>
              <w:t>months</w:t>
            </w:r>
            <w:r w:rsidR="00640D1C" w:rsidRPr="00A655A1">
              <w:rPr>
                <w:b/>
                <w:bCs w:val="0"/>
              </w:rPr>
              <w:t xml:space="preserve"> </w:t>
            </w:r>
            <w:r w:rsidRPr="00A655A1">
              <w:rPr>
                <w:b/>
                <w:bCs w:val="0"/>
              </w:rPr>
              <w:t>(95% CI)</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15C4B" w:rsidRPr="00A655A1" w:rsidRDefault="00C45A66" w:rsidP="00043F1C">
            <w:pPr>
              <w:jc w:val="center"/>
              <w:rPr>
                <w:rFonts w:ascii="Arial Narrow" w:eastAsiaTheme="majorEastAsia" w:hAnsi="Arial Narrow" w:cstheme="majorBidi"/>
                <w:b/>
                <w:sz w:val="20"/>
              </w:rPr>
            </w:pPr>
            <w:r w:rsidRPr="00A655A1">
              <w:rPr>
                <w:rFonts w:ascii="Arial Narrow" w:eastAsiaTheme="majorEastAsia" w:hAnsi="Arial Narrow" w:cstheme="majorBidi"/>
                <w:b/>
                <w:sz w:val="20"/>
              </w:rPr>
              <w:t>Difference in median, months</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C45A66" w:rsidRPr="00A655A1" w:rsidRDefault="00C45A66" w:rsidP="00043F1C">
            <w:pPr>
              <w:pStyle w:val="TableText0"/>
              <w:jc w:val="center"/>
              <w:rPr>
                <w:b/>
                <w:bCs w:val="0"/>
              </w:rPr>
            </w:pPr>
            <w:r w:rsidRPr="00A655A1">
              <w:rPr>
                <w:b/>
                <w:bCs w:val="0"/>
              </w:rPr>
              <w:t>P value</w:t>
            </w:r>
          </w:p>
          <w:p w:rsidR="00A15C4B" w:rsidRPr="00A655A1" w:rsidRDefault="00C45A66" w:rsidP="00640D1C">
            <w:pPr>
              <w:pStyle w:val="TableText0"/>
              <w:jc w:val="center"/>
              <w:rPr>
                <w:b/>
              </w:rPr>
            </w:pPr>
            <w:r w:rsidRPr="00A655A1">
              <w:rPr>
                <w:b/>
                <w:bCs w:val="0"/>
              </w:rPr>
              <w:t>(log rank</w:t>
            </w:r>
            <w:r w:rsidR="00640D1C" w:rsidRPr="00A655A1">
              <w:rPr>
                <w:b/>
                <w:bCs w:val="0"/>
              </w:rPr>
              <w:t xml:space="preserve"> </w:t>
            </w:r>
            <w:r w:rsidRPr="00A655A1">
              <w:rPr>
                <w:b/>
              </w:rPr>
              <w:t>test)</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15C4B" w:rsidRPr="00A655A1" w:rsidRDefault="00C45A66" w:rsidP="00043F1C">
            <w:pPr>
              <w:jc w:val="center"/>
              <w:rPr>
                <w:rFonts w:ascii="Arial Narrow" w:eastAsiaTheme="majorEastAsia" w:hAnsi="Arial Narrow" w:cstheme="majorBidi"/>
                <w:b/>
                <w:sz w:val="20"/>
              </w:rPr>
            </w:pPr>
            <w:r w:rsidRPr="00A655A1">
              <w:rPr>
                <w:rFonts w:ascii="Arial Narrow" w:eastAsiaTheme="majorEastAsia" w:hAnsi="Arial Narrow" w:cstheme="majorBidi"/>
                <w:b/>
                <w:sz w:val="20"/>
              </w:rPr>
              <w:t>HR (95% CI)</w:t>
            </w:r>
          </w:p>
        </w:tc>
      </w:tr>
      <w:tr w:rsidR="00A15C4B" w:rsidRPr="00A655A1" w:rsidTr="00640D1C">
        <w:tc>
          <w:tcPr>
            <w:tcW w:w="704" w:type="dxa"/>
            <w:tcBorders>
              <w:top w:val="single" w:sz="4" w:space="0" w:color="auto"/>
              <w:left w:val="single" w:sz="4" w:space="0" w:color="auto"/>
              <w:bottom w:val="single" w:sz="4" w:space="0" w:color="auto"/>
              <w:right w:val="single" w:sz="4" w:space="0" w:color="auto"/>
            </w:tcBorders>
            <w:tcMar>
              <w:left w:w="28" w:type="dxa"/>
              <w:right w:w="28" w:type="dxa"/>
            </w:tcMar>
          </w:tcPr>
          <w:p w:rsidR="00C45A66" w:rsidRPr="00A655A1" w:rsidRDefault="00C45A66" w:rsidP="00640D1C">
            <w:pPr>
              <w:pStyle w:val="TableText0"/>
              <w:rPr>
                <w:bCs w:val="0"/>
              </w:rPr>
            </w:pPr>
            <w:r w:rsidRPr="00A655A1">
              <w:rPr>
                <w:bCs w:val="0"/>
              </w:rPr>
              <w:t>Cd</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15C4B" w:rsidRPr="00A655A1" w:rsidRDefault="00A15C4B">
            <w:pPr>
              <w:pStyle w:val="TableText0"/>
              <w:jc w:val="center"/>
            </w:pPr>
            <w:r w:rsidRPr="00A655A1">
              <w:t>171/464 (36.9%)</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15C4B" w:rsidRPr="00A655A1" w:rsidRDefault="00A15C4B" w:rsidP="00640D1C">
            <w:pPr>
              <w:pStyle w:val="TableText0"/>
              <w:jc w:val="center"/>
            </w:pPr>
            <w:r w:rsidRPr="00A655A1">
              <w:t>18.7</w:t>
            </w:r>
            <w:r w:rsidR="00640D1C" w:rsidRPr="00A655A1">
              <w:t xml:space="preserve"> </w:t>
            </w:r>
            <w:r w:rsidRPr="00A655A1">
              <w:t>(15.6, NE)</w:t>
            </w:r>
          </w:p>
        </w:tc>
        <w:tc>
          <w:tcPr>
            <w:tcW w:w="1842" w:type="dxa"/>
            <w:vMerge w:val="restart"/>
            <w:tcBorders>
              <w:top w:val="single" w:sz="4" w:space="0" w:color="auto"/>
              <w:left w:val="single" w:sz="4" w:space="0" w:color="auto"/>
              <w:right w:val="single" w:sz="4" w:space="0" w:color="auto"/>
            </w:tcBorders>
            <w:tcMar>
              <w:left w:w="28" w:type="dxa"/>
              <w:right w:w="28" w:type="dxa"/>
            </w:tcMar>
            <w:vAlign w:val="center"/>
            <w:hideMark/>
          </w:tcPr>
          <w:p w:rsidR="00A15C4B" w:rsidRPr="00A655A1" w:rsidRDefault="00A15C4B">
            <w:pPr>
              <w:pStyle w:val="TableText0"/>
              <w:jc w:val="center"/>
            </w:pPr>
            <w:r w:rsidRPr="00A655A1">
              <w:t>9.3</w:t>
            </w:r>
          </w:p>
        </w:tc>
        <w:tc>
          <w:tcPr>
            <w:tcW w:w="1418" w:type="dxa"/>
            <w:vMerge w:val="restart"/>
            <w:tcBorders>
              <w:top w:val="single" w:sz="4" w:space="0" w:color="auto"/>
              <w:left w:val="single" w:sz="4" w:space="0" w:color="auto"/>
              <w:right w:val="single" w:sz="4" w:space="0" w:color="auto"/>
            </w:tcBorders>
            <w:tcMar>
              <w:left w:w="28" w:type="dxa"/>
              <w:right w:w="28" w:type="dxa"/>
            </w:tcMar>
            <w:vAlign w:val="center"/>
            <w:hideMark/>
          </w:tcPr>
          <w:p w:rsidR="00A15C4B" w:rsidRPr="00A655A1" w:rsidRDefault="00A15C4B">
            <w:pPr>
              <w:pStyle w:val="TableText0"/>
              <w:jc w:val="center"/>
              <w:rPr>
                <w:b/>
                <w:bCs w:val="0"/>
              </w:rPr>
            </w:pPr>
            <w:r w:rsidRPr="00A655A1">
              <w:rPr>
                <w:b/>
                <w:bCs w:val="0"/>
              </w:rPr>
              <w:t>&lt; 0.0001</w:t>
            </w:r>
          </w:p>
        </w:tc>
        <w:tc>
          <w:tcPr>
            <w:tcW w:w="1417" w:type="dxa"/>
            <w:vMerge w:val="restart"/>
            <w:tcBorders>
              <w:top w:val="single" w:sz="4" w:space="0" w:color="auto"/>
              <w:left w:val="single" w:sz="4" w:space="0" w:color="auto"/>
              <w:right w:val="single" w:sz="4" w:space="0" w:color="auto"/>
            </w:tcBorders>
            <w:tcMar>
              <w:left w:w="28" w:type="dxa"/>
              <w:right w:w="28" w:type="dxa"/>
            </w:tcMar>
            <w:vAlign w:val="center"/>
            <w:hideMark/>
          </w:tcPr>
          <w:p w:rsidR="00A15C4B" w:rsidRPr="00A655A1" w:rsidRDefault="00A15C4B" w:rsidP="00640D1C">
            <w:pPr>
              <w:pStyle w:val="TableText0"/>
              <w:jc w:val="center"/>
            </w:pPr>
            <w:r w:rsidRPr="00A655A1">
              <w:rPr>
                <w:b/>
                <w:bCs w:val="0"/>
              </w:rPr>
              <w:t>0.53</w:t>
            </w:r>
            <w:r w:rsidR="00640D1C" w:rsidRPr="00A655A1">
              <w:rPr>
                <w:b/>
                <w:bCs w:val="0"/>
              </w:rPr>
              <w:t xml:space="preserve"> </w:t>
            </w:r>
            <w:r w:rsidRPr="00A655A1">
              <w:rPr>
                <w:b/>
                <w:bCs w:val="0"/>
              </w:rPr>
              <w:t>(0.44, 0.65)</w:t>
            </w:r>
          </w:p>
        </w:tc>
      </w:tr>
      <w:tr w:rsidR="00C45A66" w:rsidRPr="00A655A1" w:rsidTr="00640D1C">
        <w:tc>
          <w:tcPr>
            <w:tcW w:w="704" w:type="dxa"/>
            <w:tcBorders>
              <w:top w:val="single" w:sz="4" w:space="0" w:color="auto"/>
              <w:left w:val="single" w:sz="4" w:space="0" w:color="auto"/>
              <w:bottom w:val="single" w:sz="4" w:space="0" w:color="auto"/>
              <w:right w:val="single" w:sz="4" w:space="0" w:color="auto"/>
            </w:tcBorders>
            <w:tcMar>
              <w:left w:w="28" w:type="dxa"/>
              <w:right w:w="28" w:type="dxa"/>
            </w:tcMar>
          </w:tcPr>
          <w:p w:rsidR="00C45A66" w:rsidRPr="00A655A1" w:rsidRDefault="00C45A66" w:rsidP="00640D1C">
            <w:pPr>
              <w:pStyle w:val="TableText0"/>
              <w:rPr>
                <w:bCs w:val="0"/>
              </w:rPr>
            </w:pPr>
            <w:r w:rsidRPr="00A655A1">
              <w:rPr>
                <w:bCs w:val="0"/>
              </w:rPr>
              <w:t>Bd</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45A66" w:rsidRPr="00A655A1" w:rsidRDefault="00C45A66">
            <w:pPr>
              <w:pStyle w:val="TableText0"/>
              <w:jc w:val="center"/>
            </w:pPr>
            <w:r w:rsidRPr="00A655A1">
              <w:t>243/465 (52.3%)</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45A66" w:rsidRPr="00A655A1" w:rsidRDefault="00C45A66" w:rsidP="00640D1C">
            <w:pPr>
              <w:pStyle w:val="TableText0"/>
              <w:jc w:val="center"/>
            </w:pPr>
            <w:r w:rsidRPr="00A655A1">
              <w:t>9.4</w:t>
            </w:r>
            <w:r w:rsidR="00640D1C" w:rsidRPr="00A655A1">
              <w:t xml:space="preserve"> </w:t>
            </w:r>
            <w:r w:rsidRPr="00A655A1">
              <w:t>(8.4, 10.4)</w:t>
            </w:r>
          </w:p>
        </w:tc>
        <w:tc>
          <w:tcPr>
            <w:tcW w:w="1842" w:type="dxa"/>
            <w:vMerge/>
            <w:tcBorders>
              <w:left w:val="single" w:sz="4" w:space="0" w:color="auto"/>
              <w:bottom w:val="single" w:sz="4" w:space="0" w:color="auto"/>
              <w:right w:val="single" w:sz="4" w:space="0" w:color="auto"/>
            </w:tcBorders>
            <w:tcMar>
              <w:left w:w="28" w:type="dxa"/>
              <w:right w:w="28" w:type="dxa"/>
            </w:tcMar>
            <w:vAlign w:val="center"/>
          </w:tcPr>
          <w:p w:rsidR="00C45A66" w:rsidRPr="00A655A1" w:rsidRDefault="00C45A66">
            <w:pPr>
              <w:pStyle w:val="TableText0"/>
              <w:jc w:val="center"/>
            </w:pPr>
          </w:p>
        </w:tc>
        <w:tc>
          <w:tcPr>
            <w:tcW w:w="1418" w:type="dxa"/>
            <w:vMerge/>
            <w:tcBorders>
              <w:left w:val="single" w:sz="4" w:space="0" w:color="auto"/>
              <w:bottom w:val="single" w:sz="4" w:space="0" w:color="auto"/>
              <w:right w:val="single" w:sz="4" w:space="0" w:color="auto"/>
            </w:tcBorders>
            <w:tcMar>
              <w:left w:w="28" w:type="dxa"/>
              <w:right w:w="28" w:type="dxa"/>
            </w:tcMar>
            <w:vAlign w:val="center"/>
          </w:tcPr>
          <w:p w:rsidR="00C45A66" w:rsidRPr="00A655A1" w:rsidRDefault="00C45A66">
            <w:pPr>
              <w:pStyle w:val="TableText0"/>
              <w:jc w:val="center"/>
            </w:pPr>
          </w:p>
        </w:tc>
        <w:tc>
          <w:tcPr>
            <w:tcW w:w="1417" w:type="dxa"/>
            <w:vMerge/>
            <w:tcBorders>
              <w:left w:val="single" w:sz="4" w:space="0" w:color="auto"/>
              <w:bottom w:val="single" w:sz="4" w:space="0" w:color="auto"/>
              <w:right w:val="single" w:sz="4" w:space="0" w:color="auto"/>
            </w:tcBorders>
            <w:tcMar>
              <w:left w:w="28" w:type="dxa"/>
              <w:right w:w="28" w:type="dxa"/>
            </w:tcMar>
            <w:vAlign w:val="center"/>
          </w:tcPr>
          <w:p w:rsidR="00C45A66" w:rsidRPr="00A655A1" w:rsidRDefault="00C45A66">
            <w:pPr>
              <w:pStyle w:val="TableText0"/>
              <w:jc w:val="center"/>
            </w:pPr>
          </w:p>
        </w:tc>
      </w:tr>
    </w:tbl>
    <w:p w:rsidR="00A15C4B" w:rsidRPr="00A655A1" w:rsidRDefault="00A15C4B" w:rsidP="00A15C4B">
      <w:pPr>
        <w:rPr>
          <w:rFonts w:ascii="Arial Narrow" w:hAnsi="Arial Narrow"/>
          <w:snapToGrid w:val="0"/>
          <w:sz w:val="18"/>
          <w:szCs w:val="22"/>
        </w:rPr>
      </w:pPr>
      <w:r w:rsidRPr="00A655A1">
        <w:rPr>
          <w:rFonts w:ascii="Arial Narrow" w:hAnsi="Arial Narrow"/>
          <w:snapToGrid w:val="0"/>
          <w:sz w:val="18"/>
          <w:szCs w:val="22"/>
        </w:rPr>
        <w:t xml:space="preserve">Source: Table 2-21, p83 of the submission. </w:t>
      </w:r>
    </w:p>
    <w:p w:rsidR="00A15C4B" w:rsidRPr="00A655A1" w:rsidRDefault="00B27569" w:rsidP="00A15C4B">
      <w:pPr>
        <w:rPr>
          <w:rFonts w:ascii="Arial Narrow" w:hAnsi="Arial Narrow"/>
          <w:snapToGrid w:val="0"/>
          <w:sz w:val="18"/>
          <w:szCs w:val="22"/>
        </w:rPr>
      </w:pPr>
      <w:r w:rsidRPr="00A655A1">
        <w:rPr>
          <w:rFonts w:ascii="Arial Narrow" w:hAnsi="Arial Narrow"/>
          <w:snapToGrid w:val="0"/>
          <w:sz w:val="18"/>
          <w:szCs w:val="22"/>
        </w:rPr>
        <w:t xml:space="preserve">Bd = bortezomib + dexamethasone; </w:t>
      </w:r>
      <w:r w:rsidR="00A15C4B" w:rsidRPr="00A655A1">
        <w:rPr>
          <w:rFonts w:ascii="Arial Narrow" w:hAnsi="Arial Narrow"/>
          <w:snapToGrid w:val="0"/>
          <w:sz w:val="18"/>
          <w:szCs w:val="22"/>
        </w:rPr>
        <w:t>CI = confidence interval; Cd = carfilzomib + dexamethasone; HR = hazard ratio; NE = not estimable; PFS = progression free survival</w:t>
      </w:r>
    </w:p>
    <w:p w:rsidR="00A966F8" w:rsidRPr="00A655A1" w:rsidRDefault="00A966F8" w:rsidP="00A15C4B">
      <w:pPr>
        <w:rPr>
          <w:rFonts w:ascii="Arial Narrow" w:hAnsi="Arial Narrow"/>
          <w:snapToGrid w:val="0"/>
          <w:sz w:val="18"/>
          <w:szCs w:val="22"/>
        </w:rPr>
      </w:pPr>
      <w:r w:rsidRPr="00A655A1">
        <w:rPr>
          <w:rFonts w:ascii="Arial Narrow" w:hAnsi="Arial Narrow"/>
          <w:snapToGrid w:val="0"/>
          <w:sz w:val="18"/>
          <w:szCs w:val="22"/>
        </w:rPr>
        <w:t xml:space="preserve">Note: </w:t>
      </w:r>
      <w:r w:rsidRPr="00A655A1">
        <w:rPr>
          <w:rFonts w:ascii="Arial Narrow" w:hAnsi="Arial Narrow"/>
          <w:b/>
          <w:bCs/>
          <w:snapToGrid w:val="0"/>
          <w:sz w:val="18"/>
          <w:szCs w:val="22"/>
        </w:rPr>
        <w:t>Bold</w:t>
      </w:r>
      <w:r w:rsidRPr="00A655A1">
        <w:rPr>
          <w:rFonts w:ascii="Arial Narrow" w:hAnsi="Arial Narrow"/>
          <w:snapToGrid w:val="0"/>
          <w:sz w:val="18"/>
          <w:szCs w:val="22"/>
        </w:rPr>
        <w:t xml:space="preserve"> indicates a statistically significant difference. </w:t>
      </w:r>
    </w:p>
    <w:p w:rsidR="00A15C4B" w:rsidRPr="00A655A1" w:rsidRDefault="00A15C4B" w:rsidP="00A15C4B">
      <w:pPr>
        <w:rPr>
          <w:rFonts w:ascii="Arial Narrow" w:hAnsi="Arial Narrow"/>
          <w:snapToGrid w:val="0"/>
          <w:sz w:val="18"/>
          <w:szCs w:val="22"/>
        </w:rPr>
      </w:pPr>
    </w:p>
    <w:p w:rsidR="00A15C4B" w:rsidRPr="00A655A1" w:rsidRDefault="00AF5566" w:rsidP="00707864">
      <w:pPr>
        <w:pStyle w:val="3-BodyText"/>
        <w:numPr>
          <w:ilvl w:val="1"/>
          <w:numId w:val="7"/>
        </w:numPr>
        <w:snapToGrid w:val="0"/>
      </w:pPr>
      <w:r w:rsidRPr="00A655A1">
        <w:t>Final OS data from the</w:t>
      </w:r>
      <w:r w:rsidR="00E336B1" w:rsidRPr="00A655A1">
        <w:t xml:space="preserve"> </w:t>
      </w:r>
      <w:r w:rsidR="00A15C4B" w:rsidRPr="00A655A1">
        <w:t>19 July 2017</w:t>
      </w:r>
      <w:r w:rsidR="00E336B1" w:rsidRPr="00A655A1">
        <w:t xml:space="preserve"> data cut-off (Orlowski et al, 2019) found that </w:t>
      </w:r>
      <w:r w:rsidR="00A15C4B" w:rsidRPr="00A655A1">
        <w:t xml:space="preserve">there were 214 (46.1%) patients alive in the Cd arm and 168 (36.1%) in the Bd arm </w:t>
      </w:r>
      <w:r w:rsidR="00E336B1" w:rsidRPr="00A655A1">
        <w:t>at a m</w:t>
      </w:r>
      <w:r w:rsidR="00A15C4B" w:rsidRPr="00A655A1">
        <w:t xml:space="preserve">edian follow-up </w:t>
      </w:r>
      <w:r w:rsidR="00E336B1" w:rsidRPr="00A655A1">
        <w:t>of</w:t>
      </w:r>
      <w:r w:rsidR="00A15C4B" w:rsidRPr="00A655A1">
        <w:t xml:space="preserve"> 44.3 months in the Cd arm and 43.7 months in the Bd arm</w:t>
      </w:r>
      <w:r w:rsidR="00E03117" w:rsidRPr="00A655A1">
        <w:t xml:space="preserve"> (see Figure 4)</w:t>
      </w:r>
      <w:r w:rsidR="00A15C4B" w:rsidRPr="00A655A1">
        <w:t xml:space="preserve">. The median OS for the ITT population was 9.0 months longer for Cd </w:t>
      </w:r>
      <w:r w:rsidR="00E336B1" w:rsidRPr="00A655A1">
        <w:t xml:space="preserve">(47.8 months) </w:t>
      </w:r>
      <w:r w:rsidR="00A15C4B" w:rsidRPr="00A655A1">
        <w:t>than Bd</w:t>
      </w:r>
      <w:r w:rsidR="00E336B1" w:rsidRPr="00A655A1">
        <w:t xml:space="preserve"> (38.8 months)</w:t>
      </w:r>
      <w:r w:rsidR="00A15C4B" w:rsidRPr="00A655A1">
        <w:t>, resulting in an HR = 0.76 (</w:t>
      </w:r>
      <w:r w:rsidR="000B0FCD" w:rsidRPr="00A655A1">
        <w:t xml:space="preserve">95% </w:t>
      </w:r>
      <w:r w:rsidR="00A15C4B" w:rsidRPr="00A655A1">
        <w:t>CI</w:t>
      </w:r>
      <w:r w:rsidR="000B0FCD" w:rsidRPr="00A655A1">
        <w:t>:</w:t>
      </w:r>
      <w:r w:rsidR="00A15C4B" w:rsidRPr="00A655A1">
        <w:t xml:space="preserve"> 0.63</w:t>
      </w:r>
      <w:r w:rsidR="00640D1C" w:rsidRPr="00A655A1">
        <w:t xml:space="preserve">, </w:t>
      </w:r>
      <w:r w:rsidR="00A15C4B" w:rsidRPr="00A655A1">
        <w:t>0.92</w:t>
      </w:r>
      <w:r w:rsidR="00640D1C" w:rsidRPr="00A655A1">
        <w:t>)</w:t>
      </w:r>
      <w:r w:rsidR="00A15C4B" w:rsidRPr="00A655A1">
        <w:t xml:space="preserve">. </w:t>
      </w:r>
    </w:p>
    <w:p w:rsidR="00A15C4B" w:rsidRPr="00A655A1" w:rsidRDefault="00A15C4B" w:rsidP="00A15C4B">
      <w:pPr>
        <w:pStyle w:val="TableFigureHeading"/>
        <w:rPr>
          <w:bCs w:val="0"/>
        </w:rPr>
      </w:pPr>
      <w:r w:rsidRPr="00A655A1">
        <w:rPr>
          <w:bCs w:val="0"/>
        </w:rPr>
        <w:t>Figure 4: Kaplan Meier curve of OS (ITT)</w:t>
      </w:r>
    </w:p>
    <w:p w:rsidR="00A15C4B" w:rsidRPr="00A655A1" w:rsidRDefault="00A15C4B" w:rsidP="00A15C4B">
      <w:r w:rsidRPr="00A655A1">
        <w:rPr>
          <w:noProof/>
        </w:rPr>
        <w:drawing>
          <wp:inline distT="0" distB="0" distL="0" distR="0" wp14:anchorId="3CB47BD8" wp14:editId="72FFD4CC">
            <wp:extent cx="5313679" cy="2863850"/>
            <wp:effectExtent l="0" t="0" r="127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rcRect/>
                    <a:stretch>
                      <a:fillRect/>
                    </a:stretch>
                  </pic:blipFill>
                  <pic:spPr>
                    <a:xfrm>
                      <a:off x="0" y="0"/>
                      <a:ext cx="5313679" cy="2863850"/>
                    </a:xfrm>
                    <a:prstGeom prst="rect">
                      <a:avLst/>
                    </a:prstGeom>
                  </pic:spPr>
                </pic:pic>
              </a:graphicData>
            </a:graphic>
          </wp:inline>
        </w:drawing>
      </w:r>
    </w:p>
    <w:p w:rsidR="00A15C4B" w:rsidRPr="00A655A1" w:rsidRDefault="00A15C4B" w:rsidP="00A15C4B">
      <w:r w:rsidRPr="00A655A1">
        <w:rPr>
          <w:rFonts w:ascii="Arial Narrow" w:hAnsi="Arial Narrow"/>
          <w:snapToGrid w:val="0"/>
          <w:sz w:val="18"/>
          <w:szCs w:val="22"/>
        </w:rPr>
        <w:t xml:space="preserve">Source: Figure 2-15, p86 of the submission. </w:t>
      </w:r>
    </w:p>
    <w:p w:rsidR="00A15C4B" w:rsidRPr="00A655A1" w:rsidRDefault="00A15C4B" w:rsidP="00A15C4B">
      <w:pPr>
        <w:rPr>
          <w:rFonts w:ascii="Arial Narrow" w:hAnsi="Arial Narrow"/>
          <w:snapToGrid w:val="0"/>
          <w:sz w:val="18"/>
          <w:szCs w:val="22"/>
        </w:rPr>
      </w:pPr>
      <w:r w:rsidRPr="00A655A1">
        <w:rPr>
          <w:rFonts w:ascii="Arial Narrow" w:hAnsi="Arial Narrow"/>
          <w:snapToGrid w:val="0"/>
          <w:sz w:val="18"/>
          <w:szCs w:val="22"/>
        </w:rPr>
        <w:t xml:space="preserve">CI = confidence interval; Cd56 = carfilzomib + dexamethasone; OS = overall survival. </w:t>
      </w:r>
    </w:p>
    <w:p w:rsidR="00A15C4B" w:rsidRPr="00A655A1" w:rsidRDefault="00A15C4B" w:rsidP="00A15C4B">
      <w:pPr>
        <w:rPr>
          <w:rFonts w:ascii="Arial Narrow" w:hAnsi="Arial Narrow"/>
          <w:i/>
          <w:iCs/>
          <w:snapToGrid w:val="0"/>
          <w:sz w:val="18"/>
          <w:szCs w:val="22"/>
        </w:rPr>
      </w:pPr>
      <w:r w:rsidRPr="00A655A1">
        <w:rPr>
          <w:rFonts w:ascii="Arial Narrow" w:hAnsi="Arial Narrow"/>
          <w:snapToGrid w:val="0"/>
          <w:sz w:val="18"/>
          <w:szCs w:val="22"/>
        </w:rPr>
        <w:t xml:space="preserve">Notes: </w:t>
      </w:r>
      <w:r w:rsidRPr="00A655A1">
        <w:rPr>
          <w:rFonts w:ascii="Arial Narrow" w:hAnsi="Arial Narrow"/>
          <w:iCs/>
          <w:snapToGrid w:val="0"/>
          <w:sz w:val="18"/>
          <w:szCs w:val="22"/>
        </w:rPr>
        <w:t xml:space="preserve">Kd56 referred to Cd </w:t>
      </w:r>
      <w:r w:rsidR="00A13799" w:rsidRPr="00A655A1">
        <w:rPr>
          <w:rFonts w:ascii="Arial Narrow" w:hAnsi="Arial Narrow"/>
          <w:iCs/>
          <w:snapToGrid w:val="0"/>
          <w:sz w:val="18"/>
          <w:szCs w:val="22"/>
        </w:rPr>
        <w:t xml:space="preserve">(carfilzomib </w:t>
      </w:r>
      <w:r w:rsidR="00B27569" w:rsidRPr="00A655A1">
        <w:rPr>
          <w:rFonts w:ascii="Arial Narrow" w:hAnsi="Arial Narrow"/>
          <w:iCs/>
          <w:snapToGrid w:val="0"/>
          <w:sz w:val="18"/>
          <w:szCs w:val="22"/>
        </w:rPr>
        <w:t>+</w:t>
      </w:r>
      <w:r w:rsidR="00A13799" w:rsidRPr="00A655A1">
        <w:rPr>
          <w:rFonts w:ascii="Arial Narrow" w:hAnsi="Arial Narrow"/>
          <w:iCs/>
          <w:snapToGrid w:val="0"/>
          <w:sz w:val="18"/>
          <w:szCs w:val="22"/>
        </w:rPr>
        <w:t xml:space="preserve"> dexamethasone).</w:t>
      </w:r>
      <w:r w:rsidR="00B27569" w:rsidRPr="00A655A1">
        <w:rPr>
          <w:rFonts w:ascii="Arial Narrow" w:hAnsi="Arial Narrow"/>
          <w:iCs/>
          <w:snapToGrid w:val="0"/>
          <w:sz w:val="18"/>
          <w:szCs w:val="22"/>
        </w:rPr>
        <w:t xml:space="preserve"> </w:t>
      </w:r>
      <w:r w:rsidRPr="00A655A1">
        <w:rPr>
          <w:rFonts w:ascii="Arial Narrow" w:hAnsi="Arial Narrow"/>
          <w:iCs/>
          <w:snapToGrid w:val="0"/>
          <w:sz w:val="18"/>
          <w:szCs w:val="22"/>
        </w:rPr>
        <w:t xml:space="preserve">Vd referred to Bd (bortezomib </w:t>
      </w:r>
      <w:r w:rsidR="00B27569" w:rsidRPr="00A655A1">
        <w:rPr>
          <w:rFonts w:ascii="Arial Narrow" w:hAnsi="Arial Narrow"/>
          <w:iCs/>
          <w:snapToGrid w:val="0"/>
          <w:sz w:val="18"/>
          <w:szCs w:val="22"/>
        </w:rPr>
        <w:t>+</w:t>
      </w:r>
      <w:r w:rsidRPr="00A655A1">
        <w:rPr>
          <w:rFonts w:ascii="Arial Narrow" w:hAnsi="Arial Narrow"/>
          <w:iCs/>
          <w:snapToGrid w:val="0"/>
          <w:sz w:val="18"/>
          <w:szCs w:val="22"/>
        </w:rPr>
        <w:t xml:space="preserve"> dexamethasone)</w:t>
      </w:r>
      <w:r w:rsidRPr="00A655A1">
        <w:rPr>
          <w:rFonts w:ascii="Arial Narrow" w:hAnsi="Arial Narrow"/>
          <w:i/>
          <w:iCs/>
          <w:snapToGrid w:val="0"/>
          <w:sz w:val="18"/>
          <w:szCs w:val="22"/>
        </w:rPr>
        <w:t>.</w:t>
      </w:r>
    </w:p>
    <w:p w:rsidR="00A15C4B" w:rsidRPr="00A655A1" w:rsidRDefault="00A15C4B" w:rsidP="00A15C4B">
      <w:pPr>
        <w:rPr>
          <w:rFonts w:ascii="Arial Narrow" w:hAnsi="Arial Narrow"/>
          <w:i/>
          <w:iCs/>
          <w:snapToGrid w:val="0"/>
          <w:sz w:val="18"/>
          <w:szCs w:val="22"/>
        </w:rPr>
      </w:pPr>
    </w:p>
    <w:p w:rsidR="00A15C4B" w:rsidRPr="00A655A1" w:rsidRDefault="00A15C4B" w:rsidP="00913FBD">
      <w:pPr>
        <w:pStyle w:val="3-BodyText"/>
        <w:keepNext/>
        <w:numPr>
          <w:ilvl w:val="0"/>
          <w:numId w:val="0"/>
        </w:numPr>
        <w:ind w:left="720" w:hanging="720"/>
        <w:rPr>
          <w:snapToGrid/>
          <w:u w:val="single"/>
        </w:rPr>
      </w:pPr>
      <w:r w:rsidRPr="00A655A1">
        <w:rPr>
          <w:u w:val="single"/>
        </w:rPr>
        <w:t xml:space="preserve">ITC – </w:t>
      </w:r>
      <w:r w:rsidR="00E83841" w:rsidRPr="00A655A1">
        <w:rPr>
          <w:u w:val="single"/>
        </w:rPr>
        <w:t>SBd versus Cd</w:t>
      </w:r>
    </w:p>
    <w:p w:rsidR="00A15C4B" w:rsidRPr="00A655A1" w:rsidRDefault="00A15C4B" w:rsidP="00707864">
      <w:pPr>
        <w:pStyle w:val="3-BodyText"/>
        <w:keepNext/>
        <w:numPr>
          <w:ilvl w:val="1"/>
          <w:numId w:val="7"/>
        </w:numPr>
        <w:snapToGrid w:val="0"/>
        <w:rPr>
          <w:color w:val="0066FF"/>
        </w:rPr>
      </w:pPr>
      <w:r w:rsidRPr="00A655A1">
        <w:t>The submission presented a</w:t>
      </w:r>
      <w:r w:rsidR="00571CBC" w:rsidRPr="00A655A1">
        <w:t>n</w:t>
      </w:r>
      <w:r w:rsidRPr="00A655A1">
        <w:t xml:space="preserve"> ITC </w:t>
      </w:r>
      <w:r w:rsidR="00E83841" w:rsidRPr="00A655A1">
        <w:t>comparing</w:t>
      </w:r>
      <w:r w:rsidRPr="00A655A1">
        <w:t xml:space="preserve"> SBd with Cd </w:t>
      </w:r>
      <w:r w:rsidR="00E83841" w:rsidRPr="00A655A1">
        <w:t>for</w:t>
      </w:r>
      <w:r w:rsidRPr="00A655A1">
        <w:t xml:space="preserve"> the </w:t>
      </w:r>
      <w:r w:rsidR="00571CBC" w:rsidRPr="00A655A1">
        <w:t xml:space="preserve">efficacy </w:t>
      </w:r>
      <w:r w:rsidRPr="00A655A1">
        <w:t xml:space="preserve">outcome of PFS </w:t>
      </w:r>
      <w:r w:rsidR="00571CBC" w:rsidRPr="00A655A1">
        <w:t>only</w:t>
      </w:r>
      <w:r w:rsidRPr="00A655A1">
        <w:t>.</w:t>
      </w:r>
    </w:p>
    <w:p w:rsidR="00A15C4B" w:rsidRPr="00A655A1" w:rsidRDefault="00A15C4B" w:rsidP="00707864">
      <w:pPr>
        <w:pStyle w:val="3-BodyText"/>
        <w:numPr>
          <w:ilvl w:val="1"/>
          <w:numId w:val="7"/>
        </w:numPr>
        <w:snapToGrid w:val="0"/>
        <w:rPr>
          <w:color w:val="0066FF"/>
        </w:rPr>
      </w:pPr>
      <w:r w:rsidRPr="00A655A1">
        <w:t xml:space="preserve">The submission stated that the eligibility criteria were similar for both </w:t>
      </w:r>
      <w:r w:rsidR="00571CBC" w:rsidRPr="00A655A1">
        <w:t xml:space="preserve">trials </w:t>
      </w:r>
      <w:r w:rsidRPr="00A655A1">
        <w:t xml:space="preserve">with the key similarity being the recruitment of RRMM patients who have received </w:t>
      </w:r>
      <w:r w:rsidR="009D4548" w:rsidRPr="00A655A1">
        <w:t>one to three</w:t>
      </w:r>
      <w:r w:rsidRPr="00A655A1">
        <w:t xml:space="preserve"> prior therapies. </w:t>
      </w:r>
    </w:p>
    <w:p w:rsidR="00A15C4B" w:rsidRPr="00A655A1" w:rsidRDefault="00A15C4B" w:rsidP="00707864">
      <w:pPr>
        <w:pStyle w:val="3-BodyText"/>
        <w:numPr>
          <w:ilvl w:val="1"/>
          <w:numId w:val="7"/>
        </w:numPr>
        <w:snapToGrid w:val="0"/>
        <w:rPr>
          <w:iCs/>
        </w:rPr>
      </w:pPr>
      <w:r w:rsidRPr="00A655A1">
        <w:t xml:space="preserve">The submission noted that various factors were identified in the </w:t>
      </w:r>
      <w:r w:rsidR="00E83841" w:rsidRPr="00A655A1">
        <w:t>trial</w:t>
      </w:r>
      <w:r w:rsidRPr="00A655A1">
        <w:t xml:space="preserve"> populations that may have impacted on the comparability of BOSTON and ENDEAVOR</w:t>
      </w:r>
      <w:r w:rsidR="00571CBC" w:rsidRPr="00A655A1">
        <w:t>, including</w:t>
      </w:r>
      <w:r w:rsidR="008614D4" w:rsidRPr="00A655A1">
        <w:t xml:space="preserve"> </w:t>
      </w:r>
      <w:r w:rsidRPr="00A655A1">
        <w:t>the varying degree of disease and patient heterogeneity</w:t>
      </w:r>
      <w:r w:rsidR="00E83841" w:rsidRPr="00A655A1">
        <w:t xml:space="preserve"> (see paragraph 6.</w:t>
      </w:r>
      <w:r w:rsidR="00207B0A" w:rsidRPr="00A655A1">
        <w:t>11</w:t>
      </w:r>
      <w:r w:rsidR="00E83841" w:rsidRPr="00A655A1">
        <w:t>)</w:t>
      </w:r>
      <w:r w:rsidR="008614D4" w:rsidRPr="00A655A1">
        <w:t>.</w:t>
      </w:r>
      <w:r w:rsidRPr="00A655A1">
        <w:t xml:space="preserve"> However, </w:t>
      </w:r>
      <w:r w:rsidR="005F0D6D" w:rsidRPr="00A655A1">
        <w:t xml:space="preserve">the submission </w:t>
      </w:r>
      <w:r w:rsidR="00090452" w:rsidRPr="00A655A1">
        <w:t xml:space="preserve">stated that </w:t>
      </w:r>
      <w:r w:rsidRPr="00A655A1">
        <w:t>the assumption of similar effectiveness of SBd compared with Cd remain</w:t>
      </w:r>
      <w:r w:rsidR="00090452" w:rsidRPr="00A655A1">
        <w:t>ed</w:t>
      </w:r>
      <w:r w:rsidRPr="00A655A1">
        <w:t xml:space="preserve"> plausible. </w:t>
      </w:r>
      <w:r w:rsidR="00E83841" w:rsidRPr="00A655A1">
        <w:rPr>
          <w:iCs/>
        </w:rPr>
        <w:t>T</w:t>
      </w:r>
      <w:r w:rsidRPr="00A655A1">
        <w:rPr>
          <w:iCs/>
        </w:rPr>
        <w:t xml:space="preserve">he </w:t>
      </w:r>
      <w:r w:rsidR="00DC67A6" w:rsidRPr="00A655A1">
        <w:rPr>
          <w:iCs/>
        </w:rPr>
        <w:t xml:space="preserve">ESC noted </w:t>
      </w:r>
      <w:r w:rsidR="00B7300E" w:rsidRPr="00A655A1">
        <w:rPr>
          <w:iCs/>
        </w:rPr>
        <w:t xml:space="preserve">the </w:t>
      </w:r>
      <w:r w:rsidRPr="00A655A1">
        <w:rPr>
          <w:iCs/>
        </w:rPr>
        <w:t>differences</w:t>
      </w:r>
      <w:r w:rsidR="00E83841" w:rsidRPr="00A655A1">
        <w:rPr>
          <w:iCs/>
        </w:rPr>
        <w:t xml:space="preserve"> in the trial populations</w:t>
      </w:r>
      <w:r w:rsidRPr="00A655A1">
        <w:rPr>
          <w:iCs/>
        </w:rPr>
        <w:t xml:space="preserve">, the difference in </w:t>
      </w:r>
      <w:r w:rsidR="00E83841" w:rsidRPr="00A655A1">
        <w:rPr>
          <w:iCs/>
        </w:rPr>
        <w:t xml:space="preserve">the </w:t>
      </w:r>
      <w:r w:rsidRPr="00A655A1">
        <w:rPr>
          <w:iCs/>
        </w:rPr>
        <w:t>timing</w:t>
      </w:r>
      <w:r w:rsidR="00E83841" w:rsidRPr="00A655A1">
        <w:rPr>
          <w:iCs/>
        </w:rPr>
        <w:t xml:space="preserve"> of the trials</w:t>
      </w:r>
      <w:r w:rsidR="00AF5566" w:rsidRPr="00A655A1">
        <w:rPr>
          <w:iCs/>
        </w:rPr>
        <w:t xml:space="preserve"> and</w:t>
      </w:r>
      <w:r w:rsidR="0041493E" w:rsidRPr="00A655A1">
        <w:rPr>
          <w:iCs/>
        </w:rPr>
        <w:t xml:space="preserve"> </w:t>
      </w:r>
      <w:r w:rsidR="00B7300E" w:rsidRPr="00A655A1">
        <w:rPr>
          <w:iCs/>
        </w:rPr>
        <w:t xml:space="preserve">the </w:t>
      </w:r>
      <w:r w:rsidR="006B3388" w:rsidRPr="00A655A1">
        <w:rPr>
          <w:iCs/>
        </w:rPr>
        <w:t>transitivity</w:t>
      </w:r>
      <w:r w:rsidR="00B7300E" w:rsidRPr="00A655A1">
        <w:rPr>
          <w:iCs/>
        </w:rPr>
        <w:t xml:space="preserve"> issues between the trials</w:t>
      </w:r>
      <w:r w:rsidRPr="00A655A1">
        <w:rPr>
          <w:iCs/>
        </w:rPr>
        <w:t>.</w:t>
      </w:r>
      <w:r w:rsidR="00414693" w:rsidRPr="00A655A1">
        <w:rPr>
          <w:iCs/>
        </w:rPr>
        <w:t xml:space="preserve"> </w:t>
      </w:r>
    </w:p>
    <w:p w:rsidR="00A15C4B" w:rsidRPr="00A655A1" w:rsidRDefault="00A15C4B" w:rsidP="00707864">
      <w:pPr>
        <w:pStyle w:val="3-BodyText"/>
        <w:numPr>
          <w:ilvl w:val="1"/>
          <w:numId w:val="7"/>
        </w:numPr>
        <w:snapToGrid w:val="0"/>
        <w:rPr>
          <w:i/>
          <w:iCs/>
        </w:rPr>
      </w:pPr>
      <w:r w:rsidRPr="00A655A1">
        <w:t xml:space="preserve">The key results of the ITC </w:t>
      </w:r>
      <w:r w:rsidR="00571CBC" w:rsidRPr="00A655A1">
        <w:t xml:space="preserve">for PFS between </w:t>
      </w:r>
      <w:r w:rsidRPr="00A655A1">
        <w:t xml:space="preserve">SBd </w:t>
      </w:r>
      <w:r w:rsidR="00571CBC" w:rsidRPr="00A655A1">
        <w:t xml:space="preserve">and </w:t>
      </w:r>
      <w:r w:rsidRPr="00A655A1">
        <w:t>Cd</w:t>
      </w:r>
      <w:r w:rsidR="00571CBC" w:rsidRPr="00A655A1">
        <w:t>, using Bd as a common comparator,</w:t>
      </w:r>
      <w:r w:rsidRPr="00A655A1">
        <w:t xml:space="preserve"> are presented in Table 8. </w:t>
      </w:r>
    </w:p>
    <w:p w:rsidR="00C2787E" w:rsidRDefault="00C2787E">
      <w:pPr>
        <w:jc w:val="left"/>
        <w:rPr>
          <w:rFonts w:ascii="Arial Narrow" w:hAnsi="Arial Narrow"/>
          <w:b/>
          <w:bCs/>
          <w:sz w:val="20"/>
          <w:szCs w:val="20"/>
        </w:rPr>
      </w:pPr>
      <w:r>
        <w:rPr>
          <w:rFonts w:ascii="Arial Narrow" w:hAnsi="Arial Narrow"/>
          <w:b/>
          <w:bCs/>
          <w:sz w:val="20"/>
          <w:szCs w:val="20"/>
        </w:rPr>
        <w:br w:type="page"/>
      </w:r>
    </w:p>
    <w:p w:rsidR="00A15C4B" w:rsidRPr="00A655A1" w:rsidRDefault="00A15C4B" w:rsidP="00E60B3A">
      <w:pPr>
        <w:keepNext/>
        <w:rPr>
          <w:rFonts w:ascii="Arial Narrow" w:hAnsi="Arial Narrow"/>
          <w:b/>
          <w:bCs/>
          <w:sz w:val="20"/>
          <w:szCs w:val="20"/>
        </w:rPr>
      </w:pPr>
      <w:r w:rsidRPr="00A655A1">
        <w:rPr>
          <w:rFonts w:ascii="Arial Narrow" w:hAnsi="Arial Narrow"/>
          <w:b/>
          <w:bCs/>
          <w:sz w:val="20"/>
          <w:szCs w:val="20"/>
        </w:rPr>
        <w:t xml:space="preserve">Table 8: Results of the ITC of SBd vs Cd for PFS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1"/>
        <w:gridCol w:w="1414"/>
        <w:gridCol w:w="1015"/>
        <w:gridCol w:w="1560"/>
        <w:gridCol w:w="1701"/>
        <w:gridCol w:w="2076"/>
      </w:tblGrid>
      <w:tr w:rsidR="00A15C4B" w:rsidRPr="00A655A1" w:rsidTr="00E83841">
        <w:trPr>
          <w:trHeight w:val="462"/>
          <w:tblHeader/>
        </w:trPr>
        <w:tc>
          <w:tcPr>
            <w:tcW w:w="694"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E60B3A">
            <w:pPr>
              <w:pStyle w:val="In-tableHeading"/>
              <w:rPr>
                <w:lang w:val="en-AU"/>
              </w:rPr>
            </w:pPr>
            <w:r w:rsidRPr="00A655A1">
              <w:rPr>
                <w:lang w:val="en-AU"/>
              </w:rPr>
              <w:t>Trial ID</w:t>
            </w:r>
          </w:p>
        </w:tc>
        <w:tc>
          <w:tcPr>
            <w:tcW w:w="784"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E60B3A">
            <w:pPr>
              <w:pStyle w:val="In-tableHeading"/>
              <w:jc w:val="center"/>
              <w:rPr>
                <w:iCs/>
                <w:lang w:val="en-AU"/>
              </w:rPr>
            </w:pPr>
            <w:r w:rsidRPr="00A655A1">
              <w:rPr>
                <w:iCs/>
                <w:lang w:val="en-AU"/>
              </w:rPr>
              <w:t>Comparison</w:t>
            </w:r>
          </w:p>
        </w:tc>
        <w:tc>
          <w:tcPr>
            <w:tcW w:w="563"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E60B3A">
            <w:pPr>
              <w:pStyle w:val="In-tableHeading"/>
              <w:jc w:val="center"/>
              <w:rPr>
                <w:iCs/>
                <w:lang w:val="en-AU"/>
              </w:rPr>
            </w:pPr>
            <w:r w:rsidRPr="00A655A1">
              <w:rPr>
                <w:iCs/>
                <w:lang w:val="en-AU"/>
              </w:rPr>
              <w:t>Basis of comparison</w:t>
            </w:r>
          </w:p>
        </w:tc>
        <w:tc>
          <w:tcPr>
            <w:tcW w:w="865" w:type="pct"/>
            <w:tcBorders>
              <w:top w:val="single" w:sz="4" w:space="0" w:color="auto"/>
              <w:left w:val="single" w:sz="4" w:space="0" w:color="auto"/>
              <w:bottom w:val="single" w:sz="4" w:space="0" w:color="auto"/>
              <w:right w:val="single" w:sz="4" w:space="0" w:color="auto"/>
            </w:tcBorders>
            <w:vAlign w:val="center"/>
          </w:tcPr>
          <w:p w:rsidR="00A93FE7" w:rsidRPr="00A655A1" w:rsidRDefault="00451866" w:rsidP="00E60B3A">
            <w:pPr>
              <w:pStyle w:val="In-tableHeading"/>
              <w:jc w:val="center"/>
              <w:rPr>
                <w:iCs/>
                <w:lang w:val="en-AU"/>
              </w:rPr>
            </w:pPr>
            <w:r w:rsidRPr="00A655A1">
              <w:rPr>
                <w:iCs/>
                <w:lang w:val="en-AU"/>
              </w:rPr>
              <w:t>Median</w:t>
            </w:r>
            <w:r w:rsidR="008614D4" w:rsidRPr="00A655A1">
              <w:rPr>
                <w:iCs/>
                <w:lang w:val="en-AU"/>
              </w:rPr>
              <w:t xml:space="preserve"> </w:t>
            </w:r>
            <w:r w:rsidRPr="00A655A1">
              <w:rPr>
                <w:iCs/>
                <w:lang w:val="en-AU"/>
              </w:rPr>
              <w:t>PFS</w:t>
            </w:r>
            <w:r w:rsidR="00E83841" w:rsidRPr="00A655A1">
              <w:rPr>
                <w:iCs/>
                <w:lang w:val="en-AU"/>
              </w:rPr>
              <w:t xml:space="preserve">, </w:t>
            </w:r>
            <w:r w:rsidR="008614D4" w:rsidRPr="00A655A1">
              <w:rPr>
                <w:iCs/>
                <w:lang w:val="en-AU"/>
              </w:rPr>
              <w:t>months</w:t>
            </w:r>
          </w:p>
        </w:tc>
        <w:tc>
          <w:tcPr>
            <w:tcW w:w="943"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E60B3A">
            <w:pPr>
              <w:pStyle w:val="In-tableHeading"/>
              <w:jc w:val="center"/>
              <w:rPr>
                <w:iCs/>
                <w:lang w:val="en-AU"/>
              </w:rPr>
            </w:pPr>
            <w:r w:rsidRPr="00A655A1">
              <w:rPr>
                <w:iCs/>
                <w:lang w:val="en-AU"/>
              </w:rPr>
              <w:t>Direct HR (95%</w:t>
            </w:r>
            <w:r w:rsidR="00E83841" w:rsidRPr="00A655A1">
              <w:rPr>
                <w:iCs/>
                <w:lang w:val="en-AU"/>
              </w:rPr>
              <w:t xml:space="preserve"> </w:t>
            </w:r>
            <w:r w:rsidRPr="00A655A1">
              <w:rPr>
                <w:iCs/>
                <w:lang w:val="en-AU"/>
              </w:rPr>
              <w:t>CI)</w:t>
            </w:r>
          </w:p>
        </w:tc>
        <w:tc>
          <w:tcPr>
            <w:tcW w:w="1151"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E60B3A">
            <w:pPr>
              <w:pStyle w:val="In-tableHeading"/>
              <w:jc w:val="center"/>
              <w:rPr>
                <w:lang w:val="en-AU"/>
              </w:rPr>
            </w:pPr>
            <w:r w:rsidRPr="00A655A1">
              <w:rPr>
                <w:lang w:val="en-AU"/>
              </w:rPr>
              <w:t>Indirect estimate of effects</w:t>
            </w:r>
          </w:p>
          <w:p w:rsidR="00A15C4B" w:rsidRPr="00A655A1" w:rsidRDefault="00A15C4B" w:rsidP="00E60B3A">
            <w:pPr>
              <w:pStyle w:val="In-tableHeading"/>
              <w:jc w:val="center"/>
              <w:rPr>
                <w:iCs/>
                <w:lang w:val="en-AU"/>
              </w:rPr>
            </w:pPr>
            <w:r w:rsidRPr="00A655A1">
              <w:rPr>
                <w:lang w:val="en-AU"/>
              </w:rPr>
              <w:t>HR (95%CI)</w:t>
            </w:r>
            <w:r w:rsidRPr="00A655A1">
              <w:rPr>
                <w:vertAlign w:val="superscript"/>
                <w:lang w:val="en-AU"/>
              </w:rPr>
              <w:t>a</w:t>
            </w:r>
          </w:p>
        </w:tc>
      </w:tr>
      <w:tr w:rsidR="00A15C4B" w:rsidRPr="00A655A1" w:rsidTr="00E83841">
        <w:trPr>
          <w:trHeight w:val="297"/>
        </w:trPr>
        <w:tc>
          <w:tcPr>
            <w:tcW w:w="694"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E60B3A">
            <w:pPr>
              <w:pStyle w:val="TableText0"/>
            </w:pPr>
            <w:r w:rsidRPr="00A655A1">
              <w:t>BOSTON</w:t>
            </w:r>
            <w:r w:rsidR="008B1A2E" w:rsidRPr="00A655A1">
              <w:t xml:space="preserve"> </w:t>
            </w:r>
            <w:r w:rsidR="008B1A2E" w:rsidRPr="00A655A1">
              <w:rPr>
                <w:vertAlign w:val="superscript"/>
              </w:rPr>
              <w:t>b</w:t>
            </w:r>
          </w:p>
        </w:tc>
        <w:tc>
          <w:tcPr>
            <w:tcW w:w="784"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E60B3A">
            <w:pPr>
              <w:pStyle w:val="TableText0"/>
              <w:jc w:val="center"/>
            </w:pPr>
            <w:r w:rsidRPr="00A655A1">
              <w:t>SBd versus Bd</w:t>
            </w:r>
          </w:p>
        </w:tc>
        <w:tc>
          <w:tcPr>
            <w:tcW w:w="563"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E60B3A">
            <w:pPr>
              <w:pStyle w:val="TableText0"/>
              <w:jc w:val="center"/>
            </w:pPr>
            <w:r w:rsidRPr="00A655A1">
              <w:t>ITT</w:t>
            </w:r>
          </w:p>
        </w:tc>
        <w:tc>
          <w:tcPr>
            <w:tcW w:w="865" w:type="pct"/>
            <w:tcBorders>
              <w:top w:val="single" w:sz="4" w:space="0" w:color="auto"/>
              <w:left w:val="single" w:sz="4" w:space="0" w:color="auto"/>
              <w:bottom w:val="single" w:sz="4" w:space="0" w:color="auto"/>
              <w:right w:val="single" w:sz="4" w:space="0" w:color="auto"/>
            </w:tcBorders>
            <w:vAlign w:val="center"/>
          </w:tcPr>
          <w:p w:rsidR="00A93FE7" w:rsidRPr="00A655A1" w:rsidRDefault="004E6B52" w:rsidP="00E60B3A">
            <w:pPr>
              <w:pStyle w:val="TableText0"/>
              <w:jc w:val="center"/>
            </w:pPr>
            <w:r w:rsidRPr="00A655A1">
              <w:t xml:space="preserve">SBd: </w:t>
            </w:r>
            <w:r w:rsidR="008E16AA" w:rsidRPr="00A655A1">
              <w:t>13.9</w:t>
            </w:r>
          </w:p>
          <w:p w:rsidR="00A93FE7" w:rsidRPr="00A655A1" w:rsidRDefault="004E6B52" w:rsidP="00E60B3A">
            <w:pPr>
              <w:pStyle w:val="TableText0"/>
              <w:jc w:val="center"/>
            </w:pPr>
            <w:r w:rsidRPr="00A655A1">
              <w:t xml:space="preserve">Bd: </w:t>
            </w:r>
            <w:r w:rsidR="00723290" w:rsidRPr="00A655A1">
              <w:t>9.</w:t>
            </w:r>
            <w:r w:rsidR="006E5B5E" w:rsidRPr="00A655A1">
              <w:t>5</w:t>
            </w:r>
          </w:p>
        </w:tc>
        <w:tc>
          <w:tcPr>
            <w:tcW w:w="943"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E60B3A">
            <w:pPr>
              <w:pStyle w:val="TableText0"/>
              <w:jc w:val="center"/>
            </w:pPr>
            <w:r w:rsidRPr="00A655A1">
              <w:t>0.70 (0.53,0.93)</w:t>
            </w:r>
          </w:p>
        </w:tc>
        <w:tc>
          <w:tcPr>
            <w:tcW w:w="1151" w:type="pct"/>
            <w:vMerge w:val="restar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E60B3A">
            <w:pPr>
              <w:pStyle w:val="TableText0"/>
              <w:jc w:val="center"/>
              <w:rPr>
                <w:iCs/>
              </w:rPr>
            </w:pPr>
            <w:r w:rsidRPr="00A655A1">
              <w:rPr>
                <w:iCs/>
              </w:rPr>
              <w:t xml:space="preserve">1.27 (0.91, 1.77); </w:t>
            </w:r>
          </w:p>
          <w:p w:rsidR="00A15C4B" w:rsidRPr="00A655A1" w:rsidRDefault="00A15C4B" w:rsidP="00E60B3A">
            <w:pPr>
              <w:pStyle w:val="TableText0"/>
              <w:jc w:val="center"/>
            </w:pPr>
            <w:r w:rsidRPr="00A655A1">
              <w:rPr>
                <w:iCs/>
              </w:rPr>
              <w:t>p=0.15</w:t>
            </w:r>
            <w:r w:rsidRPr="00A655A1">
              <w:rPr>
                <w:i/>
                <w:iCs/>
                <w:vertAlign w:val="superscript"/>
              </w:rPr>
              <w:t xml:space="preserve"> </w:t>
            </w:r>
            <w:r w:rsidRPr="00A655A1">
              <w:rPr>
                <w:vertAlign w:val="superscript"/>
              </w:rPr>
              <w:t xml:space="preserve"> </w:t>
            </w:r>
          </w:p>
        </w:tc>
      </w:tr>
      <w:tr w:rsidR="00A15C4B" w:rsidRPr="00A655A1" w:rsidTr="00E83841">
        <w:trPr>
          <w:trHeight w:val="325"/>
        </w:trPr>
        <w:tc>
          <w:tcPr>
            <w:tcW w:w="694"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E60B3A">
            <w:pPr>
              <w:pStyle w:val="TableText0"/>
              <w:rPr>
                <w:iCs/>
              </w:rPr>
            </w:pPr>
            <w:r w:rsidRPr="00A655A1">
              <w:rPr>
                <w:iCs/>
              </w:rPr>
              <w:t>ENDEAVOR</w:t>
            </w:r>
            <w:r w:rsidR="008B1A2E" w:rsidRPr="00A655A1">
              <w:rPr>
                <w:iCs/>
              </w:rPr>
              <w:t xml:space="preserve"> </w:t>
            </w:r>
            <w:r w:rsidR="008B1A2E" w:rsidRPr="00A655A1">
              <w:rPr>
                <w:iCs/>
                <w:vertAlign w:val="superscript"/>
              </w:rPr>
              <w:t>c</w:t>
            </w:r>
          </w:p>
        </w:tc>
        <w:tc>
          <w:tcPr>
            <w:tcW w:w="784"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E60B3A">
            <w:pPr>
              <w:pStyle w:val="TableText0"/>
              <w:jc w:val="center"/>
            </w:pPr>
            <w:r w:rsidRPr="00A655A1">
              <w:rPr>
                <w:iCs/>
              </w:rPr>
              <w:t>Cd versus Bd</w:t>
            </w:r>
          </w:p>
        </w:tc>
        <w:tc>
          <w:tcPr>
            <w:tcW w:w="563"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E60B3A">
            <w:pPr>
              <w:pStyle w:val="TableText0"/>
              <w:jc w:val="center"/>
            </w:pPr>
            <w:r w:rsidRPr="00A655A1">
              <w:t>ITT</w:t>
            </w:r>
          </w:p>
        </w:tc>
        <w:tc>
          <w:tcPr>
            <w:tcW w:w="865" w:type="pct"/>
            <w:tcBorders>
              <w:top w:val="single" w:sz="4" w:space="0" w:color="auto"/>
              <w:left w:val="single" w:sz="4" w:space="0" w:color="auto"/>
              <w:bottom w:val="single" w:sz="4" w:space="0" w:color="auto"/>
              <w:right w:val="single" w:sz="4" w:space="0" w:color="auto"/>
            </w:tcBorders>
            <w:vAlign w:val="center"/>
          </w:tcPr>
          <w:p w:rsidR="00A93FE7" w:rsidRPr="00A655A1" w:rsidRDefault="00D634CE" w:rsidP="00E60B3A">
            <w:pPr>
              <w:pStyle w:val="TableText0"/>
              <w:jc w:val="center"/>
            </w:pPr>
            <w:r w:rsidRPr="00A655A1">
              <w:t xml:space="preserve">Cd: </w:t>
            </w:r>
            <w:r w:rsidR="000E75D0" w:rsidRPr="00A655A1">
              <w:t>18.7</w:t>
            </w:r>
            <w:r w:rsidRPr="00A655A1">
              <w:t xml:space="preserve"> </w:t>
            </w:r>
          </w:p>
          <w:p w:rsidR="00A93FE7" w:rsidRPr="00A655A1" w:rsidRDefault="00D634CE" w:rsidP="00E60B3A">
            <w:pPr>
              <w:pStyle w:val="TableText0"/>
              <w:jc w:val="center"/>
            </w:pPr>
            <w:r w:rsidRPr="00A655A1">
              <w:t xml:space="preserve">Bd: </w:t>
            </w:r>
            <w:r w:rsidR="00ED559A" w:rsidRPr="00A655A1">
              <w:t xml:space="preserve">9.4 </w:t>
            </w:r>
          </w:p>
        </w:tc>
        <w:tc>
          <w:tcPr>
            <w:tcW w:w="943"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E83841" w:rsidP="00E60B3A">
            <w:pPr>
              <w:pStyle w:val="TableText0"/>
              <w:jc w:val="center"/>
            </w:pPr>
            <w:r w:rsidRPr="00A655A1">
              <w:t>0.55 (0.46, 0.65)</w:t>
            </w:r>
          </w:p>
        </w:tc>
        <w:tc>
          <w:tcPr>
            <w:tcW w:w="1151" w:type="pct"/>
            <w:vMerge/>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E60B3A">
            <w:pPr>
              <w:keepNext/>
              <w:jc w:val="left"/>
              <w:rPr>
                <w:rFonts w:ascii="Arial Narrow" w:eastAsiaTheme="majorEastAsia" w:hAnsi="Arial Narrow" w:cstheme="majorBidi"/>
                <w:bCs/>
                <w:sz w:val="20"/>
              </w:rPr>
            </w:pPr>
          </w:p>
        </w:tc>
      </w:tr>
    </w:tbl>
    <w:p w:rsidR="00A15C4B" w:rsidRPr="00A655A1" w:rsidRDefault="00A15C4B" w:rsidP="00A15C4B">
      <w:pPr>
        <w:pStyle w:val="TableFigureFooter"/>
      </w:pPr>
      <w:r w:rsidRPr="00A655A1">
        <w:t>Source: Table 2-39, pp105-106 of the submission.</w:t>
      </w:r>
    </w:p>
    <w:p w:rsidR="00A15C4B" w:rsidRPr="00A655A1" w:rsidRDefault="00A15C4B" w:rsidP="00A15C4B">
      <w:pPr>
        <w:pStyle w:val="TableFigureFooter"/>
        <w:rPr>
          <w:rFonts w:eastAsia="Calibri"/>
        </w:rPr>
      </w:pPr>
      <w:r w:rsidRPr="00A655A1">
        <w:rPr>
          <w:rFonts w:eastAsia="Calibri"/>
        </w:rPr>
        <w:t xml:space="preserve">Bd = bortezomib + dexamethasone; </w:t>
      </w:r>
      <w:r w:rsidRPr="00A655A1">
        <w:t>CI = confidence interval; Cd = carfilzomib + dexamethasone; ITT = intention to treat</w:t>
      </w:r>
      <w:r w:rsidRPr="00A655A1">
        <w:rPr>
          <w:rFonts w:eastAsia="Calibri"/>
        </w:rPr>
        <w:t>; ITC = indirect treatment comparison; PFS = progression free survival; SBd = selinexor + bortezomib + dexamethasone.</w:t>
      </w:r>
    </w:p>
    <w:p w:rsidR="00791767" w:rsidRPr="00A655A1" w:rsidRDefault="00A15C4B" w:rsidP="00791767">
      <w:pPr>
        <w:pStyle w:val="TableFigureFooter"/>
        <w:rPr>
          <w:rFonts w:eastAsia="Calibri"/>
          <w:i/>
          <w:iCs/>
        </w:rPr>
      </w:pPr>
      <w:r w:rsidRPr="00A655A1">
        <w:rPr>
          <w:rFonts w:eastAsia="Calibri"/>
        </w:rPr>
        <w:t xml:space="preserve">a. </w:t>
      </w:r>
      <w:r w:rsidRPr="00A655A1">
        <w:rPr>
          <w:rFonts w:eastAsia="Calibri"/>
          <w:iCs/>
        </w:rPr>
        <w:t>Calculated during evaluation as the submission did not present a statistical measure of the indirect estimate of effects.</w:t>
      </w:r>
    </w:p>
    <w:p w:rsidR="00CE3660" w:rsidRPr="00A655A1" w:rsidRDefault="0005088C" w:rsidP="00A15C4B">
      <w:pPr>
        <w:pStyle w:val="TableFigureFooter"/>
        <w:rPr>
          <w:rFonts w:eastAsia="Calibri"/>
        </w:rPr>
      </w:pPr>
      <w:r w:rsidRPr="00A655A1">
        <w:rPr>
          <w:rFonts w:eastAsia="Calibri"/>
        </w:rPr>
        <w:t>b. Median follow-up</w:t>
      </w:r>
      <w:r w:rsidR="005C0BED" w:rsidRPr="00A655A1">
        <w:rPr>
          <w:rFonts w:eastAsia="Calibri"/>
        </w:rPr>
        <w:t xml:space="preserve"> time</w:t>
      </w:r>
      <w:r w:rsidR="00BE106B" w:rsidRPr="00A655A1">
        <w:rPr>
          <w:rFonts w:eastAsia="Calibri"/>
        </w:rPr>
        <w:t xml:space="preserve"> was</w:t>
      </w:r>
      <w:r w:rsidR="00EE223C" w:rsidRPr="00A655A1">
        <w:rPr>
          <w:rFonts w:eastAsia="Calibri"/>
        </w:rPr>
        <w:t xml:space="preserve"> 17</w:t>
      </w:r>
      <w:r w:rsidR="00CC4D03" w:rsidRPr="00A655A1">
        <w:rPr>
          <w:rFonts w:eastAsia="Calibri"/>
        </w:rPr>
        <w:t>.3 months in t</w:t>
      </w:r>
      <w:r w:rsidR="00430F5B" w:rsidRPr="00A655A1">
        <w:rPr>
          <w:rFonts w:eastAsia="Calibri"/>
        </w:rPr>
        <w:t>he SBd</w:t>
      </w:r>
      <w:r w:rsidR="00177B78" w:rsidRPr="00A655A1">
        <w:rPr>
          <w:rFonts w:eastAsia="Calibri"/>
        </w:rPr>
        <w:t xml:space="preserve"> arm and 17.5 months in</w:t>
      </w:r>
      <w:r w:rsidR="00F37D92" w:rsidRPr="00A655A1">
        <w:rPr>
          <w:rFonts w:eastAsia="Calibri"/>
        </w:rPr>
        <w:t xml:space="preserve"> the Bd ar</w:t>
      </w:r>
      <w:r w:rsidR="00BD20C4" w:rsidRPr="00A655A1">
        <w:rPr>
          <w:rFonts w:eastAsia="Calibri"/>
        </w:rPr>
        <w:t>m.</w:t>
      </w:r>
    </w:p>
    <w:p w:rsidR="008B1A2E" w:rsidRPr="00A655A1" w:rsidRDefault="00CE3660" w:rsidP="00A15C4B">
      <w:pPr>
        <w:pStyle w:val="TableFigureFooter"/>
        <w:rPr>
          <w:rFonts w:eastAsia="Calibri"/>
        </w:rPr>
      </w:pPr>
      <w:r w:rsidRPr="00A655A1">
        <w:rPr>
          <w:rFonts w:eastAsia="Calibri"/>
        </w:rPr>
        <w:t>c.</w:t>
      </w:r>
      <w:r w:rsidR="00B751B1" w:rsidRPr="00A655A1">
        <w:rPr>
          <w:rFonts w:eastAsia="Calibri"/>
        </w:rPr>
        <w:t xml:space="preserve"> Median follow-up time was</w:t>
      </w:r>
      <w:r w:rsidR="00BE106B" w:rsidRPr="00A655A1">
        <w:rPr>
          <w:rFonts w:eastAsia="Calibri"/>
        </w:rPr>
        <w:t xml:space="preserve"> </w:t>
      </w:r>
      <w:r w:rsidR="00832854" w:rsidRPr="00A655A1">
        <w:rPr>
          <w:rFonts w:eastAsia="Calibri"/>
        </w:rPr>
        <w:t>11.9</w:t>
      </w:r>
      <w:r w:rsidR="00BD20C4" w:rsidRPr="00A655A1">
        <w:rPr>
          <w:rFonts w:eastAsia="Calibri"/>
        </w:rPr>
        <w:t xml:space="preserve"> months in the </w:t>
      </w:r>
      <w:r w:rsidR="006479DA" w:rsidRPr="00A655A1">
        <w:rPr>
          <w:rFonts w:eastAsia="Calibri"/>
        </w:rPr>
        <w:t>Cd arm and 11.1 months in the Bd arm.</w:t>
      </w:r>
    </w:p>
    <w:p w:rsidR="00A15C4B" w:rsidRPr="00A655A1" w:rsidRDefault="00A15C4B" w:rsidP="00707864">
      <w:pPr>
        <w:pStyle w:val="3-BodyText"/>
        <w:numPr>
          <w:ilvl w:val="1"/>
          <w:numId w:val="7"/>
        </w:numPr>
        <w:snapToGrid w:val="0"/>
        <w:rPr>
          <w:iCs/>
        </w:rPr>
      </w:pPr>
      <w:r w:rsidRPr="00A655A1">
        <w:t xml:space="preserve">The submission </w:t>
      </w:r>
      <w:r w:rsidR="00E83841" w:rsidRPr="00A655A1">
        <w:t>stated</w:t>
      </w:r>
      <w:r w:rsidRPr="00A655A1">
        <w:t xml:space="preserve"> that PFS rates for the SBd and Cd regimen were similar</w:t>
      </w:r>
      <w:r w:rsidR="00571CBC" w:rsidRPr="00A655A1">
        <w:t>,</w:t>
      </w:r>
      <w:r w:rsidRPr="00A655A1">
        <w:t xml:space="preserve"> with the HR point estimates in the respective </w:t>
      </w:r>
      <w:r w:rsidR="00571CBC" w:rsidRPr="00A655A1">
        <w:t xml:space="preserve">trials </w:t>
      </w:r>
      <w:r w:rsidRPr="00A655A1">
        <w:t>favour</w:t>
      </w:r>
      <w:r w:rsidR="008614D4" w:rsidRPr="00A655A1">
        <w:t>ing</w:t>
      </w:r>
      <w:r w:rsidRPr="00A655A1">
        <w:t xml:space="preserve"> Cd </w:t>
      </w:r>
      <w:r w:rsidR="00ED7747" w:rsidRPr="00A655A1">
        <w:t xml:space="preserve">over Bd compared to </w:t>
      </w:r>
      <w:r w:rsidR="007D5188" w:rsidRPr="00A655A1">
        <w:t>SBd</w:t>
      </w:r>
      <w:r w:rsidR="00F978B6" w:rsidRPr="00A655A1">
        <w:t xml:space="preserve"> over</w:t>
      </w:r>
      <w:r w:rsidR="00606C7D" w:rsidRPr="00A655A1">
        <w:t xml:space="preserve"> </w:t>
      </w:r>
      <w:r w:rsidRPr="00A655A1">
        <w:t xml:space="preserve">Bd. The submission stated that this may be reflective of the potential confounders identified in the patient populations which could benefit the Cd treatment effect. </w:t>
      </w:r>
      <w:r w:rsidR="00DC67A6" w:rsidRPr="00A655A1">
        <w:t xml:space="preserve">The ESC noted that a </w:t>
      </w:r>
      <w:r w:rsidR="00124564" w:rsidRPr="00A655A1">
        <w:rPr>
          <w:iCs/>
        </w:rPr>
        <w:t>large difference in median PFS was observed between SBd (13.9 months) and Cd (18.7 months)</w:t>
      </w:r>
      <w:r w:rsidR="00E83841" w:rsidRPr="00A655A1">
        <w:rPr>
          <w:iCs/>
        </w:rPr>
        <w:t xml:space="preserve">; </w:t>
      </w:r>
      <w:r w:rsidR="00124564" w:rsidRPr="00A655A1">
        <w:rPr>
          <w:iCs/>
        </w:rPr>
        <w:t>whereas</w:t>
      </w:r>
      <w:r w:rsidR="00E83841" w:rsidRPr="00A655A1">
        <w:rPr>
          <w:iCs/>
        </w:rPr>
        <w:t>,</w:t>
      </w:r>
      <w:r w:rsidR="00124564" w:rsidRPr="00A655A1">
        <w:rPr>
          <w:iCs/>
        </w:rPr>
        <w:t xml:space="preserve"> results were similar between the Bd arms</w:t>
      </w:r>
      <w:r w:rsidR="0041493E" w:rsidRPr="00A655A1">
        <w:rPr>
          <w:iCs/>
        </w:rPr>
        <w:t xml:space="preserve"> </w:t>
      </w:r>
      <w:r w:rsidR="00DC67A6" w:rsidRPr="00A655A1">
        <w:rPr>
          <w:iCs/>
        </w:rPr>
        <w:t xml:space="preserve">(9.5 months versus 9.4 months) </w:t>
      </w:r>
      <w:r w:rsidR="0041493E" w:rsidRPr="00A655A1">
        <w:rPr>
          <w:iCs/>
        </w:rPr>
        <w:t>at the presented median times to follow-up (17.5 months in the Bd arm of BOSTON compared to 11.1 months in the Bd arm of ENDEAVOR)</w:t>
      </w:r>
      <w:r w:rsidR="00124564" w:rsidRPr="00A655A1">
        <w:rPr>
          <w:iCs/>
        </w:rPr>
        <w:t xml:space="preserve">.   </w:t>
      </w:r>
    </w:p>
    <w:p w:rsidR="00DC67A6" w:rsidRPr="00A655A1" w:rsidRDefault="00DC67A6" w:rsidP="00707864">
      <w:pPr>
        <w:pStyle w:val="3-BodyText"/>
        <w:numPr>
          <w:ilvl w:val="1"/>
          <w:numId w:val="7"/>
        </w:numPr>
        <w:snapToGrid w:val="0"/>
        <w:rPr>
          <w:iCs/>
        </w:rPr>
      </w:pPr>
      <w:r w:rsidRPr="00A655A1">
        <w:t>Although t</w:t>
      </w:r>
      <w:r w:rsidRPr="00A655A1">
        <w:rPr>
          <w:iCs/>
        </w:rPr>
        <w:t>he submission did not present a statistical measure of the indirect estimate of effects, this was calculated during the evaluation. There was no statistical difference between SBd and Cd in terms of PFS (HR</w:t>
      </w:r>
      <w:r w:rsidR="00571CBC" w:rsidRPr="00A655A1">
        <w:rPr>
          <w:iCs/>
        </w:rPr>
        <w:t xml:space="preserve"> </w:t>
      </w:r>
      <w:r w:rsidRPr="00A655A1">
        <w:rPr>
          <w:iCs/>
        </w:rPr>
        <w:t>= 1.27, 95% CI: 0.91, 1.77). Although this result should be interpreted with caution given the underlying issues of transitivity and the absence of a non-inferiority margin, the ESC noted that the point estimate suggested SBd was inferior to Cd</w:t>
      </w:r>
      <w:r w:rsidR="005370EE" w:rsidRPr="00A655A1">
        <w:rPr>
          <w:iCs/>
        </w:rPr>
        <w:t xml:space="preserve"> with respect to PFS</w:t>
      </w:r>
      <w:r w:rsidRPr="00A655A1">
        <w:rPr>
          <w:iCs/>
        </w:rPr>
        <w:t>.</w:t>
      </w:r>
    </w:p>
    <w:p w:rsidR="00E83841" w:rsidRPr="00A655A1" w:rsidRDefault="005370EE" w:rsidP="00707864">
      <w:pPr>
        <w:pStyle w:val="3-BodyText"/>
        <w:numPr>
          <w:ilvl w:val="1"/>
          <w:numId w:val="7"/>
        </w:numPr>
        <w:snapToGrid w:val="0"/>
        <w:rPr>
          <w:iCs/>
        </w:rPr>
      </w:pPr>
      <w:r w:rsidRPr="00A655A1">
        <w:rPr>
          <w:iCs/>
        </w:rPr>
        <w:t xml:space="preserve">Overall, and </w:t>
      </w:r>
      <w:r w:rsidR="00DC67A6" w:rsidRPr="00A655A1">
        <w:rPr>
          <w:iCs/>
        </w:rPr>
        <w:t xml:space="preserve">noting the transitivity issues between the trials, </w:t>
      </w:r>
      <w:r w:rsidRPr="00A655A1">
        <w:rPr>
          <w:iCs/>
        </w:rPr>
        <w:t xml:space="preserve">the ESC </w:t>
      </w:r>
      <w:r w:rsidR="00B7300E" w:rsidRPr="00A655A1">
        <w:rPr>
          <w:iCs/>
        </w:rPr>
        <w:t xml:space="preserve">considered that it was </w:t>
      </w:r>
      <w:r w:rsidR="00A15C4B" w:rsidRPr="00A655A1">
        <w:rPr>
          <w:iCs/>
        </w:rPr>
        <w:t xml:space="preserve">difficult to </w:t>
      </w:r>
      <w:r w:rsidR="006724F8" w:rsidRPr="00A655A1">
        <w:rPr>
          <w:iCs/>
        </w:rPr>
        <w:t>conclude</w:t>
      </w:r>
      <w:r w:rsidR="00DC67A6" w:rsidRPr="00A655A1">
        <w:rPr>
          <w:iCs/>
        </w:rPr>
        <w:t xml:space="preserve"> that SBd and Cd ha</w:t>
      </w:r>
      <w:r w:rsidR="006724F8" w:rsidRPr="00A655A1">
        <w:rPr>
          <w:iCs/>
        </w:rPr>
        <w:t xml:space="preserve">d </w:t>
      </w:r>
      <w:r w:rsidR="00A15C4B" w:rsidRPr="00A655A1">
        <w:rPr>
          <w:iCs/>
        </w:rPr>
        <w:t>a comparable efficacy</w:t>
      </w:r>
      <w:r w:rsidR="00E83841" w:rsidRPr="00A655A1">
        <w:rPr>
          <w:iCs/>
        </w:rPr>
        <w:t>.</w:t>
      </w:r>
      <w:r w:rsidR="00A15C4B" w:rsidRPr="00A655A1">
        <w:t xml:space="preserve"> </w:t>
      </w:r>
    </w:p>
    <w:p w:rsidR="00947489" w:rsidRPr="00A655A1" w:rsidRDefault="00947489" w:rsidP="00707864">
      <w:pPr>
        <w:pStyle w:val="3-BodyText"/>
        <w:numPr>
          <w:ilvl w:val="1"/>
          <w:numId w:val="7"/>
        </w:numPr>
        <w:snapToGrid w:val="0"/>
        <w:rPr>
          <w:iCs/>
        </w:rPr>
      </w:pPr>
      <w:r w:rsidRPr="00A655A1">
        <w:rPr>
          <w:iCs/>
        </w:rPr>
        <w:t>The PSCR presented the results of the measure of the indirect estimate of effects using the Bucher method and the OS data for SBd (adjusted for treatment switching using the TSE</w:t>
      </w:r>
      <w:r w:rsidR="00571CBC" w:rsidRPr="00A655A1">
        <w:rPr>
          <w:iCs/>
        </w:rPr>
        <w:t>M</w:t>
      </w:r>
      <w:r w:rsidRPr="00A655A1">
        <w:rPr>
          <w:iCs/>
        </w:rPr>
        <w:t>) and Cd</w:t>
      </w:r>
      <w:r w:rsidR="00571CBC" w:rsidRPr="00A655A1">
        <w:rPr>
          <w:iCs/>
        </w:rPr>
        <w:t xml:space="preserve"> (</w:t>
      </w:r>
      <w:r w:rsidRPr="00A655A1">
        <w:rPr>
          <w:iCs/>
        </w:rPr>
        <w:t>HR = 1.01</w:t>
      </w:r>
      <w:r w:rsidR="00571CBC" w:rsidRPr="00A655A1">
        <w:rPr>
          <w:iCs/>
        </w:rPr>
        <w:t>;</w:t>
      </w:r>
      <w:r w:rsidRPr="00A655A1">
        <w:rPr>
          <w:iCs/>
        </w:rPr>
        <w:t xml:space="preserve"> 95% CI: 0.66, 1.56). The ESC considered that the results</w:t>
      </w:r>
      <w:r w:rsidR="00BB0E5B" w:rsidRPr="00A655A1">
        <w:rPr>
          <w:iCs/>
        </w:rPr>
        <w:t xml:space="preserve"> would be confounded by transitivity issues</w:t>
      </w:r>
      <w:r w:rsidR="00D01998" w:rsidRPr="00A655A1">
        <w:rPr>
          <w:iCs/>
        </w:rPr>
        <w:t xml:space="preserve"> and noted that the analysis relied upon the cross-</w:t>
      </w:r>
      <w:r w:rsidR="005370EE" w:rsidRPr="00A655A1">
        <w:rPr>
          <w:iCs/>
        </w:rPr>
        <w:t>over</w:t>
      </w:r>
      <w:r w:rsidR="00D01998" w:rsidRPr="00A655A1">
        <w:rPr>
          <w:iCs/>
        </w:rPr>
        <w:t xml:space="preserve"> adjusted result which was inadequately justified in the submission</w:t>
      </w:r>
      <w:r w:rsidR="00BB0E5B" w:rsidRPr="00A655A1">
        <w:rPr>
          <w:iCs/>
        </w:rPr>
        <w:t>.</w:t>
      </w:r>
      <w:r w:rsidR="005370EE" w:rsidRPr="00A655A1">
        <w:rPr>
          <w:iCs/>
        </w:rPr>
        <w:t xml:space="preserve"> In addition, the ESC noted that Cd demonstrated a </w:t>
      </w:r>
      <w:r w:rsidR="006B3388" w:rsidRPr="00A655A1">
        <w:rPr>
          <w:iCs/>
        </w:rPr>
        <w:t>statistically</w:t>
      </w:r>
      <w:r w:rsidR="005370EE" w:rsidRPr="00A655A1">
        <w:rPr>
          <w:iCs/>
        </w:rPr>
        <w:t xml:space="preserve"> significant benefit in OS compared to Bd</w:t>
      </w:r>
      <w:r w:rsidR="00571CBC" w:rsidRPr="00A655A1">
        <w:rPr>
          <w:iCs/>
        </w:rPr>
        <w:t xml:space="preserve"> in the ENDEAVOR trial</w:t>
      </w:r>
      <w:r w:rsidR="005370EE" w:rsidRPr="00A655A1">
        <w:rPr>
          <w:iCs/>
        </w:rPr>
        <w:t xml:space="preserve">, whereas SBd </w:t>
      </w:r>
      <w:r w:rsidR="00571CBC" w:rsidRPr="00A655A1">
        <w:rPr>
          <w:iCs/>
        </w:rPr>
        <w:t xml:space="preserve">in the BOSTON trial </w:t>
      </w:r>
      <w:r w:rsidR="005370EE" w:rsidRPr="00A655A1">
        <w:rPr>
          <w:iCs/>
        </w:rPr>
        <w:t>did not.</w:t>
      </w:r>
    </w:p>
    <w:p w:rsidR="00A15C4B" w:rsidRPr="00A655A1" w:rsidRDefault="00A15C4B" w:rsidP="00A15C4B">
      <w:pPr>
        <w:pStyle w:val="4-SubsectionHeading"/>
      </w:pPr>
      <w:bookmarkStart w:id="23" w:name="_Toc22897642"/>
      <w:bookmarkStart w:id="24" w:name="_Toc22898854"/>
      <w:bookmarkStart w:id="25" w:name="_Toc72314261"/>
      <w:r w:rsidRPr="00A655A1">
        <w:t>Comparative harms</w:t>
      </w:r>
      <w:bookmarkEnd w:id="23"/>
      <w:bookmarkEnd w:id="24"/>
      <w:bookmarkEnd w:id="25"/>
    </w:p>
    <w:p w:rsidR="00A15C4B" w:rsidRPr="00A655A1" w:rsidRDefault="00B64F77" w:rsidP="00A15C4B">
      <w:pPr>
        <w:pStyle w:val="3-BodyText"/>
        <w:numPr>
          <w:ilvl w:val="0"/>
          <w:numId w:val="0"/>
        </w:numPr>
        <w:ind w:left="720" w:hanging="720"/>
        <w:rPr>
          <w:u w:val="single"/>
        </w:rPr>
      </w:pPr>
      <w:r w:rsidRPr="00A655A1">
        <w:rPr>
          <w:u w:val="single"/>
        </w:rPr>
        <w:t>BOSTON (</w:t>
      </w:r>
      <w:r w:rsidR="00A15C4B" w:rsidRPr="00A655A1">
        <w:rPr>
          <w:u w:val="single"/>
        </w:rPr>
        <w:t>SBd versus Bd</w:t>
      </w:r>
      <w:r w:rsidRPr="00A655A1">
        <w:rPr>
          <w:u w:val="single"/>
        </w:rPr>
        <w:t>)</w:t>
      </w:r>
    </w:p>
    <w:p w:rsidR="00A15C4B" w:rsidRPr="00A655A1" w:rsidRDefault="00A15C4B" w:rsidP="00707864">
      <w:pPr>
        <w:pStyle w:val="3-BodyText"/>
        <w:numPr>
          <w:ilvl w:val="1"/>
          <w:numId w:val="7"/>
        </w:numPr>
        <w:snapToGrid w:val="0"/>
        <w:rPr>
          <w:iCs/>
          <w:color w:val="0066FF"/>
        </w:rPr>
      </w:pPr>
      <w:r w:rsidRPr="00A655A1">
        <w:t xml:space="preserve">The submission stated that the proportion of patients experiencing a </w:t>
      </w:r>
      <w:r w:rsidR="007F7604" w:rsidRPr="00A655A1">
        <w:t>treatment emergent adverse event (</w:t>
      </w:r>
      <w:r w:rsidRPr="00A655A1">
        <w:t>TEAE</w:t>
      </w:r>
      <w:r w:rsidR="007F7604" w:rsidRPr="00A655A1">
        <w:t>)</w:t>
      </w:r>
      <w:r w:rsidRPr="00A655A1">
        <w:t xml:space="preserve"> was comparable between the SBd arm (99.5%) and the Bd arm (97.1%</w:t>
      </w:r>
      <w:r w:rsidR="00460518" w:rsidRPr="00A655A1">
        <w:t>)</w:t>
      </w:r>
      <w:r w:rsidRPr="00A655A1">
        <w:t xml:space="preserve">. </w:t>
      </w:r>
      <w:r w:rsidR="004A0D44" w:rsidRPr="00A655A1">
        <w:rPr>
          <w:iCs/>
        </w:rPr>
        <w:t>T</w:t>
      </w:r>
      <w:r w:rsidRPr="00A655A1">
        <w:rPr>
          <w:iCs/>
        </w:rPr>
        <w:t>he difference</w:t>
      </w:r>
      <w:r w:rsidR="001D7775" w:rsidRPr="00A655A1">
        <w:rPr>
          <w:iCs/>
        </w:rPr>
        <w:t>s</w:t>
      </w:r>
      <w:r w:rsidRPr="00A655A1">
        <w:rPr>
          <w:iCs/>
        </w:rPr>
        <w:t xml:space="preserve"> in serious adverse events (SAEs</w:t>
      </w:r>
      <w:r w:rsidR="001D7775" w:rsidRPr="00A655A1">
        <w:rPr>
          <w:iCs/>
        </w:rPr>
        <w:t>; 51.8% vs 37.7%)</w:t>
      </w:r>
      <w:r w:rsidRPr="00A655A1">
        <w:rPr>
          <w:iCs/>
        </w:rPr>
        <w:t>; Grade 3/4 TEAEs</w:t>
      </w:r>
      <w:r w:rsidR="001D7775" w:rsidRPr="00A655A1">
        <w:rPr>
          <w:iCs/>
        </w:rPr>
        <w:t xml:space="preserve"> (79.0% vs 55.9%)</w:t>
      </w:r>
      <w:r w:rsidRPr="00A655A1">
        <w:rPr>
          <w:iCs/>
        </w:rPr>
        <w:t>; and TEAEs leading to either dose modification</w:t>
      </w:r>
      <w:r w:rsidR="001D7775" w:rsidRPr="00A655A1">
        <w:rPr>
          <w:iCs/>
        </w:rPr>
        <w:t xml:space="preserve"> (88.7% vs 76.5%)</w:t>
      </w:r>
      <w:r w:rsidRPr="00A655A1">
        <w:rPr>
          <w:iCs/>
        </w:rPr>
        <w:t>, reduction</w:t>
      </w:r>
      <w:r w:rsidR="001D7775" w:rsidRPr="00A655A1">
        <w:rPr>
          <w:iCs/>
        </w:rPr>
        <w:t xml:space="preserve"> (72.3% vs 51.0%)</w:t>
      </w:r>
      <w:r w:rsidRPr="00A655A1">
        <w:rPr>
          <w:iCs/>
        </w:rPr>
        <w:t>, or interruption</w:t>
      </w:r>
      <w:r w:rsidR="000F3E63" w:rsidRPr="00A655A1">
        <w:rPr>
          <w:iCs/>
        </w:rPr>
        <w:t xml:space="preserve"> </w:t>
      </w:r>
      <w:r w:rsidR="001D7775" w:rsidRPr="00A655A1">
        <w:rPr>
          <w:iCs/>
        </w:rPr>
        <w:t>(85.6% vs 68.1%)</w:t>
      </w:r>
      <w:r w:rsidRPr="00A655A1">
        <w:rPr>
          <w:iCs/>
        </w:rPr>
        <w:t>, w</w:t>
      </w:r>
      <w:r w:rsidR="0021600C" w:rsidRPr="00A655A1">
        <w:rPr>
          <w:iCs/>
        </w:rPr>
        <w:t>ere</w:t>
      </w:r>
      <w:r w:rsidRPr="00A655A1">
        <w:rPr>
          <w:iCs/>
        </w:rPr>
        <w:t xml:space="preserve"> </w:t>
      </w:r>
      <w:r w:rsidR="0007438B" w:rsidRPr="00A655A1">
        <w:rPr>
          <w:iCs/>
        </w:rPr>
        <w:t xml:space="preserve">nominally </w:t>
      </w:r>
      <w:r w:rsidRPr="00A655A1">
        <w:rPr>
          <w:iCs/>
        </w:rPr>
        <w:t xml:space="preserve">statistically significant in terms of </w:t>
      </w:r>
      <w:r w:rsidR="006724F8" w:rsidRPr="00A655A1">
        <w:rPr>
          <w:iCs/>
        </w:rPr>
        <w:t xml:space="preserve">risk ratio </w:t>
      </w:r>
      <w:r w:rsidRPr="00A655A1">
        <w:rPr>
          <w:iCs/>
        </w:rPr>
        <w:t xml:space="preserve">and </w:t>
      </w:r>
      <w:r w:rsidR="006724F8" w:rsidRPr="00A655A1">
        <w:rPr>
          <w:iCs/>
        </w:rPr>
        <w:t xml:space="preserve">risk difference </w:t>
      </w:r>
      <w:r w:rsidR="009B2499" w:rsidRPr="00A655A1">
        <w:rPr>
          <w:iCs/>
        </w:rPr>
        <w:t>with lower event rates in</w:t>
      </w:r>
      <w:r w:rsidRPr="00A655A1">
        <w:rPr>
          <w:iCs/>
        </w:rPr>
        <w:t xml:space="preserve"> the Bd arm. </w:t>
      </w:r>
    </w:p>
    <w:p w:rsidR="00A15C4B" w:rsidRPr="00A655A1" w:rsidRDefault="00A15C4B" w:rsidP="00A15C4B">
      <w:pPr>
        <w:pStyle w:val="TableFigureHeading"/>
      </w:pPr>
      <w:r w:rsidRPr="00A655A1">
        <w:t>Table 9: Summary of TEAEs (safety population)</w:t>
      </w:r>
    </w:p>
    <w:tbl>
      <w:tblPr>
        <w:tblStyle w:val="TableGrid"/>
        <w:tblW w:w="9067" w:type="dxa"/>
        <w:tblLook w:val="04A0" w:firstRow="1" w:lastRow="0" w:firstColumn="1" w:lastColumn="0" w:noHBand="0" w:noVBand="1"/>
        <w:tblCaption w:val="Table 9: Summary of TEAEs (safety population)"/>
      </w:tblPr>
      <w:tblGrid>
        <w:gridCol w:w="2830"/>
        <w:gridCol w:w="1418"/>
        <w:gridCol w:w="1276"/>
        <w:gridCol w:w="1842"/>
        <w:gridCol w:w="1701"/>
      </w:tblGrid>
      <w:tr w:rsidR="00A15C4B" w:rsidRPr="00A655A1" w:rsidTr="00185816">
        <w:trPr>
          <w:tblHeader/>
        </w:trPr>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rsidP="001754F9">
            <w:pPr>
              <w:pStyle w:val="TableText0"/>
              <w:rPr>
                <w:b/>
                <w:bCs w:val="0"/>
              </w:rPr>
            </w:pPr>
            <w:r w:rsidRPr="00A655A1">
              <w:rPr>
                <w:b/>
                <w:bCs w:val="0"/>
              </w:rPr>
              <w:t>Patients with at least one</w:t>
            </w:r>
            <w:r w:rsidR="00952554" w:rsidRPr="00A655A1">
              <w:rPr>
                <w:b/>
                <w:bCs w:val="0"/>
              </w:rPr>
              <w:t>,</w:t>
            </w:r>
            <w:r w:rsidR="001754F9" w:rsidRPr="00A655A1">
              <w:rPr>
                <w:b/>
                <w:bCs w:val="0"/>
              </w:rPr>
              <w:t xml:space="preserve"> </w:t>
            </w:r>
            <w:r w:rsidRPr="00A655A1">
              <w:rPr>
                <w:b/>
                <w:bCs w:val="0"/>
              </w:rPr>
              <w:t>n (%)</w:t>
            </w:r>
          </w:p>
        </w:tc>
        <w:tc>
          <w:tcPr>
            <w:tcW w:w="1418"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jc w:val="center"/>
              <w:rPr>
                <w:b/>
                <w:bCs w:val="0"/>
              </w:rPr>
            </w:pPr>
            <w:r w:rsidRPr="00A655A1">
              <w:rPr>
                <w:b/>
                <w:bCs w:val="0"/>
              </w:rPr>
              <w:t xml:space="preserve">SBd arm </w:t>
            </w:r>
          </w:p>
          <w:p w:rsidR="00A15C4B" w:rsidRPr="00A655A1" w:rsidRDefault="00A15C4B">
            <w:pPr>
              <w:pStyle w:val="TableText0"/>
              <w:jc w:val="center"/>
              <w:rPr>
                <w:b/>
                <w:bCs w:val="0"/>
              </w:rPr>
            </w:pPr>
            <w:r w:rsidRPr="00A655A1">
              <w:rPr>
                <w:b/>
                <w:bCs w:val="0"/>
              </w:rPr>
              <w:t>(N=195)</w:t>
            </w:r>
          </w:p>
        </w:tc>
        <w:tc>
          <w:tcPr>
            <w:tcW w:w="1276"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jc w:val="center"/>
              <w:rPr>
                <w:b/>
                <w:bCs w:val="0"/>
              </w:rPr>
            </w:pPr>
            <w:r w:rsidRPr="00A655A1">
              <w:rPr>
                <w:b/>
                <w:bCs w:val="0"/>
              </w:rPr>
              <w:t xml:space="preserve">Bd arm </w:t>
            </w:r>
          </w:p>
          <w:p w:rsidR="00A15C4B" w:rsidRPr="00A655A1" w:rsidRDefault="00A15C4B">
            <w:pPr>
              <w:pStyle w:val="TableText0"/>
              <w:jc w:val="center"/>
              <w:rPr>
                <w:b/>
                <w:bCs w:val="0"/>
              </w:rPr>
            </w:pPr>
            <w:r w:rsidRPr="00A655A1">
              <w:rPr>
                <w:b/>
                <w:bCs w:val="0"/>
              </w:rPr>
              <w:t>(N=204)</w:t>
            </w:r>
          </w:p>
        </w:tc>
        <w:tc>
          <w:tcPr>
            <w:tcW w:w="1842"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jc w:val="center"/>
              <w:rPr>
                <w:b/>
                <w:bCs w:val="0"/>
              </w:rPr>
            </w:pPr>
            <w:r w:rsidRPr="00A655A1">
              <w:rPr>
                <w:b/>
                <w:bCs w:val="0"/>
              </w:rPr>
              <w:t xml:space="preserve">RD </w:t>
            </w:r>
          </w:p>
          <w:p w:rsidR="00A15C4B" w:rsidRPr="00A655A1" w:rsidRDefault="00A15C4B">
            <w:pPr>
              <w:pStyle w:val="TableText0"/>
              <w:jc w:val="center"/>
              <w:rPr>
                <w:b/>
                <w:bCs w:val="0"/>
              </w:rPr>
            </w:pPr>
            <w:r w:rsidRPr="00A655A1">
              <w:rPr>
                <w:b/>
                <w:bCs w:val="0"/>
              </w:rPr>
              <w:t>(95% CI)</w:t>
            </w:r>
            <w:r w:rsidRPr="00A655A1">
              <w:rPr>
                <w:b/>
                <w:bCs w:val="0"/>
                <w:vertAlign w:val="superscript"/>
              </w:rPr>
              <w:t>d</w:t>
            </w:r>
          </w:p>
        </w:tc>
        <w:tc>
          <w:tcPr>
            <w:tcW w:w="1701"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jc w:val="center"/>
              <w:rPr>
                <w:b/>
                <w:bCs w:val="0"/>
              </w:rPr>
            </w:pPr>
            <w:r w:rsidRPr="00A655A1">
              <w:rPr>
                <w:b/>
                <w:bCs w:val="0"/>
              </w:rPr>
              <w:t xml:space="preserve">RR </w:t>
            </w:r>
          </w:p>
          <w:p w:rsidR="00A15C4B" w:rsidRPr="00A655A1" w:rsidRDefault="00A15C4B">
            <w:pPr>
              <w:pStyle w:val="TableText0"/>
              <w:jc w:val="center"/>
              <w:rPr>
                <w:b/>
                <w:bCs w:val="0"/>
              </w:rPr>
            </w:pPr>
            <w:r w:rsidRPr="00A655A1">
              <w:rPr>
                <w:b/>
                <w:bCs w:val="0"/>
              </w:rPr>
              <w:t>(95% CI)</w:t>
            </w:r>
            <w:r w:rsidRPr="00A655A1">
              <w:rPr>
                <w:b/>
                <w:bCs w:val="0"/>
                <w:vertAlign w:val="superscript"/>
              </w:rPr>
              <w:t>d</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TEAE</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194 (99.5)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198 (97.1)</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0.02 (0.00, 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1.03 (1.00, 1.05)</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Grade 3/4 TEAE</w:t>
            </w:r>
            <w:r w:rsidRPr="00A655A1">
              <w:rPr>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154 (79.0)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114 (55.9)</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0.23 (0.14, 0.32)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1.41 (1.23, 1.63)</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Grade 4 TEAE</w:t>
            </w:r>
            <w:r w:rsidRPr="00A655A1">
              <w:rPr>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34 (17.4)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22 (10.8)</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0.07 (0.00, 0.14)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1.62 (0.98, 2.66)</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SAE</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101 (51.8)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77 (37.7)</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0.14 (0.04, 0.24)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1.37 (1.10, 1.71)</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rsidP="00460518">
            <w:pPr>
              <w:pStyle w:val="TableText0"/>
            </w:pPr>
            <w:r w:rsidRPr="00A655A1">
              <w:t xml:space="preserve">TEAE </w:t>
            </w:r>
            <w:r w:rsidR="00460518" w:rsidRPr="00A655A1">
              <w:t>l</w:t>
            </w:r>
            <w:r w:rsidRPr="00A655A1">
              <w:t xml:space="preserve">eading to </w:t>
            </w:r>
            <w:r w:rsidR="00460518" w:rsidRPr="00A655A1">
              <w:t>d</w:t>
            </w:r>
            <w:r w:rsidR="00CA26D7" w:rsidRPr="00A655A1">
              <w:t>o</w:t>
            </w:r>
            <w:r w:rsidRPr="00A655A1">
              <w:t xml:space="preserve">se </w:t>
            </w:r>
            <w:r w:rsidR="00460518" w:rsidRPr="00A655A1">
              <w:t>m</w:t>
            </w:r>
            <w:r w:rsidRPr="00A655A1">
              <w:t xml:space="preserve">odification in </w:t>
            </w:r>
            <w:r w:rsidR="00CA26D7" w:rsidRPr="00A655A1">
              <w:t>s</w:t>
            </w:r>
            <w:r w:rsidRPr="00A655A1">
              <w:t xml:space="preserve">tudy </w:t>
            </w:r>
            <w:r w:rsidR="00460518" w:rsidRPr="00A655A1">
              <w:t>t</w:t>
            </w:r>
            <w:r w:rsidRPr="00A655A1">
              <w:t>reatment</w:t>
            </w:r>
            <w:r w:rsidRPr="00A655A1">
              <w:rPr>
                <w:vertAlign w:val="superscript"/>
              </w:rPr>
              <w:t>c</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173 (88.7)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156 (76.5)</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0.12 (0.05, 0.20)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1.16 (1.06, 1.27)</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TEAE </w:t>
            </w:r>
            <w:r w:rsidR="00CA26D7" w:rsidRPr="00A655A1">
              <w:t>l</w:t>
            </w:r>
            <w:r w:rsidRPr="00A655A1">
              <w:t xml:space="preserve">eading to </w:t>
            </w:r>
            <w:r w:rsidR="00CA26D7" w:rsidRPr="00A655A1">
              <w:t>d</w:t>
            </w:r>
            <w:r w:rsidRPr="00A655A1">
              <w:t xml:space="preserve">ose </w:t>
            </w:r>
            <w:r w:rsidR="00CA26D7" w:rsidRPr="00A655A1">
              <w:t>r</w:t>
            </w:r>
            <w:r w:rsidRPr="00A655A1">
              <w:t xml:space="preserve">eduction in </w:t>
            </w:r>
            <w:r w:rsidR="00CA26D7" w:rsidRPr="00A655A1">
              <w:t>s</w:t>
            </w:r>
            <w:r w:rsidRPr="00A655A1">
              <w:t xml:space="preserve">tudy </w:t>
            </w:r>
            <w:r w:rsidR="00CA26D7" w:rsidRPr="00A655A1">
              <w:t>t</w:t>
            </w:r>
            <w:r w:rsidRPr="00A655A1">
              <w:t>reatment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141 (72.3)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104 (51.0)</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0.21 (0.12, 0.31)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1.42 (1.21, 1.66)</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TEAE </w:t>
            </w:r>
            <w:r w:rsidR="00CA26D7" w:rsidRPr="00A655A1">
              <w:t>l</w:t>
            </w:r>
            <w:r w:rsidRPr="00A655A1">
              <w:t xml:space="preserve">eading to </w:t>
            </w:r>
            <w:r w:rsidR="00CA26D7" w:rsidRPr="00A655A1">
              <w:t>d</w:t>
            </w:r>
            <w:r w:rsidRPr="00A655A1">
              <w:t xml:space="preserve">ose </w:t>
            </w:r>
            <w:r w:rsidR="00CA26D7" w:rsidRPr="00A655A1">
              <w:t>i</w:t>
            </w:r>
            <w:r w:rsidRPr="00A655A1">
              <w:t xml:space="preserve">nterruption in </w:t>
            </w:r>
            <w:r w:rsidR="00CA26D7" w:rsidRPr="00A655A1">
              <w:t>s</w:t>
            </w:r>
            <w:r w:rsidRPr="00A655A1">
              <w:t xml:space="preserve">tudy </w:t>
            </w:r>
            <w:r w:rsidR="00CA26D7" w:rsidRPr="00A655A1">
              <w:t>t</w:t>
            </w:r>
            <w:r w:rsidRPr="00A655A1">
              <w:t>reatment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167 (85.6)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139 (68.1)</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0.18 (0.09, 0.26)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1.26 (1.13, 1.40)</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TEAE </w:t>
            </w:r>
            <w:r w:rsidR="00CA26D7" w:rsidRPr="00A655A1">
              <w:t>l</w:t>
            </w:r>
            <w:r w:rsidRPr="00A655A1">
              <w:t xml:space="preserve">eading to </w:t>
            </w:r>
            <w:r w:rsidR="00CA26D7" w:rsidRPr="00A655A1">
              <w:t>s</w:t>
            </w:r>
            <w:r w:rsidRPr="00A655A1">
              <w:t xml:space="preserve">tudy </w:t>
            </w:r>
            <w:r w:rsidR="00CA26D7" w:rsidRPr="00A655A1">
              <w:t>t</w:t>
            </w:r>
            <w:r w:rsidRPr="00A655A1">
              <w:t xml:space="preserve">reatment </w:t>
            </w:r>
            <w:r w:rsidR="00CA26D7" w:rsidRPr="00A655A1">
              <w:t>d</w:t>
            </w:r>
            <w:r w:rsidRPr="00A655A1">
              <w:t>iscontinuation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41 (21.0)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32 (15.7)</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0.05 (-0.02, 0.13)</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1.34 (0.88, 2.04)</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TEAE </w:t>
            </w:r>
            <w:r w:rsidR="00CA26D7" w:rsidRPr="00A655A1">
              <w:t>l</w:t>
            </w:r>
            <w:r w:rsidRPr="00A655A1">
              <w:t xml:space="preserve">eading to </w:t>
            </w:r>
            <w:r w:rsidR="00CA26D7" w:rsidRPr="00A655A1">
              <w:t>d</w:t>
            </w:r>
            <w:r w:rsidRPr="00A655A1">
              <w:t>eath</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12 (6.2)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11 (5.4)</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0.01 (-0.04, 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1.14 (0.52, 2.53)</w:t>
            </w:r>
          </w:p>
        </w:tc>
      </w:tr>
    </w:tbl>
    <w:p w:rsidR="00A15C4B" w:rsidRPr="00A655A1" w:rsidRDefault="00A15C4B" w:rsidP="00A15C4B">
      <w:pPr>
        <w:pStyle w:val="TableFigureFooter"/>
      </w:pPr>
      <w:r w:rsidRPr="00A655A1">
        <w:t>Source: Table 2-25, p89 of the submission.</w:t>
      </w:r>
    </w:p>
    <w:p w:rsidR="00A15C4B" w:rsidRPr="00A655A1" w:rsidRDefault="00A15C4B" w:rsidP="00A15C4B">
      <w:pPr>
        <w:pStyle w:val="TableFigureFooter"/>
      </w:pPr>
      <w:r w:rsidRPr="00A655A1">
        <w:t>Bd = bortezomib + dexamethasone; CI = confidence interval; RD = risk difference; RR = relative risk; SBd = selinexor + bortezomib + dexamethasone; SAE = serious adverse event; TEAE = treatment emergent adverse events.</w:t>
      </w:r>
    </w:p>
    <w:p w:rsidR="00A15C4B" w:rsidRPr="00A655A1" w:rsidRDefault="00A15C4B" w:rsidP="00A15C4B">
      <w:pPr>
        <w:pStyle w:val="TableFigureFooter"/>
      </w:pPr>
      <w:r w:rsidRPr="00A655A1">
        <w:t>a. Based on maximum severity grade of each patient.</w:t>
      </w:r>
    </w:p>
    <w:p w:rsidR="00A15C4B" w:rsidRPr="00A655A1" w:rsidRDefault="00A15C4B" w:rsidP="00A15C4B">
      <w:pPr>
        <w:pStyle w:val="TableFigureFooter"/>
      </w:pPr>
      <w:r w:rsidRPr="00A655A1">
        <w:t>b. The number of patients with dose modification(s) is not necessarily equal to the sum of the number of patients who had a modified dose or a drug interruption since the same patient could fall into more than one of these categories.</w:t>
      </w:r>
    </w:p>
    <w:p w:rsidR="00A15C4B" w:rsidRPr="00A655A1" w:rsidRDefault="00A15C4B" w:rsidP="00A15C4B">
      <w:pPr>
        <w:pStyle w:val="TableFigureFooter"/>
      </w:pPr>
      <w:r w:rsidRPr="00A655A1">
        <w:t>c. Study treatment is selinexor with bortezomib and dexamethasone for the SBd arm and bortezomib with dexamethasone for the Bd arm.</w:t>
      </w:r>
    </w:p>
    <w:p w:rsidR="00A15C4B" w:rsidRPr="00A655A1" w:rsidRDefault="00A15C4B" w:rsidP="00A15C4B">
      <w:pPr>
        <w:pStyle w:val="TableFigureFooter"/>
      </w:pPr>
      <w:r w:rsidRPr="00A655A1">
        <w:t xml:space="preserve">d. </w:t>
      </w:r>
      <w:r w:rsidRPr="00A655A1">
        <w:rPr>
          <w:iCs/>
        </w:rPr>
        <w:t>RD and RR were calculated during the evaluation</w:t>
      </w:r>
      <w:r w:rsidRPr="00A655A1">
        <w:t xml:space="preserve">.  </w:t>
      </w:r>
    </w:p>
    <w:p w:rsidR="00A15C4B" w:rsidRPr="00A655A1" w:rsidRDefault="00A15C4B" w:rsidP="00336F18">
      <w:pPr>
        <w:pStyle w:val="3-BodyText"/>
        <w:keepNext/>
        <w:keepLines/>
        <w:numPr>
          <w:ilvl w:val="1"/>
          <w:numId w:val="7"/>
        </w:numPr>
        <w:snapToGrid w:val="0"/>
      </w:pPr>
      <w:r w:rsidRPr="00A655A1">
        <w:t>A summary of TEAEs occurring in ≥</w:t>
      </w:r>
      <w:r w:rsidR="00EC61F8" w:rsidRPr="00A655A1">
        <w:t xml:space="preserve"> </w:t>
      </w:r>
      <w:r w:rsidRPr="00A655A1">
        <w:t xml:space="preserve">10% of patients in both treatment arms is presented in Table 10 and shows that thrombocytopenia, fatigue, nausea, anaemia, decreased appetite, weight decreased, cataract, asthenia, and vomiting occurred statistically significantly more in the SBd arm compared to the Bd arm, while </w:t>
      </w:r>
      <w:r w:rsidR="00D25483" w:rsidRPr="00A655A1">
        <w:t>peripheral neuropathy (</w:t>
      </w:r>
      <w:r w:rsidRPr="00A655A1">
        <w:t>PN</w:t>
      </w:r>
      <w:r w:rsidR="00D25483" w:rsidRPr="00A655A1">
        <w:t>)</w:t>
      </w:r>
      <w:r w:rsidRPr="00A655A1">
        <w:t xml:space="preserve"> occurred statistically significantly more in the Bd arm. The submission stated that these </w:t>
      </w:r>
      <w:r w:rsidR="007F7604" w:rsidRPr="00A655A1">
        <w:t>adverse event</w:t>
      </w:r>
      <w:r w:rsidRPr="00A655A1">
        <w:t xml:space="preserve">s are consistent with the known safety profile of </w:t>
      </w:r>
      <w:r w:rsidR="006724F8" w:rsidRPr="00A655A1">
        <w:t xml:space="preserve">selinexor </w:t>
      </w:r>
      <w:r w:rsidRPr="00A655A1">
        <w:t>alone or in combination</w:t>
      </w:r>
      <w:r w:rsidR="006724F8" w:rsidRPr="00A655A1">
        <w:t xml:space="preserve"> </w:t>
      </w:r>
      <w:r w:rsidR="0041493E" w:rsidRPr="00A655A1">
        <w:t xml:space="preserve">with other therapies </w:t>
      </w:r>
      <w:r w:rsidR="006724F8" w:rsidRPr="00A655A1">
        <w:t xml:space="preserve">and that </w:t>
      </w:r>
      <w:r w:rsidRPr="00A655A1">
        <w:t xml:space="preserve">no new TEAEs were reported on the SBd arm. </w:t>
      </w:r>
      <w:r w:rsidRPr="00A655A1">
        <w:rPr>
          <w:iCs/>
        </w:rPr>
        <w:t>The difference in PN is likely due to the difference in bortezomib exposure between the two treatment arms (once weekly bortezomib in the SBd arm compared with twice weekly bortezomib for the Bd arm) and is consistent with the mostly sensory nature of bortezomib-induced PN.</w:t>
      </w:r>
    </w:p>
    <w:p w:rsidR="00A15C4B" w:rsidRPr="00A655A1" w:rsidRDefault="00A15C4B" w:rsidP="00A15C4B">
      <w:pPr>
        <w:pStyle w:val="TableFigureHeading"/>
      </w:pPr>
      <w:r w:rsidRPr="00A655A1">
        <w:t>Table 10: TEAEs occurring in ≥10% of patients in either treatment arm (safety population)</w:t>
      </w:r>
    </w:p>
    <w:tbl>
      <w:tblPr>
        <w:tblStyle w:val="TableGrid"/>
        <w:tblW w:w="9067" w:type="dxa"/>
        <w:tblLook w:val="04A0" w:firstRow="1" w:lastRow="0" w:firstColumn="1" w:lastColumn="0" w:noHBand="0" w:noVBand="1"/>
        <w:tblCaption w:val="Table 10: TEAEs occurring in ≥10% of patients in either treatment arm (safety population)"/>
      </w:tblPr>
      <w:tblGrid>
        <w:gridCol w:w="2830"/>
        <w:gridCol w:w="1418"/>
        <w:gridCol w:w="1276"/>
        <w:gridCol w:w="1842"/>
        <w:gridCol w:w="1701"/>
      </w:tblGrid>
      <w:tr w:rsidR="00A15C4B" w:rsidRPr="00A655A1" w:rsidTr="00185816">
        <w:trPr>
          <w:tblHeader/>
        </w:trPr>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rsidP="00952554">
            <w:pPr>
              <w:pStyle w:val="TableText0"/>
              <w:rPr>
                <w:b/>
                <w:bCs w:val="0"/>
              </w:rPr>
            </w:pPr>
            <w:r w:rsidRPr="00A655A1">
              <w:rPr>
                <w:b/>
                <w:bCs w:val="0"/>
              </w:rPr>
              <w:t>MedDRA preferred term</w:t>
            </w:r>
            <w:r w:rsidR="00952554" w:rsidRPr="00A655A1">
              <w:rPr>
                <w:b/>
                <w:bCs w:val="0"/>
              </w:rPr>
              <w:t xml:space="preserve">, </w:t>
            </w:r>
            <w:r w:rsidRPr="00A655A1">
              <w:rPr>
                <w:b/>
                <w:bCs w:val="0"/>
              </w:rPr>
              <w:t>n (%)</w:t>
            </w:r>
          </w:p>
        </w:tc>
        <w:tc>
          <w:tcPr>
            <w:tcW w:w="1418"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jc w:val="center"/>
              <w:rPr>
                <w:b/>
                <w:bCs w:val="0"/>
              </w:rPr>
            </w:pPr>
            <w:r w:rsidRPr="00A655A1">
              <w:rPr>
                <w:b/>
                <w:bCs w:val="0"/>
              </w:rPr>
              <w:t xml:space="preserve">SBd arm </w:t>
            </w:r>
          </w:p>
          <w:p w:rsidR="00A15C4B" w:rsidRPr="00A655A1" w:rsidRDefault="00A15C4B">
            <w:pPr>
              <w:pStyle w:val="TableText0"/>
              <w:jc w:val="center"/>
              <w:rPr>
                <w:b/>
                <w:bCs w:val="0"/>
              </w:rPr>
            </w:pPr>
            <w:r w:rsidRPr="00A655A1">
              <w:rPr>
                <w:b/>
                <w:bCs w:val="0"/>
              </w:rPr>
              <w:t xml:space="preserve">(N=195) </w:t>
            </w:r>
          </w:p>
        </w:tc>
        <w:tc>
          <w:tcPr>
            <w:tcW w:w="1276"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jc w:val="center"/>
              <w:rPr>
                <w:b/>
                <w:bCs w:val="0"/>
              </w:rPr>
            </w:pPr>
            <w:r w:rsidRPr="00A655A1">
              <w:rPr>
                <w:b/>
                <w:bCs w:val="0"/>
              </w:rPr>
              <w:t xml:space="preserve">Bd arm </w:t>
            </w:r>
          </w:p>
          <w:p w:rsidR="00A15C4B" w:rsidRPr="00A655A1" w:rsidRDefault="00A15C4B">
            <w:pPr>
              <w:pStyle w:val="TableText0"/>
              <w:jc w:val="center"/>
              <w:rPr>
                <w:b/>
                <w:bCs w:val="0"/>
              </w:rPr>
            </w:pPr>
            <w:r w:rsidRPr="00A655A1">
              <w:rPr>
                <w:b/>
                <w:bCs w:val="0"/>
              </w:rPr>
              <w:t xml:space="preserve">(N=204) </w:t>
            </w:r>
          </w:p>
        </w:tc>
        <w:tc>
          <w:tcPr>
            <w:tcW w:w="1842"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jc w:val="center"/>
              <w:rPr>
                <w:b/>
                <w:bCs w:val="0"/>
              </w:rPr>
            </w:pPr>
            <w:r w:rsidRPr="00A655A1">
              <w:rPr>
                <w:b/>
                <w:bCs w:val="0"/>
              </w:rPr>
              <w:t xml:space="preserve">RD </w:t>
            </w:r>
          </w:p>
          <w:p w:rsidR="00A15C4B" w:rsidRPr="00A655A1" w:rsidRDefault="00A15C4B">
            <w:pPr>
              <w:pStyle w:val="TableText0"/>
              <w:jc w:val="center"/>
              <w:rPr>
                <w:b/>
                <w:bCs w:val="0"/>
              </w:rPr>
            </w:pPr>
            <w:r w:rsidRPr="00A655A1">
              <w:rPr>
                <w:b/>
                <w:bCs w:val="0"/>
              </w:rPr>
              <w:t>(95% CI)</w:t>
            </w:r>
            <w:r w:rsidRPr="00A655A1">
              <w:rPr>
                <w:b/>
                <w:bCs w:val="0"/>
                <w:vertAlign w:val="superscript"/>
              </w:rPr>
              <w:t>a</w:t>
            </w:r>
          </w:p>
        </w:tc>
        <w:tc>
          <w:tcPr>
            <w:tcW w:w="1701"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jc w:val="center"/>
              <w:rPr>
                <w:b/>
                <w:bCs w:val="0"/>
              </w:rPr>
            </w:pPr>
            <w:r w:rsidRPr="00A655A1">
              <w:rPr>
                <w:b/>
                <w:bCs w:val="0"/>
              </w:rPr>
              <w:t xml:space="preserve">RR </w:t>
            </w:r>
          </w:p>
          <w:p w:rsidR="00A15C4B" w:rsidRPr="00A655A1" w:rsidRDefault="00A15C4B">
            <w:pPr>
              <w:pStyle w:val="TableText0"/>
              <w:jc w:val="center"/>
              <w:rPr>
                <w:b/>
                <w:bCs w:val="0"/>
              </w:rPr>
            </w:pPr>
            <w:r w:rsidRPr="00A655A1">
              <w:rPr>
                <w:b/>
                <w:bCs w:val="0"/>
              </w:rPr>
              <w:t>(95% CI)</w:t>
            </w:r>
            <w:r w:rsidRPr="00A655A1">
              <w:rPr>
                <w:b/>
                <w:bCs w:val="0"/>
                <w:vertAlign w:val="superscript"/>
              </w:rPr>
              <w:t>a</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Patients with </w:t>
            </w:r>
            <w:r w:rsidR="001D7775" w:rsidRPr="00A655A1">
              <w:t>≥1 TEAE</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194 (99.5)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198 (97.1)</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0.02 (0.00, 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1.03 (1.00, 1.05)</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Thrombocytopenia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117 (60.0)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55 (27.0)</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0.33 (0.24, 0.42)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2.23 (1.73, 2.87)</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Peripheral neuropathy</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63 (32.3)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96 (47.1)</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-0.15 (-0.24, -0.05)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0.69 (0.53, 0.88)</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Fatigue</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82 (42.1)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37 (18.1)</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0.24 (0.15, 0.33)</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2.32 (1.66, 3.24)</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Nausea</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98 (50.3)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20 (9.8)</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0.41 (0.32, 0.49)</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5.13 (3.30, 7.95)</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Anaemia</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71 (36.4)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47 (23.0)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0.13 (0.05, 0.22)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1.58 (1.16, 2.16)</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Decreased appetite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69 (35.4)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11 (5.4)</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0.30 (0.23, 0.37)</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6.56 (3.58, 12.02)</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Weight decreased</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51 (26.2)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25 (12.3)</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0.14 (0.06, 0.22)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2.13 (1.38, 3.30)</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Asthenia</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48 (24.6)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27 (13.2)</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0.11 (0.04, 0.19)</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1.86 (1.21, 2.86)</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Cataract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42 (21.5)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13 (6.4)</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0.15 (0.09, 0.22)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3.38 (1.87, 6.10)</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Vomiting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40 (20.5)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9 (4.4)</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0.16 (0.10, 0.22)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4.65 (2.32, 9.33)</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Neutropenia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29 (14.9)</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12 (5.9)</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0.09 (0.03, 0.15)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2.53 (1.33, 4.81)</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Nasopharyngitis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23 (11.8)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10 (4.9)</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0.07 (0.02, 0.12)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2.41 (1.18, 4.92)</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Dizziness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24 (12.3)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8 (3.9)</w:t>
            </w:r>
          </w:p>
        </w:tc>
        <w:tc>
          <w:tcPr>
            <w:tcW w:w="1842"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0.08 (0.03, 0.14)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3.14 (1.44, 6.82)</w:t>
            </w:r>
          </w:p>
        </w:tc>
      </w:tr>
    </w:tbl>
    <w:p w:rsidR="00A15C4B" w:rsidRPr="00A655A1" w:rsidRDefault="00A15C4B" w:rsidP="00A15C4B">
      <w:pPr>
        <w:pStyle w:val="TableFigureFooter"/>
      </w:pPr>
      <w:r w:rsidRPr="00A655A1">
        <w:t>Source: Table 2-26, p90 of the submission.</w:t>
      </w:r>
    </w:p>
    <w:p w:rsidR="00A15C4B" w:rsidRPr="00A655A1" w:rsidRDefault="00A15C4B" w:rsidP="00A15C4B">
      <w:pPr>
        <w:pStyle w:val="TableFigureFooter"/>
      </w:pPr>
      <w:r w:rsidRPr="00A655A1">
        <w:t>Bd = bortezomib + dexamethasone; CI = confidence interval; MedDRA = Medical Dictionary for Regulatory Activities; RD = risk difference; RR = relative risk; SBd = selinexor + bortezomib + dexamethasone; TEAE = treatment emergent adverse events.</w:t>
      </w:r>
    </w:p>
    <w:p w:rsidR="00A15C4B" w:rsidRPr="00A655A1" w:rsidRDefault="00B27569" w:rsidP="00A15C4B">
      <w:pPr>
        <w:pStyle w:val="TableFigureFooter"/>
      </w:pPr>
      <w:r w:rsidRPr="00A655A1">
        <w:t xml:space="preserve">Note: </w:t>
      </w:r>
      <w:r w:rsidR="00A15C4B" w:rsidRPr="00A655A1">
        <w:t xml:space="preserve">For patients who crossed over, </w:t>
      </w:r>
      <w:r w:rsidRPr="00A655A1">
        <w:t>adverse event</w:t>
      </w:r>
      <w:r w:rsidR="00A15C4B" w:rsidRPr="00A655A1">
        <w:t>s that occurred after the crossover were not included.</w:t>
      </w:r>
      <w:r w:rsidRPr="00A655A1">
        <w:t xml:space="preserve"> </w:t>
      </w:r>
      <w:r w:rsidR="00A15C4B" w:rsidRPr="00A655A1">
        <w:t>This table uses MedDRA version 22.0. Preferred Terms are recoded to aggregate medically similar preferred terms.</w:t>
      </w:r>
    </w:p>
    <w:p w:rsidR="00A15C4B" w:rsidRPr="00A655A1" w:rsidRDefault="00A15C4B" w:rsidP="00A15C4B">
      <w:pPr>
        <w:pStyle w:val="TableFigureFooter"/>
      </w:pPr>
      <w:r w:rsidRPr="00A655A1">
        <w:t xml:space="preserve">a. </w:t>
      </w:r>
      <w:r w:rsidRPr="00A655A1">
        <w:rPr>
          <w:iCs/>
        </w:rPr>
        <w:t>RD and RR w</w:t>
      </w:r>
      <w:r w:rsidR="00E60B3A" w:rsidRPr="00A655A1">
        <w:rPr>
          <w:iCs/>
        </w:rPr>
        <w:t>ere</w:t>
      </w:r>
      <w:r w:rsidRPr="00A655A1">
        <w:rPr>
          <w:iCs/>
        </w:rPr>
        <w:t xml:space="preserve"> calculated during the evaluation</w:t>
      </w:r>
      <w:r w:rsidRPr="00A655A1">
        <w:t xml:space="preserve">.  </w:t>
      </w:r>
    </w:p>
    <w:p w:rsidR="008F3A84" w:rsidRPr="00A655A1" w:rsidRDefault="00A15C4B" w:rsidP="00707864">
      <w:pPr>
        <w:pStyle w:val="3-BodyText"/>
        <w:numPr>
          <w:ilvl w:val="1"/>
          <w:numId w:val="7"/>
        </w:numPr>
        <w:snapToGrid w:val="0"/>
      </w:pPr>
      <w:r w:rsidRPr="00A655A1">
        <w:t xml:space="preserve">The occurrence of Grade ≥3 TEAEs is presented in Table 11 and shows </w:t>
      </w:r>
      <w:r w:rsidR="00C12F5A" w:rsidRPr="00A655A1">
        <w:t xml:space="preserve">nominally </w:t>
      </w:r>
      <w:r w:rsidRPr="00A655A1">
        <w:t xml:space="preserve">statistically significantly more thrombocytopenia (39.5% versus 17.2%), fatigue (13.3% versus 1.0%), neutropenia (8.7% versus 3.4%), nausea (7.7% versus 0.0%), cataract (8.7% versus 1.5%), and diarrhoea (6.2% versus 0.5%) for SBd compared with Bd. </w:t>
      </w:r>
    </w:p>
    <w:p w:rsidR="00A15C4B" w:rsidRPr="00A655A1" w:rsidRDefault="00A15C4B" w:rsidP="00336F18">
      <w:pPr>
        <w:keepNext/>
        <w:rPr>
          <w:rFonts w:ascii="Arial Narrow" w:eastAsiaTheme="majorEastAsia" w:hAnsi="Arial Narrow" w:cstheme="majorBidi"/>
          <w:b/>
          <w:bCs/>
          <w:sz w:val="20"/>
        </w:rPr>
      </w:pPr>
      <w:r w:rsidRPr="00A655A1">
        <w:rPr>
          <w:rFonts w:ascii="Arial Narrow" w:eastAsiaTheme="majorEastAsia" w:hAnsi="Arial Narrow" w:cstheme="majorBidi"/>
          <w:b/>
          <w:bCs/>
          <w:sz w:val="20"/>
        </w:rPr>
        <w:t>Table 11: Treatment-emergent Grade 3 or higher adverse events occurring in ≥5% of patients in either treatment arm (safety population)</w:t>
      </w:r>
    </w:p>
    <w:tbl>
      <w:tblPr>
        <w:tblStyle w:val="TableGrid"/>
        <w:tblW w:w="9067" w:type="dxa"/>
        <w:tblLook w:val="04A0" w:firstRow="1" w:lastRow="0" w:firstColumn="1" w:lastColumn="0" w:noHBand="0" w:noVBand="1"/>
        <w:tblCaption w:val="Table 11: Treatment-emergent Grade 3 or higher adverse events occurring in ≥5% of patients in either treatment arm (safety population)"/>
      </w:tblPr>
      <w:tblGrid>
        <w:gridCol w:w="2830"/>
        <w:gridCol w:w="1418"/>
        <w:gridCol w:w="1240"/>
        <w:gridCol w:w="1878"/>
        <w:gridCol w:w="1701"/>
      </w:tblGrid>
      <w:tr w:rsidR="00A15C4B" w:rsidRPr="00A655A1" w:rsidTr="00185816">
        <w:trPr>
          <w:tblHeader/>
        </w:trPr>
        <w:tc>
          <w:tcPr>
            <w:tcW w:w="2830"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952554">
            <w:pPr>
              <w:pStyle w:val="TableText0"/>
              <w:rPr>
                <w:b/>
                <w:bCs w:val="0"/>
              </w:rPr>
            </w:pPr>
            <w:r w:rsidRPr="00A655A1">
              <w:rPr>
                <w:b/>
                <w:bCs w:val="0"/>
              </w:rPr>
              <w:t>MedDRA preferred term</w:t>
            </w:r>
            <w:r w:rsidR="00952554" w:rsidRPr="00A655A1">
              <w:rPr>
                <w:b/>
                <w:bCs w:val="0"/>
              </w:rPr>
              <w:t>, n</w:t>
            </w:r>
            <w:r w:rsidR="001754F9" w:rsidRPr="00A655A1">
              <w:rPr>
                <w:b/>
                <w:bCs w:val="0"/>
              </w:rPr>
              <w:t xml:space="preserve"> </w:t>
            </w:r>
            <w:r w:rsidR="00952554" w:rsidRPr="00A655A1">
              <w:rPr>
                <w:b/>
                <w:bCs w:val="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rPr>
                <w:b/>
                <w:bCs w:val="0"/>
              </w:rPr>
            </w:pPr>
            <w:r w:rsidRPr="00A655A1">
              <w:rPr>
                <w:b/>
                <w:bCs w:val="0"/>
              </w:rPr>
              <w:t>SBd arm</w:t>
            </w:r>
          </w:p>
          <w:p w:rsidR="00A15C4B" w:rsidRPr="00A655A1" w:rsidRDefault="00A15C4B" w:rsidP="00952554">
            <w:pPr>
              <w:pStyle w:val="TableText0"/>
              <w:jc w:val="center"/>
              <w:rPr>
                <w:b/>
                <w:bCs w:val="0"/>
              </w:rPr>
            </w:pPr>
            <w:r w:rsidRPr="00A655A1">
              <w:rPr>
                <w:b/>
                <w:bCs w:val="0"/>
              </w:rPr>
              <w:t xml:space="preserve">(N=195) </w:t>
            </w:r>
          </w:p>
        </w:tc>
        <w:tc>
          <w:tcPr>
            <w:tcW w:w="1240"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rPr>
                <w:b/>
                <w:bCs w:val="0"/>
              </w:rPr>
            </w:pPr>
            <w:r w:rsidRPr="00A655A1">
              <w:rPr>
                <w:b/>
                <w:bCs w:val="0"/>
              </w:rPr>
              <w:t>Bd arm</w:t>
            </w:r>
          </w:p>
          <w:p w:rsidR="00A15C4B" w:rsidRPr="00A655A1" w:rsidRDefault="00A15C4B" w:rsidP="00952554">
            <w:pPr>
              <w:pStyle w:val="TableText0"/>
              <w:jc w:val="center"/>
              <w:rPr>
                <w:b/>
                <w:bCs w:val="0"/>
              </w:rPr>
            </w:pPr>
            <w:r w:rsidRPr="00A655A1">
              <w:rPr>
                <w:b/>
                <w:bCs w:val="0"/>
              </w:rPr>
              <w:t xml:space="preserve">(N=204) </w:t>
            </w:r>
          </w:p>
        </w:tc>
        <w:tc>
          <w:tcPr>
            <w:tcW w:w="1878"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jc w:val="center"/>
              <w:rPr>
                <w:b/>
                <w:bCs w:val="0"/>
              </w:rPr>
            </w:pPr>
            <w:r w:rsidRPr="00A655A1">
              <w:rPr>
                <w:b/>
                <w:bCs w:val="0"/>
              </w:rPr>
              <w:t xml:space="preserve">RD </w:t>
            </w:r>
          </w:p>
          <w:p w:rsidR="00A15C4B" w:rsidRPr="00A655A1" w:rsidRDefault="00A15C4B">
            <w:pPr>
              <w:pStyle w:val="TableText0"/>
              <w:jc w:val="center"/>
              <w:rPr>
                <w:b/>
                <w:bCs w:val="0"/>
              </w:rPr>
            </w:pPr>
            <w:r w:rsidRPr="00A655A1">
              <w:rPr>
                <w:b/>
                <w:bCs w:val="0"/>
              </w:rPr>
              <w:t>(95% CI)</w:t>
            </w:r>
            <w:r w:rsidRPr="00A655A1">
              <w:rPr>
                <w:b/>
                <w:bCs w:val="0"/>
                <w:vertAlign w:val="superscript"/>
              </w:rPr>
              <w:t>a</w:t>
            </w:r>
          </w:p>
        </w:tc>
        <w:tc>
          <w:tcPr>
            <w:tcW w:w="1701"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jc w:val="center"/>
              <w:rPr>
                <w:b/>
                <w:bCs w:val="0"/>
              </w:rPr>
            </w:pPr>
            <w:r w:rsidRPr="00A655A1">
              <w:rPr>
                <w:b/>
                <w:bCs w:val="0"/>
              </w:rPr>
              <w:t xml:space="preserve">RR </w:t>
            </w:r>
          </w:p>
          <w:p w:rsidR="00A15C4B" w:rsidRPr="00A655A1" w:rsidRDefault="00A15C4B">
            <w:pPr>
              <w:pStyle w:val="TableText0"/>
              <w:jc w:val="center"/>
              <w:rPr>
                <w:b/>
                <w:bCs w:val="0"/>
              </w:rPr>
            </w:pPr>
            <w:r w:rsidRPr="00A655A1">
              <w:rPr>
                <w:b/>
                <w:bCs w:val="0"/>
              </w:rPr>
              <w:t>(95% CI)</w:t>
            </w:r>
            <w:r w:rsidRPr="00A655A1">
              <w:rPr>
                <w:b/>
                <w:bCs w:val="0"/>
                <w:vertAlign w:val="superscript"/>
              </w:rPr>
              <w:t>a</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Patients with </w:t>
            </w:r>
            <w:r w:rsidR="00EC0160" w:rsidRPr="00A655A1">
              <w:t xml:space="preserve">≥1 </w:t>
            </w:r>
            <w:r w:rsidRPr="00A655A1">
              <w:t xml:space="preserve">Grade 3+ </w:t>
            </w:r>
            <w:r w:rsidR="00EC0160" w:rsidRPr="00A655A1">
              <w:t>TEAE</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166 (85.1)</w:t>
            </w:r>
          </w:p>
        </w:tc>
        <w:tc>
          <w:tcPr>
            <w:tcW w:w="1240"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125 (61.3)</w:t>
            </w:r>
          </w:p>
        </w:tc>
        <w:tc>
          <w:tcPr>
            <w:tcW w:w="187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0.24 (0.16, 0.32)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1.39 (1.23, 1.57)</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Thrombocytopenia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77 (39.5)</w:t>
            </w:r>
          </w:p>
        </w:tc>
        <w:tc>
          <w:tcPr>
            <w:tcW w:w="1240"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35 (17.2)</w:t>
            </w:r>
          </w:p>
        </w:tc>
        <w:tc>
          <w:tcPr>
            <w:tcW w:w="187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0.22 (0.14, 0.31)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2.30 (1.63, 3.26)</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Fatigue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26 (13.3)</w:t>
            </w:r>
          </w:p>
        </w:tc>
        <w:tc>
          <w:tcPr>
            <w:tcW w:w="1240"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 (1.0)</w:t>
            </w:r>
          </w:p>
        </w:tc>
        <w:tc>
          <w:tcPr>
            <w:tcW w:w="187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0.12 (0.07, 0.17)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13.60 (3.27, 56.53)</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Peripheral neuropathy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9 (4.6)</w:t>
            </w:r>
          </w:p>
        </w:tc>
        <w:tc>
          <w:tcPr>
            <w:tcW w:w="1240"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18 (8.8)</w:t>
            </w:r>
          </w:p>
        </w:tc>
        <w:tc>
          <w:tcPr>
            <w:tcW w:w="187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-0.04 (-0.09, 0.01)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0.52 (0.24, 1.14)</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Neutropenia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17 (8.7)</w:t>
            </w:r>
          </w:p>
        </w:tc>
        <w:tc>
          <w:tcPr>
            <w:tcW w:w="1240"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7 (3.4)</w:t>
            </w:r>
          </w:p>
        </w:tc>
        <w:tc>
          <w:tcPr>
            <w:tcW w:w="187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0.05 (0.01, 0.10)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2.54 (1.08, 5.99)</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Cataract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17 (8.7)</w:t>
            </w:r>
          </w:p>
        </w:tc>
        <w:tc>
          <w:tcPr>
            <w:tcW w:w="1240"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3 (1.5)</w:t>
            </w:r>
          </w:p>
        </w:tc>
        <w:tc>
          <w:tcPr>
            <w:tcW w:w="187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0.07 (0.03, 0.12)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5.93 (1.76, 19.91)</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Nausea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15 (7.7)</w:t>
            </w:r>
          </w:p>
        </w:tc>
        <w:tc>
          <w:tcPr>
            <w:tcW w:w="1240"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w:t>
            </w:r>
          </w:p>
        </w:tc>
        <w:tc>
          <w:tcPr>
            <w:tcW w:w="187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0.08 (0.04, 0.11)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NE</w:t>
            </w:r>
          </w:p>
        </w:tc>
      </w:tr>
      <w:tr w:rsidR="00A15C4B" w:rsidRPr="00A655A1" w:rsidTr="00E60B3A">
        <w:tc>
          <w:tcPr>
            <w:tcW w:w="2830" w:type="dxa"/>
            <w:tcBorders>
              <w:top w:val="single" w:sz="4" w:space="0" w:color="auto"/>
              <w:left w:val="single" w:sz="4" w:space="0" w:color="auto"/>
              <w:bottom w:val="single" w:sz="4" w:space="0" w:color="auto"/>
              <w:right w:val="single" w:sz="4" w:space="0" w:color="auto"/>
            </w:tcBorders>
            <w:hideMark/>
          </w:tcPr>
          <w:p w:rsidR="00A15C4B" w:rsidRPr="00A655A1" w:rsidRDefault="00A15C4B">
            <w:pPr>
              <w:pStyle w:val="TableText0"/>
            </w:pPr>
            <w:r w:rsidRPr="00A655A1">
              <w:t xml:space="preserve">Diarrhoea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12 (6.2)</w:t>
            </w:r>
          </w:p>
        </w:tc>
        <w:tc>
          <w:tcPr>
            <w:tcW w:w="1240"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 (0.5)</w:t>
            </w:r>
          </w:p>
        </w:tc>
        <w:tc>
          <w:tcPr>
            <w:tcW w:w="1878"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0.06 (0.02, 0.09)</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pPr>
              <w:pStyle w:val="TableText0"/>
              <w:jc w:val="center"/>
            </w:pPr>
            <w:r w:rsidRPr="00A655A1">
              <w:t>12.55 (1.65, 95.64)</w:t>
            </w:r>
          </w:p>
        </w:tc>
      </w:tr>
    </w:tbl>
    <w:p w:rsidR="00A15C4B" w:rsidRPr="00A655A1" w:rsidRDefault="00A15C4B" w:rsidP="00A15C4B">
      <w:pPr>
        <w:pStyle w:val="TableFigureFooter"/>
      </w:pPr>
      <w:r w:rsidRPr="00A655A1">
        <w:t>Source: Table 2-27, p91 of the submission.</w:t>
      </w:r>
    </w:p>
    <w:p w:rsidR="00A15C4B" w:rsidRPr="00A655A1" w:rsidRDefault="00A15C4B" w:rsidP="00A15C4B">
      <w:pPr>
        <w:pStyle w:val="TableFigureFooter"/>
      </w:pPr>
      <w:r w:rsidRPr="00A655A1">
        <w:t>Bd = bortezomib + dexamethasone; CI = confidence interval; MedDRA = Medical Dictionary for Regulatory Activities; NE = not estimable; RD = risk difference; RR = relative risk; SBd = selinexor + bortezomib + dexamethasone; TEAE = treatment emergent adverse events.</w:t>
      </w:r>
    </w:p>
    <w:p w:rsidR="00A15C4B" w:rsidRPr="00A655A1" w:rsidRDefault="00A15C4B" w:rsidP="00A15C4B">
      <w:pPr>
        <w:pStyle w:val="TableFigureFooter"/>
      </w:pPr>
      <w:r w:rsidRPr="00A655A1">
        <w:t xml:space="preserve">a. </w:t>
      </w:r>
      <w:r w:rsidRPr="00A655A1">
        <w:rPr>
          <w:iCs/>
        </w:rPr>
        <w:t>RD and RR w</w:t>
      </w:r>
      <w:r w:rsidR="00E60B3A" w:rsidRPr="00A655A1">
        <w:rPr>
          <w:iCs/>
        </w:rPr>
        <w:t>ere</w:t>
      </w:r>
      <w:r w:rsidRPr="00A655A1">
        <w:rPr>
          <w:iCs/>
        </w:rPr>
        <w:t xml:space="preserve"> calculated during the evaluation</w:t>
      </w:r>
      <w:r w:rsidRPr="00A655A1">
        <w:t xml:space="preserve">.  </w:t>
      </w:r>
    </w:p>
    <w:p w:rsidR="00B976C0" w:rsidRPr="00A655A1" w:rsidRDefault="00B976C0" w:rsidP="00707864">
      <w:pPr>
        <w:pStyle w:val="3-BodyText"/>
        <w:numPr>
          <w:ilvl w:val="1"/>
          <w:numId w:val="7"/>
        </w:numPr>
        <w:snapToGrid w:val="0"/>
      </w:pPr>
      <w:r w:rsidRPr="00A655A1">
        <w:t xml:space="preserve">The ESC noted the high number of haematological adverse events associated with SBd and that thrombopoietin receptor agonists were used to mitigate thrombocytopaenia in 35 patients (18%) in the SBd arm, compared to 2 (1%) in the Bd arm. </w:t>
      </w:r>
    </w:p>
    <w:p w:rsidR="00B976C0" w:rsidRPr="00A655A1" w:rsidRDefault="00B64F77" w:rsidP="00B976C0">
      <w:pPr>
        <w:rPr>
          <w:u w:val="single"/>
        </w:rPr>
      </w:pPr>
      <w:r w:rsidRPr="00A655A1">
        <w:rPr>
          <w:u w:val="single"/>
        </w:rPr>
        <w:t>ENDEAVOR (</w:t>
      </w:r>
      <w:r w:rsidR="00B976C0" w:rsidRPr="00A655A1">
        <w:rPr>
          <w:u w:val="single"/>
        </w:rPr>
        <w:t>Cd versus Bd</w:t>
      </w:r>
      <w:r w:rsidRPr="00A655A1">
        <w:rPr>
          <w:u w:val="single"/>
        </w:rPr>
        <w:t>)</w:t>
      </w:r>
    </w:p>
    <w:p w:rsidR="00B976C0" w:rsidRPr="00A655A1" w:rsidRDefault="00B976C0" w:rsidP="00B976C0">
      <w:pPr>
        <w:rPr>
          <w:color w:val="0066FF"/>
          <w:u w:val="single"/>
        </w:rPr>
      </w:pPr>
    </w:p>
    <w:p w:rsidR="00A15C4B" w:rsidRPr="00A655A1" w:rsidRDefault="00A15C4B" w:rsidP="00707864">
      <w:pPr>
        <w:pStyle w:val="3-BodyText"/>
        <w:numPr>
          <w:ilvl w:val="1"/>
          <w:numId w:val="7"/>
        </w:numPr>
        <w:snapToGrid w:val="0"/>
      </w:pPr>
      <w:r w:rsidRPr="00A655A1">
        <w:t xml:space="preserve">Overall, 457 (98.7%) patients in the Cd arm and 451 (98.9%) patients in the Bd arm experienced an </w:t>
      </w:r>
      <w:r w:rsidR="007F7604" w:rsidRPr="00A655A1">
        <w:t>adverse event</w:t>
      </w:r>
      <w:r w:rsidRPr="00A655A1">
        <w:t xml:space="preserve"> (see Table 12). </w:t>
      </w:r>
      <w:r w:rsidR="00952554" w:rsidRPr="00A655A1">
        <w:rPr>
          <w:iCs/>
        </w:rPr>
        <w:t>R</w:t>
      </w:r>
      <w:r w:rsidR="0021600C" w:rsidRPr="00A655A1">
        <w:rPr>
          <w:iCs/>
        </w:rPr>
        <w:t>esults were</w:t>
      </w:r>
      <w:r w:rsidRPr="00A655A1">
        <w:rPr>
          <w:iCs/>
        </w:rPr>
        <w:t xml:space="preserve"> </w:t>
      </w:r>
      <w:r w:rsidR="00C12F5A" w:rsidRPr="00A655A1">
        <w:rPr>
          <w:iCs/>
        </w:rPr>
        <w:t xml:space="preserve">nominally </w:t>
      </w:r>
      <w:r w:rsidRPr="00A655A1">
        <w:rPr>
          <w:iCs/>
        </w:rPr>
        <w:t>statistically significant</w:t>
      </w:r>
      <w:r w:rsidR="00952554" w:rsidRPr="00A655A1">
        <w:rPr>
          <w:iCs/>
        </w:rPr>
        <w:t>ly different</w:t>
      </w:r>
      <w:r w:rsidRPr="00A655A1">
        <w:rPr>
          <w:iCs/>
        </w:rPr>
        <w:t xml:space="preserve"> for Grade 3/4 and any </w:t>
      </w:r>
      <w:r w:rsidR="007F7604" w:rsidRPr="00A655A1">
        <w:rPr>
          <w:iCs/>
        </w:rPr>
        <w:t>SAE</w:t>
      </w:r>
      <w:r w:rsidRPr="00A655A1">
        <w:rPr>
          <w:iCs/>
        </w:rPr>
        <w:t xml:space="preserve"> in favour of Bd. Previously PBAC considered that the overall safety profile of carfilzomib was inferior to bortezomib (para</w:t>
      </w:r>
      <w:r w:rsidR="0041493E" w:rsidRPr="00A655A1">
        <w:rPr>
          <w:iCs/>
        </w:rPr>
        <w:t>graph</w:t>
      </w:r>
      <w:r w:rsidRPr="00A655A1">
        <w:rPr>
          <w:iCs/>
        </w:rPr>
        <w:t xml:space="preserve"> 7.5, carfilzomib PSD, July 2017). </w:t>
      </w:r>
    </w:p>
    <w:p w:rsidR="00A15C4B" w:rsidRPr="00A655A1" w:rsidRDefault="00A15C4B" w:rsidP="00A15C4B">
      <w:pPr>
        <w:keepNext/>
        <w:rPr>
          <w:rFonts w:ascii="Arial Narrow" w:eastAsiaTheme="majorEastAsia" w:hAnsi="Arial Narrow" w:cstheme="majorBidi"/>
          <w:b/>
          <w:bCs/>
          <w:sz w:val="20"/>
        </w:rPr>
      </w:pPr>
      <w:r w:rsidRPr="00A655A1">
        <w:rPr>
          <w:rFonts w:ascii="Arial Narrow" w:eastAsiaTheme="majorEastAsia" w:hAnsi="Arial Narrow" w:cstheme="majorBidi"/>
          <w:b/>
          <w:bCs/>
          <w:sz w:val="20"/>
        </w:rPr>
        <w:t>Table 12: Summary of adverse events (safety population)</w:t>
      </w:r>
    </w:p>
    <w:tbl>
      <w:tblPr>
        <w:tblStyle w:val="TableGrid"/>
        <w:tblW w:w="9210" w:type="dxa"/>
        <w:tblInd w:w="-5" w:type="dxa"/>
        <w:tblBorders>
          <w:left w:val="single" w:sz="2" w:space="0" w:color="auto"/>
        </w:tblBorders>
        <w:tblLayout w:type="fixed"/>
        <w:tblLook w:val="04A0" w:firstRow="1" w:lastRow="0" w:firstColumn="1" w:lastColumn="0" w:noHBand="0" w:noVBand="1"/>
        <w:tblCaption w:val="Table 12: Summary of adverse events (safety population)"/>
      </w:tblPr>
      <w:tblGrid>
        <w:gridCol w:w="3546"/>
        <w:gridCol w:w="1276"/>
        <w:gridCol w:w="1276"/>
        <w:gridCol w:w="1559"/>
        <w:gridCol w:w="1553"/>
      </w:tblGrid>
      <w:tr w:rsidR="00A15C4B" w:rsidRPr="00A655A1" w:rsidTr="00185816">
        <w:trPr>
          <w:trHeight w:val="90"/>
          <w:tblHeader/>
        </w:trPr>
        <w:tc>
          <w:tcPr>
            <w:tcW w:w="3546" w:type="dxa"/>
            <w:tcMar>
              <w:left w:w="28" w:type="dxa"/>
              <w:right w:w="28" w:type="dxa"/>
            </w:tcMar>
            <w:vAlign w:val="center"/>
          </w:tcPr>
          <w:p w:rsidR="00A15C4B" w:rsidRPr="00A655A1" w:rsidRDefault="00A15C4B">
            <w:pPr>
              <w:pStyle w:val="TableText0"/>
              <w:rPr>
                <w:b/>
                <w:bCs w:val="0"/>
              </w:rPr>
            </w:pPr>
          </w:p>
        </w:tc>
        <w:tc>
          <w:tcPr>
            <w:tcW w:w="1276" w:type="dxa"/>
            <w:tcMar>
              <w:left w:w="28" w:type="dxa"/>
              <w:right w:w="28" w:type="dxa"/>
            </w:tcMar>
            <w:vAlign w:val="center"/>
            <w:hideMark/>
          </w:tcPr>
          <w:p w:rsidR="00A15C4B" w:rsidRPr="00A655A1" w:rsidRDefault="00A15C4B">
            <w:pPr>
              <w:pStyle w:val="TableText0"/>
              <w:jc w:val="center"/>
              <w:rPr>
                <w:b/>
                <w:bCs w:val="0"/>
              </w:rPr>
            </w:pPr>
            <w:r w:rsidRPr="00A655A1">
              <w:rPr>
                <w:b/>
                <w:bCs w:val="0"/>
              </w:rPr>
              <w:t>Cd</w:t>
            </w:r>
          </w:p>
          <w:p w:rsidR="00A15C4B" w:rsidRPr="00A655A1" w:rsidRDefault="00A15C4B" w:rsidP="00952554">
            <w:pPr>
              <w:pStyle w:val="TableText0"/>
              <w:jc w:val="center"/>
              <w:rPr>
                <w:b/>
                <w:bCs w:val="0"/>
              </w:rPr>
            </w:pPr>
            <w:r w:rsidRPr="00A655A1">
              <w:rPr>
                <w:b/>
                <w:bCs w:val="0"/>
              </w:rPr>
              <w:t xml:space="preserve">(N=463) </w:t>
            </w:r>
          </w:p>
        </w:tc>
        <w:tc>
          <w:tcPr>
            <w:tcW w:w="1276" w:type="dxa"/>
            <w:tcMar>
              <w:left w:w="28" w:type="dxa"/>
              <w:right w:w="28" w:type="dxa"/>
            </w:tcMar>
            <w:vAlign w:val="center"/>
            <w:hideMark/>
          </w:tcPr>
          <w:p w:rsidR="00A15C4B" w:rsidRPr="00A655A1" w:rsidRDefault="00A15C4B">
            <w:pPr>
              <w:pStyle w:val="TableText0"/>
              <w:jc w:val="center"/>
              <w:rPr>
                <w:b/>
                <w:bCs w:val="0"/>
              </w:rPr>
            </w:pPr>
            <w:r w:rsidRPr="00A655A1">
              <w:rPr>
                <w:b/>
                <w:bCs w:val="0"/>
              </w:rPr>
              <w:t>Bd</w:t>
            </w:r>
          </w:p>
          <w:p w:rsidR="00A15C4B" w:rsidRPr="00A655A1" w:rsidRDefault="00A15C4B" w:rsidP="00952554">
            <w:pPr>
              <w:pStyle w:val="TableText0"/>
              <w:jc w:val="center"/>
              <w:rPr>
                <w:b/>
                <w:bCs w:val="0"/>
              </w:rPr>
            </w:pPr>
            <w:r w:rsidRPr="00A655A1">
              <w:rPr>
                <w:b/>
                <w:bCs w:val="0"/>
              </w:rPr>
              <w:t xml:space="preserve">(N=456) </w:t>
            </w:r>
          </w:p>
        </w:tc>
        <w:tc>
          <w:tcPr>
            <w:tcW w:w="1559" w:type="dxa"/>
            <w:tcMar>
              <w:left w:w="28" w:type="dxa"/>
              <w:right w:w="28" w:type="dxa"/>
            </w:tcMar>
            <w:hideMark/>
          </w:tcPr>
          <w:p w:rsidR="00A15C4B" w:rsidRPr="00A655A1" w:rsidRDefault="00A15C4B">
            <w:pPr>
              <w:pStyle w:val="TableText0"/>
              <w:jc w:val="center"/>
              <w:rPr>
                <w:b/>
                <w:bCs w:val="0"/>
              </w:rPr>
            </w:pPr>
            <w:r w:rsidRPr="00A655A1">
              <w:rPr>
                <w:b/>
                <w:bCs w:val="0"/>
              </w:rPr>
              <w:t xml:space="preserve">RD </w:t>
            </w:r>
          </w:p>
          <w:p w:rsidR="00A15C4B" w:rsidRPr="00A655A1" w:rsidRDefault="00A15C4B">
            <w:pPr>
              <w:pStyle w:val="TableText0"/>
              <w:jc w:val="center"/>
              <w:rPr>
                <w:b/>
                <w:bCs w:val="0"/>
              </w:rPr>
            </w:pPr>
            <w:r w:rsidRPr="00A655A1">
              <w:rPr>
                <w:b/>
                <w:bCs w:val="0"/>
              </w:rPr>
              <w:t>(95% CI)</w:t>
            </w:r>
            <w:r w:rsidRPr="00A655A1">
              <w:rPr>
                <w:b/>
                <w:bCs w:val="0"/>
                <w:vertAlign w:val="superscript"/>
              </w:rPr>
              <w:t>a</w:t>
            </w:r>
          </w:p>
        </w:tc>
        <w:tc>
          <w:tcPr>
            <w:tcW w:w="1553" w:type="dxa"/>
            <w:tcMar>
              <w:left w:w="28" w:type="dxa"/>
              <w:right w:w="28" w:type="dxa"/>
            </w:tcMar>
            <w:hideMark/>
          </w:tcPr>
          <w:p w:rsidR="00A15C4B" w:rsidRPr="00A655A1" w:rsidRDefault="00A15C4B">
            <w:pPr>
              <w:pStyle w:val="TableText0"/>
              <w:jc w:val="center"/>
              <w:rPr>
                <w:b/>
                <w:bCs w:val="0"/>
              </w:rPr>
            </w:pPr>
            <w:r w:rsidRPr="00A655A1">
              <w:rPr>
                <w:b/>
                <w:bCs w:val="0"/>
              </w:rPr>
              <w:t xml:space="preserve">RR </w:t>
            </w:r>
          </w:p>
          <w:p w:rsidR="00A15C4B" w:rsidRPr="00A655A1" w:rsidRDefault="00A15C4B">
            <w:pPr>
              <w:pStyle w:val="TableText0"/>
              <w:jc w:val="center"/>
              <w:rPr>
                <w:b/>
                <w:bCs w:val="0"/>
              </w:rPr>
            </w:pPr>
            <w:r w:rsidRPr="00A655A1">
              <w:rPr>
                <w:b/>
                <w:bCs w:val="0"/>
              </w:rPr>
              <w:t>(95% CI)</w:t>
            </w:r>
            <w:r w:rsidRPr="00A655A1">
              <w:rPr>
                <w:b/>
                <w:bCs w:val="0"/>
                <w:vertAlign w:val="superscript"/>
              </w:rPr>
              <w:t>a</w:t>
            </w:r>
          </w:p>
        </w:tc>
      </w:tr>
      <w:tr w:rsidR="00A15C4B" w:rsidRPr="00A655A1" w:rsidTr="002375D9">
        <w:trPr>
          <w:trHeight w:val="190"/>
        </w:trPr>
        <w:tc>
          <w:tcPr>
            <w:tcW w:w="3546" w:type="dxa"/>
            <w:tcMar>
              <w:left w:w="28" w:type="dxa"/>
              <w:right w:w="28" w:type="dxa"/>
            </w:tcMar>
            <w:vAlign w:val="center"/>
            <w:hideMark/>
          </w:tcPr>
          <w:p w:rsidR="00A15C4B" w:rsidRPr="00A655A1" w:rsidRDefault="00A15C4B">
            <w:pPr>
              <w:pStyle w:val="TableText0"/>
            </w:pPr>
            <w:r w:rsidRPr="00A655A1">
              <w:t>Any AE</w:t>
            </w:r>
          </w:p>
        </w:tc>
        <w:tc>
          <w:tcPr>
            <w:tcW w:w="1276" w:type="dxa"/>
            <w:tcMar>
              <w:left w:w="28" w:type="dxa"/>
              <w:right w:w="28" w:type="dxa"/>
            </w:tcMar>
            <w:vAlign w:val="center"/>
            <w:hideMark/>
          </w:tcPr>
          <w:p w:rsidR="00A15C4B" w:rsidRPr="00A655A1" w:rsidRDefault="00A15C4B">
            <w:pPr>
              <w:pStyle w:val="TableText0"/>
              <w:jc w:val="center"/>
            </w:pPr>
            <w:r w:rsidRPr="00A655A1">
              <w:t>457 (98.7)</w:t>
            </w:r>
          </w:p>
        </w:tc>
        <w:tc>
          <w:tcPr>
            <w:tcW w:w="1276" w:type="dxa"/>
            <w:tcMar>
              <w:left w:w="28" w:type="dxa"/>
              <w:right w:w="28" w:type="dxa"/>
            </w:tcMar>
            <w:vAlign w:val="center"/>
            <w:hideMark/>
          </w:tcPr>
          <w:p w:rsidR="00A15C4B" w:rsidRPr="00A655A1" w:rsidRDefault="00A15C4B">
            <w:pPr>
              <w:pStyle w:val="TableText0"/>
              <w:jc w:val="center"/>
            </w:pPr>
            <w:r w:rsidRPr="00A655A1">
              <w:t>451 (98.9)</w:t>
            </w:r>
          </w:p>
        </w:tc>
        <w:tc>
          <w:tcPr>
            <w:tcW w:w="1559" w:type="dxa"/>
            <w:tcMar>
              <w:left w:w="28" w:type="dxa"/>
              <w:right w:w="28" w:type="dxa"/>
            </w:tcMar>
            <w:vAlign w:val="center"/>
            <w:hideMark/>
          </w:tcPr>
          <w:p w:rsidR="00A15C4B" w:rsidRPr="00A655A1" w:rsidRDefault="00A15C4B">
            <w:pPr>
              <w:pStyle w:val="TableText0"/>
              <w:jc w:val="center"/>
            </w:pPr>
            <w:r w:rsidRPr="00A655A1">
              <w:t>0.00 (-0.02, 0.01)</w:t>
            </w:r>
          </w:p>
        </w:tc>
        <w:tc>
          <w:tcPr>
            <w:tcW w:w="1553" w:type="dxa"/>
            <w:tcMar>
              <w:left w:w="28" w:type="dxa"/>
              <w:right w:w="28" w:type="dxa"/>
            </w:tcMar>
            <w:vAlign w:val="center"/>
            <w:hideMark/>
          </w:tcPr>
          <w:p w:rsidR="00A15C4B" w:rsidRPr="00A655A1" w:rsidRDefault="00A15C4B">
            <w:pPr>
              <w:pStyle w:val="TableText0"/>
              <w:jc w:val="center"/>
            </w:pPr>
            <w:r w:rsidRPr="00A655A1">
              <w:t>1.00 (0.98, 1.01)</w:t>
            </w:r>
          </w:p>
        </w:tc>
      </w:tr>
      <w:tr w:rsidR="00A15C4B" w:rsidRPr="00A655A1" w:rsidTr="002375D9">
        <w:trPr>
          <w:trHeight w:val="190"/>
        </w:trPr>
        <w:tc>
          <w:tcPr>
            <w:tcW w:w="3546" w:type="dxa"/>
            <w:tcMar>
              <w:left w:w="28" w:type="dxa"/>
              <w:right w:w="28" w:type="dxa"/>
            </w:tcMar>
            <w:vAlign w:val="center"/>
            <w:hideMark/>
          </w:tcPr>
          <w:p w:rsidR="00A15C4B" w:rsidRPr="00A655A1" w:rsidRDefault="00A15C4B">
            <w:pPr>
              <w:pStyle w:val="TableText0"/>
            </w:pPr>
            <w:r w:rsidRPr="00A655A1">
              <w:t>Grade 3 and 4 AEs</w:t>
            </w:r>
          </w:p>
        </w:tc>
        <w:tc>
          <w:tcPr>
            <w:tcW w:w="1276" w:type="dxa"/>
            <w:tcMar>
              <w:left w:w="28" w:type="dxa"/>
              <w:right w:w="28" w:type="dxa"/>
            </w:tcMar>
            <w:vAlign w:val="center"/>
            <w:hideMark/>
          </w:tcPr>
          <w:p w:rsidR="00A15C4B" w:rsidRPr="00A655A1" w:rsidRDefault="00A15C4B">
            <w:pPr>
              <w:pStyle w:val="TableText0"/>
              <w:jc w:val="center"/>
            </w:pPr>
            <w:r w:rsidRPr="00A655A1">
              <w:t>379 (81.9)</w:t>
            </w:r>
          </w:p>
        </w:tc>
        <w:tc>
          <w:tcPr>
            <w:tcW w:w="1276" w:type="dxa"/>
            <w:tcMar>
              <w:left w:w="28" w:type="dxa"/>
              <w:right w:w="28" w:type="dxa"/>
            </w:tcMar>
            <w:vAlign w:val="center"/>
            <w:hideMark/>
          </w:tcPr>
          <w:p w:rsidR="00A15C4B" w:rsidRPr="00A655A1" w:rsidRDefault="00A15C4B">
            <w:pPr>
              <w:pStyle w:val="TableText0"/>
              <w:jc w:val="center"/>
            </w:pPr>
            <w:r w:rsidRPr="00A655A1">
              <w:t>324 (71.1)</w:t>
            </w:r>
          </w:p>
        </w:tc>
        <w:tc>
          <w:tcPr>
            <w:tcW w:w="1559" w:type="dxa"/>
            <w:tcMar>
              <w:left w:w="28" w:type="dxa"/>
              <w:right w:w="28" w:type="dxa"/>
            </w:tcMar>
            <w:vAlign w:val="center"/>
            <w:hideMark/>
          </w:tcPr>
          <w:p w:rsidR="00A15C4B" w:rsidRPr="00A655A1" w:rsidRDefault="00A15C4B">
            <w:pPr>
              <w:pStyle w:val="TableText0"/>
              <w:jc w:val="center"/>
            </w:pPr>
            <w:r w:rsidRPr="00A655A1">
              <w:t>0.11 (0.05, 0.16)</w:t>
            </w:r>
          </w:p>
        </w:tc>
        <w:tc>
          <w:tcPr>
            <w:tcW w:w="1553" w:type="dxa"/>
            <w:tcMar>
              <w:left w:w="28" w:type="dxa"/>
              <w:right w:w="28" w:type="dxa"/>
            </w:tcMar>
            <w:vAlign w:val="center"/>
            <w:hideMark/>
          </w:tcPr>
          <w:p w:rsidR="00A15C4B" w:rsidRPr="00A655A1" w:rsidRDefault="00A15C4B">
            <w:pPr>
              <w:pStyle w:val="TableText0"/>
              <w:jc w:val="center"/>
            </w:pPr>
            <w:r w:rsidRPr="00A655A1">
              <w:t>1.15 (1.07, 1.24)</w:t>
            </w:r>
          </w:p>
        </w:tc>
      </w:tr>
      <w:tr w:rsidR="00A15C4B" w:rsidRPr="00A655A1" w:rsidTr="002375D9">
        <w:trPr>
          <w:trHeight w:val="197"/>
        </w:trPr>
        <w:tc>
          <w:tcPr>
            <w:tcW w:w="3546" w:type="dxa"/>
            <w:tcMar>
              <w:left w:w="28" w:type="dxa"/>
              <w:right w:w="28" w:type="dxa"/>
            </w:tcMar>
            <w:vAlign w:val="center"/>
            <w:hideMark/>
          </w:tcPr>
          <w:p w:rsidR="00A15C4B" w:rsidRPr="00A655A1" w:rsidRDefault="00A15C4B">
            <w:pPr>
              <w:pStyle w:val="TableText0"/>
            </w:pPr>
            <w:r w:rsidRPr="00A655A1">
              <w:t>Any serious AE</w:t>
            </w:r>
          </w:p>
        </w:tc>
        <w:tc>
          <w:tcPr>
            <w:tcW w:w="1276" w:type="dxa"/>
            <w:tcMar>
              <w:left w:w="28" w:type="dxa"/>
              <w:right w:w="28" w:type="dxa"/>
            </w:tcMar>
            <w:vAlign w:val="center"/>
            <w:hideMark/>
          </w:tcPr>
          <w:p w:rsidR="00A15C4B" w:rsidRPr="00A655A1" w:rsidRDefault="00A15C4B">
            <w:pPr>
              <w:pStyle w:val="TableText0"/>
              <w:jc w:val="center"/>
            </w:pPr>
            <w:r w:rsidRPr="00A655A1">
              <w:t>279 (60.3)</w:t>
            </w:r>
          </w:p>
        </w:tc>
        <w:tc>
          <w:tcPr>
            <w:tcW w:w="1276" w:type="dxa"/>
            <w:tcMar>
              <w:left w:w="28" w:type="dxa"/>
              <w:right w:w="28" w:type="dxa"/>
            </w:tcMar>
            <w:vAlign w:val="center"/>
            <w:hideMark/>
          </w:tcPr>
          <w:p w:rsidR="00A15C4B" w:rsidRPr="00A655A1" w:rsidRDefault="00A15C4B">
            <w:pPr>
              <w:pStyle w:val="TableText0"/>
              <w:jc w:val="center"/>
            </w:pPr>
            <w:r w:rsidRPr="00A655A1">
              <w:t>183 (40.1)</w:t>
            </w:r>
          </w:p>
        </w:tc>
        <w:tc>
          <w:tcPr>
            <w:tcW w:w="1559" w:type="dxa"/>
            <w:tcMar>
              <w:left w:w="28" w:type="dxa"/>
              <w:right w:w="28" w:type="dxa"/>
            </w:tcMar>
            <w:vAlign w:val="center"/>
            <w:hideMark/>
          </w:tcPr>
          <w:p w:rsidR="00A15C4B" w:rsidRPr="00A655A1" w:rsidRDefault="00A15C4B">
            <w:pPr>
              <w:pStyle w:val="TableText0"/>
              <w:jc w:val="center"/>
            </w:pPr>
            <w:r w:rsidRPr="00A655A1">
              <w:t>0.20 (0.14, 0.27)</w:t>
            </w:r>
          </w:p>
        </w:tc>
        <w:tc>
          <w:tcPr>
            <w:tcW w:w="1553" w:type="dxa"/>
            <w:tcMar>
              <w:left w:w="28" w:type="dxa"/>
              <w:right w:w="28" w:type="dxa"/>
            </w:tcMar>
            <w:vAlign w:val="center"/>
            <w:hideMark/>
          </w:tcPr>
          <w:p w:rsidR="00A15C4B" w:rsidRPr="00A655A1" w:rsidRDefault="00A15C4B">
            <w:pPr>
              <w:pStyle w:val="TableText0"/>
              <w:jc w:val="center"/>
            </w:pPr>
            <w:r w:rsidRPr="00A655A1">
              <w:t>1.50 (1.31, 1.72)</w:t>
            </w:r>
          </w:p>
        </w:tc>
      </w:tr>
      <w:tr w:rsidR="00A15C4B" w:rsidRPr="00A655A1" w:rsidTr="002375D9">
        <w:trPr>
          <w:trHeight w:val="197"/>
        </w:trPr>
        <w:tc>
          <w:tcPr>
            <w:tcW w:w="3546" w:type="dxa"/>
            <w:tcMar>
              <w:left w:w="28" w:type="dxa"/>
              <w:right w:w="28" w:type="dxa"/>
            </w:tcMar>
            <w:vAlign w:val="center"/>
            <w:hideMark/>
          </w:tcPr>
          <w:p w:rsidR="00A15C4B" w:rsidRPr="00A655A1" w:rsidRDefault="00A15C4B">
            <w:pPr>
              <w:pStyle w:val="TableText0"/>
            </w:pPr>
            <w:r w:rsidRPr="00A655A1">
              <w:t>Any Adverse Event Leading to carfilzomib or bortezomib dose reduction</w:t>
            </w:r>
          </w:p>
        </w:tc>
        <w:tc>
          <w:tcPr>
            <w:tcW w:w="1276" w:type="dxa"/>
            <w:tcMar>
              <w:left w:w="28" w:type="dxa"/>
              <w:right w:w="28" w:type="dxa"/>
            </w:tcMar>
            <w:vAlign w:val="center"/>
            <w:hideMark/>
          </w:tcPr>
          <w:p w:rsidR="00A15C4B" w:rsidRPr="00A655A1" w:rsidRDefault="00A15C4B">
            <w:pPr>
              <w:pStyle w:val="TableText0"/>
              <w:jc w:val="center"/>
            </w:pPr>
            <w:r w:rsidRPr="00A655A1">
              <w:t>138 (29.8)</w:t>
            </w:r>
          </w:p>
        </w:tc>
        <w:tc>
          <w:tcPr>
            <w:tcW w:w="1276" w:type="dxa"/>
            <w:tcMar>
              <w:left w:w="28" w:type="dxa"/>
              <w:right w:w="28" w:type="dxa"/>
            </w:tcMar>
            <w:vAlign w:val="center"/>
            <w:hideMark/>
          </w:tcPr>
          <w:p w:rsidR="00A15C4B" w:rsidRPr="00A655A1" w:rsidRDefault="00A15C4B">
            <w:pPr>
              <w:pStyle w:val="TableText0"/>
              <w:jc w:val="center"/>
            </w:pPr>
            <w:r w:rsidRPr="00A655A1">
              <w:t>226 (49.6)</w:t>
            </w:r>
          </w:p>
        </w:tc>
        <w:tc>
          <w:tcPr>
            <w:tcW w:w="1559" w:type="dxa"/>
            <w:tcMar>
              <w:left w:w="28" w:type="dxa"/>
              <w:right w:w="28" w:type="dxa"/>
            </w:tcMar>
            <w:vAlign w:val="center"/>
            <w:hideMark/>
          </w:tcPr>
          <w:p w:rsidR="00A15C4B" w:rsidRPr="00A655A1" w:rsidRDefault="00A15C4B">
            <w:pPr>
              <w:pStyle w:val="TableText0"/>
              <w:jc w:val="center"/>
            </w:pPr>
            <w:r w:rsidRPr="00A655A1">
              <w:t>-0.20 (-0.26, -0.14)</w:t>
            </w:r>
          </w:p>
        </w:tc>
        <w:tc>
          <w:tcPr>
            <w:tcW w:w="1553" w:type="dxa"/>
            <w:tcMar>
              <w:left w:w="28" w:type="dxa"/>
              <w:right w:w="28" w:type="dxa"/>
            </w:tcMar>
            <w:vAlign w:val="center"/>
            <w:hideMark/>
          </w:tcPr>
          <w:p w:rsidR="00A15C4B" w:rsidRPr="00A655A1" w:rsidRDefault="00A15C4B">
            <w:pPr>
              <w:pStyle w:val="TableText0"/>
              <w:jc w:val="center"/>
            </w:pPr>
            <w:r w:rsidRPr="00A655A1">
              <w:t>0.60 (0.51, 0.71)</w:t>
            </w:r>
          </w:p>
        </w:tc>
      </w:tr>
      <w:tr w:rsidR="00A15C4B" w:rsidRPr="00A655A1" w:rsidTr="00B64F77">
        <w:trPr>
          <w:trHeight w:val="388"/>
        </w:trPr>
        <w:tc>
          <w:tcPr>
            <w:tcW w:w="3546" w:type="dxa"/>
            <w:tcBorders>
              <w:bottom w:val="single" w:sz="4" w:space="0" w:color="auto"/>
            </w:tcBorders>
            <w:tcMar>
              <w:left w:w="28" w:type="dxa"/>
              <w:right w:w="28" w:type="dxa"/>
            </w:tcMar>
            <w:vAlign w:val="center"/>
            <w:hideMark/>
          </w:tcPr>
          <w:p w:rsidR="00A15C4B" w:rsidRPr="00A655A1" w:rsidRDefault="00A15C4B">
            <w:pPr>
              <w:pStyle w:val="TableText0"/>
            </w:pPr>
            <w:r w:rsidRPr="00A655A1">
              <w:t>Any AE leading to discontinuation of study treatment</w:t>
            </w:r>
          </w:p>
        </w:tc>
        <w:tc>
          <w:tcPr>
            <w:tcW w:w="1276" w:type="dxa"/>
            <w:tcBorders>
              <w:bottom w:val="single" w:sz="4" w:space="0" w:color="auto"/>
            </w:tcBorders>
            <w:tcMar>
              <w:left w:w="28" w:type="dxa"/>
              <w:right w:w="28" w:type="dxa"/>
            </w:tcMar>
            <w:vAlign w:val="center"/>
            <w:hideMark/>
          </w:tcPr>
          <w:p w:rsidR="00A15C4B" w:rsidRPr="00A655A1" w:rsidRDefault="00A15C4B">
            <w:pPr>
              <w:pStyle w:val="TableText0"/>
              <w:jc w:val="center"/>
            </w:pPr>
            <w:r w:rsidRPr="00A655A1">
              <w:t>137 (29.6)</w:t>
            </w:r>
          </w:p>
        </w:tc>
        <w:tc>
          <w:tcPr>
            <w:tcW w:w="1276" w:type="dxa"/>
            <w:tcBorders>
              <w:bottom w:val="single" w:sz="4" w:space="0" w:color="auto"/>
            </w:tcBorders>
            <w:tcMar>
              <w:left w:w="28" w:type="dxa"/>
              <w:right w:w="28" w:type="dxa"/>
            </w:tcMar>
            <w:vAlign w:val="center"/>
            <w:hideMark/>
          </w:tcPr>
          <w:p w:rsidR="00A15C4B" w:rsidRPr="00A655A1" w:rsidRDefault="00A15C4B">
            <w:pPr>
              <w:pStyle w:val="TableText0"/>
              <w:jc w:val="center"/>
            </w:pPr>
            <w:r w:rsidRPr="00A655A1">
              <w:t>121 (26.5)</w:t>
            </w:r>
          </w:p>
        </w:tc>
        <w:tc>
          <w:tcPr>
            <w:tcW w:w="1559" w:type="dxa"/>
            <w:tcBorders>
              <w:bottom w:val="single" w:sz="4" w:space="0" w:color="auto"/>
            </w:tcBorders>
            <w:tcMar>
              <w:left w:w="28" w:type="dxa"/>
              <w:right w:w="28" w:type="dxa"/>
            </w:tcMar>
            <w:vAlign w:val="center"/>
            <w:hideMark/>
          </w:tcPr>
          <w:p w:rsidR="00A15C4B" w:rsidRPr="00A655A1" w:rsidRDefault="00A15C4B">
            <w:pPr>
              <w:pStyle w:val="TableText0"/>
              <w:jc w:val="center"/>
            </w:pPr>
            <w:r w:rsidRPr="00A655A1">
              <w:t>0.03 (-0.03, 0.09)</w:t>
            </w:r>
          </w:p>
        </w:tc>
        <w:tc>
          <w:tcPr>
            <w:tcW w:w="1553" w:type="dxa"/>
            <w:tcBorders>
              <w:bottom w:val="single" w:sz="4" w:space="0" w:color="auto"/>
            </w:tcBorders>
            <w:tcMar>
              <w:left w:w="28" w:type="dxa"/>
              <w:right w:w="28" w:type="dxa"/>
            </w:tcMar>
            <w:vAlign w:val="center"/>
            <w:hideMark/>
          </w:tcPr>
          <w:p w:rsidR="00A15C4B" w:rsidRPr="00A655A1" w:rsidRDefault="00A15C4B">
            <w:pPr>
              <w:pStyle w:val="TableText0"/>
              <w:jc w:val="center"/>
            </w:pPr>
            <w:r w:rsidRPr="00A655A1">
              <w:t>1.12 (0.91, 1.37)</w:t>
            </w:r>
          </w:p>
        </w:tc>
      </w:tr>
      <w:tr w:rsidR="00A15C4B" w:rsidRPr="00A655A1" w:rsidTr="002375D9">
        <w:trPr>
          <w:trHeight w:val="153"/>
        </w:trPr>
        <w:tc>
          <w:tcPr>
            <w:tcW w:w="3546" w:type="dxa"/>
            <w:tcMar>
              <w:left w:w="28" w:type="dxa"/>
              <w:right w:w="28" w:type="dxa"/>
            </w:tcMar>
            <w:vAlign w:val="center"/>
            <w:hideMark/>
          </w:tcPr>
          <w:p w:rsidR="00A15C4B" w:rsidRPr="00A655A1" w:rsidRDefault="00A15C4B">
            <w:pPr>
              <w:pStyle w:val="TableText0"/>
            </w:pPr>
            <w:r w:rsidRPr="00A655A1">
              <w:t>Any adverse event leading to death</w:t>
            </w:r>
          </w:p>
        </w:tc>
        <w:tc>
          <w:tcPr>
            <w:tcW w:w="1276" w:type="dxa"/>
            <w:tcMar>
              <w:left w:w="28" w:type="dxa"/>
              <w:right w:w="28" w:type="dxa"/>
            </w:tcMar>
            <w:vAlign w:val="center"/>
            <w:hideMark/>
          </w:tcPr>
          <w:p w:rsidR="00A15C4B" w:rsidRPr="00A655A1" w:rsidRDefault="00A15C4B">
            <w:pPr>
              <w:pStyle w:val="TableText0"/>
              <w:jc w:val="center"/>
            </w:pPr>
            <w:r w:rsidRPr="00A655A1">
              <w:t>32 (6.9)</w:t>
            </w:r>
          </w:p>
        </w:tc>
        <w:tc>
          <w:tcPr>
            <w:tcW w:w="1276" w:type="dxa"/>
            <w:tcMar>
              <w:left w:w="28" w:type="dxa"/>
              <w:right w:w="28" w:type="dxa"/>
            </w:tcMar>
            <w:vAlign w:val="center"/>
            <w:hideMark/>
          </w:tcPr>
          <w:p w:rsidR="00A15C4B" w:rsidRPr="00A655A1" w:rsidRDefault="00A15C4B">
            <w:pPr>
              <w:pStyle w:val="TableText0"/>
              <w:jc w:val="center"/>
            </w:pPr>
            <w:r w:rsidRPr="00A655A1">
              <w:t>22 (4.8)</w:t>
            </w:r>
          </w:p>
        </w:tc>
        <w:tc>
          <w:tcPr>
            <w:tcW w:w="1559" w:type="dxa"/>
            <w:tcMar>
              <w:left w:w="28" w:type="dxa"/>
              <w:right w:w="28" w:type="dxa"/>
            </w:tcMar>
            <w:vAlign w:val="center"/>
            <w:hideMark/>
          </w:tcPr>
          <w:p w:rsidR="00A15C4B" w:rsidRPr="00A655A1" w:rsidRDefault="00A15C4B">
            <w:pPr>
              <w:pStyle w:val="TableText0"/>
              <w:jc w:val="center"/>
            </w:pPr>
            <w:r w:rsidRPr="00A655A1">
              <w:t>0.02 (-0.01, 0.05)</w:t>
            </w:r>
          </w:p>
        </w:tc>
        <w:tc>
          <w:tcPr>
            <w:tcW w:w="1553" w:type="dxa"/>
            <w:tcMar>
              <w:left w:w="28" w:type="dxa"/>
              <w:right w:w="28" w:type="dxa"/>
            </w:tcMar>
            <w:vAlign w:val="center"/>
            <w:hideMark/>
          </w:tcPr>
          <w:p w:rsidR="00A15C4B" w:rsidRPr="00A655A1" w:rsidRDefault="00A15C4B">
            <w:pPr>
              <w:pStyle w:val="TableText0"/>
              <w:jc w:val="center"/>
            </w:pPr>
            <w:r w:rsidRPr="00A655A1">
              <w:t>1.43 (0.85, 2.43)</w:t>
            </w:r>
          </w:p>
        </w:tc>
      </w:tr>
    </w:tbl>
    <w:p w:rsidR="00A15C4B" w:rsidRPr="00A655A1" w:rsidRDefault="00A15C4B" w:rsidP="00A15C4B">
      <w:pPr>
        <w:pStyle w:val="TableFigureFooter"/>
      </w:pPr>
      <w:r w:rsidRPr="00A655A1">
        <w:t>Source: Table 2-31, p98 of the submission.</w:t>
      </w:r>
    </w:p>
    <w:p w:rsidR="00A15C4B" w:rsidRPr="00A655A1" w:rsidRDefault="00A15C4B" w:rsidP="00A15C4B">
      <w:pPr>
        <w:pStyle w:val="TableFigureFooter"/>
      </w:pPr>
      <w:r w:rsidRPr="00A655A1">
        <w:t xml:space="preserve">AE = adverse event; Bd = bortezomib + dexamethasone; Cd= carfilzomib + dexamethasone; CI = confidence interval; NE = not estimable; RD = risk difference; RR = relative risk. </w:t>
      </w:r>
    </w:p>
    <w:p w:rsidR="00A15C4B" w:rsidRPr="00A655A1" w:rsidRDefault="00A15C4B" w:rsidP="00A15C4B">
      <w:pPr>
        <w:pStyle w:val="TableFigureFooter"/>
      </w:pPr>
      <w:r w:rsidRPr="00A655A1">
        <w:t xml:space="preserve">a. </w:t>
      </w:r>
      <w:r w:rsidRPr="00A655A1">
        <w:rPr>
          <w:iCs/>
        </w:rPr>
        <w:t>RD and RR w</w:t>
      </w:r>
      <w:r w:rsidR="00E60B3A" w:rsidRPr="00A655A1">
        <w:rPr>
          <w:iCs/>
        </w:rPr>
        <w:t>ere</w:t>
      </w:r>
      <w:r w:rsidRPr="00A655A1">
        <w:rPr>
          <w:iCs/>
        </w:rPr>
        <w:t xml:space="preserve"> calculated during the evaluation</w:t>
      </w:r>
      <w:r w:rsidRPr="00A655A1">
        <w:t>.</w:t>
      </w:r>
    </w:p>
    <w:p w:rsidR="00A15C4B" w:rsidRPr="00A655A1" w:rsidRDefault="00A15C4B" w:rsidP="00A15C4B">
      <w:pPr>
        <w:pStyle w:val="3-BodyText"/>
        <w:numPr>
          <w:ilvl w:val="0"/>
          <w:numId w:val="0"/>
        </w:numPr>
        <w:rPr>
          <w:u w:val="single"/>
        </w:rPr>
      </w:pPr>
      <w:r w:rsidRPr="00A655A1">
        <w:rPr>
          <w:u w:val="single"/>
        </w:rPr>
        <w:t>ITC – SBd versus Cd</w:t>
      </w:r>
    </w:p>
    <w:p w:rsidR="007A1A8E" w:rsidRPr="00A655A1" w:rsidRDefault="007A1A8E" w:rsidP="00707864">
      <w:pPr>
        <w:pStyle w:val="3-BodyText"/>
        <w:numPr>
          <w:ilvl w:val="1"/>
          <w:numId w:val="7"/>
        </w:numPr>
        <w:snapToGrid w:val="0"/>
        <w:rPr>
          <w:iCs/>
        </w:rPr>
      </w:pPr>
      <w:r w:rsidRPr="00A655A1">
        <w:rPr>
          <w:iCs/>
        </w:rPr>
        <w:t xml:space="preserve">Although the submission presented measures of the relative effect between SBd and Cd with respect to safety outcomes (see Table 13), these did not account for the indirect nature of the evidence and were constructed based on the comparison of data from single arms extracted from the respective trials. Accordingly, the measure of comparative effect </w:t>
      </w:r>
      <w:r w:rsidR="009D4548" w:rsidRPr="00A655A1">
        <w:rPr>
          <w:iCs/>
        </w:rPr>
        <w:t xml:space="preserve">(risk ratio) </w:t>
      </w:r>
      <w:r w:rsidRPr="00A655A1">
        <w:rPr>
          <w:iCs/>
        </w:rPr>
        <w:t xml:space="preserve">as presented by the submission was confounded by underlying transitivity issues and the lack of a common reference and should be interpreted with caution.    </w:t>
      </w:r>
    </w:p>
    <w:p w:rsidR="009A2709" w:rsidRPr="00A655A1" w:rsidRDefault="006936E6" w:rsidP="00707864">
      <w:pPr>
        <w:pStyle w:val="3-BodyText"/>
        <w:numPr>
          <w:ilvl w:val="1"/>
          <w:numId w:val="7"/>
        </w:numPr>
        <w:snapToGrid w:val="0"/>
      </w:pPr>
      <w:r w:rsidRPr="00A655A1">
        <w:t xml:space="preserve">A comparison </w:t>
      </w:r>
      <w:r w:rsidR="001754F9" w:rsidRPr="00A655A1">
        <w:t>of Grade</w:t>
      </w:r>
      <w:r w:rsidR="008277EF" w:rsidRPr="00A655A1">
        <w:t xml:space="preserve"> 3-4 </w:t>
      </w:r>
      <w:r w:rsidR="007F7604" w:rsidRPr="00A655A1">
        <w:t>adverse event</w:t>
      </w:r>
      <w:r w:rsidR="005E7533" w:rsidRPr="00A655A1">
        <w:t>s</w:t>
      </w:r>
      <w:r w:rsidR="00637ABA" w:rsidRPr="00A655A1">
        <w:t xml:space="preserve"> </w:t>
      </w:r>
      <w:r w:rsidR="00952554" w:rsidRPr="00A655A1">
        <w:t>between</w:t>
      </w:r>
      <w:r w:rsidR="00637ABA" w:rsidRPr="00A655A1">
        <w:t xml:space="preserve"> </w:t>
      </w:r>
      <w:r w:rsidR="00A15C4B" w:rsidRPr="00A655A1">
        <w:t xml:space="preserve">SBd </w:t>
      </w:r>
      <w:r w:rsidR="00952554" w:rsidRPr="00A655A1">
        <w:t>and</w:t>
      </w:r>
      <w:r w:rsidR="00A15C4B" w:rsidRPr="00A655A1">
        <w:t xml:space="preserve"> Cd </w:t>
      </w:r>
      <w:r w:rsidR="007A1A8E" w:rsidRPr="00A655A1">
        <w:t>wa</w:t>
      </w:r>
      <w:r w:rsidR="00A15C4B" w:rsidRPr="00A655A1">
        <w:t xml:space="preserve">s presented. The submission stated that SBd and Cd have different </w:t>
      </w:r>
      <w:r w:rsidR="009D4548" w:rsidRPr="00A655A1">
        <w:t>adverse event</w:t>
      </w:r>
      <w:r w:rsidR="00A15C4B" w:rsidRPr="00A655A1">
        <w:t xml:space="preserve"> profiles with </w:t>
      </w:r>
      <w:r w:rsidR="00952554" w:rsidRPr="00A655A1">
        <w:t xml:space="preserve">gastrointestinal </w:t>
      </w:r>
      <w:r w:rsidR="007F7604" w:rsidRPr="00A655A1">
        <w:t>event</w:t>
      </w:r>
      <w:r w:rsidR="007A1A8E" w:rsidRPr="00A655A1">
        <w:t>s</w:t>
      </w:r>
      <w:r w:rsidR="00952554" w:rsidRPr="00A655A1">
        <w:t xml:space="preserve"> related to </w:t>
      </w:r>
      <w:r w:rsidR="00A15C4B" w:rsidRPr="00A655A1">
        <w:t xml:space="preserve">SBd being largely manageable with dose modifications and supportive therapy and </w:t>
      </w:r>
      <w:r w:rsidR="007A1A8E" w:rsidRPr="00A655A1">
        <w:t xml:space="preserve">SBd resulting in </w:t>
      </w:r>
      <w:r w:rsidR="00A15C4B" w:rsidRPr="00A655A1">
        <w:t xml:space="preserve">significantly lower rates of cardiac </w:t>
      </w:r>
      <w:r w:rsidR="007A1A8E" w:rsidRPr="00A655A1">
        <w:t xml:space="preserve">and renal failure compared to </w:t>
      </w:r>
      <w:r w:rsidR="00A15C4B" w:rsidRPr="00A655A1">
        <w:t>Cd.</w:t>
      </w:r>
      <w:r w:rsidR="007A1A8E" w:rsidRPr="00A655A1">
        <w:t xml:space="preserve"> SBd was associated with higher rates of thrombocytopenia and neutropenia compared to Cd.</w:t>
      </w:r>
    </w:p>
    <w:p w:rsidR="005846D4" w:rsidRPr="00A655A1" w:rsidRDefault="005846D4" w:rsidP="00D01998">
      <w:pPr>
        <w:pStyle w:val="TableFigureHeading"/>
        <w:widowControl w:val="0"/>
        <w:rPr>
          <w:rStyle w:val="CommentReference"/>
          <w:b/>
          <w:bCs w:val="0"/>
        </w:rPr>
      </w:pPr>
      <w:r w:rsidRPr="00A655A1">
        <w:rPr>
          <w:rStyle w:val="CommentReference"/>
          <w:b/>
          <w:bCs w:val="0"/>
        </w:rPr>
        <w:t>Table 1</w:t>
      </w:r>
      <w:r w:rsidR="007A1A8E" w:rsidRPr="00A655A1">
        <w:rPr>
          <w:rStyle w:val="CommentReference"/>
          <w:b/>
          <w:bCs w:val="0"/>
        </w:rPr>
        <w:t>3</w:t>
      </w:r>
      <w:r w:rsidRPr="00A655A1">
        <w:rPr>
          <w:rStyle w:val="CommentReference"/>
          <w:b/>
          <w:bCs w:val="0"/>
        </w:rPr>
        <w:t>: Comparison of adverse events for SBd and Cd</w:t>
      </w:r>
    </w:p>
    <w:tbl>
      <w:tblPr>
        <w:tblW w:w="5000" w:type="pct"/>
        <w:tblLook w:val="04A0" w:firstRow="1" w:lastRow="0" w:firstColumn="1" w:lastColumn="0" w:noHBand="0" w:noVBand="1"/>
      </w:tblPr>
      <w:tblGrid>
        <w:gridCol w:w="3681"/>
        <w:gridCol w:w="1560"/>
        <w:gridCol w:w="1417"/>
        <w:gridCol w:w="2359"/>
      </w:tblGrid>
      <w:tr w:rsidR="00952554" w:rsidRPr="00A655A1" w:rsidTr="00952554">
        <w:trPr>
          <w:tblHeader/>
        </w:trPr>
        <w:tc>
          <w:tcPr>
            <w:tcW w:w="2041" w:type="pct"/>
            <w:tcBorders>
              <w:top w:val="single" w:sz="4" w:space="0" w:color="auto"/>
              <w:left w:val="single" w:sz="4" w:space="0" w:color="auto"/>
              <w:bottom w:val="single" w:sz="4" w:space="0" w:color="auto"/>
              <w:right w:val="single" w:sz="4" w:space="0" w:color="auto"/>
            </w:tcBorders>
            <w:vAlign w:val="center"/>
            <w:hideMark/>
          </w:tcPr>
          <w:p w:rsidR="00952554" w:rsidRPr="00A655A1" w:rsidRDefault="00952554" w:rsidP="00D01998">
            <w:pPr>
              <w:pStyle w:val="In-tableHeading"/>
              <w:widowControl w:val="0"/>
              <w:rPr>
                <w:lang w:val="en-AU"/>
              </w:rPr>
            </w:pPr>
            <w:r w:rsidRPr="00A655A1">
              <w:rPr>
                <w:lang w:val="en-AU"/>
              </w:rPr>
              <w:t>Grade 3-4 AEs, n (%)</w:t>
            </w:r>
          </w:p>
        </w:tc>
        <w:tc>
          <w:tcPr>
            <w:tcW w:w="865" w:type="pct"/>
            <w:tcBorders>
              <w:top w:val="single" w:sz="4" w:space="0" w:color="auto"/>
              <w:left w:val="nil"/>
              <w:bottom w:val="single" w:sz="4" w:space="0" w:color="auto"/>
              <w:right w:val="single" w:sz="4" w:space="0" w:color="auto"/>
            </w:tcBorders>
            <w:vAlign w:val="center"/>
            <w:hideMark/>
          </w:tcPr>
          <w:p w:rsidR="00952554" w:rsidRPr="00A655A1" w:rsidRDefault="00952554" w:rsidP="00D01998">
            <w:pPr>
              <w:pStyle w:val="In-tableHeading"/>
              <w:widowControl w:val="0"/>
              <w:jc w:val="center"/>
              <w:rPr>
                <w:lang w:val="en-AU"/>
              </w:rPr>
            </w:pPr>
            <w:r w:rsidRPr="00A655A1">
              <w:rPr>
                <w:lang w:val="en-AU"/>
              </w:rPr>
              <w:t>SBd</w:t>
            </w:r>
            <w:r w:rsidRPr="00A655A1">
              <w:rPr>
                <w:lang w:val="en-AU"/>
              </w:rPr>
              <w:br/>
              <w:t>(N = 195)</w:t>
            </w:r>
          </w:p>
        </w:tc>
        <w:tc>
          <w:tcPr>
            <w:tcW w:w="786" w:type="pct"/>
            <w:tcBorders>
              <w:top w:val="single" w:sz="4" w:space="0" w:color="auto"/>
              <w:left w:val="nil"/>
              <w:bottom w:val="single" w:sz="4" w:space="0" w:color="auto"/>
              <w:right w:val="single" w:sz="4" w:space="0" w:color="auto"/>
            </w:tcBorders>
            <w:vAlign w:val="center"/>
            <w:hideMark/>
          </w:tcPr>
          <w:p w:rsidR="00952554" w:rsidRPr="00A655A1" w:rsidRDefault="00952554" w:rsidP="00D01998">
            <w:pPr>
              <w:pStyle w:val="In-tableHeading"/>
              <w:widowControl w:val="0"/>
              <w:jc w:val="center"/>
              <w:rPr>
                <w:lang w:val="en-AU"/>
              </w:rPr>
            </w:pPr>
            <w:r w:rsidRPr="00A655A1">
              <w:rPr>
                <w:lang w:val="en-AU"/>
              </w:rPr>
              <w:t>Cd</w:t>
            </w:r>
            <w:r w:rsidRPr="00A655A1">
              <w:rPr>
                <w:lang w:val="en-AU"/>
              </w:rPr>
              <w:br/>
              <w:t>(N = 463)</w:t>
            </w:r>
          </w:p>
        </w:tc>
        <w:tc>
          <w:tcPr>
            <w:tcW w:w="1308" w:type="pct"/>
            <w:tcBorders>
              <w:top w:val="single" w:sz="4" w:space="0" w:color="auto"/>
              <w:left w:val="nil"/>
              <w:bottom w:val="single" w:sz="4" w:space="0" w:color="auto"/>
              <w:right w:val="single" w:sz="4" w:space="0" w:color="auto"/>
            </w:tcBorders>
            <w:vAlign w:val="center"/>
            <w:hideMark/>
          </w:tcPr>
          <w:p w:rsidR="00952554" w:rsidRPr="00A655A1" w:rsidRDefault="00952554" w:rsidP="00D01998">
            <w:pPr>
              <w:pStyle w:val="In-tableHeading"/>
              <w:widowControl w:val="0"/>
              <w:jc w:val="center"/>
              <w:rPr>
                <w:lang w:val="en-AU"/>
              </w:rPr>
            </w:pPr>
            <w:r w:rsidRPr="00A655A1">
              <w:rPr>
                <w:lang w:val="en-AU"/>
              </w:rPr>
              <w:t>RR (95% CI)</w:t>
            </w:r>
          </w:p>
        </w:tc>
      </w:tr>
      <w:tr w:rsidR="00952554" w:rsidRPr="00A655A1" w:rsidTr="00952554">
        <w:tc>
          <w:tcPr>
            <w:tcW w:w="204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2554" w:rsidRPr="00A655A1" w:rsidRDefault="00952554" w:rsidP="00D01998">
            <w:pPr>
              <w:pStyle w:val="In-tableHeading"/>
              <w:widowControl w:val="0"/>
              <w:rPr>
                <w:b w:val="0"/>
                <w:bCs/>
                <w:lang w:val="en-AU"/>
              </w:rPr>
            </w:pPr>
            <w:r w:rsidRPr="00A655A1">
              <w:rPr>
                <w:b w:val="0"/>
                <w:bCs/>
                <w:lang w:val="en-AU"/>
              </w:rPr>
              <w:t>Hypertension</w:t>
            </w:r>
          </w:p>
        </w:tc>
        <w:tc>
          <w:tcPr>
            <w:tcW w:w="865" w:type="pct"/>
            <w:tcBorders>
              <w:top w:val="nil"/>
              <w:left w:val="nil"/>
              <w:bottom w:val="single" w:sz="4" w:space="0" w:color="auto"/>
              <w:right w:val="single" w:sz="4" w:space="0" w:color="auto"/>
            </w:tcBorders>
            <w:shd w:val="clear" w:color="auto" w:fill="FFFFFF" w:themeFill="background1"/>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8 (4.1)</w:t>
            </w:r>
          </w:p>
        </w:tc>
        <w:tc>
          <w:tcPr>
            <w:tcW w:w="786" w:type="pct"/>
            <w:tcBorders>
              <w:top w:val="nil"/>
              <w:left w:val="nil"/>
              <w:bottom w:val="single" w:sz="4" w:space="0" w:color="auto"/>
              <w:right w:val="single" w:sz="4" w:space="0" w:color="auto"/>
            </w:tcBorders>
            <w:shd w:val="clear" w:color="auto" w:fill="FFFFFF" w:themeFill="background1"/>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69 (14.9)</w:t>
            </w:r>
          </w:p>
        </w:tc>
        <w:tc>
          <w:tcPr>
            <w:tcW w:w="1308" w:type="pct"/>
            <w:tcBorders>
              <w:top w:val="nil"/>
              <w:left w:val="nil"/>
              <w:bottom w:val="single" w:sz="4" w:space="0" w:color="auto"/>
              <w:right w:val="single" w:sz="4" w:space="0" w:color="auto"/>
            </w:tcBorders>
            <w:shd w:val="clear" w:color="auto" w:fill="FFFFFF" w:themeFill="background1"/>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0.28 (0.14, 0.56)</w:t>
            </w:r>
          </w:p>
        </w:tc>
      </w:tr>
      <w:tr w:rsidR="00952554" w:rsidRPr="00A655A1" w:rsidTr="00952554">
        <w:tc>
          <w:tcPr>
            <w:tcW w:w="204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2554" w:rsidRPr="00A655A1" w:rsidRDefault="00952554" w:rsidP="00D01998">
            <w:pPr>
              <w:pStyle w:val="In-tableHeading"/>
              <w:widowControl w:val="0"/>
              <w:rPr>
                <w:b w:val="0"/>
                <w:bCs/>
                <w:lang w:val="en-AU"/>
              </w:rPr>
            </w:pPr>
            <w:r w:rsidRPr="00A655A1">
              <w:rPr>
                <w:b w:val="0"/>
                <w:bCs/>
                <w:lang w:val="en-AU"/>
              </w:rPr>
              <w:t>Dyspnoea</w:t>
            </w:r>
          </w:p>
        </w:tc>
        <w:tc>
          <w:tcPr>
            <w:tcW w:w="865" w:type="pct"/>
            <w:tcBorders>
              <w:top w:val="nil"/>
              <w:left w:val="nil"/>
              <w:bottom w:val="single" w:sz="4" w:space="0" w:color="auto"/>
              <w:right w:val="single" w:sz="4" w:space="0" w:color="auto"/>
            </w:tcBorders>
            <w:shd w:val="clear" w:color="auto" w:fill="FFFFFF" w:themeFill="background1"/>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1 (0.5)</w:t>
            </w:r>
          </w:p>
        </w:tc>
        <w:tc>
          <w:tcPr>
            <w:tcW w:w="786" w:type="pct"/>
            <w:tcBorders>
              <w:top w:val="nil"/>
              <w:left w:val="nil"/>
              <w:bottom w:val="single" w:sz="4" w:space="0" w:color="auto"/>
              <w:right w:val="single" w:sz="4" w:space="0" w:color="auto"/>
            </w:tcBorders>
            <w:shd w:val="clear" w:color="auto" w:fill="FFFFFF" w:themeFill="background1"/>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29 (6.3)</w:t>
            </w:r>
          </w:p>
        </w:tc>
        <w:tc>
          <w:tcPr>
            <w:tcW w:w="1308" w:type="pct"/>
            <w:tcBorders>
              <w:top w:val="nil"/>
              <w:left w:val="nil"/>
              <w:bottom w:val="single" w:sz="4" w:space="0" w:color="auto"/>
              <w:right w:val="single" w:sz="4" w:space="0" w:color="auto"/>
            </w:tcBorders>
            <w:shd w:val="clear" w:color="auto" w:fill="FFFFFF" w:themeFill="background1"/>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0.08 (0.01, 0.60)</w:t>
            </w:r>
          </w:p>
        </w:tc>
      </w:tr>
      <w:tr w:rsidR="00952554" w:rsidRPr="00A655A1" w:rsidTr="00952554">
        <w:tc>
          <w:tcPr>
            <w:tcW w:w="204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2554" w:rsidRPr="00A655A1" w:rsidRDefault="00952554" w:rsidP="00D01998">
            <w:pPr>
              <w:pStyle w:val="In-tableHeading"/>
              <w:widowControl w:val="0"/>
              <w:rPr>
                <w:b w:val="0"/>
                <w:bCs/>
                <w:lang w:val="en-AU"/>
              </w:rPr>
            </w:pPr>
            <w:r w:rsidRPr="00A655A1">
              <w:rPr>
                <w:b w:val="0"/>
                <w:bCs/>
                <w:lang w:val="en-AU"/>
              </w:rPr>
              <w:t>Cardiac failure (SMQN)</w:t>
            </w:r>
          </w:p>
        </w:tc>
        <w:tc>
          <w:tcPr>
            <w:tcW w:w="865" w:type="pct"/>
            <w:tcBorders>
              <w:top w:val="nil"/>
              <w:left w:val="nil"/>
              <w:bottom w:val="single" w:sz="4" w:space="0" w:color="auto"/>
              <w:right w:val="single" w:sz="4" w:space="0" w:color="auto"/>
            </w:tcBorders>
            <w:shd w:val="clear" w:color="auto" w:fill="FFFFFF" w:themeFill="background1"/>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1 (0.5)</w:t>
            </w:r>
          </w:p>
        </w:tc>
        <w:tc>
          <w:tcPr>
            <w:tcW w:w="786" w:type="pct"/>
            <w:tcBorders>
              <w:top w:val="nil"/>
              <w:left w:val="nil"/>
              <w:bottom w:val="single" w:sz="4" w:space="0" w:color="auto"/>
              <w:right w:val="single" w:sz="4" w:space="0" w:color="auto"/>
            </w:tcBorders>
            <w:shd w:val="clear" w:color="auto" w:fill="FFFFFF" w:themeFill="background1"/>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28 (6.0)</w:t>
            </w:r>
          </w:p>
        </w:tc>
        <w:tc>
          <w:tcPr>
            <w:tcW w:w="1308" w:type="pct"/>
            <w:tcBorders>
              <w:top w:val="nil"/>
              <w:left w:val="nil"/>
              <w:bottom w:val="single" w:sz="4" w:space="0" w:color="auto"/>
              <w:right w:val="single" w:sz="4" w:space="0" w:color="auto"/>
            </w:tcBorders>
            <w:shd w:val="clear" w:color="auto" w:fill="FFFFFF" w:themeFill="background1"/>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0.09 (0.01, 0.62)</w:t>
            </w:r>
          </w:p>
        </w:tc>
      </w:tr>
      <w:tr w:rsidR="00952554" w:rsidRPr="00A655A1" w:rsidTr="00952554">
        <w:tc>
          <w:tcPr>
            <w:tcW w:w="2041" w:type="pct"/>
            <w:tcBorders>
              <w:top w:val="nil"/>
              <w:left w:val="single" w:sz="4" w:space="0" w:color="auto"/>
              <w:bottom w:val="single" w:sz="4" w:space="0" w:color="auto"/>
              <w:right w:val="single" w:sz="4" w:space="0" w:color="auto"/>
            </w:tcBorders>
            <w:noWrap/>
            <w:vAlign w:val="center"/>
            <w:hideMark/>
          </w:tcPr>
          <w:p w:rsidR="00952554" w:rsidRPr="00A655A1" w:rsidRDefault="00952554" w:rsidP="00D01998">
            <w:pPr>
              <w:pStyle w:val="In-tableHeading"/>
              <w:widowControl w:val="0"/>
              <w:rPr>
                <w:b w:val="0"/>
                <w:bCs/>
                <w:lang w:val="en-AU"/>
              </w:rPr>
            </w:pPr>
            <w:r w:rsidRPr="00A655A1">
              <w:rPr>
                <w:b w:val="0"/>
                <w:bCs/>
                <w:lang w:val="en-AU"/>
              </w:rPr>
              <w:t>Acute renal failure (SMQN)</w:t>
            </w:r>
          </w:p>
        </w:tc>
        <w:tc>
          <w:tcPr>
            <w:tcW w:w="865" w:type="pct"/>
            <w:tcBorders>
              <w:top w:val="nil"/>
              <w:left w:val="nil"/>
              <w:bottom w:val="single" w:sz="4" w:space="0" w:color="auto"/>
              <w:right w:val="single" w:sz="4" w:space="0" w:color="auto"/>
            </w:tcBorders>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3 (1.5)</w:t>
            </w:r>
          </w:p>
        </w:tc>
        <w:tc>
          <w:tcPr>
            <w:tcW w:w="786" w:type="pct"/>
            <w:tcBorders>
              <w:top w:val="nil"/>
              <w:left w:val="nil"/>
              <w:bottom w:val="single" w:sz="4" w:space="0" w:color="auto"/>
              <w:right w:val="single" w:sz="4" w:space="0" w:color="auto"/>
            </w:tcBorders>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27 (5.8)</w:t>
            </w:r>
          </w:p>
        </w:tc>
        <w:tc>
          <w:tcPr>
            <w:tcW w:w="1308" w:type="pct"/>
            <w:tcBorders>
              <w:top w:val="nil"/>
              <w:left w:val="nil"/>
              <w:bottom w:val="single" w:sz="4" w:space="0" w:color="auto"/>
              <w:right w:val="single" w:sz="4" w:space="0" w:color="auto"/>
            </w:tcBorders>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0.26 (0.08, 0.86)</w:t>
            </w:r>
          </w:p>
        </w:tc>
      </w:tr>
      <w:tr w:rsidR="00952554" w:rsidRPr="00A655A1" w:rsidTr="00952554">
        <w:tc>
          <w:tcPr>
            <w:tcW w:w="2041" w:type="pct"/>
            <w:tcBorders>
              <w:top w:val="nil"/>
              <w:left w:val="single" w:sz="4" w:space="0" w:color="auto"/>
              <w:bottom w:val="single" w:sz="4" w:space="0" w:color="auto"/>
              <w:right w:val="single" w:sz="4" w:space="0" w:color="auto"/>
            </w:tcBorders>
            <w:noWrap/>
            <w:vAlign w:val="center"/>
            <w:hideMark/>
          </w:tcPr>
          <w:p w:rsidR="00952554" w:rsidRPr="00A655A1" w:rsidRDefault="00952554" w:rsidP="00D01998">
            <w:pPr>
              <w:pStyle w:val="In-tableHeading"/>
              <w:widowControl w:val="0"/>
              <w:rPr>
                <w:b w:val="0"/>
                <w:bCs/>
                <w:lang w:val="en-AU"/>
              </w:rPr>
            </w:pPr>
            <w:r w:rsidRPr="00A655A1">
              <w:rPr>
                <w:b w:val="0"/>
                <w:bCs/>
                <w:lang w:val="en-AU"/>
              </w:rPr>
              <w:t>Hematopoietic thrombocytopenia (SMQN)</w:t>
            </w:r>
          </w:p>
        </w:tc>
        <w:tc>
          <w:tcPr>
            <w:tcW w:w="865" w:type="pct"/>
            <w:tcBorders>
              <w:top w:val="nil"/>
              <w:left w:val="nil"/>
              <w:bottom w:val="single" w:sz="4" w:space="0" w:color="auto"/>
              <w:right w:val="single" w:sz="4" w:space="0" w:color="auto"/>
            </w:tcBorders>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77 (39.5)</w:t>
            </w:r>
          </w:p>
        </w:tc>
        <w:tc>
          <w:tcPr>
            <w:tcW w:w="786" w:type="pct"/>
            <w:tcBorders>
              <w:top w:val="nil"/>
              <w:left w:val="nil"/>
              <w:bottom w:val="single" w:sz="4" w:space="0" w:color="auto"/>
              <w:right w:val="single" w:sz="4" w:space="0" w:color="auto"/>
            </w:tcBorders>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58 (12.5)</w:t>
            </w:r>
          </w:p>
        </w:tc>
        <w:tc>
          <w:tcPr>
            <w:tcW w:w="1308" w:type="pct"/>
            <w:tcBorders>
              <w:top w:val="nil"/>
              <w:left w:val="nil"/>
              <w:bottom w:val="single" w:sz="4" w:space="0" w:color="auto"/>
              <w:right w:val="single" w:sz="4" w:space="0" w:color="auto"/>
            </w:tcBorders>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3.15 (2.34, 4.24)</w:t>
            </w:r>
          </w:p>
        </w:tc>
      </w:tr>
      <w:tr w:rsidR="00952554" w:rsidRPr="00A655A1" w:rsidTr="00952554">
        <w:tc>
          <w:tcPr>
            <w:tcW w:w="2041" w:type="pct"/>
            <w:tcBorders>
              <w:top w:val="nil"/>
              <w:left w:val="single" w:sz="4" w:space="0" w:color="auto"/>
              <w:bottom w:val="single" w:sz="4" w:space="0" w:color="auto"/>
              <w:right w:val="single" w:sz="4" w:space="0" w:color="auto"/>
            </w:tcBorders>
            <w:noWrap/>
            <w:vAlign w:val="center"/>
            <w:hideMark/>
          </w:tcPr>
          <w:p w:rsidR="00952554" w:rsidRPr="00A655A1" w:rsidRDefault="00952554" w:rsidP="00D01998">
            <w:pPr>
              <w:pStyle w:val="In-tableHeading"/>
              <w:widowControl w:val="0"/>
              <w:rPr>
                <w:b w:val="0"/>
                <w:bCs/>
                <w:lang w:val="en-AU"/>
              </w:rPr>
            </w:pPr>
            <w:r w:rsidRPr="00A655A1">
              <w:rPr>
                <w:b w:val="0"/>
                <w:bCs/>
                <w:lang w:val="en-AU"/>
              </w:rPr>
              <w:t>Neutropenia (PT)</w:t>
            </w:r>
          </w:p>
        </w:tc>
        <w:tc>
          <w:tcPr>
            <w:tcW w:w="865" w:type="pct"/>
            <w:tcBorders>
              <w:top w:val="nil"/>
              <w:left w:val="nil"/>
              <w:bottom w:val="single" w:sz="4" w:space="0" w:color="auto"/>
              <w:right w:val="single" w:sz="4" w:space="0" w:color="auto"/>
            </w:tcBorders>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17 (8.7)</w:t>
            </w:r>
          </w:p>
        </w:tc>
        <w:tc>
          <w:tcPr>
            <w:tcW w:w="786" w:type="pct"/>
            <w:tcBorders>
              <w:top w:val="nil"/>
              <w:left w:val="nil"/>
              <w:bottom w:val="single" w:sz="4" w:space="0" w:color="auto"/>
              <w:right w:val="single" w:sz="4" w:space="0" w:color="auto"/>
            </w:tcBorders>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12 (2.6)</w:t>
            </w:r>
          </w:p>
        </w:tc>
        <w:tc>
          <w:tcPr>
            <w:tcW w:w="1308" w:type="pct"/>
            <w:tcBorders>
              <w:top w:val="nil"/>
              <w:left w:val="nil"/>
              <w:bottom w:val="single" w:sz="4" w:space="0" w:color="auto"/>
              <w:right w:val="single" w:sz="4" w:space="0" w:color="auto"/>
            </w:tcBorders>
            <w:noWrap/>
            <w:vAlign w:val="center"/>
            <w:hideMark/>
          </w:tcPr>
          <w:p w:rsidR="00952554" w:rsidRPr="00A655A1" w:rsidRDefault="00952554" w:rsidP="00D01998">
            <w:pPr>
              <w:pStyle w:val="In-tableHeading"/>
              <w:widowControl w:val="0"/>
              <w:jc w:val="center"/>
              <w:rPr>
                <w:b w:val="0"/>
                <w:bCs/>
                <w:lang w:val="en-AU"/>
              </w:rPr>
            </w:pPr>
            <w:r w:rsidRPr="00A655A1">
              <w:rPr>
                <w:b w:val="0"/>
                <w:bCs/>
                <w:lang w:val="en-AU"/>
              </w:rPr>
              <w:t>3.36 (1.64, 6.91)</w:t>
            </w:r>
          </w:p>
        </w:tc>
      </w:tr>
    </w:tbl>
    <w:p w:rsidR="005846D4" w:rsidRPr="00A655A1" w:rsidRDefault="005846D4" w:rsidP="005846D4">
      <w:pPr>
        <w:pStyle w:val="TableFigureFooter"/>
      </w:pPr>
      <w:r w:rsidRPr="00A655A1">
        <w:t>Source: Table 2-40, pp106-107 of the submission.</w:t>
      </w:r>
    </w:p>
    <w:p w:rsidR="005F2E7F" w:rsidRPr="00A655A1" w:rsidRDefault="005846D4" w:rsidP="005F2E7F">
      <w:pPr>
        <w:pStyle w:val="TableFigureFooter"/>
      </w:pPr>
      <w:r w:rsidRPr="00A655A1">
        <w:t>AE = adverse events; Bd = bortezomib + dexamethasone; CI = confidence interval; Cd = carfilzomib + dexamethasone; PT = preferred term; RR = risk ratio; SMQN = Standardised Medical Dictionary for Regulatory Activities Query; SBd = selinexor + bortezomib + dexamethasone.</w:t>
      </w:r>
    </w:p>
    <w:p w:rsidR="0069394C" w:rsidRPr="00A655A1" w:rsidRDefault="0069394C" w:rsidP="008E4B02">
      <w:pPr>
        <w:pStyle w:val="TableFigureFooter"/>
        <w:rPr>
          <w:b/>
          <w:bCs/>
        </w:rPr>
      </w:pPr>
    </w:p>
    <w:p w:rsidR="00A15C4B" w:rsidRPr="00A655A1" w:rsidRDefault="00A15C4B" w:rsidP="00A15C4B">
      <w:pPr>
        <w:pStyle w:val="4-SubsectionHeading"/>
      </w:pPr>
      <w:bookmarkStart w:id="26" w:name="_Toc22897643"/>
      <w:bookmarkStart w:id="27" w:name="_Toc22898855"/>
      <w:bookmarkStart w:id="28" w:name="_Toc72314262"/>
      <w:r w:rsidRPr="00A655A1">
        <w:t>Benefits/harms</w:t>
      </w:r>
      <w:bookmarkEnd w:id="26"/>
      <w:bookmarkEnd w:id="27"/>
      <w:bookmarkEnd w:id="28"/>
    </w:p>
    <w:p w:rsidR="00A15C4B" w:rsidRPr="00A655A1" w:rsidRDefault="00A15C4B" w:rsidP="00707864">
      <w:pPr>
        <w:pStyle w:val="3-BodyText"/>
        <w:numPr>
          <w:ilvl w:val="1"/>
          <w:numId w:val="7"/>
        </w:numPr>
        <w:snapToGrid w:val="0"/>
      </w:pPr>
      <w:r w:rsidRPr="00A655A1">
        <w:t>A summary of comparative benefits and harms for SBd versus Bd is presented in Table 1</w:t>
      </w:r>
      <w:r w:rsidR="007A1A8E" w:rsidRPr="00A655A1">
        <w:t>4</w:t>
      </w:r>
      <w:r w:rsidRPr="00A655A1">
        <w:t xml:space="preserve">. </w:t>
      </w:r>
    </w:p>
    <w:p w:rsidR="00C2787E" w:rsidRDefault="00C2787E">
      <w:pPr>
        <w:jc w:val="left"/>
        <w:rPr>
          <w:rStyle w:val="CommentReference"/>
          <w:rFonts w:eastAsiaTheme="majorEastAsia" w:cstheme="majorBidi"/>
        </w:rPr>
      </w:pPr>
      <w:r>
        <w:rPr>
          <w:rStyle w:val="CommentReference"/>
          <w:b w:val="0"/>
          <w:bCs/>
        </w:rPr>
        <w:br w:type="page"/>
      </w:r>
    </w:p>
    <w:p w:rsidR="00A15C4B" w:rsidRPr="00A655A1" w:rsidRDefault="00A15C4B" w:rsidP="00A15C4B">
      <w:pPr>
        <w:pStyle w:val="TableFigureHeading"/>
        <w:rPr>
          <w:rStyle w:val="CommentReference"/>
          <w:b/>
          <w:bCs w:val="0"/>
        </w:rPr>
      </w:pPr>
      <w:r w:rsidRPr="00A655A1">
        <w:rPr>
          <w:rStyle w:val="CommentReference"/>
          <w:b/>
          <w:bCs w:val="0"/>
        </w:rPr>
        <w:t>Table 1</w:t>
      </w:r>
      <w:r w:rsidR="007A1A8E" w:rsidRPr="00A655A1">
        <w:rPr>
          <w:rStyle w:val="CommentReference"/>
          <w:b/>
          <w:bCs w:val="0"/>
        </w:rPr>
        <w:t>4</w:t>
      </w:r>
      <w:r w:rsidRPr="00A655A1">
        <w:rPr>
          <w:rStyle w:val="CommentReference"/>
          <w:b/>
          <w:bCs w:val="0"/>
        </w:rPr>
        <w:t>: Summary of comparative benefits and harms for SBd versus Bd (ITT population)</w:t>
      </w:r>
    </w:p>
    <w:tbl>
      <w:tblPr>
        <w:tblW w:w="5000" w:type="pct"/>
        <w:tblCellMar>
          <w:left w:w="28" w:type="dxa"/>
          <w:right w:w="28" w:type="dxa"/>
        </w:tblCellMar>
        <w:tblLook w:val="04A0" w:firstRow="1" w:lastRow="0" w:firstColumn="1" w:lastColumn="0" w:noHBand="0" w:noVBand="1"/>
      </w:tblPr>
      <w:tblGrid>
        <w:gridCol w:w="9017"/>
      </w:tblGrid>
      <w:tr w:rsidR="00A15C4B" w:rsidRPr="00A655A1" w:rsidTr="00A15C4B">
        <w:trPr>
          <w:cantSplit/>
        </w:trPr>
        <w:tc>
          <w:tcPr>
            <w:tcW w:w="5000" w:type="pct"/>
            <w:tcBorders>
              <w:top w:val="single" w:sz="4" w:space="0" w:color="auto"/>
              <w:left w:val="single" w:sz="4" w:space="0" w:color="auto"/>
              <w:bottom w:val="double" w:sz="4" w:space="0" w:color="auto"/>
              <w:right w:val="single" w:sz="4" w:space="0" w:color="auto"/>
            </w:tcBorders>
            <w:vAlign w:val="center"/>
            <w:hideMark/>
          </w:tcPr>
          <w:p w:rsidR="00A15C4B" w:rsidRPr="00A655A1" w:rsidRDefault="00A15C4B" w:rsidP="008F3A84">
            <w:pPr>
              <w:pStyle w:val="In-tableHeading"/>
              <w:keepNext w:val="0"/>
              <w:widowControl w:val="0"/>
              <w:rPr>
                <w:lang w:val="en-AU"/>
              </w:rPr>
            </w:pPr>
            <w:r w:rsidRPr="00A655A1">
              <w:rPr>
                <w:lang w:val="en-AU"/>
              </w:rPr>
              <w:t>Benefits</w:t>
            </w:r>
          </w:p>
        </w:tc>
      </w:tr>
    </w:tbl>
    <w:tbl>
      <w:tblPr>
        <w:tblStyle w:val="TableGrid"/>
        <w:tblW w:w="5000" w:type="pct"/>
        <w:tblCellMar>
          <w:left w:w="28" w:type="dxa"/>
          <w:right w:w="28" w:type="dxa"/>
        </w:tblCellMar>
        <w:tblLook w:val="04A0" w:firstRow="1" w:lastRow="0" w:firstColumn="1" w:lastColumn="0" w:noHBand="0" w:noVBand="1"/>
        <w:tblCaption w:val="Table 14: Summary of comparative benefits and harms for SBd versus Bd (ITT population)"/>
      </w:tblPr>
      <w:tblGrid>
        <w:gridCol w:w="2464"/>
        <w:gridCol w:w="1446"/>
        <w:gridCol w:w="1515"/>
        <w:gridCol w:w="2007"/>
        <w:gridCol w:w="1585"/>
      </w:tblGrid>
      <w:tr w:rsidR="00A15C4B" w:rsidRPr="00A655A1" w:rsidTr="00185816">
        <w:trPr>
          <w:trHeight w:val="20"/>
          <w:tblHeader/>
        </w:trPr>
        <w:tc>
          <w:tcPr>
            <w:tcW w:w="5000" w:type="pct"/>
            <w:gridSpan w:val="5"/>
            <w:tcBorders>
              <w:top w:val="single" w:sz="4" w:space="0" w:color="auto"/>
              <w:left w:val="single" w:sz="4" w:space="0" w:color="auto"/>
              <w:bottom w:val="single" w:sz="4" w:space="0" w:color="auto"/>
              <w:right w:val="single" w:sz="4" w:space="0" w:color="auto"/>
            </w:tcBorders>
            <w:hideMark/>
          </w:tcPr>
          <w:p w:rsidR="00A15C4B" w:rsidRPr="00A655A1" w:rsidRDefault="00A15C4B" w:rsidP="008F3A84">
            <w:pPr>
              <w:pStyle w:val="In-tableHeading"/>
              <w:keepNext w:val="0"/>
              <w:widowControl w:val="0"/>
              <w:rPr>
                <w:lang w:val="en-AU"/>
              </w:rPr>
            </w:pPr>
            <w:r w:rsidRPr="00A655A1">
              <w:rPr>
                <w:lang w:val="en-AU"/>
              </w:rPr>
              <w:t>Progression free survival</w:t>
            </w:r>
            <w:r w:rsidRPr="00A655A1">
              <w:rPr>
                <w:vertAlign w:val="superscript"/>
                <w:lang w:val="en-AU"/>
              </w:rPr>
              <w:t>a</w:t>
            </w:r>
            <w:r w:rsidRPr="00A655A1">
              <w:rPr>
                <w:lang w:val="en-AU"/>
              </w:rPr>
              <w:t xml:space="preserve">  </w:t>
            </w:r>
          </w:p>
        </w:tc>
      </w:tr>
      <w:tr w:rsidR="00A15C4B" w:rsidRPr="00A655A1" w:rsidTr="00A15C4B">
        <w:trPr>
          <w:trHeight w:val="20"/>
        </w:trPr>
        <w:tc>
          <w:tcPr>
            <w:tcW w:w="1366" w:type="pct"/>
            <w:tcBorders>
              <w:top w:val="single" w:sz="4" w:space="0" w:color="auto"/>
              <w:left w:val="single" w:sz="4" w:space="0" w:color="auto"/>
              <w:bottom w:val="single" w:sz="4" w:space="0" w:color="auto"/>
              <w:right w:val="single" w:sz="4" w:space="0" w:color="auto"/>
            </w:tcBorders>
            <w:hideMark/>
          </w:tcPr>
          <w:p w:rsidR="00A15C4B" w:rsidRPr="00A655A1" w:rsidRDefault="00A15C4B" w:rsidP="008F3A84">
            <w:pPr>
              <w:pStyle w:val="In-tableHeading"/>
              <w:keepNext w:val="0"/>
              <w:widowControl w:val="0"/>
              <w:rPr>
                <w:lang w:val="en-AU"/>
              </w:rPr>
            </w:pPr>
            <w:r w:rsidRPr="00A655A1">
              <w:rPr>
                <w:lang w:val="en-AU"/>
              </w:rPr>
              <w:t>Event</w:t>
            </w:r>
          </w:p>
        </w:tc>
        <w:tc>
          <w:tcPr>
            <w:tcW w:w="802" w:type="pct"/>
            <w:tcBorders>
              <w:top w:val="single" w:sz="4" w:space="0" w:color="auto"/>
              <w:left w:val="single" w:sz="4" w:space="0" w:color="auto"/>
              <w:bottom w:val="single" w:sz="4" w:space="0" w:color="auto"/>
              <w:right w:val="single" w:sz="4" w:space="0" w:color="auto"/>
            </w:tcBorders>
            <w:hideMark/>
          </w:tcPr>
          <w:p w:rsidR="00A15C4B" w:rsidRPr="00A655A1" w:rsidRDefault="007A1A8E" w:rsidP="007A1A8E">
            <w:pPr>
              <w:pStyle w:val="In-tableHeading"/>
              <w:keepNext w:val="0"/>
              <w:widowControl w:val="0"/>
              <w:jc w:val="center"/>
              <w:rPr>
                <w:lang w:val="en-AU"/>
              </w:rPr>
            </w:pPr>
            <w:r w:rsidRPr="00A655A1">
              <w:rPr>
                <w:lang w:val="en-AU"/>
              </w:rPr>
              <w:t>SBd</w:t>
            </w:r>
          </w:p>
        </w:tc>
        <w:tc>
          <w:tcPr>
            <w:tcW w:w="840" w:type="pct"/>
            <w:tcBorders>
              <w:top w:val="single" w:sz="4" w:space="0" w:color="auto"/>
              <w:left w:val="single" w:sz="4" w:space="0" w:color="auto"/>
              <w:bottom w:val="single" w:sz="4" w:space="0" w:color="auto"/>
              <w:right w:val="single" w:sz="4" w:space="0" w:color="auto"/>
            </w:tcBorders>
            <w:hideMark/>
          </w:tcPr>
          <w:p w:rsidR="00A15C4B" w:rsidRPr="00A655A1" w:rsidRDefault="007A1A8E" w:rsidP="007A1A8E">
            <w:pPr>
              <w:pStyle w:val="In-tableHeading"/>
              <w:keepNext w:val="0"/>
              <w:widowControl w:val="0"/>
              <w:jc w:val="center"/>
              <w:rPr>
                <w:lang w:val="en-AU"/>
              </w:rPr>
            </w:pPr>
            <w:r w:rsidRPr="00A655A1">
              <w:rPr>
                <w:lang w:val="en-AU"/>
              </w:rPr>
              <w:t>Bd</w:t>
            </w:r>
          </w:p>
        </w:tc>
        <w:tc>
          <w:tcPr>
            <w:tcW w:w="1113" w:type="pct"/>
            <w:tcBorders>
              <w:top w:val="single" w:sz="4" w:space="0" w:color="auto"/>
              <w:left w:val="single" w:sz="4" w:space="0" w:color="auto"/>
              <w:bottom w:val="single" w:sz="4" w:space="0" w:color="auto"/>
              <w:right w:val="single" w:sz="4" w:space="0" w:color="auto"/>
            </w:tcBorders>
            <w:hideMark/>
          </w:tcPr>
          <w:p w:rsidR="00A15C4B" w:rsidRPr="00A655A1" w:rsidRDefault="00A15C4B" w:rsidP="008F3A84">
            <w:pPr>
              <w:pStyle w:val="In-tableHeading"/>
              <w:keepNext w:val="0"/>
              <w:widowControl w:val="0"/>
              <w:jc w:val="center"/>
              <w:rPr>
                <w:rFonts w:asciiTheme="minorHAnsi" w:hAnsiTheme="minorHAnsi"/>
                <w:lang w:val="en-AU"/>
              </w:rPr>
            </w:pPr>
            <w:r w:rsidRPr="00A655A1">
              <w:rPr>
                <w:lang w:val="en-AU"/>
              </w:rPr>
              <w:t>Absolute Difference</w:t>
            </w:r>
          </w:p>
        </w:tc>
        <w:tc>
          <w:tcPr>
            <w:tcW w:w="879" w:type="pct"/>
            <w:tcBorders>
              <w:top w:val="single" w:sz="4" w:space="0" w:color="auto"/>
              <w:left w:val="single" w:sz="4" w:space="0" w:color="auto"/>
              <w:bottom w:val="single" w:sz="4" w:space="0" w:color="auto"/>
              <w:right w:val="single" w:sz="4" w:space="0" w:color="auto"/>
            </w:tcBorders>
            <w:hideMark/>
          </w:tcPr>
          <w:p w:rsidR="00A15C4B" w:rsidRPr="00A655A1" w:rsidRDefault="00A15C4B" w:rsidP="008F3A84">
            <w:pPr>
              <w:pStyle w:val="In-tableHeading"/>
              <w:keepNext w:val="0"/>
              <w:widowControl w:val="0"/>
              <w:jc w:val="center"/>
              <w:rPr>
                <w:lang w:val="en-AU"/>
              </w:rPr>
            </w:pPr>
            <w:r w:rsidRPr="00A655A1">
              <w:rPr>
                <w:lang w:val="en-AU"/>
              </w:rPr>
              <w:t>HR (95% CI)</w:t>
            </w:r>
          </w:p>
        </w:tc>
      </w:tr>
      <w:tr w:rsidR="002E14AB" w:rsidRPr="00A655A1" w:rsidTr="00356299">
        <w:trPr>
          <w:trHeight w:val="20"/>
        </w:trPr>
        <w:tc>
          <w:tcPr>
            <w:tcW w:w="1366" w:type="pct"/>
            <w:tcBorders>
              <w:top w:val="single" w:sz="4" w:space="0" w:color="auto"/>
              <w:left w:val="single" w:sz="4" w:space="0" w:color="auto"/>
              <w:bottom w:val="single" w:sz="4" w:space="0" w:color="auto"/>
              <w:right w:val="single" w:sz="4" w:space="0" w:color="auto"/>
            </w:tcBorders>
            <w:hideMark/>
          </w:tcPr>
          <w:p w:rsidR="002E14AB" w:rsidRPr="00A655A1" w:rsidRDefault="002E14AB" w:rsidP="008F3A84">
            <w:pPr>
              <w:pStyle w:val="TableText0"/>
              <w:keepNext w:val="0"/>
              <w:widowControl w:val="0"/>
            </w:pPr>
            <w:r w:rsidRPr="00A655A1">
              <w:t>Progressed, n (%)</w:t>
            </w:r>
          </w:p>
        </w:tc>
        <w:tc>
          <w:tcPr>
            <w:tcW w:w="802" w:type="pct"/>
            <w:tcBorders>
              <w:top w:val="single" w:sz="4" w:space="0" w:color="auto"/>
              <w:left w:val="single" w:sz="4" w:space="0" w:color="auto"/>
              <w:bottom w:val="single" w:sz="4" w:space="0" w:color="auto"/>
              <w:right w:val="single" w:sz="4" w:space="0" w:color="auto"/>
            </w:tcBorders>
            <w:hideMark/>
          </w:tcPr>
          <w:p w:rsidR="002E14AB" w:rsidRPr="00A655A1" w:rsidRDefault="002E14AB" w:rsidP="008F3A84">
            <w:pPr>
              <w:pStyle w:val="TableText0"/>
              <w:keepNext w:val="0"/>
              <w:widowControl w:val="0"/>
              <w:jc w:val="center"/>
            </w:pPr>
            <w:r w:rsidRPr="00A655A1">
              <w:rPr>
                <w:rFonts w:cs="Times New Roman"/>
                <w:szCs w:val="20"/>
              </w:rPr>
              <w:t>80/195 (41.0%)</w:t>
            </w:r>
          </w:p>
        </w:tc>
        <w:tc>
          <w:tcPr>
            <w:tcW w:w="840" w:type="pct"/>
            <w:tcBorders>
              <w:top w:val="single" w:sz="4" w:space="0" w:color="auto"/>
              <w:left w:val="single" w:sz="4" w:space="0" w:color="auto"/>
              <w:bottom w:val="single" w:sz="4" w:space="0" w:color="auto"/>
              <w:right w:val="single" w:sz="4" w:space="0" w:color="auto"/>
            </w:tcBorders>
            <w:hideMark/>
          </w:tcPr>
          <w:p w:rsidR="002E14AB" w:rsidRPr="00A655A1" w:rsidRDefault="002E14AB" w:rsidP="008F3A84">
            <w:pPr>
              <w:pStyle w:val="TableText0"/>
              <w:keepNext w:val="0"/>
              <w:widowControl w:val="0"/>
              <w:jc w:val="center"/>
            </w:pPr>
            <w:r w:rsidRPr="00A655A1">
              <w:rPr>
                <w:rFonts w:cs="Times New Roman"/>
                <w:szCs w:val="20"/>
              </w:rPr>
              <w:t>124/207 (59.9%)</w:t>
            </w:r>
          </w:p>
        </w:tc>
        <w:tc>
          <w:tcPr>
            <w:tcW w:w="1113" w:type="pct"/>
            <w:tcBorders>
              <w:top w:val="single" w:sz="4" w:space="0" w:color="auto"/>
              <w:left w:val="single" w:sz="4" w:space="0" w:color="auto"/>
              <w:bottom w:val="single" w:sz="4" w:space="0" w:color="auto"/>
              <w:right w:val="single" w:sz="4" w:space="0" w:color="auto"/>
            </w:tcBorders>
            <w:hideMark/>
          </w:tcPr>
          <w:p w:rsidR="002E14AB" w:rsidRPr="00A655A1" w:rsidRDefault="00D01998" w:rsidP="008F3A84">
            <w:pPr>
              <w:pStyle w:val="TableText0"/>
              <w:keepNext w:val="0"/>
              <w:widowControl w:val="0"/>
              <w:jc w:val="center"/>
            </w:pPr>
            <w:r w:rsidRPr="00A655A1">
              <w:t>-</w:t>
            </w:r>
          </w:p>
        </w:tc>
        <w:tc>
          <w:tcPr>
            <w:tcW w:w="879" w:type="pct"/>
            <w:vMerge w:val="restart"/>
            <w:tcBorders>
              <w:top w:val="single" w:sz="4" w:space="0" w:color="auto"/>
              <w:left w:val="single" w:sz="4" w:space="0" w:color="auto"/>
              <w:right w:val="single" w:sz="4" w:space="0" w:color="auto"/>
            </w:tcBorders>
            <w:hideMark/>
          </w:tcPr>
          <w:p w:rsidR="002E14AB" w:rsidRPr="00A655A1" w:rsidRDefault="002E14AB" w:rsidP="008F3A84">
            <w:pPr>
              <w:pStyle w:val="TableText0"/>
              <w:keepNext w:val="0"/>
              <w:widowControl w:val="0"/>
              <w:jc w:val="center"/>
              <w:rPr>
                <w:b/>
                <w:bCs w:val="0"/>
                <w:szCs w:val="20"/>
              </w:rPr>
            </w:pPr>
            <w:r w:rsidRPr="00A655A1">
              <w:rPr>
                <w:b/>
                <w:bCs w:val="0"/>
                <w:szCs w:val="20"/>
              </w:rPr>
              <w:t>0.70 (0.53, 0.93)</w:t>
            </w:r>
          </w:p>
          <w:p w:rsidR="002E14AB" w:rsidRPr="00A655A1" w:rsidRDefault="007A1A8E" w:rsidP="008F3A84">
            <w:pPr>
              <w:pStyle w:val="TableText0"/>
              <w:keepNext w:val="0"/>
              <w:widowControl w:val="0"/>
              <w:jc w:val="center"/>
            </w:pPr>
            <w:r w:rsidRPr="00A655A1">
              <w:rPr>
                <w:b/>
                <w:bCs w:val="0"/>
                <w:szCs w:val="20"/>
              </w:rPr>
              <w:t xml:space="preserve">p </w:t>
            </w:r>
            <w:r w:rsidR="002E14AB" w:rsidRPr="00A655A1">
              <w:rPr>
                <w:b/>
                <w:bCs w:val="0"/>
                <w:szCs w:val="20"/>
              </w:rPr>
              <w:t>= 0.0075</w:t>
            </w:r>
          </w:p>
        </w:tc>
      </w:tr>
      <w:tr w:rsidR="002E14AB" w:rsidRPr="00A655A1" w:rsidTr="00356299">
        <w:trPr>
          <w:trHeight w:val="20"/>
        </w:trPr>
        <w:tc>
          <w:tcPr>
            <w:tcW w:w="1366" w:type="pct"/>
            <w:tcBorders>
              <w:top w:val="single" w:sz="4" w:space="0" w:color="auto"/>
              <w:left w:val="single" w:sz="4" w:space="0" w:color="auto"/>
              <w:bottom w:val="single" w:sz="4" w:space="0" w:color="auto"/>
              <w:right w:val="single" w:sz="4" w:space="0" w:color="auto"/>
            </w:tcBorders>
            <w:hideMark/>
          </w:tcPr>
          <w:p w:rsidR="002E14AB" w:rsidRPr="00A655A1" w:rsidRDefault="002E14AB" w:rsidP="008F3A84">
            <w:pPr>
              <w:pStyle w:val="TableText0"/>
              <w:keepNext w:val="0"/>
              <w:widowControl w:val="0"/>
            </w:pPr>
            <w:r w:rsidRPr="00A655A1">
              <w:t>Median PFS, months (95% CI)</w:t>
            </w:r>
          </w:p>
        </w:tc>
        <w:tc>
          <w:tcPr>
            <w:tcW w:w="802" w:type="pct"/>
            <w:tcBorders>
              <w:top w:val="single" w:sz="4" w:space="0" w:color="auto"/>
              <w:left w:val="single" w:sz="4" w:space="0" w:color="auto"/>
              <w:bottom w:val="single" w:sz="4" w:space="0" w:color="auto"/>
              <w:right w:val="single" w:sz="4" w:space="0" w:color="auto"/>
            </w:tcBorders>
            <w:hideMark/>
          </w:tcPr>
          <w:p w:rsidR="002E14AB" w:rsidRPr="00A655A1" w:rsidRDefault="002E14AB" w:rsidP="008F3A84">
            <w:pPr>
              <w:pStyle w:val="TableText0"/>
              <w:keepNext w:val="0"/>
              <w:widowControl w:val="0"/>
              <w:jc w:val="center"/>
              <w:rPr>
                <w:rFonts w:cs="Times New Roman"/>
                <w:szCs w:val="20"/>
              </w:rPr>
            </w:pPr>
            <w:r w:rsidRPr="00A655A1">
              <w:rPr>
                <w:rFonts w:cs="Times New Roman"/>
                <w:szCs w:val="20"/>
              </w:rPr>
              <w:t>13.9 (11.7, NE)</w:t>
            </w:r>
          </w:p>
        </w:tc>
        <w:tc>
          <w:tcPr>
            <w:tcW w:w="840" w:type="pct"/>
            <w:tcBorders>
              <w:top w:val="single" w:sz="4" w:space="0" w:color="auto"/>
              <w:left w:val="single" w:sz="4" w:space="0" w:color="auto"/>
              <w:bottom w:val="single" w:sz="4" w:space="0" w:color="auto"/>
              <w:right w:val="single" w:sz="4" w:space="0" w:color="auto"/>
            </w:tcBorders>
            <w:hideMark/>
          </w:tcPr>
          <w:p w:rsidR="002E14AB" w:rsidRPr="00A655A1" w:rsidRDefault="002E14AB" w:rsidP="008F3A84">
            <w:pPr>
              <w:pStyle w:val="TableText0"/>
              <w:keepNext w:val="0"/>
              <w:widowControl w:val="0"/>
              <w:jc w:val="center"/>
              <w:rPr>
                <w:rFonts w:cs="Times New Roman"/>
                <w:szCs w:val="20"/>
              </w:rPr>
            </w:pPr>
            <w:r w:rsidRPr="00A655A1">
              <w:rPr>
                <w:rFonts w:cs="Times New Roman"/>
                <w:szCs w:val="20"/>
              </w:rPr>
              <w:t>9.5 (8.11, 10.78)</w:t>
            </w:r>
          </w:p>
        </w:tc>
        <w:tc>
          <w:tcPr>
            <w:tcW w:w="1113" w:type="pct"/>
            <w:tcBorders>
              <w:top w:val="single" w:sz="4" w:space="0" w:color="auto"/>
              <w:left w:val="single" w:sz="4" w:space="0" w:color="auto"/>
              <w:bottom w:val="single" w:sz="4" w:space="0" w:color="auto"/>
              <w:right w:val="single" w:sz="4" w:space="0" w:color="auto"/>
            </w:tcBorders>
            <w:hideMark/>
          </w:tcPr>
          <w:p w:rsidR="002E14AB" w:rsidRPr="00A655A1" w:rsidRDefault="002E14AB" w:rsidP="008F3A84">
            <w:pPr>
              <w:pStyle w:val="TableText0"/>
              <w:keepNext w:val="0"/>
              <w:widowControl w:val="0"/>
              <w:jc w:val="center"/>
            </w:pPr>
            <w:r w:rsidRPr="00A655A1">
              <w:t>4.4</w:t>
            </w:r>
          </w:p>
        </w:tc>
        <w:tc>
          <w:tcPr>
            <w:tcW w:w="879" w:type="pct"/>
            <w:vMerge/>
            <w:tcBorders>
              <w:left w:val="single" w:sz="4" w:space="0" w:color="auto"/>
              <w:bottom w:val="nil"/>
              <w:right w:val="single" w:sz="4" w:space="0" w:color="auto"/>
            </w:tcBorders>
          </w:tcPr>
          <w:p w:rsidR="002E14AB" w:rsidRPr="00A655A1" w:rsidRDefault="002E14AB" w:rsidP="008F3A84">
            <w:pPr>
              <w:pStyle w:val="TableText0"/>
              <w:keepNext w:val="0"/>
              <w:widowControl w:val="0"/>
              <w:jc w:val="center"/>
              <w:rPr>
                <w:szCs w:val="20"/>
              </w:rPr>
            </w:pPr>
          </w:p>
        </w:tc>
      </w:tr>
      <w:tr w:rsidR="00A15C4B" w:rsidRPr="00A655A1" w:rsidTr="00A15C4B">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A15C4B" w:rsidRPr="00A655A1" w:rsidRDefault="00A15C4B" w:rsidP="008F3A84">
            <w:pPr>
              <w:pStyle w:val="In-tableHeading"/>
              <w:keepNext w:val="0"/>
              <w:widowControl w:val="0"/>
              <w:rPr>
                <w:lang w:val="en-AU"/>
              </w:rPr>
            </w:pPr>
            <w:r w:rsidRPr="00A655A1">
              <w:rPr>
                <w:lang w:val="en-AU"/>
              </w:rPr>
              <w:t>Overall survival</w:t>
            </w:r>
            <w:r w:rsidRPr="00A655A1">
              <w:rPr>
                <w:vertAlign w:val="superscript"/>
                <w:lang w:val="en-AU"/>
              </w:rPr>
              <w:t>b</w:t>
            </w:r>
          </w:p>
        </w:tc>
      </w:tr>
      <w:tr w:rsidR="002E14AB" w:rsidRPr="00A655A1" w:rsidTr="00356299">
        <w:trPr>
          <w:trHeight w:val="20"/>
        </w:trPr>
        <w:tc>
          <w:tcPr>
            <w:tcW w:w="1366" w:type="pct"/>
            <w:tcBorders>
              <w:top w:val="single" w:sz="4" w:space="0" w:color="auto"/>
              <w:left w:val="single" w:sz="4" w:space="0" w:color="auto"/>
              <w:bottom w:val="single" w:sz="4" w:space="0" w:color="auto"/>
              <w:right w:val="single" w:sz="4" w:space="0" w:color="auto"/>
            </w:tcBorders>
            <w:hideMark/>
          </w:tcPr>
          <w:p w:rsidR="002E14AB" w:rsidRPr="00A655A1" w:rsidRDefault="002E14AB" w:rsidP="008F3A84">
            <w:pPr>
              <w:pStyle w:val="TableText0"/>
              <w:keepNext w:val="0"/>
              <w:widowControl w:val="0"/>
            </w:pPr>
            <w:r w:rsidRPr="00A655A1">
              <w:t xml:space="preserve">Deaths, n/N (%) </w:t>
            </w:r>
          </w:p>
        </w:tc>
        <w:tc>
          <w:tcPr>
            <w:tcW w:w="802" w:type="pct"/>
            <w:tcBorders>
              <w:top w:val="single" w:sz="4" w:space="0" w:color="auto"/>
              <w:left w:val="single" w:sz="4" w:space="0" w:color="auto"/>
              <w:bottom w:val="single" w:sz="4" w:space="0" w:color="auto"/>
              <w:right w:val="single" w:sz="4" w:space="0" w:color="auto"/>
            </w:tcBorders>
            <w:hideMark/>
          </w:tcPr>
          <w:p w:rsidR="002E14AB" w:rsidRPr="00A655A1" w:rsidRDefault="002E14AB" w:rsidP="008F3A84">
            <w:pPr>
              <w:pStyle w:val="TableText0"/>
              <w:keepNext w:val="0"/>
              <w:widowControl w:val="0"/>
              <w:jc w:val="center"/>
            </w:pPr>
            <w:r w:rsidRPr="00A655A1">
              <w:rPr>
                <w:rFonts w:cs="Times New Roman"/>
                <w:szCs w:val="20"/>
              </w:rPr>
              <w:t>47/195 (24.1%)</w:t>
            </w:r>
          </w:p>
        </w:tc>
        <w:tc>
          <w:tcPr>
            <w:tcW w:w="840" w:type="pct"/>
            <w:tcBorders>
              <w:top w:val="single" w:sz="4" w:space="0" w:color="auto"/>
              <w:left w:val="single" w:sz="4" w:space="0" w:color="auto"/>
              <w:bottom w:val="single" w:sz="4" w:space="0" w:color="auto"/>
              <w:right w:val="single" w:sz="4" w:space="0" w:color="auto"/>
            </w:tcBorders>
            <w:hideMark/>
          </w:tcPr>
          <w:p w:rsidR="002E14AB" w:rsidRPr="00A655A1" w:rsidRDefault="002E14AB" w:rsidP="008F3A84">
            <w:pPr>
              <w:pStyle w:val="TableText0"/>
              <w:keepNext w:val="0"/>
              <w:widowControl w:val="0"/>
              <w:jc w:val="center"/>
            </w:pPr>
            <w:r w:rsidRPr="00A655A1">
              <w:rPr>
                <w:rFonts w:cs="Times New Roman"/>
                <w:szCs w:val="20"/>
              </w:rPr>
              <w:t>62/207 (30.0%)</w:t>
            </w:r>
          </w:p>
        </w:tc>
        <w:tc>
          <w:tcPr>
            <w:tcW w:w="1113" w:type="pct"/>
            <w:tcBorders>
              <w:top w:val="single" w:sz="4" w:space="0" w:color="auto"/>
              <w:left w:val="single" w:sz="4" w:space="0" w:color="auto"/>
              <w:bottom w:val="single" w:sz="4" w:space="0" w:color="auto"/>
              <w:right w:val="single" w:sz="4" w:space="0" w:color="auto"/>
            </w:tcBorders>
            <w:hideMark/>
          </w:tcPr>
          <w:p w:rsidR="002E14AB" w:rsidRPr="00A655A1" w:rsidRDefault="00D01998" w:rsidP="008F3A84">
            <w:pPr>
              <w:pStyle w:val="TableText0"/>
              <w:keepNext w:val="0"/>
              <w:widowControl w:val="0"/>
              <w:jc w:val="center"/>
            </w:pPr>
            <w:r w:rsidRPr="00A655A1">
              <w:t>-</w:t>
            </w:r>
          </w:p>
        </w:tc>
        <w:tc>
          <w:tcPr>
            <w:tcW w:w="879" w:type="pct"/>
            <w:vMerge w:val="restart"/>
            <w:tcBorders>
              <w:top w:val="single" w:sz="4" w:space="0" w:color="auto"/>
              <w:left w:val="single" w:sz="4" w:space="0" w:color="auto"/>
              <w:right w:val="single" w:sz="4" w:space="0" w:color="auto"/>
            </w:tcBorders>
            <w:hideMark/>
          </w:tcPr>
          <w:p w:rsidR="002E14AB" w:rsidRPr="00A655A1" w:rsidRDefault="002E14AB" w:rsidP="008F3A84">
            <w:pPr>
              <w:pStyle w:val="TableText0"/>
              <w:keepNext w:val="0"/>
              <w:widowControl w:val="0"/>
              <w:jc w:val="center"/>
              <w:rPr>
                <w:szCs w:val="20"/>
              </w:rPr>
            </w:pPr>
            <w:r w:rsidRPr="00A655A1">
              <w:rPr>
                <w:szCs w:val="20"/>
              </w:rPr>
              <w:t>0.84 (0.57, 1.23)</w:t>
            </w:r>
          </w:p>
          <w:p w:rsidR="002E14AB" w:rsidRPr="00A655A1" w:rsidRDefault="007A1A8E" w:rsidP="008F3A84">
            <w:pPr>
              <w:pStyle w:val="TableText0"/>
              <w:keepNext w:val="0"/>
              <w:widowControl w:val="0"/>
              <w:jc w:val="center"/>
            </w:pPr>
            <w:r w:rsidRPr="00A655A1">
              <w:rPr>
                <w:szCs w:val="20"/>
              </w:rPr>
              <w:t xml:space="preserve">p </w:t>
            </w:r>
            <w:r w:rsidR="002E14AB" w:rsidRPr="00A655A1">
              <w:rPr>
                <w:szCs w:val="20"/>
              </w:rPr>
              <w:t>= 0.1852</w:t>
            </w:r>
          </w:p>
        </w:tc>
      </w:tr>
      <w:tr w:rsidR="002E14AB" w:rsidRPr="00A655A1" w:rsidTr="00356299">
        <w:trPr>
          <w:trHeight w:val="20"/>
        </w:trPr>
        <w:tc>
          <w:tcPr>
            <w:tcW w:w="1366" w:type="pct"/>
            <w:tcBorders>
              <w:top w:val="single" w:sz="4" w:space="0" w:color="auto"/>
              <w:left w:val="single" w:sz="4" w:space="0" w:color="auto"/>
              <w:bottom w:val="single" w:sz="4" w:space="0" w:color="auto"/>
              <w:right w:val="single" w:sz="4" w:space="0" w:color="auto"/>
            </w:tcBorders>
            <w:hideMark/>
          </w:tcPr>
          <w:p w:rsidR="002E14AB" w:rsidRPr="00A655A1" w:rsidRDefault="002E14AB" w:rsidP="008F3A84">
            <w:pPr>
              <w:pStyle w:val="TableText0"/>
              <w:keepNext w:val="0"/>
              <w:widowControl w:val="0"/>
            </w:pPr>
            <w:r w:rsidRPr="00A655A1">
              <w:t>Median OS, months (95% CI)</w:t>
            </w:r>
          </w:p>
        </w:tc>
        <w:tc>
          <w:tcPr>
            <w:tcW w:w="802" w:type="pct"/>
            <w:tcBorders>
              <w:top w:val="single" w:sz="4" w:space="0" w:color="auto"/>
              <w:left w:val="single" w:sz="4" w:space="0" w:color="auto"/>
              <w:bottom w:val="single" w:sz="4" w:space="0" w:color="auto"/>
              <w:right w:val="single" w:sz="4" w:space="0" w:color="auto"/>
            </w:tcBorders>
            <w:hideMark/>
          </w:tcPr>
          <w:p w:rsidR="002E14AB" w:rsidRPr="00A655A1" w:rsidRDefault="002E14AB" w:rsidP="008F3A84">
            <w:pPr>
              <w:pStyle w:val="TableText0"/>
              <w:keepNext w:val="0"/>
              <w:widowControl w:val="0"/>
              <w:jc w:val="center"/>
              <w:rPr>
                <w:rFonts w:cs="Times New Roman"/>
                <w:szCs w:val="20"/>
              </w:rPr>
            </w:pPr>
            <w:r w:rsidRPr="00A655A1">
              <w:rPr>
                <w:rFonts w:cs="Times New Roman"/>
                <w:szCs w:val="20"/>
              </w:rPr>
              <w:t>NE (NE, NE)</w:t>
            </w:r>
          </w:p>
        </w:tc>
        <w:tc>
          <w:tcPr>
            <w:tcW w:w="840" w:type="pct"/>
            <w:tcBorders>
              <w:top w:val="single" w:sz="4" w:space="0" w:color="auto"/>
              <w:left w:val="single" w:sz="4" w:space="0" w:color="auto"/>
              <w:bottom w:val="single" w:sz="4" w:space="0" w:color="auto"/>
              <w:right w:val="single" w:sz="4" w:space="0" w:color="auto"/>
            </w:tcBorders>
            <w:hideMark/>
          </w:tcPr>
          <w:p w:rsidR="002E14AB" w:rsidRPr="00A655A1" w:rsidRDefault="002E14AB" w:rsidP="008F3A84">
            <w:pPr>
              <w:pStyle w:val="TableText0"/>
              <w:keepNext w:val="0"/>
              <w:widowControl w:val="0"/>
              <w:jc w:val="center"/>
              <w:rPr>
                <w:rFonts w:cs="Times New Roman"/>
                <w:szCs w:val="20"/>
              </w:rPr>
            </w:pPr>
            <w:r w:rsidRPr="00A655A1">
              <w:rPr>
                <w:rFonts w:cs="Times New Roman"/>
                <w:szCs w:val="20"/>
              </w:rPr>
              <w:t>24.97 (23.97, NE)</w:t>
            </w:r>
          </w:p>
        </w:tc>
        <w:tc>
          <w:tcPr>
            <w:tcW w:w="1113" w:type="pct"/>
            <w:tcBorders>
              <w:top w:val="single" w:sz="4" w:space="0" w:color="auto"/>
              <w:left w:val="single" w:sz="4" w:space="0" w:color="auto"/>
              <w:bottom w:val="single" w:sz="4" w:space="0" w:color="auto"/>
              <w:right w:val="single" w:sz="4" w:space="0" w:color="auto"/>
            </w:tcBorders>
            <w:hideMark/>
          </w:tcPr>
          <w:p w:rsidR="002E14AB" w:rsidRPr="00A655A1" w:rsidRDefault="002E14AB" w:rsidP="008F3A84">
            <w:pPr>
              <w:pStyle w:val="TableText0"/>
              <w:keepNext w:val="0"/>
              <w:widowControl w:val="0"/>
              <w:jc w:val="center"/>
            </w:pPr>
            <w:r w:rsidRPr="00A655A1">
              <w:t>NE</w:t>
            </w:r>
          </w:p>
        </w:tc>
        <w:tc>
          <w:tcPr>
            <w:tcW w:w="879" w:type="pct"/>
            <w:vMerge/>
            <w:tcBorders>
              <w:left w:val="single" w:sz="4" w:space="0" w:color="auto"/>
              <w:bottom w:val="nil"/>
              <w:right w:val="single" w:sz="4" w:space="0" w:color="auto"/>
            </w:tcBorders>
          </w:tcPr>
          <w:p w:rsidR="002E14AB" w:rsidRPr="00A655A1" w:rsidRDefault="002E14AB" w:rsidP="008F3A84">
            <w:pPr>
              <w:pStyle w:val="TableText0"/>
              <w:keepNext w:val="0"/>
              <w:widowControl w:val="0"/>
              <w:jc w:val="center"/>
              <w:rPr>
                <w:szCs w:val="20"/>
              </w:rPr>
            </w:pPr>
          </w:p>
        </w:tc>
      </w:tr>
    </w:tbl>
    <w:tbl>
      <w:tblPr>
        <w:tblW w:w="5000" w:type="pct"/>
        <w:tblLayout w:type="fixed"/>
        <w:tblCellMar>
          <w:left w:w="28" w:type="dxa"/>
          <w:right w:w="28" w:type="dxa"/>
        </w:tblCellMar>
        <w:tblLook w:val="04A0" w:firstRow="1" w:lastRow="0" w:firstColumn="1" w:lastColumn="0" w:noHBand="0" w:noVBand="1"/>
      </w:tblPr>
      <w:tblGrid>
        <w:gridCol w:w="1980"/>
        <w:gridCol w:w="992"/>
        <w:gridCol w:w="994"/>
        <w:gridCol w:w="1417"/>
        <w:gridCol w:w="1136"/>
        <w:gridCol w:w="925"/>
        <w:gridCol w:w="1573"/>
      </w:tblGrid>
      <w:tr w:rsidR="00A15C4B" w:rsidRPr="00A655A1" w:rsidTr="007A1A8E">
        <w:trPr>
          <w:tblHeader/>
        </w:trPr>
        <w:tc>
          <w:tcPr>
            <w:tcW w:w="5000" w:type="pct"/>
            <w:gridSpan w:val="7"/>
            <w:tcBorders>
              <w:top w:val="doub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In-tableHeading"/>
              <w:keepNext w:val="0"/>
              <w:widowControl w:val="0"/>
              <w:rPr>
                <w:lang w:val="en-AU"/>
              </w:rPr>
            </w:pPr>
            <w:r w:rsidRPr="00A655A1">
              <w:rPr>
                <w:lang w:val="en-AU"/>
              </w:rPr>
              <w:t xml:space="preserve">Harms </w:t>
            </w:r>
          </w:p>
        </w:tc>
      </w:tr>
      <w:tr w:rsidR="007A1A8E" w:rsidRPr="00A655A1" w:rsidTr="007A1A8E">
        <w:trPr>
          <w:trHeight w:val="70"/>
          <w:tblHeader/>
        </w:trPr>
        <w:tc>
          <w:tcPr>
            <w:tcW w:w="1098" w:type="pct"/>
            <w:vMerge w:val="restart"/>
            <w:tcBorders>
              <w:top w:val="single" w:sz="4" w:space="0" w:color="auto"/>
              <w:left w:val="single" w:sz="4" w:space="0" w:color="auto"/>
              <w:bottom w:val="single" w:sz="4" w:space="0" w:color="auto"/>
              <w:right w:val="single" w:sz="4" w:space="0" w:color="auto"/>
            </w:tcBorders>
            <w:vAlign w:val="center"/>
          </w:tcPr>
          <w:p w:rsidR="00A15C4B" w:rsidRPr="00A655A1" w:rsidRDefault="00A15C4B" w:rsidP="008F3A84">
            <w:pPr>
              <w:pStyle w:val="In-tableHeading"/>
              <w:keepNext w:val="0"/>
              <w:widowControl w:val="0"/>
              <w:rPr>
                <w:lang w:val="en-AU"/>
              </w:rPr>
            </w:pPr>
          </w:p>
        </w:tc>
        <w:tc>
          <w:tcPr>
            <w:tcW w:w="550" w:type="pct"/>
            <w:vMerge w:val="restar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7A1A8E">
            <w:pPr>
              <w:pStyle w:val="In-tableHeading"/>
              <w:keepNext w:val="0"/>
              <w:widowControl w:val="0"/>
              <w:jc w:val="center"/>
              <w:rPr>
                <w:lang w:val="en-AU"/>
              </w:rPr>
            </w:pPr>
            <w:r w:rsidRPr="00A655A1">
              <w:rPr>
                <w:lang w:val="en-AU"/>
              </w:rPr>
              <w:t>SBd</w:t>
            </w:r>
          </w:p>
        </w:tc>
        <w:tc>
          <w:tcPr>
            <w:tcW w:w="551" w:type="pct"/>
            <w:vMerge w:val="restar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7A1A8E">
            <w:pPr>
              <w:pStyle w:val="In-tableHeading"/>
              <w:keepNext w:val="0"/>
              <w:widowControl w:val="0"/>
              <w:jc w:val="center"/>
              <w:rPr>
                <w:lang w:val="en-AU"/>
              </w:rPr>
            </w:pPr>
            <w:r w:rsidRPr="00A655A1">
              <w:rPr>
                <w:lang w:val="en-AU"/>
              </w:rPr>
              <w:t>Bd</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In-tableHeading"/>
              <w:keepNext w:val="0"/>
              <w:widowControl w:val="0"/>
              <w:jc w:val="center"/>
              <w:rPr>
                <w:lang w:val="en-AU"/>
              </w:rPr>
            </w:pPr>
            <w:r w:rsidRPr="00A655A1">
              <w:rPr>
                <w:lang w:val="en-AU"/>
              </w:rPr>
              <w:t>RR</w:t>
            </w:r>
          </w:p>
          <w:p w:rsidR="00A15C4B" w:rsidRPr="00A655A1" w:rsidRDefault="00A15C4B" w:rsidP="008F3A84">
            <w:pPr>
              <w:pStyle w:val="In-tableHeading"/>
              <w:keepNext w:val="0"/>
              <w:widowControl w:val="0"/>
              <w:jc w:val="center"/>
              <w:rPr>
                <w:lang w:val="en-AU"/>
              </w:rPr>
            </w:pPr>
            <w:r w:rsidRPr="00A655A1">
              <w:rPr>
                <w:lang w:val="en-AU"/>
              </w:rPr>
              <w:t>(95% CI)</w:t>
            </w:r>
          </w:p>
        </w:tc>
        <w:tc>
          <w:tcPr>
            <w:tcW w:w="1143" w:type="pct"/>
            <w:gridSpan w:val="2"/>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In-tableHeading"/>
              <w:keepNext w:val="0"/>
              <w:widowControl w:val="0"/>
              <w:jc w:val="center"/>
              <w:rPr>
                <w:lang w:val="en-AU"/>
              </w:rPr>
            </w:pPr>
            <w:r w:rsidRPr="00A655A1">
              <w:rPr>
                <w:lang w:val="en-AU"/>
              </w:rPr>
              <w:t>Event rate/100 patients</w:t>
            </w:r>
            <w:r w:rsidRPr="00A655A1">
              <w:rPr>
                <w:vertAlign w:val="superscript"/>
                <w:lang w:val="en-AU"/>
              </w:rPr>
              <w:t>c</w:t>
            </w: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7A1A8E">
            <w:pPr>
              <w:pStyle w:val="In-tableHeading"/>
              <w:keepNext w:val="0"/>
              <w:widowControl w:val="0"/>
              <w:jc w:val="center"/>
              <w:rPr>
                <w:lang w:val="en-AU"/>
              </w:rPr>
            </w:pPr>
            <w:r w:rsidRPr="00A655A1">
              <w:rPr>
                <w:lang w:val="en-AU"/>
              </w:rPr>
              <w:t>RD</w:t>
            </w:r>
            <w:r w:rsidR="007A1A8E" w:rsidRPr="00A655A1">
              <w:rPr>
                <w:lang w:val="en-AU"/>
              </w:rPr>
              <w:t xml:space="preserve"> </w:t>
            </w:r>
            <w:r w:rsidRPr="00A655A1">
              <w:rPr>
                <w:lang w:val="en-AU"/>
              </w:rPr>
              <w:t>(95% CI)</w:t>
            </w:r>
          </w:p>
        </w:tc>
      </w:tr>
      <w:tr w:rsidR="007A1A8E" w:rsidRPr="00A655A1" w:rsidTr="007A1A8E">
        <w:trPr>
          <w:trHeight w:val="168"/>
          <w:tblHeader/>
        </w:trPr>
        <w:tc>
          <w:tcPr>
            <w:tcW w:w="1098" w:type="pct"/>
            <w:vMerge/>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widowControl w:val="0"/>
              <w:jc w:val="left"/>
              <w:rPr>
                <w:rFonts w:ascii="Arial Narrow" w:eastAsiaTheme="majorEastAsia" w:hAnsi="Arial Narrow" w:cs="Times New Roman"/>
                <w:b/>
                <w:sz w:val="20"/>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widowControl w:val="0"/>
              <w:jc w:val="left"/>
              <w:rPr>
                <w:rFonts w:ascii="Arial Narrow" w:eastAsiaTheme="majorEastAsia" w:hAnsi="Arial Narrow" w:cs="Times New Roman"/>
                <w:b/>
                <w:sz w:val="20"/>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widowControl w:val="0"/>
              <w:jc w:val="left"/>
              <w:rPr>
                <w:rFonts w:ascii="Arial Narrow" w:eastAsiaTheme="majorEastAsia" w:hAnsi="Arial Narrow" w:cs="Times New Roman"/>
                <w:b/>
                <w:sz w:val="20"/>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widowControl w:val="0"/>
              <w:jc w:val="left"/>
              <w:rPr>
                <w:rFonts w:ascii="Arial Narrow" w:eastAsiaTheme="majorEastAsia" w:hAnsi="Arial Narrow" w:cs="Times New Roman"/>
                <w:b/>
                <w:sz w:val="20"/>
              </w:rPr>
            </w:pPr>
          </w:p>
        </w:tc>
        <w:tc>
          <w:tcPr>
            <w:tcW w:w="630"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In-tableHeading"/>
              <w:keepNext w:val="0"/>
              <w:widowControl w:val="0"/>
              <w:jc w:val="center"/>
              <w:rPr>
                <w:lang w:val="en-AU"/>
              </w:rPr>
            </w:pPr>
            <w:r w:rsidRPr="00A655A1">
              <w:rPr>
                <w:lang w:val="en-AU"/>
              </w:rPr>
              <w:t>SBd</w:t>
            </w:r>
          </w:p>
        </w:tc>
        <w:tc>
          <w:tcPr>
            <w:tcW w:w="513"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In-tableHeading"/>
              <w:keepNext w:val="0"/>
              <w:widowControl w:val="0"/>
              <w:jc w:val="center"/>
              <w:rPr>
                <w:lang w:val="en-AU"/>
              </w:rPr>
            </w:pPr>
            <w:r w:rsidRPr="00A655A1">
              <w:rPr>
                <w:lang w:val="en-AU"/>
              </w:rPr>
              <w:t>Bd</w:t>
            </w:r>
          </w:p>
        </w:tc>
        <w:tc>
          <w:tcPr>
            <w:tcW w:w="872" w:type="pct"/>
            <w:vMerge/>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widowControl w:val="0"/>
              <w:jc w:val="left"/>
              <w:rPr>
                <w:rFonts w:ascii="Arial Narrow" w:eastAsiaTheme="majorEastAsia" w:hAnsi="Arial Narrow" w:cs="Times New Roman"/>
                <w:b/>
                <w:sz w:val="20"/>
              </w:rPr>
            </w:pPr>
          </w:p>
        </w:tc>
      </w:tr>
      <w:tr w:rsidR="00A15C4B" w:rsidRPr="00A655A1" w:rsidTr="007A1A8E">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In-tableHeading"/>
              <w:keepNext w:val="0"/>
              <w:widowControl w:val="0"/>
              <w:rPr>
                <w:lang w:val="en-AU"/>
              </w:rPr>
            </w:pPr>
            <w:r w:rsidRPr="00A655A1">
              <w:rPr>
                <w:lang w:val="en-AU"/>
              </w:rPr>
              <w:t>Treatment emergent adverse events (at least one</w:t>
            </w:r>
            <w:r w:rsidR="008369B1" w:rsidRPr="00A655A1">
              <w:rPr>
                <w:lang w:val="en-AU"/>
              </w:rPr>
              <w:t xml:space="preserve"> Grade 3+</w:t>
            </w:r>
            <w:r w:rsidRPr="00A655A1">
              <w:rPr>
                <w:lang w:val="en-AU"/>
              </w:rPr>
              <w:t>)</w:t>
            </w:r>
          </w:p>
        </w:tc>
      </w:tr>
      <w:tr w:rsidR="007A1A8E" w:rsidRPr="00A655A1" w:rsidTr="007A1A8E">
        <w:tc>
          <w:tcPr>
            <w:tcW w:w="1098"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pPr>
            <w:r w:rsidRPr="00A655A1">
              <w:t>BOSTON</w:t>
            </w:r>
          </w:p>
        </w:tc>
        <w:tc>
          <w:tcPr>
            <w:tcW w:w="550"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166/195</w:t>
            </w:r>
          </w:p>
        </w:tc>
        <w:tc>
          <w:tcPr>
            <w:tcW w:w="551"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125/204</w:t>
            </w:r>
          </w:p>
        </w:tc>
        <w:tc>
          <w:tcPr>
            <w:tcW w:w="786"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7A1A8E">
            <w:pPr>
              <w:pStyle w:val="TableText0"/>
              <w:keepNext w:val="0"/>
              <w:widowControl w:val="0"/>
              <w:jc w:val="center"/>
            </w:pPr>
            <w:r w:rsidRPr="00A655A1">
              <w:rPr>
                <w:b/>
                <w:bCs w:val="0"/>
              </w:rPr>
              <w:t>1.39 (1.23, 1.57)</w:t>
            </w:r>
          </w:p>
        </w:tc>
        <w:tc>
          <w:tcPr>
            <w:tcW w:w="630"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85.1</w:t>
            </w:r>
          </w:p>
        </w:tc>
        <w:tc>
          <w:tcPr>
            <w:tcW w:w="513"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61.3</w:t>
            </w:r>
          </w:p>
        </w:tc>
        <w:tc>
          <w:tcPr>
            <w:tcW w:w="872"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7A1A8E">
            <w:pPr>
              <w:pStyle w:val="TableText0"/>
              <w:keepNext w:val="0"/>
              <w:widowControl w:val="0"/>
              <w:jc w:val="center"/>
            </w:pPr>
            <w:r w:rsidRPr="00A655A1">
              <w:rPr>
                <w:b/>
                <w:bCs w:val="0"/>
              </w:rPr>
              <w:t>0.24 (0.16, 0.32)</w:t>
            </w:r>
          </w:p>
        </w:tc>
      </w:tr>
      <w:tr w:rsidR="00A15C4B" w:rsidRPr="00A655A1" w:rsidTr="007A1A8E">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pPr>
            <w:r w:rsidRPr="00A655A1">
              <w:rPr>
                <w:b/>
              </w:rPr>
              <w:t>Treatment emergent SAEs (at least one)</w:t>
            </w:r>
          </w:p>
        </w:tc>
      </w:tr>
      <w:tr w:rsidR="007A1A8E" w:rsidRPr="00A655A1" w:rsidTr="007A1A8E">
        <w:tc>
          <w:tcPr>
            <w:tcW w:w="1098"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pPr>
            <w:r w:rsidRPr="00A655A1">
              <w:t>BOSTON</w:t>
            </w:r>
          </w:p>
        </w:tc>
        <w:tc>
          <w:tcPr>
            <w:tcW w:w="550"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101/195</w:t>
            </w:r>
          </w:p>
        </w:tc>
        <w:tc>
          <w:tcPr>
            <w:tcW w:w="551"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77/204</w:t>
            </w:r>
          </w:p>
        </w:tc>
        <w:tc>
          <w:tcPr>
            <w:tcW w:w="786"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7A1A8E">
            <w:pPr>
              <w:pStyle w:val="TableText0"/>
              <w:keepNext w:val="0"/>
              <w:widowControl w:val="0"/>
              <w:jc w:val="center"/>
            </w:pPr>
            <w:r w:rsidRPr="00A655A1">
              <w:rPr>
                <w:b/>
                <w:bCs w:val="0"/>
              </w:rPr>
              <w:t>1.37</w:t>
            </w:r>
            <w:r w:rsidR="007A1A8E" w:rsidRPr="00A655A1">
              <w:rPr>
                <w:b/>
                <w:bCs w:val="0"/>
              </w:rPr>
              <w:t xml:space="preserve"> </w:t>
            </w:r>
            <w:r w:rsidRPr="00A655A1">
              <w:rPr>
                <w:b/>
                <w:bCs w:val="0"/>
              </w:rPr>
              <w:t>(1.10, 1.71)</w:t>
            </w:r>
          </w:p>
        </w:tc>
        <w:tc>
          <w:tcPr>
            <w:tcW w:w="630"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51.8</w:t>
            </w:r>
          </w:p>
        </w:tc>
        <w:tc>
          <w:tcPr>
            <w:tcW w:w="513"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37.7</w:t>
            </w:r>
          </w:p>
        </w:tc>
        <w:tc>
          <w:tcPr>
            <w:tcW w:w="872"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7A1A8E">
            <w:pPr>
              <w:pStyle w:val="TableText0"/>
              <w:keepNext w:val="0"/>
              <w:widowControl w:val="0"/>
              <w:jc w:val="center"/>
            </w:pPr>
            <w:r w:rsidRPr="00A655A1">
              <w:rPr>
                <w:b/>
                <w:bCs w:val="0"/>
              </w:rPr>
              <w:t>0.14 (0.04, 0.24)</w:t>
            </w:r>
          </w:p>
        </w:tc>
      </w:tr>
      <w:tr w:rsidR="00A15C4B" w:rsidRPr="00A655A1" w:rsidTr="007A1A8E">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pPr>
            <w:r w:rsidRPr="00A655A1">
              <w:rPr>
                <w:b/>
              </w:rPr>
              <w:t>Thrombocytopenia</w:t>
            </w:r>
            <w:r w:rsidR="00E61944" w:rsidRPr="00A655A1">
              <w:rPr>
                <w:b/>
              </w:rPr>
              <w:t xml:space="preserve"> (Grade 3+)</w:t>
            </w:r>
          </w:p>
        </w:tc>
      </w:tr>
      <w:tr w:rsidR="007A1A8E" w:rsidRPr="00A655A1" w:rsidTr="007A1A8E">
        <w:tc>
          <w:tcPr>
            <w:tcW w:w="1098"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pPr>
            <w:r w:rsidRPr="00A655A1">
              <w:t>BOSTON</w:t>
            </w:r>
          </w:p>
        </w:tc>
        <w:tc>
          <w:tcPr>
            <w:tcW w:w="550"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77/195</w:t>
            </w:r>
          </w:p>
        </w:tc>
        <w:tc>
          <w:tcPr>
            <w:tcW w:w="551"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35/204</w:t>
            </w:r>
          </w:p>
        </w:tc>
        <w:tc>
          <w:tcPr>
            <w:tcW w:w="786"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7A1A8E">
            <w:pPr>
              <w:pStyle w:val="TableText0"/>
              <w:keepNext w:val="0"/>
              <w:widowControl w:val="0"/>
              <w:jc w:val="center"/>
            </w:pPr>
            <w:r w:rsidRPr="00A655A1">
              <w:t>2.30</w:t>
            </w:r>
            <w:r w:rsidR="007A1A8E" w:rsidRPr="00A655A1">
              <w:t xml:space="preserve"> </w:t>
            </w:r>
            <w:r w:rsidRPr="00A655A1">
              <w:t>(1.63, 3.26)</w:t>
            </w:r>
          </w:p>
        </w:tc>
        <w:tc>
          <w:tcPr>
            <w:tcW w:w="630"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39.5</w:t>
            </w:r>
          </w:p>
        </w:tc>
        <w:tc>
          <w:tcPr>
            <w:tcW w:w="513"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17.2</w:t>
            </w:r>
          </w:p>
        </w:tc>
        <w:tc>
          <w:tcPr>
            <w:tcW w:w="872"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7A1A8E">
            <w:pPr>
              <w:pStyle w:val="TableText0"/>
              <w:keepNext w:val="0"/>
              <w:widowControl w:val="0"/>
              <w:jc w:val="center"/>
            </w:pPr>
            <w:r w:rsidRPr="00A655A1">
              <w:t>0.22</w:t>
            </w:r>
            <w:r w:rsidR="007A1A8E" w:rsidRPr="00A655A1">
              <w:t xml:space="preserve"> </w:t>
            </w:r>
            <w:r w:rsidRPr="00A655A1">
              <w:t>(0.14, 0.31)</w:t>
            </w:r>
          </w:p>
        </w:tc>
      </w:tr>
      <w:tr w:rsidR="00A15C4B" w:rsidRPr="00A655A1" w:rsidTr="007A1A8E">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pPr>
            <w:r w:rsidRPr="00A655A1">
              <w:rPr>
                <w:b/>
              </w:rPr>
              <w:t>Neutropenia</w:t>
            </w:r>
            <w:r w:rsidR="00E61944" w:rsidRPr="00A655A1">
              <w:rPr>
                <w:b/>
              </w:rPr>
              <w:t xml:space="preserve"> (Grade 3+)</w:t>
            </w:r>
          </w:p>
        </w:tc>
      </w:tr>
      <w:tr w:rsidR="007A1A8E" w:rsidRPr="00A655A1" w:rsidTr="007A1A8E">
        <w:tc>
          <w:tcPr>
            <w:tcW w:w="1098"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pPr>
            <w:r w:rsidRPr="00A655A1">
              <w:t>BOSTON</w:t>
            </w:r>
          </w:p>
        </w:tc>
        <w:tc>
          <w:tcPr>
            <w:tcW w:w="550"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17/195</w:t>
            </w:r>
          </w:p>
        </w:tc>
        <w:tc>
          <w:tcPr>
            <w:tcW w:w="551"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7/204</w:t>
            </w:r>
          </w:p>
        </w:tc>
        <w:tc>
          <w:tcPr>
            <w:tcW w:w="786"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7A1A8E">
            <w:pPr>
              <w:pStyle w:val="TableText0"/>
              <w:keepNext w:val="0"/>
              <w:widowControl w:val="0"/>
              <w:jc w:val="center"/>
            </w:pPr>
            <w:r w:rsidRPr="00A655A1">
              <w:t>2.54</w:t>
            </w:r>
            <w:r w:rsidR="007A1A8E" w:rsidRPr="00A655A1">
              <w:t xml:space="preserve"> </w:t>
            </w:r>
            <w:r w:rsidRPr="00A655A1">
              <w:t>(1.08, 5.99)</w:t>
            </w:r>
          </w:p>
        </w:tc>
        <w:tc>
          <w:tcPr>
            <w:tcW w:w="630"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8.7</w:t>
            </w:r>
          </w:p>
        </w:tc>
        <w:tc>
          <w:tcPr>
            <w:tcW w:w="513"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3.4</w:t>
            </w:r>
          </w:p>
        </w:tc>
        <w:tc>
          <w:tcPr>
            <w:tcW w:w="872"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7A1A8E">
            <w:pPr>
              <w:pStyle w:val="TableText0"/>
              <w:keepNext w:val="0"/>
              <w:widowControl w:val="0"/>
              <w:jc w:val="center"/>
            </w:pPr>
            <w:r w:rsidRPr="00A655A1">
              <w:t>0.05</w:t>
            </w:r>
            <w:r w:rsidR="007A1A8E" w:rsidRPr="00A655A1">
              <w:t xml:space="preserve"> </w:t>
            </w:r>
            <w:r w:rsidRPr="00A655A1">
              <w:t>(0.01, 0.10)</w:t>
            </w:r>
          </w:p>
        </w:tc>
      </w:tr>
      <w:tr w:rsidR="00A15C4B" w:rsidRPr="00A655A1" w:rsidTr="007A1A8E">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pPr>
            <w:r w:rsidRPr="00A655A1">
              <w:rPr>
                <w:b/>
              </w:rPr>
              <w:t>Cataract</w:t>
            </w:r>
            <w:r w:rsidR="00E61944" w:rsidRPr="00A655A1">
              <w:rPr>
                <w:b/>
              </w:rPr>
              <w:t xml:space="preserve"> (Grade 3+)</w:t>
            </w:r>
          </w:p>
        </w:tc>
      </w:tr>
      <w:tr w:rsidR="007A1A8E" w:rsidRPr="00A655A1" w:rsidTr="007A1A8E">
        <w:tc>
          <w:tcPr>
            <w:tcW w:w="1098"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pPr>
            <w:r w:rsidRPr="00A655A1">
              <w:t>BOSTON</w:t>
            </w:r>
          </w:p>
        </w:tc>
        <w:tc>
          <w:tcPr>
            <w:tcW w:w="550"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17/195</w:t>
            </w:r>
          </w:p>
        </w:tc>
        <w:tc>
          <w:tcPr>
            <w:tcW w:w="551"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3/204</w:t>
            </w:r>
          </w:p>
        </w:tc>
        <w:tc>
          <w:tcPr>
            <w:tcW w:w="786"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7A1A8E">
            <w:pPr>
              <w:pStyle w:val="TableText0"/>
              <w:keepNext w:val="0"/>
              <w:widowControl w:val="0"/>
              <w:jc w:val="center"/>
            </w:pPr>
            <w:r w:rsidRPr="00A655A1">
              <w:t>5.93</w:t>
            </w:r>
            <w:r w:rsidR="007A1A8E" w:rsidRPr="00A655A1">
              <w:t xml:space="preserve"> </w:t>
            </w:r>
            <w:r w:rsidRPr="00A655A1">
              <w:t>(1.76, 19.91)</w:t>
            </w:r>
          </w:p>
        </w:tc>
        <w:tc>
          <w:tcPr>
            <w:tcW w:w="630"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8.7</w:t>
            </w:r>
          </w:p>
        </w:tc>
        <w:tc>
          <w:tcPr>
            <w:tcW w:w="513"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8F3A84">
            <w:pPr>
              <w:pStyle w:val="TableText0"/>
              <w:keepNext w:val="0"/>
              <w:widowControl w:val="0"/>
              <w:jc w:val="center"/>
            </w:pPr>
            <w:r w:rsidRPr="00A655A1">
              <w:t>1.5</w:t>
            </w:r>
          </w:p>
        </w:tc>
        <w:tc>
          <w:tcPr>
            <w:tcW w:w="872" w:type="pct"/>
            <w:tcBorders>
              <w:top w:val="single" w:sz="4" w:space="0" w:color="auto"/>
              <w:left w:val="single" w:sz="4" w:space="0" w:color="auto"/>
              <w:bottom w:val="single" w:sz="4" w:space="0" w:color="auto"/>
              <w:right w:val="single" w:sz="4" w:space="0" w:color="auto"/>
            </w:tcBorders>
            <w:vAlign w:val="center"/>
            <w:hideMark/>
          </w:tcPr>
          <w:p w:rsidR="00A15C4B" w:rsidRPr="00A655A1" w:rsidRDefault="00A15C4B" w:rsidP="007A1A8E">
            <w:pPr>
              <w:pStyle w:val="TableText0"/>
              <w:keepNext w:val="0"/>
              <w:widowControl w:val="0"/>
              <w:jc w:val="center"/>
            </w:pPr>
            <w:r w:rsidRPr="00A655A1">
              <w:t>0.07</w:t>
            </w:r>
            <w:r w:rsidR="007A1A8E" w:rsidRPr="00A655A1">
              <w:t xml:space="preserve"> </w:t>
            </w:r>
            <w:r w:rsidRPr="00A655A1">
              <w:t>(0.03, 0.12)</w:t>
            </w:r>
          </w:p>
        </w:tc>
      </w:tr>
    </w:tbl>
    <w:p w:rsidR="00A15C4B" w:rsidRPr="00A655A1" w:rsidRDefault="00A15C4B" w:rsidP="00A15C4B">
      <w:pPr>
        <w:pStyle w:val="TableFigureFooter"/>
        <w:rPr>
          <w:sz w:val="20"/>
        </w:rPr>
      </w:pPr>
      <w:r w:rsidRPr="00A655A1">
        <w:t>Source: Table 2-15, p72, Table 2-18, p77, Table 2-25, p89, Table 2-27, p91, Table 2-24, p88, and Table 2-29, p93, Table 2-30, p93 of the submission.</w:t>
      </w:r>
    </w:p>
    <w:p w:rsidR="00A15C4B" w:rsidRPr="00A655A1" w:rsidRDefault="00B27569" w:rsidP="00A15C4B">
      <w:pPr>
        <w:pStyle w:val="TableFigureFooter"/>
      </w:pPr>
      <w:r w:rsidRPr="00A655A1">
        <w:t xml:space="preserve">Bd = bortezomib + dexamethasone; CI = confidence interval; </w:t>
      </w:r>
      <w:r w:rsidR="00A15C4B" w:rsidRPr="00A655A1">
        <w:t xml:space="preserve">HR = hazard ratio; NE = not estimable; </w:t>
      </w:r>
      <w:r w:rsidR="00370B75" w:rsidRPr="00A655A1">
        <w:t>PN</w:t>
      </w:r>
      <w:r w:rsidR="0088601A" w:rsidRPr="00A655A1">
        <w:t xml:space="preserve"> </w:t>
      </w:r>
      <w:r w:rsidR="00370B75" w:rsidRPr="00A655A1">
        <w:t>=</w:t>
      </w:r>
      <w:r w:rsidR="0088601A" w:rsidRPr="00A655A1">
        <w:t xml:space="preserve"> peripheral neuropathy</w:t>
      </w:r>
      <w:r w:rsidR="00370B75" w:rsidRPr="00A655A1">
        <w:t xml:space="preserve">; </w:t>
      </w:r>
      <w:r w:rsidR="00A15C4B" w:rsidRPr="00A655A1">
        <w:t>RD = risk difference; RR = risk ratio</w:t>
      </w:r>
      <w:r w:rsidR="00370B75" w:rsidRPr="00A655A1">
        <w:t xml:space="preserve">; SAE= </w:t>
      </w:r>
      <w:r w:rsidR="0088601A" w:rsidRPr="00A655A1">
        <w:t>serious adverse event</w:t>
      </w:r>
      <w:r w:rsidR="00370B75" w:rsidRPr="00A655A1">
        <w:t xml:space="preserve">; </w:t>
      </w:r>
      <w:r w:rsidRPr="00A655A1">
        <w:t xml:space="preserve">SBd = selinexor + bortezomib + dexamethasone; </w:t>
      </w:r>
      <w:r w:rsidR="00370B75" w:rsidRPr="00A655A1">
        <w:t>TEAE</w:t>
      </w:r>
      <w:r w:rsidR="0088601A" w:rsidRPr="00A655A1">
        <w:t xml:space="preserve"> = treatment emergent adverse event. </w:t>
      </w:r>
    </w:p>
    <w:p w:rsidR="00A15C4B" w:rsidRPr="00A655A1" w:rsidRDefault="00A15C4B" w:rsidP="00A15C4B">
      <w:pPr>
        <w:pStyle w:val="TableFigureFooter"/>
      </w:pPr>
      <w:r w:rsidRPr="00A655A1">
        <w:t xml:space="preserve">Notes: </w:t>
      </w:r>
      <w:r w:rsidRPr="00A655A1">
        <w:rPr>
          <w:rFonts w:eastAsia="Calibri"/>
          <w:b/>
          <w:bCs/>
        </w:rPr>
        <w:t>Bold</w:t>
      </w:r>
      <w:r w:rsidRPr="00A655A1">
        <w:rPr>
          <w:rFonts w:eastAsia="Calibri"/>
        </w:rPr>
        <w:t xml:space="preserve"> indicates statistically significant results.</w:t>
      </w:r>
      <w:r w:rsidR="005200A1" w:rsidRPr="00A655A1">
        <w:rPr>
          <w:rFonts w:eastAsia="Calibri"/>
        </w:rPr>
        <w:t xml:space="preserve"> Only grade 3-4 adverse events with statistically significant difference were presented.</w:t>
      </w:r>
    </w:p>
    <w:p w:rsidR="00A15C4B" w:rsidRPr="00A655A1" w:rsidRDefault="00A15C4B" w:rsidP="00A15C4B">
      <w:pPr>
        <w:pStyle w:val="TableFigureFooter"/>
      </w:pPr>
      <w:r w:rsidRPr="00A655A1">
        <w:t>a. Median duration of follow up was 13.2 and 16.5 months for SBd and Bd respectively.</w:t>
      </w:r>
    </w:p>
    <w:p w:rsidR="00A15C4B" w:rsidRPr="00A655A1" w:rsidRDefault="00A15C4B" w:rsidP="00A15C4B">
      <w:pPr>
        <w:pStyle w:val="TableFigureFooter"/>
      </w:pPr>
      <w:r w:rsidRPr="00A655A1">
        <w:t>b. Median duration of follow up was 17.28 and 17.51 months for SBd and Bd respectively.</w:t>
      </w:r>
    </w:p>
    <w:p w:rsidR="00A15C4B" w:rsidRPr="00A655A1" w:rsidRDefault="00A15C4B" w:rsidP="00A15C4B">
      <w:pPr>
        <w:pStyle w:val="TableFigureFooter"/>
      </w:pPr>
      <w:r w:rsidRPr="00A655A1">
        <w:t>c. Median duration of study treatment was 30.0 weeks in the SBd arm and 32.0 weeks in the Bd arm, and the mean treatment durations were 40.0 and 38.3 weeks, respectively.</w:t>
      </w:r>
    </w:p>
    <w:p w:rsidR="00B479FA" w:rsidRPr="00B479FA" w:rsidRDefault="00B479FA" w:rsidP="00B479FA"/>
    <w:p w:rsidR="00A15C4B" w:rsidRPr="00A655A1" w:rsidRDefault="00A15C4B" w:rsidP="00707864">
      <w:pPr>
        <w:pStyle w:val="3-BodyText"/>
        <w:numPr>
          <w:ilvl w:val="1"/>
          <w:numId w:val="7"/>
        </w:numPr>
        <w:snapToGrid w:val="0"/>
      </w:pPr>
      <w:r w:rsidRPr="00A655A1">
        <w:t xml:space="preserve">On the basis of the direct evidence presented in BOSTON, </w:t>
      </w:r>
      <w:r w:rsidR="009427BA" w:rsidRPr="00A655A1">
        <w:t xml:space="preserve">after approximately 30 weeks treatment, </w:t>
      </w:r>
      <w:r w:rsidRPr="00A655A1">
        <w:t>for every 100 patients treated</w:t>
      </w:r>
      <w:r w:rsidR="00370B75" w:rsidRPr="00A655A1">
        <w:t xml:space="preserve"> </w:t>
      </w:r>
      <w:r w:rsidRPr="00A655A1">
        <w:t>with SBd in comparison with Bd:</w:t>
      </w:r>
    </w:p>
    <w:p w:rsidR="00A15C4B" w:rsidRPr="00A655A1" w:rsidRDefault="00A15C4B" w:rsidP="00707864">
      <w:pPr>
        <w:pStyle w:val="3-BodyText"/>
        <w:numPr>
          <w:ilvl w:val="0"/>
          <w:numId w:val="10"/>
        </w:numPr>
        <w:snapToGrid w:val="0"/>
        <w:ind w:left="1077" w:hanging="357"/>
      </w:pPr>
      <w:r w:rsidRPr="00A655A1">
        <w:t xml:space="preserve">Approximately </w:t>
      </w:r>
      <w:r w:rsidR="002740F2" w:rsidRPr="00A655A1">
        <w:t>2</w:t>
      </w:r>
      <w:r w:rsidR="00754258" w:rsidRPr="00A655A1">
        <w:t>4</w:t>
      </w:r>
      <w:r w:rsidRPr="00A655A1">
        <w:t xml:space="preserve"> additional patients would have </w:t>
      </w:r>
      <w:r w:rsidR="00C12F5A" w:rsidRPr="00A655A1">
        <w:t xml:space="preserve">treatment emergent adverse events </w:t>
      </w:r>
      <w:r w:rsidR="002740F2" w:rsidRPr="00A655A1">
        <w:t>(Grade 3+)</w:t>
      </w:r>
      <w:r w:rsidRPr="00A655A1">
        <w:t>.</w:t>
      </w:r>
    </w:p>
    <w:p w:rsidR="002740F2" w:rsidRPr="00A655A1" w:rsidRDefault="002740F2" w:rsidP="00707864">
      <w:pPr>
        <w:pStyle w:val="3-BodyText"/>
        <w:numPr>
          <w:ilvl w:val="0"/>
          <w:numId w:val="10"/>
        </w:numPr>
        <w:snapToGrid w:val="0"/>
        <w:ind w:left="1077" w:hanging="357"/>
      </w:pPr>
      <w:r w:rsidRPr="00A655A1">
        <w:t>Approximately 14 additional patients would have treatment emergent serious adverse events.</w:t>
      </w:r>
    </w:p>
    <w:p w:rsidR="00A15C4B" w:rsidRPr="00A655A1" w:rsidRDefault="00A15C4B" w:rsidP="00707864">
      <w:pPr>
        <w:pStyle w:val="3-BodyText"/>
        <w:numPr>
          <w:ilvl w:val="0"/>
          <w:numId w:val="10"/>
        </w:numPr>
        <w:snapToGrid w:val="0"/>
        <w:ind w:left="1077" w:hanging="357"/>
      </w:pPr>
      <w:r w:rsidRPr="00A655A1">
        <w:t xml:space="preserve">Approximately 22 additional patients would have thrombocytopenia </w:t>
      </w:r>
      <w:r w:rsidR="00E7431C" w:rsidRPr="00A655A1">
        <w:t>(</w:t>
      </w:r>
      <w:r w:rsidR="00E7431C" w:rsidRPr="00A655A1">
        <w:rPr>
          <w:iCs/>
        </w:rPr>
        <w:t>low platelet count detectable by testing)</w:t>
      </w:r>
      <w:r w:rsidRPr="00A655A1">
        <w:t>.</w:t>
      </w:r>
    </w:p>
    <w:p w:rsidR="00A15C4B" w:rsidRPr="00A655A1" w:rsidRDefault="00A15C4B" w:rsidP="00707864">
      <w:pPr>
        <w:pStyle w:val="3-BodyText"/>
        <w:numPr>
          <w:ilvl w:val="0"/>
          <w:numId w:val="10"/>
        </w:numPr>
        <w:snapToGrid w:val="0"/>
        <w:ind w:left="1077" w:hanging="357"/>
      </w:pPr>
      <w:r w:rsidRPr="00A655A1">
        <w:t xml:space="preserve">Approximately 5 additional patients would have neutropenia </w:t>
      </w:r>
      <w:r w:rsidR="00E7431C" w:rsidRPr="00A655A1">
        <w:t>(</w:t>
      </w:r>
      <w:r w:rsidR="00E7431C" w:rsidRPr="00A655A1">
        <w:rPr>
          <w:iCs/>
        </w:rPr>
        <w:t>low white cell count detectable by testing</w:t>
      </w:r>
      <w:r w:rsidR="00754258" w:rsidRPr="00A655A1">
        <w:rPr>
          <w:iCs/>
        </w:rPr>
        <w:t>)</w:t>
      </w:r>
      <w:r w:rsidRPr="00A655A1">
        <w:t>.</w:t>
      </w:r>
    </w:p>
    <w:p w:rsidR="00A15C4B" w:rsidRPr="00A655A1" w:rsidRDefault="00A15C4B" w:rsidP="00707864">
      <w:pPr>
        <w:pStyle w:val="3-BodyText"/>
        <w:numPr>
          <w:ilvl w:val="0"/>
          <w:numId w:val="10"/>
        </w:numPr>
        <w:snapToGrid w:val="0"/>
        <w:ind w:left="1077" w:hanging="357"/>
      </w:pPr>
      <w:r w:rsidRPr="00A655A1">
        <w:t>Approximately 7 additional patients would have cataract.</w:t>
      </w:r>
    </w:p>
    <w:p w:rsidR="00A15C4B" w:rsidRPr="00A655A1" w:rsidRDefault="00A15C4B" w:rsidP="00707864">
      <w:pPr>
        <w:pStyle w:val="3-BodyText"/>
        <w:numPr>
          <w:ilvl w:val="1"/>
          <w:numId w:val="7"/>
        </w:numPr>
        <w:snapToGrid w:val="0"/>
      </w:pPr>
      <w:r w:rsidRPr="00A655A1">
        <w:t>A summary of the benefits and harms was not presented for SBd versus Cd, given the non-inferiority nature of the claim.</w:t>
      </w:r>
    </w:p>
    <w:p w:rsidR="00A15C4B" w:rsidRPr="00A655A1" w:rsidRDefault="00A15C4B" w:rsidP="00A15C4B">
      <w:pPr>
        <w:pStyle w:val="4-SubsectionHeading"/>
      </w:pPr>
      <w:bookmarkStart w:id="29" w:name="_Toc22897644"/>
      <w:bookmarkStart w:id="30" w:name="_Toc22898856"/>
      <w:bookmarkStart w:id="31" w:name="_Toc72314263"/>
      <w:r w:rsidRPr="00A655A1">
        <w:t>Clinical claim</w:t>
      </w:r>
      <w:bookmarkEnd w:id="29"/>
      <w:bookmarkEnd w:id="30"/>
      <w:bookmarkEnd w:id="31"/>
    </w:p>
    <w:p w:rsidR="00A15C4B" w:rsidRPr="00A655A1" w:rsidRDefault="00A15C4B" w:rsidP="00707864">
      <w:pPr>
        <w:pStyle w:val="3-BodyText"/>
        <w:numPr>
          <w:ilvl w:val="1"/>
          <w:numId w:val="7"/>
        </w:numPr>
        <w:snapToGrid w:val="0"/>
        <w:rPr>
          <w:rFonts w:eastAsia="Calibri"/>
        </w:rPr>
      </w:pPr>
      <w:r w:rsidRPr="00A655A1">
        <w:rPr>
          <w:rFonts w:eastAsia="Calibri"/>
        </w:rPr>
        <w:t xml:space="preserve">The submission described SBd as superior in terms of effectiveness compared to Bd. </w:t>
      </w:r>
      <w:r w:rsidR="00D333F9" w:rsidRPr="00A655A1">
        <w:rPr>
          <w:rFonts w:eastAsia="Calibri"/>
        </w:rPr>
        <w:t xml:space="preserve">The </w:t>
      </w:r>
      <w:r w:rsidR="001C2336" w:rsidRPr="00A655A1">
        <w:rPr>
          <w:rFonts w:eastAsia="Calibri"/>
        </w:rPr>
        <w:t xml:space="preserve">ESC considered that SBd may demonstrate a small improvement in PFS (HR = 0.70; 95% CI: 0.53, 0.93); however, the claim </w:t>
      </w:r>
      <w:r w:rsidR="00D333F9" w:rsidRPr="00A655A1">
        <w:rPr>
          <w:rFonts w:eastAsia="Calibri"/>
        </w:rPr>
        <w:t>of superior efficacy was not supported in terms of OS</w:t>
      </w:r>
      <w:r w:rsidR="006C4CA2" w:rsidRPr="00A655A1">
        <w:rPr>
          <w:rFonts w:eastAsia="Calibri"/>
        </w:rPr>
        <w:t xml:space="preserve"> </w:t>
      </w:r>
      <w:r w:rsidR="006C4CA2" w:rsidRPr="00A655A1">
        <w:rPr>
          <w:rFonts w:eastAsia="Calibri"/>
          <w:iCs/>
        </w:rPr>
        <w:t>(HR =</w:t>
      </w:r>
      <w:r w:rsidR="001C2336" w:rsidRPr="00A655A1">
        <w:rPr>
          <w:rFonts w:eastAsia="Calibri"/>
          <w:iCs/>
        </w:rPr>
        <w:t xml:space="preserve"> </w:t>
      </w:r>
      <w:r w:rsidR="006C4CA2" w:rsidRPr="00A655A1">
        <w:rPr>
          <w:rFonts w:eastAsia="Calibri"/>
          <w:iCs/>
        </w:rPr>
        <w:t>0.84; 95% CI: 0.57, 1.23), noting that the data for OS was immature</w:t>
      </w:r>
      <w:r w:rsidR="00D333F9" w:rsidRPr="00A655A1">
        <w:rPr>
          <w:rFonts w:eastAsia="Calibri"/>
        </w:rPr>
        <w:t xml:space="preserve">. </w:t>
      </w:r>
    </w:p>
    <w:p w:rsidR="006D72E7" w:rsidRPr="00A655A1" w:rsidRDefault="006D72E7" w:rsidP="006D72E7">
      <w:pPr>
        <w:pStyle w:val="3-BodyText"/>
        <w:numPr>
          <w:ilvl w:val="1"/>
          <w:numId w:val="7"/>
        </w:numPr>
        <w:snapToGrid w:val="0"/>
        <w:rPr>
          <w:rFonts w:eastAsia="Calibri"/>
        </w:rPr>
      </w:pPr>
      <w:r w:rsidRPr="00A655A1">
        <w:rPr>
          <w:szCs w:val="20"/>
          <w:lang w:eastAsia="en-US"/>
        </w:rPr>
        <w:t>The PBAC considered that the claim that SBd demonstrated superior comparative effectiveness compared to Bd was reasonable in terms of PFS but was not adequately supported by the data in terms of OS.</w:t>
      </w:r>
    </w:p>
    <w:p w:rsidR="00A15C4B" w:rsidRPr="00A655A1" w:rsidRDefault="00A15C4B" w:rsidP="00707864">
      <w:pPr>
        <w:pStyle w:val="3-BodyText"/>
        <w:numPr>
          <w:ilvl w:val="1"/>
          <w:numId w:val="7"/>
        </w:numPr>
        <w:snapToGrid w:val="0"/>
        <w:rPr>
          <w:rFonts w:eastAsia="Calibri"/>
        </w:rPr>
      </w:pPr>
      <w:r w:rsidRPr="00A655A1">
        <w:rPr>
          <w:rFonts w:eastAsia="Calibri"/>
        </w:rPr>
        <w:t>The submission described SBd as different</w:t>
      </w:r>
      <w:r w:rsidR="00E7431C" w:rsidRPr="00A655A1">
        <w:rPr>
          <w:rFonts w:eastAsia="Calibri"/>
        </w:rPr>
        <w:t xml:space="preserve">, with a manageable safety profile, </w:t>
      </w:r>
      <w:r w:rsidRPr="00A655A1">
        <w:rPr>
          <w:rFonts w:eastAsia="Calibri"/>
        </w:rPr>
        <w:t xml:space="preserve">compared to Bd. </w:t>
      </w:r>
      <w:r w:rsidR="001D7775" w:rsidRPr="00A655A1">
        <w:rPr>
          <w:rFonts w:eastAsia="Calibri"/>
        </w:rPr>
        <w:t xml:space="preserve">This claim </w:t>
      </w:r>
      <w:r w:rsidR="00A64A94" w:rsidRPr="00A655A1">
        <w:rPr>
          <w:rFonts w:eastAsia="Calibri"/>
        </w:rPr>
        <w:t xml:space="preserve">was </w:t>
      </w:r>
      <w:r w:rsidR="001D7775" w:rsidRPr="00A655A1">
        <w:rPr>
          <w:rFonts w:eastAsia="Calibri"/>
        </w:rPr>
        <w:t>not reasonable as</w:t>
      </w:r>
      <w:r w:rsidR="00F72FF9" w:rsidRPr="00A655A1">
        <w:rPr>
          <w:rFonts w:eastAsia="Calibri"/>
        </w:rPr>
        <w:t xml:space="preserve"> t</w:t>
      </w:r>
      <w:r w:rsidRPr="00A655A1">
        <w:rPr>
          <w:rFonts w:eastAsia="Calibri"/>
        </w:rPr>
        <w:t xml:space="preserve">he data from BOSTON showed that SBd was associated with </w:t>
      </w:r>
      <w:r w:rsidR="001D7775" w:rsidRPr="00A655A1">
        <w:rPr>
          <w:rFonts w:eastAsia="Calibri"/>
        </w:rPr>
        <w:t xml:space="preserve">statistically significantly </w:t>
      </w:r>
      <w:r w:rsidR="006C4CA2" w:rsidRPr="00A655A1">
        <w:rPr>
          <w:rFonts w:eastAsia="Calibri"/>
        </w:rPr>
        <w:t xml:space="preserve">more </w:t>
      </w:r>
      <w:r w:rsidRPr="00A655A1">
        <w:rPr>
          <w:rFonts w:eastAsia="Calibri"/>
        </w:rPr>
        <w:t>SAEs, Grade 3</w:t>
      </w:r>
      <w:r w:rsidR="001D7775" w:rsidRPr="00A655A1">
        <w:rPr>
          <w:rFonts w:eastAsia="Calibri"/>
        </w:rPr>
        <w:t>/4</w:t>
      </w:r>
      <w:r w:rsidRPr="00A655A1">
        <w:rPr>
          <w:rFonts w:eastAsia="Calibri"/>
        </w:rPr>
        <w:t xml:space="preserve"> TEAEs </w:t>
      </w:r>
      <w:r w:rsidR="001D7775" w:rsidRPr="00A655A1">
        <w:rPr>
          <w:rFonts w:eastAsia="Calibri"/>
        </w:rPr>
        <w:t xml:space="preserve">and TEAEs resulting in dose modification, reduction or interruption compared to Bd. </w:t>
      </w:r>
      <w:r w:rsidR="00F72FF9" w:rsidRPr="00A655A1">
        <w:rPr>
          <w:rFonts w:eastAsia="Calibri"/>
        </w:rPr>
        <w:t>O</w:t>
      </w:r>
      <w:r w:rsidR="00003CFA" w:rsidRPr="00A655A1">
        <w:rPr>
          <w:rFonts w:eastAsia="Calibri"/>
        </w:rPr>
        <w:t xml:space="preserve">verall, </w:t>
      </w:r>
      <w:r w:rsidR="00A64A94" w:rsidRPr="00A655A1">
        <w:rPr>
          <w:rFonts w:eastAsia="Calibri"/>
        </w:rPr>
        <w:t xml:space="preserve">the ESC considered </w:t>
      </w:r>
      <w:r w:rsidR="00F72FF9" w:rsidRPr="00A655A1">
        <w:rPr>
          <w:rFonts w:eastAsia="Calibri"/>
        </w:rPr>
        <w:t>that SBd has an inferior safety profile to Bd.</w:t>
      </w:r>
    </w:p>
    <w:p w:rsidR="006D72E7" w:rsidRPr="00A655A1" w:rsidRDefault="006D72E7" w:rsidP="006D72E7">
      <w:pPr>
        <w:pStyle w:val="3-BodyText"/>
        <w:numPr>
          <w:ilvl w:val="1"/>
          <w:numId w:val="7"/>
        </w:numPr>
        <w:snapToGrid w:val="0"/>
        <w:rPr>
          <w:rFonts w:eastAsia="Calibri"/>
        </w:rPr>
      </w:pPr>
      <w:r w:rsidRPr="00A655A1">
        <w:rPr>
          <w:szCs w:val="20"/>
          <w:lang w:eastAsia="en-US"/>
        </w:rPr>
        <w:t>The PBAC considered that the claim that SBd demonstrated a different but manageable safety profile compared to Bd was not adequately supported by the data.</w:t>
      </w:r>
      <w:r w:rsidRPr="00A655A1">
        <w:rPr>
          <w:rFonts w:eastAsia="Calibri"/>
        </w:rPr>
        <w:t xml:space="preserve">   </w:t>
      </w:r>
    </w:p>
    <w:p w:rsidR="00A15C4B" w:rsidRPr="00A655A1" w:rsidRDefault="00A15C4B" w:rsidP="00707864">
      <w:pPr>
        <w:pStyle w:val="3-BodyText"/>
        <w:numPr>
          <w:ilvl w:val="1"/>
          <w:numId w:val="7"/>
        </w:numPr>
        <w:snapToGrid w:val="0"/>
        <w:rPr>
          <w:rFonts w:eastAsia="Calibri"/>
          <w:iCs/>
        </w:rPr>
      </w:pPr>
      <w:r w:rsidRPr="00A655A1">
        <w:rPr>
          <w:rFonts w:eastAsia="Calibri"/>
          <w:iCs/>
        </w:rPr>
        <w:t xml:space="preserve">On the basis of the ITC, the submission claimed that SBd was non-inferior in terms of efficacy and </w:t>
      </w:r>
      <w:r w:rsidR="00090452" w:rsidRPr="00A655A1">
        <w:rPr>
          <w:rFonts w:eastAsia="Calibri"/>
          <w:iCs/>
        </w:rPr>
        <w:t xml:space="preserve">had a </w:t>
      </w:r>
      <w:r w:rsidRPr="00A655A1">
        <w:rPr>
          <w:rFonts w:eastAsia="Calibri"/>
          <w:iCs/>
        </w:rPr>
        <w:t>comparable but different safety profile compared to Cd. The ITC was based on the assumption that the trials (BOSTON and ENDEAVOR) were comparable</w:t>
      </w:r>
      <w:r w:rsidR="00090452" w:rsidRPr="00A655A1">
        <w:rPr>
          <w:rFonts w:eastAsia="Calibri"/>
          <w:iCs/>
        </w:rPr>
        <w:t xml:space="preserve">; </w:t>
      </w:r>
      <w:r w:rsidR="00090452" w:rsidRPr="00A655A1">
        <w:rPr>
          <w:rFonts w:eastAsia="Calibri"/>
        </w:rPr>
        <w:t>h</w:t>
      </w:r>
      <w:r w:rsidRPr="00A655A1">
        <w:rPr>
          <w:rFonts w:eastAsia="Calibri"/>
        </w:rPr>
        <w:t xml:space="preserve">owever, there were a number of </w:t>
      </w:r>
      <w:r w:rsidR="008820B5" w:rsidRPr="00A655A1">
        <w:rPr>
          <w:rFonts w:eastAsia="Calibri"/>
        </w:rPr>
        <w:t xml:space="preserve">transitivity </w:t>
      </w:r>
      <w:r w:rsidRPr="00A655A1">
        <w:rPr>
          <w:rFonts w:eastAsia="Calibri"/>
        </w:rPr>
        <w:t xml:space="preserve">issues between the trials (patient baseline disposition, period of conduct, differences in comparator regimen). </w:t>
      </w:r>
      <w:r w:rsidR="008820B5" w:rsidRPr="00A655A1">
        <w:rPr>
          <w:rFonts w:eastAsia="Calibri"/>
        </w:rPr>
        <w:t>Moreover, t</w:t>
      </w:r>
      <w:r w:rsidRPr="00A655A1">
        <w:rPr>
          <w:rFonts w:eastAsia="Calibri"/>
        </w:rPr>
        <w:t>he submission did not present a measure of the relative treatment effect</w:t>
      </w:r>
      <w:r w:rsidR="00E7431C" w:rsidRPr="00A655A1">
        <w:rPr>
          <w:rFonts w:eastAsia="Calibri"/>
        </w:rPr>
        <w:t xml:space="preserve"> (one estimated </w:t>
      </w:r>
      <w:r w:rsidR="008820B5" w:rsidRPr="00A655A1">
        <w:rPr>
          <w:rFonts w:eastAsia="Calibri"/>
        </w:rPr>
        <w:t xml:space="preserve">by </w:t>
      </w:r>
      <w:r w:rsidR="00E7431C" w:rsidRPr="00A655A1">
        <w:rPr>
          <w:rFonts w:eastAsia="Calibri"/>
        </w:rPr>
        <w:t xml:space="preserve">the evaluation </w:t>
      </w:r>
      <w:r w:rsidR="008820B5" w:rsidRPr="00A655A1">
        <w:rPr>
          <w:rFonts w:eastAsia="Calibri"/>
        </w:rPr>
        <w:t xml:space="preserve">found a numerical difference that favoured Cd, </w:t>
      </w:r>
      <w:r w:rsidR="00FD4950" w:rsidRPr="00A655A1">
        <w:rPr>
          <w:rFonts w:eastAsia="Calibri"/>
        </w:rPr>
        <w:t>but which was</w:t>
      </w:r>
      <w:r w:rsidR="008820B5" w:rsidRPr="00A655A1">
        <w:rPr>
          <w:rFonts w:eastAsia="Calibri"/>
        </w:rPr>
        <w:t xml:space="preserve"> </w:t>
      </w:r>
      <w:r w:rsidR="00E7431C" w:rsidRPr="00A655A1">
        <w:rPr>
          <w:rFonts w:eastAsia="Calibri"/>
        </w:rPr>
        <w:t>not statistical</w:t>
      </w:r>
      <w:r w:rsidR="008F3A84" w:rsidRPr="00A655A1">
        <w:rPr>
          <w:rFonts w:eastAsia="Calibri"/>
        </w:rPr>
        <w:t>ly</w:t>
      </w:r>
      <w:r w:rsidR="00E7431C" w:rsidRPr="00A655A1">
        <w:rPr>
          <w:rFonts w:eastAsia="Calibri"/>
        </w:rPr>
        <w:t xml:space="preserve"> significant</w:t>
      </w:r>
      <w:r w:rsidR="008820B5" w:rsidRPr="00A655A1">
        <w:rPr>
          <w:rFonts w:eastAsia="Calibri"/>
        </w:rPr>
        <w:t>)</w:t>
      </w:r>
      <w:r w:rsidRPr="00A655A1">
        <w:rPr>
          <w:rFonts w:eastAsia="Calibri"/>
        </w:rPr>
        <w:t xml:space="preserve">. </w:t>
      </w:r>
    </w:p>
    <w:p w:rsidR="00A15C4B" w:rsidRPr="00A655A1" w:rsidRDefault="000874AC" w:rsidP="00707864">
      <w:pPr>
        <w:pStyle w:val="3-BodyText"/>
        <w:numPr>
          <w:ilvl w:val="1"/>
          <w:numId w:val="7"/>
        </w:numPr>
        <w:snapToGrid w:val="0"/>
        <w:rPr>
          <w:rFonts w:eastAsia="Calibri"/>
        </w:rPr>
      </w:pPr>
      <w:r w:rsidRPr="00A655A1">
        <w:rPr>
          <w:rFonts w:eastAsia="Calibri"/>
        </w:rPr>
        <w:t>T</w:t>
      </w:r>
      <w:r w:rsidR="00A15C4B" w:rsidRPr="00A655A1">
        <w:rPr>
          <w:rFonts w:eastAsia="Calibri"/>
        </w:rPr>
        <w:t xml:space="preserve">he absence of a statistically significant difference in PFS (albeit indirect) between SBd and Cd does not adequately establish non-inferiority; this would have required that the confidence limits of the difference in treatment effect did not include an </w:t>
      </w:r>
      <w:r w:rsidR="00A15C4B" w:rsidRPr="00A655A1">
        <w:rPr>
          <w:rFonts w:eastAsia="Calibri"/>
          <w:i/>
          <w:iCs/>
        </w:rPr>
        <w:t>a priori</w:t>
      </w:r>
      <w:r w:rsidR="00A15C4B" w:rsidRPr="00A655A1">
        <w:rPr>
          <w:rFonts w:eastAsia="Calibri"/>
        </w:rPr>
        <w:t xml:space="preserve"> stated clinically meaningful difference favouring the comparator (PBAC Guidelines, v5.0, 2016). Given the submission did not estimate the difference in treatment effect and did not include a stated clinically meaningful difference, </w:t>
      </w:r>
      <w:r w:rsidR="00A15C4B" w:rsidRPr="00A655A1">
        <w:rPr>
          <w:rFonts w:eastAsia="Calibri"/>
          <w:iCs/>
        </w:rPr>
        <w:t xml:space="preserve">the </w:t>
      </w:r>
      <w:r w:rsidR="00A64A94" w:rsidRPr="00A655A1">
        <w:rPr>
          <w:rFonts w:eastAsia="Calibri"/>
          <w:iCs/>
        </w:rPr>
        <w:t xml:space="preserve">ESC considered that </w:t>
      </w:r>
      <w:r w:rsidR="00A64A94" w:rsidRPr="00A655A1">
        <w:rPr>
          <w:rFonts w:eastAsia="Calibri"/>
        </w:rPr>
        <w:t xml:space="preserve">the </w:t>
      </w:r>
      <w:r w:rsidR="00A15C4B" w:rsidRPr="00A655A1">
        <w:rPr>
          <w:rFonts w:eastAsia="Calibri"/>
        </w:rPr>
        <w:t xml:space="preserve">clinical </w:t>
      </w:r>
      <w:r w:rsidR="00E42191" w:rsidRPr="00A655A1">
        <w:rPr>
          <w:rFonts w:eastAsia="Calibri"/>
        </w:rPr>
        <w:t xml:space="preserve">efficacy </w:t>
      </w:r>
      <w:r w:rsidR="00A15C4B" w:rsidRPr="00A655A1">
        <w:rPr>
          <w:rFonts w:eastAsia="Calibri"/>
        </w:rPr>
        <w:t xml:space="preserve">claim with respect to Cd </w:t>
      </w:r>
      <w:r w:rsidR="00A64A94" w:rsidRPr="00A655A1">
        <w:rPr>
          <w:rFonts w:eastAsia="Calibri"/>
        </w:rPr>
        <w:t xml:space="preserve">could not </w:t>
      </w:r>
      <w:r w:rsidR="00A15C4B" w:rsidRPr="00A655A1">
        <w:rPr>
          <w:rFonts w:eastAsia="Calibri"/>
        </w:rPr>
        <w:t>be supported.</w:t>
      </w:r>
      <w:r w:rsidR="00205FC4" w:rsidRPr="00A655A1">
        <w:rPr>
          <w:rFonts w:eastAsia="Calibri"/>
        </w:rPr>
        <w:t xml:space="preserve"> </w:t>
      </w:r>
      <w:r w:rsidR="005370EE" w:rsidRPr="00A655A1">
        <w:rPr>
          <w:rFonts w:eastAsia="Calibri"/>
        </w:rPr>
        <w:t>T</w:t>
      </w:r>
      <w:r w:rsidR="00205FC4" w:rsidRPr="00A655A1">
        <w:rPr>
          <w:rFonts w:eastAsia="Calibri"/>
        </w:rPr>
        <w:t xml:space="preserve">he ESC </w:t>
      </w:r>
      <w:r w:rsidR="005370EE" w:rsidRPr="00A655A1">
        <w:rPr>
          <w:rFonts w:eastAsia="Calibri"/>
        </w:rPr>
        <w:t xml:space="preserve">also </w:t>
      </w:r>
      <w:r w:rsidR="00205FC4" w:rsidRPr="00A655A1">
        <w:rPr>
          <w:rFonts w:eastAsia="Calibri"/>
        </w:rPr>
        <w:t xml:space="preserve">noted a </w:t>
      </w:r>
      <w:r w:rsidR="006B3388" w:rsidRPr="00A655A1">
        <w:rPr>
          <w:rFonts w:eastAsia="Calibri"/>
        </w:rPr>
        <w:t>statistically</w:t>
      </w:r>
      <w:r w:rsidR="00205FC4" w:rsidRPr="00A655A1">
        <w:rPr>
          <w:rFonts w:eastAsia="Calibri"/>
        </w:rPr>
        <w:t xml:space="preserve"> significant improvement in OS has been demonstrated for Cd, but not for SBd, versus Bd.</w:t>
      </w:r>
    </w:p>
    <w:p w:rsidR="006D72E7" w:rsidRPr="00A655A1" w:rsidRDefault="006D72E7" w:rsidP="00707864">
      <w:pPr>
        <w:pStyle w:val="3-BodyText"/>
        <w:numPr>
          <w:ilvl w:val="1"/>
          <w:numId w:val="7"/>
        </w:numPr>
        <w:snapToGrid w:val="0"/>
        <w:rPr>
          <w:rFonts w:eastAsia="Calibri"/>
        </w:rPr>
      </w:pPr>
      <w:r w:rsidRPr="00A655A1">
        <w:rPr>
          <w:szCs w:val="20"/>
          <w:lang w:eastAsia="en-US"/>
        </w:rPr>
        <w:t>The PBAC considered that the claim tha</w:t>
      </w:r>
      <w:r w:rsidR="00C12F5A" w:rsidRPr="00A655A1">
        <w:rPr>
          <w:szCs w:val="20"/>
          <w:lang w:eastAsia="en-US"/>
        </w:rPr>
        <w:t>t</w:t>
      </w:r>
      <w:r w:rsidRPr="00A655A1">
        <w:rPr>
          <w:szCs w:val="20"/>
          <w:lang w:eastAsia="en-US"/>
        </w:rPr>
        <w:t xml:space="preserve"> SBd was non-inferior compared to </w:t>
      </w:r>
      <w:r w:rsidR="00207B0A" w:rsidRPr="00A655A1">
        <w:rPr>
          <w:szCs w:val="20"/>
          <w:lang w:eastAsia="en-US"/>
        </w:rPr>
        <w:t>C</w:t>
      </w:r>
      <w:r w:rsidRPr="00A655A1">
        <w:rPr>
          <w:szCs w:val="20"/>
          <w:lang w:eastAsia="en-US"/>
        </w:rPr>
        <w:t>d in terms of effectiveness was not adequately supported by the data.</w:t>
      </w:r>
    </w:p>
    <w:p w:rsidR="006E6CBC" w:rsidRPr="00A655A1" w:rsidRDefault="00D8077F" w:rsidP="00707864">
      <w:pPr>
        <w:pStyle w:val="3-BodyText"/>
        <w:numPr>
          <w:ilvl w:val="1"/>
          <w:numId w:val="7"/>
        </w:numPr>
        <w:snapToGrid w:val="0"/>
        <w:rPr>
          <w:rFonts w:eastAsia="Calibri"/>
        </w:rPr>
      </w:pPr>
      <w:r w:rsidRPr="00A655A1">
        <w:rPr>
          <w:rFonts w:eastAsia="Calibri"/>
        </w:rPr>
        <w:t>In terms of comparative safety</w:t>
      </w:r>
      <w:r w:rsidR="00D67330" w:rsidRPr="00A655A1">
        <w:rPr>
          <w:rFonts w:eastAsia="Calibri"/>
        </w:rPr>
        <w:t xml:space="preserve"> of SBd </w:t>
      </w:r>
      <w:r w:rsidR="00BA1672" w:rsidRPr="00A655A1">
        <w:rPr>
          <w:rFonts w:eastAsia="Calibri"/>
        </w:rPr>
        <w:t>versus Cd</w:t>
      </w:r>
      <w:r w:rsidRPr="00A655A1">
        <w:rPr>
          <w:rFonts w:eastAsia="Calibri"/>
        </w:rPr>
        <w:t xml:space="preserve">, </w:t>
      </w:r>
      <w:r w:rsidR="007D3FC3" w:rsidRPr="00A655A1">
        <w:rPr>
          <w:rFonts w:eastAsia="Calibri"/>
          <w:iCs/>
        </w:rPr>
        <w:t xml:space="preserve">the </w:t>
      </w:r>
      <w:r w:rsidR="00A64A94" w:rsidRPr="00A655A1">
        <w:rPr>
          <w:rFonts w:eastAsia="Calibri"/>
          <w:iCs/>
        </w:rPr>
        <w:t>ESC considered that</w:t>
      </w:r>
      <w:r w:rsidR="00A64A94" w:rsidRPr="00A655A1">
        <w:rPr>
          <w:rFonts w:eastAsia="Calibri"/>
        </w:rPr>
        <w:t xml:space="preserve"> the </w:t>
      </w:r>
      <w:r w:rsidR="005F5F32" w:rsidRPr="00A655A1">
        <w:rPr>
          <w:rFonts w:eastAsia="Calibri"/>
        </w:rPr>
        <w:t xml:space="preserve">claim of </w:t>
      </w:r>
      <w:r w:rsidR="00DB3C0D" w:rsidRPr="00A655A1">
        <w:rPr>
          <w:rFonts w:eastAsia="Calibri"/>
        </w:rPr>
        <w:t xml:space="preserve">comparable but different </w:t>
      </w:r>
      <w:r w:rsidR="007D3FC3" w:rsidRPr="00A655A1">
        <w:rPr>
          <w:rFonts w:eastAsia="Calibri"/>
        </w:rPr>
        <w:t xml:space="preserve">safety profile </w:t>
      </w:r>
      <w:r w:rsidR="00A64A94" w:rsidRPr="00A655A1">
        <w:rPr>
          <w:rFonts w:eastAsia="Calibri"/>
        </w:rPr>
        <w:t xml:space="preserve">could not </w:t>
      </w:r>
      <w:r w:rsidR="007D3FC3" w:rsidRPr="00A655A1">
        <w:rPr>
          <w:rFonts w:eastAsia="Calibri"/>
        </w:rPr>
        <w:t xml:space="preserve">be supported given the </w:t>
      </w:r>
      <w:r w:rsidR="00F649C7" w:rsidRPr="00A655A1">
        <w:rPr>
          <w:rFonts w:eastAsia="Calibri"/>
        </w:rPr>
        <w:t>non-interpretable</w:t>
      </w:r>
      <w:r w:rsidR="00EB6285" w:rsidRPr="00A655A1">
        <w:rPr>
          <w:rFonts w:eastAsia="Calibri"/>
        </w:rPr>
        <w:t xml:space="preserve"> </w:t>
      </w:r>
      <w:r w:rsidR="000E28AE" w:rsidRPr="00A655A1">
        <w:rPr>
          <w:rFonts w:eastAsia="Calibri"/>
        </w:rPr>
        <w:t xml:space="preserve">measure of comparative effect </w:t>
      </w:r>
      <w:r w:rsidR="00F04317" w:rsidRPr="00A655A1">
        <w:rPr>
          <w:rFonts w:eastAsia="Calibri"/>
        </w:rPr>
        <w:t xml:space="preserve">(which was </w:t>
      </w:r>
      <w:r w:rsidR="002776FE" w:rsidRPr="00A655A1">
        <w:rPr>
          <w:rFonts w:eastAsia="Calibri"/>
        </w:rPr>
        <w:t>based on the comparison of data from single arms</w:t>
      </w:r>
      <w:r w:rsidR="004F36EE" w:rsidRPr="00A655A1">
        <w:rPr>
          <w:rFonts w:eastAsia="Calibri"/>
        </w:rPr>
        <w:t>)</w:t>
      </w:r>
      <w:r w:rsidR="00F04317" w:rsidRPr="00A655A1">
        <w:rPr>
          <w:rFonts w:eastAsia="Calibri"/>
        </w:rPr>
        <w:t xml:space="preserve">, </w:t>
      </w:r>
      <w:r w:rsidR="00AF2FB7" w:rsidRPr="00A655A1">
        <w:rPr>
          <w:rFonts w:eastAsia="Calibri"/>
        </w:rPr>
        <w:t>lack of common reference, and the underlying transitivity issues</w:t>
      </w:r>
      <w:r w:rsidR="000762BC" w:rsidRPr="00A655A1">
        <w:rPr>
          <w:rFonts w:eastAsia="Calibri"/>
        </w:rPr>
        <w:t>.</w:t>
      </w:r>
    </w:p>
    <w:p w:rsidR="00792C28" w:rsidRPr="00A655A1" w:rsidRDefault="006E6CBC" w:rsidP="00707864">
      <w:pPr>
        <w:pStyle w:val="3-BodyText"/>
        <w:numPr>
          <w:ilvl w:val="1"/>
          <w:numId w:val="7"/>
        </w:numPr>
        <w:snapToGrid w:val="0"/>
        <w:rPr>
          <w:rFonts w:eastAsia="Calibri"/>
        </w:rPr>
      </w:pPr>
      <w:r w:rsidRPr="00A655A1">
        <w:rPr>
          <w:szCs w:val="20"/>
          <w:lang w:eastAsia="en-US"/>
        </w:rPr>
        <w:t xml:space="preserve">The PBAC considered that the claim </w:t>
      </w:r>
      <w:r w:rsidR="006D72E7" w:rsidRPr="00A655A1">
        <w:rPr>
          <w:szCs w:val="20"/>
          <w:lang w:eastAsia="en-US"/>
        </w:rPr>
        <w:t xml:space="preserve">that SBd demonstrated a comparable but different safety profile compared to Cd </w:t>
      </w:r>
      <w:r w:rsidRPr="00A655A1">
        <w:rPr>
          <w:szCs w:val="20"/>
          <w:lang w:eastAsia="en-US"/>
        </w:rPr>
        <w:t>was not adequately supported by the data.</w:t>
      </w:r>
      <w:r w:rsidR="000762BC" w:rsidRPr="00A655A1">
        <w:rPr>
          <w:rFonts w:eastAsia="Calibri"/>
        </w:rPr>
        <w:t xml:space="preserve"> </w:t>
      </w:r>
      <w:r w:rsidR="00DB3C0D" w:rsidRPr="00A655A1">
        <w:rPr>
          <w:rFonts w:eastAsia="Calibri"/>
        </w:rPr>
        <w:t xml:space="preserve"> </w:t>
      </w:r>
      <w:r w:rsidR="000874AC" w:rsidRPr="00A655A1">
        <w:rPr>
          <w:rFonts w:eastAsia="Calibri"/>
        </w:rPr>
        <w:t xml:space="preserve"> </w:t>
      </w:r>
    </w:p>
    <w:p w:rsidR="00E53385" w:rsidRPr="00A655A1" w:rsidRDefault="00E53385" w:rsidP="00E53385">
      <w:pPr>
        <w:pStyle w:val="4-SubsectionHeading"/>
      </w:pPr>
      <w:bookmarkStart w:id="32" w:name="_Toc72314264"/>
      <w:r w:rsidRPr="00A655A1">
        <w:t>Economic analysis</w:t>
      </w:r>
      <w:bookmarkEnd w:id="3"/>
      <w:bookmarkEnd w:id="4"/>
      <w:bookmarkEnd w:id="32"/>
      <w:r w:rsidRPr="00A655A1">
        <w:t xml:space="preserve"> </w:t>
      </w:r>
    </w:p>
    <w:p w:rsidR="00E53385" w:rsidRPr="00A655A1" w:rsidRDefault="00E53385" w:rsidP="00E53385">
      <w:pPr>
        <w:pStyle w:val="3-BodyText"/>
        <w:rPr>
          <w:b/>
          <w:bCs/>
          <w:color w:val="0066FF"/>
        </w:rPr>
      </w:pPr>
      <w:r w:rsidRPr="00A655A1">
        <w:rPr>
          <w:color w:val="000000" w:themeColor="text1"/>
        </w:rPr>
        <w:t xml:space="preserve">The submission presented a CUA comparing SBd and Bd and a CMA comparing SBd and Cd. </w:t>
      </w:r>
    </w:p>
    <w:p w:rsidR="00E53385" w:rsidRPr="00A655A1" w:rsidRDefault="00E53385" w:rsidP="00E53385">
      <w:pPr>
        <w:pStyle w:val="3-BodyText"/>
        <w:keepNext/>
        <w:numPr>
          <w:ilvl w:val="0"/>
          <w:numId w:val="0"/>
        </w:numPr>
        <w:rPr>
          <w:color w:val="000000" w:themeColor="text1"/>
          <w:u w:val="single"/>
        </w:rPr>
      </w:pPr>
      <w:r w:rsidRPr="00A655A1">
        <w:rPr>
          <w:color w:val="000000" w:themeColor="text1"/>
          <w:u w:val="single"/>
        </w:rPr>
        <w:t>CUA – SBd v</w:t>
      </w:r>
      <w:r w:rsidR="00B64F77" w:rsidRPr="00A655A1">
        <w:rPr>
          <w:color w:val="000000" w:themeColor="text1"/>
          <w:u w:val="single"/>
        </w:rPr>
        <w:t>ersu</w:t>
      </w:r>
      <w:r w:rsidRPr="00A655A1">
        <w:rPr>
          <w:color w:val="000000" w:themeColor="text1"/>
          <w:u w:val="single"/>
        </w:rPr>
        <w:t>s Bd</w:t>
      </w:r>
    </w:p>
    <w:p w:rsidR="00E53385" w:rsidRPr="00A655A1" w:rsidRDefault="00E53385" w:rsidP="00E53385">
      <w:pPr>
        <w:pStyle w:val="3-BodyText"/>
        <w:rPr>
          <w:b/>
          <w:bCs/>
          <w:color w:val="0066FF"/>
        </w:rPr>
      </w:pPr>
      <w:r w:rsidRPr="00A655A1">
        <w:rPr>
          <w:color w:val="000000" w:themeColor="text1"/>
        </w:rPr>
        <w:t xml:space="preserve">The key components and assumptions of the CUA are presented in </w:t>
      </w:r>
      <w:r w:rsidR="007B3AB4" w:rsidRPr="00A655A1">
        <w:t xml:space="preserve">Table </w:t>
      </w:r>
      <w:r w:rsidR="007B3AB4">
        <w:rPr>
          <w:noProof/>
        </w:rPr>
        <w:t>1</w:t>
      </w:r>
      <w:r w:rsidR="00FD4950" w:rsidRPr="00A655A1">
        <w:rPr>
          <w:color w:val="000000" w:themeColor="text1"/>
        </w:rPr>
        <w:t>5</w:t>
      </w:r>
      <w:r w:rsidRPr="00A655A1">
        <w:rPr>
          <w:color w:val="000000" w:themeColor="text1"/>
        </w:rPr>
        <w:t xml:space="preserve">. </w:t>
      </w:r>
      <w:r w:rsidR="006B555E" w:rsidRPr="00A655A1">
        <w:rPr>
          <w:iCs/>
        </w:rPr>
        <w:t>The CUA was presented based on the clinical evidence from BOSTON, which relied on the difference in PFS (13.9 months SBd vs 9.46 months Bd; HR</w:t>
      </w:r>
      <w:r w:rsidR="00A91310" w:rsidRPr="00A655A1">
        <w:rPr>
          <w:iCs/>
        </w:rPr>
        <w:t xml:space="preserve"> </w:t>
      </w:r>
      <w:r w:rsidR="006B555E" w:rsidRPr="00A655A1">
        <w:rPr>
          <w:iCs/>
        </w:rPr>
        <w:t>=</w:t>
      </w:r>
      <w:r w:rsidR="00A91310" w:rsidRPr="00A655A1">
        <w:rPr>
          <w:iCs/>
        </w:rPr>
        <w:t xml:space="preserve"> </w:t>
      </w:r>
      <w:r w:rsidR="006B555E" w:rsidRPr="00A655A1">
        <w:rPr>
          <w:iCs/>
        </w:rPr>
        <w:t>0.70</w:t>
      </w:r>
      <w:r w:rsidR="00A57ED7" w:rsidRPr="00A655A1">
        <w:rPr>
          <w:iCs/>
        </w:rPr>
        <w:t>; 95% CI: 0.53, 0.93</w:t>
      </w:r>
      <w:r w:rsidR="006B555E" w:rsidRPr="00A655A1">
        <w:rPr>
          <w:iCs/>
        </w:rPr>
        <w:t xml:space="preserve">). </w:t>
      </w:r>
      <w:r w:rsidR="009427BA" w:rsidRPr="00A655A1">
        <w:rPr>
          <w:iCs/>
        </w:rPr>
        <w:t>Although t</w:t>
      </w:r>
      <w:r w:rsidR="006B555E" w:rsidRPr="00A655A1">
        <w:rPr>
          <w:iCs/>
          <w:color w:val="000000" w:themeColor="text1"/>
        </w:rPr>
        <w:t xml:space="preserve">he clinical evidence for OS was </w:t>
      </w:r>
      <w:r w:rsidR="005A53B4" w:rsidRPr="00A655A1">
        <w:rPr>
          <w:iCs/>
          <w:color w:val="000000" w:themeColor="text1"/>
        </w:rPr>
        <w:t>im</w:t>
      </w:r>
      <w:r w:rsidR="006B555E" w:rsidRPr="00A655A1">
        <w:rPr>
          <w:iCs/>
          <w:color w:val="000000" w:themeColor="text1"/>
        </w:rPr>
        <w:t>mature and not statistically significant</w:t>
      </w:r>
      <w:r w:rsidR="00B479FA">
        <w:rPr>
          <w:iCs/>
          <w:color w:val="000000" w:themeColor="text1"/>
        </w:rPr>
        <w:t xml:space="preserve"> (HR </w:t>
      </w:r>
      <w:r w:rsidR="00A57ED7" w:rsidRPr="00A655A1">
        <w:rPr>
          <w:iCs/>
          <w:color w:val="000000" w:themeColor="text1"/>
        </w:rPr>
        <w:t>= 0.84; 95% CI: 0.57, 1.23)</w:t>
      </w:r>
      <w:r w:rsidR="009427BA" w:rsidRPr="00A655A1">
        <w:rPr>
          <w:iCs/>
          <w:color w:val="000000" w:themeColor="text1"/>
        </w:rPr>
        <w:t xml:space="preserve"> an OS benefit for SBd was modelled</w:t>
      </w:r>
      <w:r w:rsidR="006B555E" w:rsidRPr="00A655A1">
        <w:rPr>
          <w:iCs/>
          <w:color w:val="000000" w:themeColor="text1"/>
        </w:rPr>
        <w:t>.</w:t>
      </w:r>
    </w:p>
    <w:p w:rsidR="00E53385" w:rsidRPr="00A655A1" w:rsidRDefault="00E53385" w:rsidP="00E53385">
      <w:pPr>
        <w:pStyle w:val="TableFigureHeading"/>
      </w:pPr>
      <w:bookmarkStart w:id="33" w:name="_Ref69197672"/>
      <w:r w:rsidRPr="00A655A1">
        <w:t xml:space="preserve">Table </w:t>
      </w:r>
      <w:r w:rsidR="007B3AB4">
        <w:rPr>
          <w:noProof/>
        </w:rPr>
        <w:t>1</w:t>
      </w:r>
      <w:bookmarkEnd w:id="33"/>
      <w:r w:rsidR="00FD4950" w:rsidRPr="00A655A1">
        <w:t>5</w:t>
      </w:r>
      <w:r w:rsidRPr="00A655A1">
        <w:t>: Key components of the economic evaluation (CUA)</w:t>
      </w:r>
    </w:p>
    <w:tbl>
      <w:tblPr>
        <w:tblStyle w:val="Submissionstandard"/>
        <w:tblW w:w="5000" w:type="pct"/>
        <w:tblLook w:val="04A0" w:firstRow="1" w:lastRow="0" w:firstColumn="1" w:lastColumn="0" w:noHBand="0" w:noVBand="1"/>
        <w:tblCaption w:val="Table 15: Key components of the economic evaluation (CUA)"/>
      </w:tblPr>
      <w:tblGrid>
        <w:gridCol w:w="2706"/>
        <w:gridCol w:w="6311"/>
      </w:tblGrid>
      <w:tr w:rsidR="00E53385" w:rsidRPr="00A655A1" w:rsidTr="0043067D">
        <w:trPr>
          <w:cnfStyle w:val="100000000000" w:firstRow="1" w:lastRow="0" w:firstColumn="0" w:lastColumn="0" w:oddVBand="0" w:evenVBand="0" w:oddHBand="0" w:evenHBand="0" w:firstRowFirstColumn="0" w:firstRowLastColumn="0" w:lastRowFirstColumn="0" w:lastRowLastColumn="0"/>
          <w:tblHeader/>
        </w:trPr>
        <w:tc>
          <w:tcPr>
            <w:tcW w:w="2706" w:type="dxa"/>
            <w:shd w:val="clear" w:color="auto" w:fill="auto"/>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Component</w:t>
            </w:r>
          </w:p>
        </w:tc>
        <w:tc>
          <w:tcPr>
            <w:tcW w:w="6311" w:type="dxa"/>
            <w:shd w:val="clear" w:color="auto" w:fill="auto"/>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Description</w:t>
            </w:r>
          </w:p>
        </w:tc>
      </w:tr>
      <w:tr w:rsidR="00E53385" w:rsidRPr="00A655A1" w:rsidTr="0043067D">
        <w:tc>
          <w:tcPr>
            <w:tcW w:w="2706" w:type="dxa"/>
            <w:vAlign w:val="center"/>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Treatments</w:t>
            </w:r>
          </w:p>
        </w:tc>
        <w:tc>
          <w:tcPr>
            <w:tcW w:w="6311" w:type="dxa"/>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SBd vs Bd</w:t>
            </w:r>
          </w:p>
        </w:tc>
      </w:tr>
      <w:tr w:rsidR="00E53385" w:rsidRPr="00A655A1" w:rsidTr="0043067D">
        <w:tc>
          <w:tcPr>
            <w:tcW w:w="2706" w:type="dxa"/>
            <w:vAlign w:val="center"/>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Time horizon</w:t>
            </w:r>
          </w:p>
        </w:tc>
        <w:tc>
          <w:tcPr>
            <w:tcW w:w="6311" w:type="dxa"/>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 xml:space="preserve">15 years </w:t>
            </w:r>
          </w:p>
        </w:tc>
      </w:tr>
      <w:tr w:rsidR="00E53385" w:rsidRPr="00A655A1" w:rsidTr="0043067D">
        <w:tc>
          <w:tcPr>
            <w:tcW w:w="2706" w:type="dxa"/>
            <w:vAlign w:val="center"/>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Outcomes</w:t>
            </w:r>
          </w:p>
        </w:tc>
        <w:tc>
          <w:tcPr>
            <w:tcW w:w="6311" w:type="dxa"/>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Incremental cost per QALY gained</w:t>
            </w:r>
          </w:p>
        </w:tc>
      </w:tr>
      <w:tr w:rsidR="00E53385" w:rsidRPr="00A655A1" w:rsidTr="0043067D">
        <w:tc>
          <w:tcPr>
            <w:tcW w:w="2706" w:type="dxa"/>
            <w:vAlign w:val="center"/>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Method used to generate results</w:t>
            </w:r>
          </w:p>
        </w:tc>
        <w:tc>
          <w:tcPr>
            <w:tcW w:w="6311" w:type="dxa"/>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Partitioned survival model incorporating a cohort expected value analysis</w:t>
            </w:r>
          </w:p>
        </w:tc>
      </w:tr>
      <w:tr w:rsidR="00E53385" w:rsidRPr="00A655A1" w:rsidTr="0043067D">
        <w:tc>
          <w:tcPr>
            <w:tcW w:w="2706" w:type="dxa"/>
            <w:vAlign w:val="center"/>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Health states</w:t>
            </w:r>
          </w:p>
        </w:tc>
        <w:tc>
          <w:tcPr>
            <w:tcW w:w="6311" w:type="dxa"/>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Three: progression free (PF), progressive disease (PD) and death</w:t>
            </w:r>
          </w:p>
        </w:tc>
      </w:tr>
      <w:tr w:rsidR="00E53385" w:rsidRPr="00A655A1" w:rsidTr="0043067D">
        <w:tc>
          <w:tcPr>
            <w:tcW w:w="2706" w:type="dxa"/>
            <w:vAlign w:val="center"/>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Cycle length</w:t>
            </w:r>
          </w:p>
        </w:tc>
        <w:tc>
          <w:tcPr>
            <w:tcW w:w="6311" w:type="dxa"/>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1 week</w:t>
            </w:r>
          </w:p>
        </w:tc>
      </w:tr>
      <w:tr w:rsidR="00E53385" w:rsidRPr="00A655A1" w:rsidTr="0043067D">
        <w:tc>
          <w:tcPr>
            <w:tcW w:w="2706" w:type="dxa"/>
            <w:vAlign w:val="center"/>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Allocation of health states</w:t>
            </w:r>
          </w:p>
        </w:tc>
        <w:tc>
          <w:tcPr>
            <w:tcW w:w="6311" w:type="dxa"/>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Derived from time to event analyses (OS</w:t>
            </w:r>
            <w:r w:rsidR="00B94085" w:rsidRPr="00A655A1">
              <w:rPr>
                <w:rFonts w:ascii="Arial Narrow" w:hAnsi="Arial Narrow"/>
                <w:lang w:val="en-AU"/>
              </w:rPr>
              <w:t xml:space="preserve"> </w:t>
            </w:r>
            <w:r w:rsidR="00B94085" w:rsidRPr="00A655A1">
              <w:rPr>
                <w:rFonts w:ascii="Arial Narrow" w:hAnsi="Arial Narrow"/>
                <w:vertAlign w:val="superscript"/>
                <w:lang w:val="en-AU"/>
              </w:rPr>
              <w:t>a</w:t>
            </w:r>
            <w:r w:rsidRPr="00A655A1">
              <w:rPr>
                <w:rFonts w:ascii="Arial Narrow" w:hAnsi="Arial Narrow"/>
                <w:lang w:val="en-AU"/>
              </w:rPr>
              <w:t>, PFS and TTD/TOT) from BOSTON</w:t>
            </w:r>
          </w:p>
        </w:tc>
      </w:tr>
      <w:tr w:rsidR="00E53385" w:rsidRPr="00A655A1" w:rsidTr="0043067D">
        <w:tc>
          <w:tcPr>
            <w:tcW w:w="2706" w:type="dxa"/>
            <w:vAlign w:val="center"/>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Extrapolation approach (area under the curve)</w:t>
            </w:r>
          </w:p>
        </w:tc>
        <w:tc>
          <w:tcPr>
            <w:tcW w:w="6311" w:type="dxa"/>
          </w:tcPr>
          <w:p w:rsidR="00E53385" w:rsidRPr="00A655A1" w:rsidRDefault="00E53385" w:rsidP="00B479FA">
            <w:pPr>
              <w:pStyle w:val="TableLeft"/>
              <w:keepNext/>
              <w:spacing w:after="80"/>
              <w:rPr>
                <w:rFonts w:ascii="Arial Narrow" w:hAnsi="Arial Narrow"/>
                <w:lang w:val="en-AU"/>
              </w:rPr>
            </w:pPr>
            <w:r w:rsidRPr="00A655A1">
              <w:rPr>
                <w:rFonts w:ascii="Arial Narrow" w:hAnsi="Arial Narrow"/>
                <w:lang w:val="en-AU"/>
              </w:rPr>
              <w:t>The time points (months) from which the extrapolations began</w:t>
            </w:r>
            <w:r w:rsidR="00E42191" w:rsidRPr="00A655A1">
              <w:rPr>
                <w:rFonts w:ascii="Arial Narrow" w:hAnsi="Arial Narrow"/>
                <w:lang w:val="en-AU"/>
              </w:rPr>
              <w:t>,</w:t>
            </w:r>
            <w:r w:rsidRPr="00A655A1">
              <w:rPr>
                <w:rFonts w:ascii="Arial Narrow" w:hAnsi="Arial Narrow"/>
                <w:lang w:val="en-AU"/>
              </w:rPr>
              <w:t xml:space="preserve"> were based on the median follow-up in each treatment arm of BOSTON:</w:t>
            </w:r>
          </w:p>
          <w:p w:rsidR="00E53385" w:rsidRPr="00A655A1" w:rsidRDefault="00E53385" w:rsidP="00B479FA">
            <w:pPr>
              <w:pStyle w:val="TableLeft"/>
              <w:keepNext/>
              <w:rPr>
                <w:rFonts w:ascii="Arial Narrow" w:hAnsi="Arial Narrow"/>
                <w:lang w:val="en-AU"/>
              </w:rPr>
            </w:pPr>
            <w:r w:rsidRPr="00A655A1">
              <w:rPr>
                <w:rFonts w:ascii="Arial Narrow" w:hAnsi="Arial Narrow"/>
                <w:lang w:val="en-AU"/>
              </w:rPr>
              <w:t>SBd: OS – 17.28 months; PFS – 13.17 months; TTD – 13.17 months </w:t>
            </w:r>
            <w:r w:rsidR="00B94085" w:rsidRPr="00A655A1">
              <w:rPr>
                <w:rFonts w:ascii="Arial Narrow" w:hAnsi="Arial Narrow"/>
                <w:vertAlign w:val="superscript"/>
                <w:lang w:val="en-AU"/>
              </w:rPr>
              <w:t>b</w:t>
            </w:r>
          </w:p>
          <w:p w:rsidR="00E53385" w:rsidRPr="00A655A1" w:rsidRDefault="00E53385" w:rsidP="00B479FA">
            <w:pPr>
              <w:pStyle w:val="TableLeft"/>
              <w:keepNext/>
              <w:spacing w:after="80"/>
              <w:rPr>
                <w:rFonts w:ascii="Arial Narrow" w:hAnsi="Arial Narrow"/>
                <w:i/>
                <w:iCs/>
                <w:lang w:val="en-AU"/>
              </w:rPr>
            </w:pPr>
            <w:r w:rsidRPr="00A655A1">
              <w:rPr>
                <w:rFonts w:ascii="Arial Narrow" w:hAnsi="Arial Narrow"/>
                <w:lang w:val="en-AU"/>
              </w:rPr>
              <w:t>Bd:</w:t>
            </w:r>
            <w:r w:rsidRPr="00A655A1">
              <w:rPr>
                <w:rFonts w:ascii="Arial Narrow" w:hAnsi="Arial Narrow"/>
                <w:i/>
                <w:iCs/>
                <w:lang w:val="en-AU"/>
              </w:rPr>
              <w:t xml:space="preserve"> </w:t>
            </w:r>
            <w:r w:rsidRPr="00A655A1">
              <w:rPr>
                <w:rFonts w:ascii="Arial Narrow" w:hAnsi="Arial Narrow"/>
                <w:lang w:val="en-AU"/>
              </w:rPr>
              <w:t xml:space="preserve">OS – 17.51 months; PFS – 16.53 months; TTD – 16.53 months </w:t>
            </w:r>
            <w:r w:rsidR="00B94085" w:rsidRPr="00A655A1">
              <w:rPr>
                <w:rFonts w:ascii="Arial Narrow" w:hAnsi="Arial Narrow"/>
                <w:vertAlign w:val="superscript"/>
                <w:lang w:val="en-AU"/>
              </w:rPr>
              <w:t>b</w:t>
            </w:r>
          </w:p>
          <w:p w:rsidR="00E53385" w:rsidRPr="00A655A1" w:rsidRDefault="00E53385" w:rsidP="00B479FA">
            <w:pPr>
              <w:pStyle w:val="TableLeft"/>
              <w:keepNext/>
              <w:rPr>
                <w:rFonts w:ascii="Arial Narrow" w:hAnsi="Arial Narrow"/>
                <w:lang w:val="en-AU"/>
              </w:rPr>
            </w:pPr>
            <w:r w:rsidRPr="00A655A1">
              <w:rPr>
                <w:rFonts w:ascii="Arial Narrow" w:hAnsi="Arial Narrow"/>
                <w:lang w:val="en-AU"/>
              </w:rPr>
              <w:t>The parametric survival functions applied for the extrapolations were as follows:</w:t>
            </w:r>
          </w:p>
          <w:p w:rsidR="00E53385" w:rsidRPr="00A655A1" w:rsidRDefault="00E53385" w:rsidP="00B479FA">
            <w:pPr>
              <w:pStyle w:val="TableLeft"/>
              <w:keepNext/>
              <w:rPr>
                <w:rFonts w:ascii="Arial Narrow" w:hAnsi="Arial Narrow"/>
                <w:lang w:val="en-AU"/>
              </w:rPr>
            </w:pPr>
            <w:r w:rsidRPr="00A655A1">
              <w:rPr>
                <w:rFonts w:ascii="Arial Narrow" w:hAnsi="Arial Narrow"/>
                <w:lang w:val="en-AU"/>
              </w:rPr>
              <w:t xml:space="preserve">PFS to PD – </w:t>
            </w:r>
            <w:r w:rsidR="005A1A03" w:rsidRPr="00A655A1">
              <w:rPr>
                <w:rFonts w:ascii="Arial Narrow" w:hAnsi="Arial Narrow"/>
                <w:lang w:val="en-AU"/>
              </w:rPr>
              <w:t>D</w:t>
            </w:r>
            <w:r w:rsidR="001177D0" w:rsidRPr="00A655A1">
              <w:rPr>
                <w:rFonts w:ascii="Arial Narrow" w:hAnsi="Arial Narrow"/>
                <w:lang w:val="en-AU"/>
              </w:rPr>
              <w:t>ependent</w:t>
            </w:r>
            <w:r w:rsidRPr="00A655A1">
              <w:rPr>
                <w:rFonts w:ascii="Arial Narrow" w:hAnsi="Arial Narrow"/>
                <w:lang w:val="en-AU"/>
              </w:rPr>
              <w:t xml:space="preserve"> log-normal model with treatment as a covariate.</w:t>
            </w:r>
          </w:p>
          <w:p w:rsidR="00E53385" w:rsidRPr="00A655A1" w:rsidRDefault="00E53385" w:rsidP="00B479FA">
            <w:pPr>
              <w:pStyle w:val="TableLeft"/>
              <w:keepNext/>
              <w:rPr>
                <w:rFonts w:ascii="Arial Narrow" w:hAnsi="Arial Narrow"/>
                <w:lang w:val="en-AU"/>
              </w:rPr>
            </w:pPr>
            <w:r w:rsidRPr="00A655A1">
              <w:rPr>
                <w:rFonts w:ascii="Arial Narrow" w:hAnsi="Arial Narrow"/>
                <w:lang w:val="en-AU"/>
              </w:rPr>
              <w:t xml:space="preserve">Survival to death – </w:t>
            </w:r>
            <w:r w:rsidR="005A1A03" w:rsidRPr="00A655A1">
              <w:rPr>
                <w:rFonts w:ascii="Arial Narrow" w:hAnsi="Arial Narrow"/>
                <w:lang w:val="en-AU"/>
              </w:rPr>
              <w:t xml:space="preserve">Dependent </w:t>
            </w:r>
            <w:r w:rsidRPr="00A655A1">
              <w:rPr>
                <w:rFonts w:ascii="Arial Narrow" w:hAnsi="Arial Narrow"/>
                <w:lang w:val="en-AU"/>
              </w:rPr>
              <w:t>exponential model with treatment as a covariate.</w:t>
            </w:r>
          </w:p>
          <w:p w:rsidR="00E53385" w:rsidRPr="00A655A1" w:rsidRDefault="00E53385" w:rsidP="00B479FA">
            <w:pPr>
              <w:pStyle w:val="TableLeft"/>
              <w:keepNext/>
              <w:rPr>
                <w:rFonts w:ascii="Arial Narrow" w:hAnsi="Arial Narrow"/>
                <w:lang w:val="en-AU"/>
              </w:rPr>
            </w:pPr>
            <w:r w:rsidRPr="00A655A1">
              <w:rPr>
                <w:rFonts w:ascii="Arial Narrow" w:hAnsi="Arial Narrow"/>
                <w:lang w:val="en-AU"/>
              </w:rPr>
              <w:t>TTD – Independently fit log-normal (SBd) and log-logistic (Bd)</w:t>
            </w:r>
          </w:p>
        </w:tc>
      </w:tr>
      <w:tr w:rsidR="00E53385" w:rsidRPr="00A655A1" w:rsidTr="0043067D">
        <w:tc>
          <w:tcPr>
            <w:tcW w:w="2706" w:type="dxa"/>
          </w:tcPr>
          <w:p w:rsidR="00E53385" w:rsidRPr="00A655A1" w:rsidRDefault="00E53385" w:rsidP="00B479FA">
            <w:pPr>
              <w:pStyle w:val="TableLeft"/>
              <w:keepNext/>
              <w:rPr>
                <w:rFonts w:ascii="Arial Narrow" w:hAnsi="Arial Narrow"/>
                <w:lang w:val="en-AU"/>
              </w:rPr>
            </w:pPr>
            <w:r w:rsidRPr="00A655A1">
              <w:rPr>
                <w:rFonts w:ascii="Arial Narrow" w:hAnsi="Arial Narrow"/>
                <w:lang w:val="en-AU"/>
              </w:rPr>
              <w:t>Health related quality of life</w:t>
            </w:r>
          </w:p>
        </w:tc>
        <w:tc>
          <w:tcPr>
            <w:tcW w:w="6311" w:type="dxa"/>
          </w:tcPr>
          <w:p w:rsidR="00E53385" w:rsidRPr="00A655A1" w:rsidRDefault="00E53385" w:rsidP="00B479FA">
            <w:pPr>
              <w:pStyle w:val="TableLeft"/>
              <w:keepNext/>
              <w:spacing w:after="80"/>
              <w:rPr>
                <w:rFonts w:ascii="Arial Narrow" w:hAnsi="Arial Narrow"/>
                <w:i/>
                <w:iCs/>
                <w:lang w:val="en-AU"/>
              </w:rPr>
            </w:pPr>
            <w:r w:rsidRPr="00A655A1">
              <w:rPr>
                <w:rFonts w:ascii="Arial Narrow" w:hAnsi="Arial Narrow"/>
                <w:lang w:val="en-AU"/>
              </w:rPr>
              <w:t xml:space="preserve">Health state utility values based on ENDEAVOR – PF (0.741) and PD (0.665). </w:t>
            </w:r>
          </w:p>
          <w:p w:rsidR="00E53385" w:rsidRPr="00A655A1" w:rsidRDefault="00E53385" w:rsidP="00B479FA">
            <w:pPr>
              <w:pStyle w:val="TableLeft"/>
              <w:keepNext/>
              <w:rPr>
                <w:rFonts w:ascii="Arial Narrow" w:hAnsi="Arial Narrow"/>
                <w:lang w:val="en-AU"/>
              </w:rPr>
            </w:pPr>
            <w:r w:rsidRPr="00A655A1">
              <w:rPr>
                <w:rFonts w:ascii="Arial Narrow" w:hAnsi="Arial Narrow"/>
                <w:lang w:val="en-AU"/>
              </w:rPr>
              <w:t>AE associated disutilites were based on BOSTON</w:t>
            </w:r>
          </w:p>
        </w:tc>
      </w:tr>
    </w:tbl>
    <w:p w:rsidR="00E53385" w:rsidRPr="00A655A1" w:rsidRDefault="00E53385" w:rsidP="00E53385">
      <w:pPr>
        <w:pStyle w:val="TableFigureFooter"/>
      </w:pPr>
      <w:r w:rsidRPr="00A655A1">
        <w:t>Source: Table 3-1, pp123-4 of the submission; developed during the evaluation</w:t>
      </w:r>
    </w:p>
    <w:p w:rsidR="00E53385" w:rsidRPr="00A655A1" w:rsidRDefault="00E53385" w:rsidP="00E53385">
      <w:pPr>
        <w:pStyle w:val="TableFigureFooter"/>
        <w:rPr>
          <w:rStyle w:val="eop"/>
          <w:rFonts w:cs="Segoe UI"/>
          <w:color w:val="000000"/>
          <w:szCs w:val="18"/>
        </w:rPr>
      </w:pPr>
      <w:r w:rsidRPr="00A655A1">
        <w:rPr>
          <w:rStyle w:val="normaltextrun"/>
          <w:rFonts w:cs="Segoe UI"/>
          <w:szCs w:val="18"/>
        </w:rPr>
        <w:t>AE = adverse event; Bd = bortezomib + dexamethasone; </w:t>
      </w:r>
      <w:r w:rsidR="002B0E5E" w:rsidRPr="00A655A1">
        <w:rPr>
          <w:rStyle w:val="normaltextrun"/>
          <w:rFonts w:cs="Segoe UI"/>
          <w:szCs w:val="18"/>
        </w:rPr>
        <w:t xml:space="preserve">CUA = cost utility analysis; </w:t>
      </w:r>
      <w:r w:rsidRPr="00A655A1">
        <w:rPr>
          <w:rStyle w:val="normaltextrun"/>
          <w:rFonts w:cs="Segoe UI"/>
          <w:szCs w:val="18"/>
        </w:rPr>
        <w:t>OS = overall survival; PD = progressive disease; PF = progression free; PFS = progression free survival; QALY = quality adjusted life year; TOT = time on treatment; TTD = time to treatment discontinuation; SBd = selinexor + bortezomib + dexamethasone</w:t>
      </w:r>
      <w:r w:rsidRPr="00A655A1">
        <w:rPr>
          <w:rStyle w:val="eop"/>
          <w:rFonts w:cs="Segoe UI"/>
          <w:color w:val="000000"/>
          <w:szCs w:val="18"/>
        </w:rPr>
        <w:t> </w:t>
      </w:r>
    </w:p>
    <w:p w:rsidR="00B94085" w:rsidRPr="00A655A1" w:rsidRDefault="00B27569" w:rsidP="00E53385">
      <w:pPr>
        <w:pStyle w:val="TableFigureFooter"/>
        <w:rPr>
          <w:rStyle w:val="normaltextrun"/>
          <w:rFonts w:cs="Segoe UI"/>
          <w:szCs w:val="18"/>
        </w:rPr>
      </w:pPr>
      <w:r w:rsidRPr="00A655A1">
        <w:rPr>
          <w:rStyle w:val="normaltextrun"/>
          <w:rFonts w:cs="Segoe UI"/>
          <w:szCs w:val="18"/>
        </w:rPr>
        <w:t xml:space="preserve">a. </w:t>
      </w:r>
      <w:r w:rsidR="00BC1426" w:rsidRPr="00A655A1">
        <w:rPr>
          <w:rStyle w:val="normaltextrun"/>
          <w:rFonts w:cs="Segoe UI"/>
          <w:szCs w:val="18"/>
        </w:rPr>
        <w:t xml:space="preserve">OS </w:t>
      </w:r>
      <w:r w:rsidR="006F1C35" w:rsidRPr="00A655A1">
        <w:rPr>
          <w:rStyle w:val="normaltextrun"/>
          <w:rFonts w:cs="Segoe UI"/>
          <w:szCs w:val="18"/>
        </w:rPr>
        <w:t xml:space="preserve">adjusted for treatment crossover using the two-stage estimation method </w:t>
      </w:r>
    </w:p>
    <w:p w:rsidR="00E53385" w:rsidRPr="00A655A1" w:rsidRDefault="00B27569" w:rsidP="00E53385">
      <w:pPr>
        <w:pStyle w:val="TableFigureFooter"/>
      </w:pPr>
      <w:r w:rsidRPr="00A655A1">
        <w:rPr>
          <w:rStyle w:val="normaltextrun"/>
          <w:rFonts w:cs="Segoe UI"/>
          <w:szCs w:val="18"/>
        </w:rPr>
        <w:t xml:space="preserve">b. </w:t>
      </w:r>
      <w:r w:rsidR="00E53385" w:rsidRPr="00A655A1">
        <w:rPr>
          <w:rStyle w:val="normaltextrun"/>
          <w:rFonts w:cs="Segoe UI"/>
          <w:szCs w:val="18"/>
        </w:rPr>
        <w:t>As median follow-up for time to treatment discontinuation was not reported in BOSTON, the model assumes that the follow-up was the same as for progression-free survival.</w:t>
      </w:r>
      <w:r w:rsidR="00E53385" w:rsidRPr="00A655A1">
        <w:rPr>
          <w:rStyle w:val="eop"/>
          <w:rFonts w:cs="Segoe UI"/>
          <w:color w:val="000000"/>
          <w:szCs w:val="18"/>
        </w:rPr>
        <w:t> </w:t>
      </w:r>
    </w:p>
    <w:p w:rsidR="00E53385" w:rsidRPr="00A655A1" w:rsidRDefault="00E53385" w:rsidP="00E53385">
      <w:pPr>
        <w:pStyle w:val="3-BodyText"/>
        <w:rPr>
          <w:color w:val="0066FF"/>
        </w:rPr>
      </w:pPr>
      <w:r w:rsidRPr="00A655A1">
        <w:t xml:space="preserve">The time horizon of the economic model was 15 years in the base case. </w:t>
      </w:r>
      <w:r w:rsidRPr="00A655A1">
        <w:rPr>
          <w:iCs/>
        </w:rPr>
        <w:t xml:space="preserve">However, the transition probabilities that inform the model </w:t>
      </w:r>
      <w:r w:rsidR="00501A73" w:rsidRPr="00A655A1">
        <w:rPr>
          <w:iCs/>
        </w:rPr>
        <w:t>were</w:t>
      </w:r>
      <w:r w:rsidRPr="00A655A1">
        <w:rPr>
          <w:iCs/>
        </w:rPr>
        <w:t xml:space="preserve"> derived from BOSTON </w:t>
      </w:r>
      <w:r w:rsidR="006D155A" w:rsidRPr="00A655A1">
        <w:rPr>
          <w:iCs/>
        </w:rPr>
        <w:t xml:space="preserve">with an </w:t>
      </w:r>
      <w:r w:rsidRPr="00A655A1">
        <w:rPr>
          <w:iCs/>
        </w:rPr>
        <w:t>approximat</w:t>
      </w:r>
      <w:r w:rsidR="006D155A" w:rsidRPr="00A655A1">
        <w:rPr>
          <w:iCs/>
        </w:rPr>
        <w:t>e</w:t>
      </w:r>
      <w:r w:rsidRPr="00A655A1">
        <w:rPr>
          <w:iCs/>
        </w:rPr>
        <w:t xml:space="preserve"> median follow-up</w:t>
      </w:r>
      <w:r w:rsidR="006D155A" w:rsidRPr="00A655A1">
        <w:rPr>
          <w:iCs/>
        </w:rPr>
        <w:t xml:space="preserve"> for OS of 17 months</w:t>
      </w:r>
      <w:r w:rsidRPr="00A655A1">
        <w:rPr>
          <w:iCs/>
        </w:rPr>
        <w:t xml:space="preserve"> </w:t>
      </w:r>
      <w:r w:rsidR="006D155A" w:rsidRPr="00A655A1">
        <w:rPr>
          <w:iCs/>
        </w:rPr>
        <w:t>(</w:t>
      </w:r>
      <w:r w:rsidR="00D34114" w:rsidRPr="00A655A1">
        <w:rPr>
          <w:iCs/>
        </w:rPr>
        <w:t>i.e.</w:t>
      </w:r>
      <w:r w:rsidRPr="00A655A1">
        <w:rPr>
          <w:iCs/>
        </w:rPr>
        <w:t xml:space="preserve"> less than 10% of the overall time horizon applied in the model). </w:t>
      </w:r>
      <w:r w:rsidR="006B555E" w:rsidRPr="00A655A1">
        <w:rPr>
          <w:iCs/>
        </w:rPr>
        <w:t>E</w:t>
      </w:r>
      <w:r w:rsidRPr="00A655A1">
        <w:rPr>
          <w:iCs/>
        </w:rPr>
        <w:t>xtensive extrapolation of the time horizon (to 15 years) led to a high degree of uncertainty with respect to the model outputs.</w:t>
      </w:r>
      <w:r w:rsidR="00C0323C" w:rsidRPr="00A655A1">
        <w:rPr>
          <w:iCs/>
        </w:rPr>
        <w:t xml:space="preserve"> </w:t>
      </w:r>
      <w:r w:rsidR="00E33D58" w:rsidRPr="00A655A1">
        <w:t>The ESC considered that</w:t>
      </w:r>
      <w:r w:rsidR="00E33D58" w:rsidRPr="00A655A1">
        <w:rPr>
          <w:iCs/>
        </w:rPr>
        <w:t xml:space="preserve"> a</w:t>
      </w:r>
      <w:r w:rsidR="00B93C17" w:rsidRPr="00A655A1">
        <w:rPr>
          <w:iCs/>
        </w:rPr>
        <w:t xml:space="preserve"> time horizon </w:t>
      </w:r>
      <w:r w:rsidR="00C56BF6" w:rsidRPr="00A655A1">
        <w:rPr>
          <w:iCs/>
        </w:rPr>
        <w:t xml:space="preserve">consistent with the </w:t>
      </w:r>
      <w:r w:rsidR="00951D45" w:rsidRPr="00A655A1">
        <w:rPr>
          <w:iCs/>
        </w:rPr>
        <w:t xml:space="preserve">PBAC submission for Cd </w:t>
      </w:r>
      <w:r w:rsidR="00C56BF6" w:rsidRPr="00A655A1">
        <w:rPr>
          <w:iCs/>
        </w:rPr>
        <w:t xml:space="preserve">of 10-years </w:t>
      </w:r>
      <w:r w:rsidR="00E33D58" w:rsidRPr="00A655A1">
        <w:rPr>
          <w:iCs/>
        </w:rPr>
        <w:t xml:space="preserve">would </w:t>
      </w:r>
      <w:r w:rsidR="00C56BF6" w:rsidRPr="00A655A1">
        <w:rPr>
          <w:iCs/>
        </w:rPr>
        <w:t>have been more appropriate</w:t>
      </w:r>
      <w:r w:rsidR="007F7F9E" w:rsidRPr="00A655A1">
        <w:rPr>
          <w:iCs/>
        </w:rPr>
        <w:t>.</w:t>
      </w:r>
      <w:r w:rsidR="00E62BF1" w:rsidRPr="00A655A1">
        <w:rPr>
          <w:iCs/>
        </w:rPr>
        <w:t xml:space="preserve"> </w:t>
      </w:r>
    </w:p>
    <w:p w:rsidR="00E53385" w:rsidRPr="00A655A1" w:rsidRDefault="00E53385" w:rsidP="00E53385">
      <w:pPr>
        <w:pStyle w:val="3-BodyText"/>
        <w:rPr>
          <w:color w:val="0066FF"/>
        </w:rPr>
      </w:pPr>
      <w:r w:rsidRPr="00A655A1">
        <w:t xml:space="preserve">The model assumed that patients had RRMM after at least one prior therapy with similar characteristics as patients in BOSTON. </w:t>
      </w:r>
      <w:r w:rsidRPr="00A655A1">
        <w:rPr>
          <w:color w:val="000000" w:themeColor="text1"/>
        </w:rPr>
        <w:t>The model population reflected the proposed PBS population.</w:t>
      </w:r>
      <w:r w:rsidRPr="00A655A1">
        <w:t xml:space="preserve"> The economic model also incorporated costs associated with terminal care. </w:t>
      </w:r>
    </w:p>
    <w:p w:rsidR="00E53385" w:rsidRPr="00A655A1" w:rsidRDefault="005F0D6D" w:rsidP="00E53385">
      <w:pPr>
        <w:pStyle w:val="3-BodyText"/>
        <w:rPr>
          <w:iCs/>
          <w:color w:val="000000" w:themeColor="text1"/>
        </w:rPr>
      </w:pPr>
      <w:r w:rsidRPr="00A655A1">
        <w:rPr>
          <w:iCs/>
          <w:color w:val="000000" w:themeColor="text1"/>
        </w:rPr>
        <w:t>A</w:t>
      </w:r>
      <w:r w:rsidR="00E53385" w:rsidRPr="00A655A1">
        <w:rPr>
          <w:iCs/>
          <w:color w:val="000000" w:themeColor="text1"/>
        </w:rPr>
        <w:t xml:space="preserve">pplicability issues with respect to the economic evidence </w:t>
      </w:r>
      <w:r w:rsidRPr="00A655A1">
        <w:rPr>
          <w:iCs/>
          <w:color w:val="000000" w:themeColor="text1"/>
        </w:rPr>
        <w:t>included that</w:t>
      </w:r>
      <w:r w:rsidR="00E53385" w:rsidRPr="00A655A1">
        <w:rPr>
          <w:iCs/>
          <w:color w:val="000000" w:themeColor="text1"/>
        </w:rPr>
        <w:t>:</w:t>
      </w:r>
    </w:p>
    <w:p w:rsidR="00E53385" w:rsidRPr="00A655A1" w:rsidRDefault="00A91310" w:rsidP="00707864">
      <w:pPr>
        <w:pStyle w:val="ListParagraph"/>
        <w:numPr>
          <w:ilvl w:val="0"/>
          <w:numId w:val="6"/>
        </w:numPr>
        <w:spacing w:after="80"/>
      </w:pPr>
      <w:r w:rsidRPr="00A655A1">
        <w:t>t</w:t>
      </w:r>
      <w:r w:rsidR="00E53385" w:rsidRPr="00A655A1">
        <w:t xml:space="preserve">he model did not </w:t>
      </w:r>
      <w:r w:rsidR="00057EC1" w:rsidRPr="00A655A1">
        <w:t xml:space="preserve">apply </w:t>
      </w:r>
      <w:r w:rsidR="00E53385" w:rsidRPr="00A655A1">
        <w:t xml:space="preserve">utility values </w:t>
      </w:r>
      <w:r w:rsidR="00057EC1" w:rsidRPr="00A655A1">
        <w:t>collected from the BOSTON trial, rather it applied values from ENDEAVOR. BOSTON-collected values were</w:t>
      </w:r>
      <w:r w:rsidR="00E53385" w:rsidRPr="00A655A1">
        <w:t xml:space="preserve"> included as alternative utility profile</w:t>
      </w:r>
      <w:r w:rsidR="006B555E" w:rsidRPr="00A655A1">
        <w:t>s</w:t>
      </w:r>
      <w:r w:rsidR="00E53385" w:rsidRPr="00A655A1">
        <w:t xml:space="preserve"> in </w:t>
      </w:r>
      <w:r w:rsidR="006B555E" w:rsidRPr="00A655A1">
        <w:t xml:space="preserve">a </w:t>
      </w:r>
      <w:r w:rsidR="00E53385" w:rsidRPr="00A655A1">
        <w:t>scenario analysis</w:t>
      </w:r>
      <w:r w:rsidRPr="00A655A1">
        <w:t>; and</w:t>
      </w:r>
      <w:r w:rsidR="00E53385" w:rsidRPr="00A655A1">
        <w:t xml:space="preserve"> </w:t>
      </w:r>
    </w:p>
    <w:p w:rsidR="00E53385" w:rsidRPr="00A655A1" w:rsidRDefault="00A91310" w:rsidP="00707864">
      <w:pPr>
        <w:pStyle w:val="ListParagraph"/>
        <w:numPr>
          <w:ilvl w:val="0"/>
          <w:numId w:val="6"/>
        </w:numPr>
        <w:spacing w:after="80"/>
      </w:pPr>
      <w:r w:rsidRPr="00A655A1">
        <w:rPr>
          <w:color w:val="000000" w:themeColor="text1"/>
        </w:rPr>
        <w:t>h</w:t>
      </w:r>
      <w:r w:rsidR="00E53385" w:rsidRPr="00A655A1">
        <w:rPr>
          <w:color w:val="000000" w:themeColor="text1"/>
        </w:rPr>
        <w:t xml:space="preserve">ealth resource utilisation with respect to routine care </w:t>
      </w:r>
      <w:r w:rsidR="006B555E" w:rsidRPr="00A655A1">
        <w:rPr>
          <w:color w:val="000000" w:themeColor="text1"/>
        </w:rPr>
        <w:t xml:space="preserve">was </w:t>
      </w:r>
      <w:r w:rsidR="00E53385" w:rsidRPr="00A655A1">
        <w:rPr>
          <w:color w:val="000000" w:themeColor="text1"/>
        </w:rPr>
        <w:t xml:space="preserve">estimated based on </w:t>
      </w:r>
      <w:r w:rsidR="006B555E" w:rsidRPr="00A655A1">
        <w:rPr>
          <w:color w:val="000000" w:themeColor="text1"/>
        </w:rPr>
        <w:t xml:space="preserve">a </w:t>
      </w:r>
      <w:r w:rsidR="00E53385" w:rsidRPr="00A655A1">
        <w:rPr>
          <w:color w:val="000000" w:themeColor="text1"/>
        </w:rPr>
        <w:t xml:space="preserve">health technology assessment by the </w:t>
      </w:r>
      <w:r w:rsidR="00E53385" w:rsidRPr="00A655A1">
        <w:t xml:space="preserve">National Institute for Health and Care Excellence (NICE) </w:t>
      </w:r>
      <w:r w:rsidR="00E53385" w:rsidRPr="00A655A1">
        <w:rPr>
          <w:color w:val="000000" w:themeColor="text1"/>
        </w:rPr>
        <w:t>of pomalidomide for RRMM</w:t>
      </w:r>
      <w:r w:rsidR="00E53385" w:rsidRPr="00A655A1">
        <w:rPr>
          <w:iCs/>
          <w:color w:val="000000" w:themeColor="text1"/>
        </w:rPr>
        <w:t>. It is anticipated that the pomalidomide population w</w:t>
      </w:r>
      <w:r w:rsidR="00057EC1" w:rsidRPr="00A655A1">
        <w:rPr>
          <w:iCs/>
          <w:color w:val="000000" w:themeColor="text1"/>
        </w:rPr>
        <w:t>ould be</w:t>
      </w:r>
      <w:r w:rsidR="00E53385" w:rsidRPr="00A655A1">
        <w:rPr>
          <w:iCs/>
          <w:color w:val="000000" w:themeColor="text1"/>
        </w:rPr>
        <w:t xml:space="preserve"> more heavily pre-treated with more advanced disease </w:t>
      </w:r>
      <w:r w:rsidR="00A6089A" w:rsidRPr="00A655A1">
        <w:rPr>
          <w:iCs/>
          <w:color w:val="000000" w:themeColor="text1"/>
        </w:rPr>
        <w:t>(as they required more lines of therapy to be eligible for pomalidomide)</w:t>
      </w:r>
      <w:r w:rsidR="003D4F63" w:rsidRPr="00A655A1">
        <w:rPr>
          <w:iCs/>
          <w:color w:val="000000" w:themeColor="text1"/>
        </w:rPr>
        <w:t xml:space="preserve">; </w:t>
      </w:r>
      <w:r w:rsidR="00C64362" w:rsidRPr="00A655A1">
        <w:rPr>
          <w:iCs/>
          <w:color w:val="000000" w:themeColor="text1"/>
        </w:rPr>
        <w:t>therefore,</w:t>
      </w:r>
      <w:r w:rsidR="003D4F63" w:rsidRPr="00A655A1">
        <w:rPr>
          <w:iCs/>
          <w:color w:val="000000" w:themeColor="text1"/>
        </w:rPr>
        <w:t xml:space="preserve"> </w:t>
      </w:r>
      <w:r w:rsidR="00E53385" w:rsidRPr="00A655A1">
        <w:rPr>
          <w:iCs/>
          <w:color w:val="000000" w:themeColor="text1"/>
        </w:rPr>
        <w:t xml:space="preserve">their health resource needs </w:t>
      </w:r>
      <w:r w:rsidR="00C53C52" w:rsidRPr="00A655A1">
        <w:rPr>
          <w:iCs/>
          <w:color w:val="000000" w:themeColor="text1"/>
        </w:rPr>
        <w:t>were</w:t>
      </w:r>
      <w:r w:rsidR="00E53385" w:rsidRPr="00A655A1">
        <w:rPr>
          <w:iCs/>
          <w:color w:val="000000" w:themeColor="text1"/>
        </w:rPr>
        <w:t xml:space="preserve"> likely to be different to the BOSTON trial population. </w:t>
      </w:r>
      <w:r w:rsidR="005A09A7" w:rsidRPr="00A655A1">
        <w:rPr>
          <w:iCs/>
          <w:color w:val="000000" w:themeColor="text1"/>
        </w:rPr>
        <w:t xml:space="preserve"> </w:t>
      </w:r>
    </w:p>
    <w:p w:rsidR="003F6B39" w:rsidRPr="00A655A1" w:rsidRDefault="006D33A8" w:rsidP="003F6B39">
      <w:pPr>
        <w:pStyle w:val="3-BodyText"/>
        <w:rPr>
          <w:color w:val="0066FF"/>
        </w:rPr>
      </w:pPr>
      <w:r w:rsidRPr="00A655A1">
        <w:t xml:space="preserve">The results of the </w:t>
      </w:r>
      <w:r w:rsidR="00057EC1" w:rsidRPr="00A655A1">
        <w:t xml:space="preserve">Kaplan Meier </w:t>
      </w:r>
      <w:r w:rsidRPr="00A655A1">
        <w:t xml:space="preserve">outcomes for </w:t>
      </w:r>
      <w:r w:rsidR="009D4548" w:rsidRPr="00A655A1">
        <w:t>time to treatment discontinuation (</w:t>
      </w:r>
      <w:r w:rsidR="00CA3868" w:rsidRPr="00A655A1">
        <w:t>TTD</w:t>
      </w:r>
      <w:r w:rsidR="009D4548" w:rsidRPr="00A655A1">
        <w:t>)</w:t>
      </w:r>
      <w:r w:rsidR="00CA3868" w:rsidRPr="00A655A1">
        <w:t>, PFS and OS</w:t>
      </w:r>
      <w:r w:rsidR="005F667A" w:rsidRPr="00A655A1">
        <w:t xml:space="preserve"> (TSEM adjusted for treatment crossover)</w:t>
      </w:r>
      <w:r w:rsidR="00E857E3" w:rsidRPr="00A655A1">
        <w:t xml:space="preserve"> and the parametric function used in the economic model for each outcome</w:t>
      </w:r>
      <w:r w:rsidR="00E80E7D" w:rsidRPr="00A655A1">
        <w:t>,</w:t>
      </w:r>
      <w:r w:rsidR="00E857E3" w:rsidRPr="00A655A1">
        <w:t xml:space="preserve"> </w:t>
      </w:r>
      <w:r w:rsidR="00CA3868" w:rsidRPr="00A655A1">
        <w:t xml:space="preserve">are presented in </w:t>
      </w:r>
      <w:r w:rsidR="0018446F">
        <w:t>Figure 5</w:t>
      </w:r>
      <w:r w:rsidR="00CA3868" w:rsidRPr="00A655A1">
        <w:t xml:space="preserve">. </w:t>
      </w:r>
      <w:r w:rsidR="006B155A" w:rsidRPr="00A655A1">
        <w:rPr>
          <w:iCs/>
        </w:rPr>
        <w:t>The use</w:t>
      </w:r>
      <w:r w:rsidR="007C0227" w:rsidRPr="00A655A1">
        <w:rPr>
          <w:iCs/>
        </w:rPr>
        <w:t xml:space="preserve"> of </w:t>
      </w:r>
      <w:r w:rsidR="006B155A" w:rsidRPr="00A655A1">
        <w:rPr>
          <w:iCs/>
        </w:rPr>
        <w:t xml:space="preserve">the </w:t>
      </w:r>
      <w:r w:rsidR="00057EC1" w:rsidRPr="00A655A1">
        <w:rPr>
          <w:iCs/>
        </w:rPr>
        <w:t xml:space="preserve">cross-over adjusted hazard ratio </w:t>
      </w:r>
      <w:r w:rsidR="00127563" w:rsidRPr="00A655A1">
        <w:rPr>
          <w:iCs/>
        </w:rPr>
        <w:t>for OS</w:t>
      </w:r>
      <w:r w:rsidR="00E60B3A" w:rsidRPr="00A655A1">
        <w:rPr>
          <w:iCs/>
        </w:rPr>
        <w:t xml:space="preserve"> was</w:t>
      </w:r>
      <w:r w:rsidR="00127563" w:rsidRPr="00A655A1">
        <w:rPr>
          <w:iCs/>
        </w:rPr>
        <w:t xml:space="preserve"> </w:t>
      </w:r>
      <w:r w:rsidR="001853C2" w:rsidRPr="00A655A1">
        <w:rPr>
          <w:iCs/>
        </w:rPr>
        <w:t>not justif</w:t>
      </w:r>
      <w:r w:rsidR="006B155A" w:rsidRPr="00A655A1">
        <w:rPr>
          <w:iCs/>
        </w:rPr>
        <w:t>ied in the submission</w:t>
      </w:r>
      <w:r w:rsidR="00900948" w:rsidRPr="00A655A1">
        <w:rPr>
          <w:iCs/>
        </w:rPr>
        <w:t xml:space="preserve">. </w:t>
      </w:r>
      <w:r w:rsidR="00D67288" w:rsidRPr="00A655A1">
        <w:rPr>
          <w:iCs/>
        </w:rPr>
        <w:t>Although a sensitivity analysis based on the unadjusted OS hazard ratio was presented, t</w:t>
      </w:r>
      <w:r w:rsidR="00900948" w:rsidRPr="00A655A1">
        <w:rPr>
          <w:iCs/>
        </w:rPr>
        <w:t xml:space="preserve">he ESC </w:t>
      </w:r>
      <w:r w:rsidR="005B307A" w:rsidRPr="00A655A1">
        <w:rPr>
          <w:iCs/>
        </w:rPr>
        <w:t xml:space="preserve">noted that </w:t>
      </w:r>
      <w:r w:rsidR="00900948" w:rsidRPr="00A655A1">
        <w:rPr>
          <w:iCs/>
        </w:rPr>
        <w:t>a</w:t>
      </w:r>
      <w:r w:rsidR="00D67288" w:rsidRPr="00A655A1">
        <w:rPr>
          <w:iCs/>
        </w:rPr>
        <w:t>n</w:t>
      </w:r>
      <w:r w:rsidR="00900948" w:rsidRPr="00A655A1">
        <w:rPr>
          <w:iCs/>
        </w:rPr>
        <w:t xml:space="preserve"> analysis using the results of the IPCW method was not presented in the submission.</w:t>
      </w:r>
      <w:r w:rsidR="005B307A" w:rsidRPr="00A655A1">
        <w:rPr>
          <w:iCs/>
        </w:rPr>
        <w:t xml:space="preserve"> </w:t>
      </w:r>
    </w:p>
    <w:p w:rsidR="00321327" w:rsidRPr="00A655A1" w:rsidRDefault="00321327" w:rsidP="002B1DB6">
      <w:pPr>
        <w:pStyle w:val="TableFigureHeading"/>
      </w:pPr>
      <w:bookmarkStart w:id="34" w:name="_Ref69378278"/>
      <w:r w:rsidRPr="00A655A1">
        <w:t xml:space="preserve">Figure </w:t>
      </w:r>
      <w:bookmarkEnd w:id="34"/>
      <w:r w:rsidR="00322522" w:rsidRPr="00A655A1">
        <w:t>5</w:t>
      </w:r>
      <w:r w:rsidRPr="00A655A1">
        <w:t xml:space="preserve">: </w:t>
      </w:r>
      <w:r w:rsidR="002B1DB6" w:rsidRPr="00A655A1">
        <w:t>Traces of comparative outcomes of S</w:t>
      </w:r>
      <w:r w:rsidR="00913F97" w:rsidRPr="00A655A1">
        <w:t>B</w:t>
      </w:r>
      <w:r w:rsidR="002B1DB6" w:rsidRPr="00A655A1">
        <w:t xml:space="preserve">d and Bd from the model </w:t>
      </w:r>
      <w:r w:rsidR="00217568" w:rsidRPr="00A655A1">
        <w:t xml:space="preserve">(a) OS (with the addition of Weibull) and (b) PFS </w:t>
      </w:r>
    </w:p>
    <w:p w:rsidR="00464EF6" w:rsidRPr="00A655A1" w:rsidRDefault="00464EF6" w:rsidP="00464EF6">
      <w:pPr>
        <w:pStyle w:val="In-tableHeading"/>
        <w:rPr>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5: Traces of comparative outcomes of SBd and Bd from the model (a) OS (with the addition of Weibull) and (b) PFS "/>
      </w:tblPr>
      <w:tblGrid>
        <w:gridCol w:w="4571"/>
        <w:gridCol w:w="4456"/>
      </w:tblGrid>
      <w:tr w:rsidR="00464EF6" w:rsidRPr="00A655A1" w:rsidTr="00185816">
        <w:trPr>
          <w:tblHeader/>
        </w:trPr>
        <w:tc>
          <w:tcPr>
            <w:tcW w:w="0" w:type="auto"/>
          </w:tcPr>
          <w:p w:rsidR="00D24C9E" w:rsidRPr="00A655A1" w:rsidRDefault="00D24C9E" w:rsidP="00707864">
            <w:pPr>
              <w:pStyle w:val="In-tableHeading"/>
              <w:numPr>
                <w:ilvl w:val="0"/>
                <w:numId w:val="16"/>
              </w:numPr>
              <w:rPr>
                <w:lang w:val="en-AU"/>
              </w:rPr>
            </w:pPr>
            <w:r w:rsidRPr="00A655A1">
              <w:rPr>
                <w:lang w:val="en-AU"/>
              </w:rPr>
              <w:t>OS (with the addition of Weibull)</w:t>
            </w:r>
          </w:p>
          <w:p w:rsidR="00F602F8" w:rsidRPr="00A655A1" w:rsidRDefault="00E37D67" w:rsidP="00C21BCC">
            <w:pPr>
              <w:pStyle w:val="In-tableHeading"/>
              <w:jc w:val="center"/>
              <w:rPr>
                <w:lang w:val="en-AU"/>
              </w:rPr>
            </w:pPr>
            <w:r w:rsidRPr="00A655A1">
              <w:rPr>
                <w:noProof/>
                <w:lang w:val="en-AU"/>
              </w:rPr>
              <w:drawing>
                <wp:inline distT="0" distB="0" distL="0" distR="0" wp14:anchorId="5B939350" wp14:editId="478751FB">
                  <wp:extent cx="2876400" cy="1807200"/>
                  <wp:effectExtent l="0" t="0" r="635" b="3175"/>
                  <wp:docPr id="41" name="Picture 41" title="(a) OS (with the addition of Weib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400" cy="1807200"/>
                          </a:xfrm>
                          <a:prstGeom prst="rect">
                            <a:avLst/>
                          </a:prstGeom>
                          <a:noFill/>
                        </pic:spPr>
                      </pic:pic>
                    </a:graphicData>
                  </a:graphic>
                </wp:inline>
              </w:drawing>
            </w:r>
          </w:p>
        </w:tc>
        <w:tc>
          <w:tcPr>
            <w:tcW w:w="0" w:type="auto"/>
          </w:tcPr>
          <w:p w:rsidR="00D24C9E" w:rsidRPr="00A655A1" w:rsidRDefault="00D24C9E" w:rsidP="00707864">
            <w:pPr>
              <w:pStyle w:val="In-tableHeading"/>
              <w:numPr>
                <w:ilvl w:val="0"/>
                <w:numId w:val="16"/>
              </w:numPr>
              <w:rPr>
                <w:lang w:val="en-AU"/>
              </w:rPr>
            </w:pPr>
            <w:r w:rsidRPr="00A655A1">
              <w:rPr>
                <w:lang w:val="en-AU"/>
              </w:rPr>
              <w:t>PFS</w:t>
            </w:r>
          </w:p>
          <w:p w:rsidR="00464EF6" w:rsidRPr="00A655A1" w:rsidRDefault="00E37D67" w:rsidP="00C21BCC">
            <w:pPr>
              <w:pStyle w:val="In-tableHeading"/>
              <w:jc w:val="center"/>
              <w:rPr>
                <w:lang w:val="en-AU"/>
              </w:rPr>
            </w:pPr>
            <w:r w:rsidRPr="00A655A1">
              <w:rPr>
                <w:noProof/>
                <w:lang w:val="en-AU"/>
              </w:rPr>
              <w:drawing>
                <wp:inline distT="0" distB="0" distL="0" distR="0" wp14:anchorId="2D60F5EF" wp14:editId="7BC78CF0">
                  <wp:extent cx="2797200" cy="1789200"/>
                  <wp:effectExtent l="0" t="0" r="3175" b="1905"/>
                  <wp:docPr id="39" name="Picture 39" title="(b) 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7200" cy="1789200"/>
                          </a:xfrm>
                          <a:prstGeom prst="rect">
                            <a:avLst/>
                          </a:prstGeom>
                          <a:noFill/>
                        </pic:spPr>
                      </pic:pic>
                    </a:graphicData>
                  </a:graphic>
                </wp:inline>
              </w:drawing>
            </w:r>
          </w:p>
        </w:tc>
      </w:tr>
    </w:tbl>
    <w:p w:rsidR="002B1DB6" w:rsidRPr="00A655A1" w:rsidRDefault="002B1DB6" w:rsidP="0023097F">
      <w:pPr>
        <w:pStyle w:val="In-tableHeading"/>
        <w:jc w:val="center"/>
        <w:rPr>
          <w:lang w:val="en-AU"/>
        </w:rPr>
      </w:pPr>
    </w:p>
    <w:p w:rsidR="00C7011E" w:rsidRPr="00A655A1" w:rsidRDefault="00C7011E" w:rsidP="00C7011E">
      <w:pPr>
        <w:pStyle w:val="TableFigureFooter"/>
        <w:rPr>
          <w:szCs w:val="18"/>
        </w:rPr>
      </w:pPr>
      <w:r w:rsidRPr="00A655A1">
        <w:t xml:space="preserve">Source: </w:t>
      </w:r>
      <w:r w:rsidRPr="00A655A1">
        <w:rPr>
          <w:szCs w:val="18"/>
        </w:rPr>
        <w:t>developed during evaluation using results in Excel workbook PBAC_March 2021_XPOVIO Selinexor_RRMM_XVd_Section 3 CUA Workbook_Final.xlsm</w:t>
      </w:r>
    </w:p>
    <w:p w:rsidR="00E4505B" w:rsidRPr="00A655A1" w:rsidRDefault="00C7011E" w:rsidP="006A2108">
      <w:pPr>
        <w:pStyle w:val="TableFigureFooter"/>
      </w:pPr>
      <w:r w:rsidRPr="00A655A1">
        <w:t xml:space="preserve">Bd = bortezomib + dexamethasone; KM = Kaplan-Meier, PFS = progression free survival; </w:t>
      </w:r>
      <w:r w:rsidR="005F0EFF" w:rsidRPr="00A655A1">
        <w:t xml:space="preserve">OS = overall survival; </w:t>
      </w:r>
      <w:r w:rsidRPr="00A655A1">
        <w:t>SBd = selinexor + bortezomib + dexamethasone</w:t>
      </w:r>
      <w:r w:rsidR="005F0EFF" w:rsidRPr="00A655A1">
        <w:t xml:space="preserve">; </w:t>
      </w:r>
      <w:r w:rsidR="009F028A" w:rsidRPr="00A655A1">
        <w:t>TSEM = two-stage estimat</w:t>
      </w:r>
      <w:r w:rsidR="00FF0F65" w:rsidRPr="00A655A1">
        <w:t>ion</w:t>
      </w:r>
      <w:r w:rsidR="009F028A" w:rsidRPr="00A655A1">
        <w:t xml:space="preserve"> method; </w:t>
      </w:r>
      <w:r w:rsidR="005F0EFF" w:rsidRPr="00A655A1">
        <w:t xml:space="preserve">TTD = time to treatment discontinuation </w:t>
      </w:r>
    </w:p>
    <w:p w:rsidR="003F6B39" w:rsidRPr="00A655A1" w:rsidRDefault="00F43EF3" w:rsidP="00686628">
      <w:pPr>
        <w:pStyle w:val="TableFigureFooter"/>
      </w:pPr>
      <w:r w:rsidRPr="00A655A1">
        <w:t xml:space="preserve">Note: </w:t>
      </w:r>
      <w:r w:rsidR="009F028A" w:rsidRPr="00A655A1">
        <w:t>OS</w:t>
      </w:r>
      <w:r w:rsidR="00B27569" w:rsidRPr="00A655A1">
        <w:t xml:space="preserve"> is</w:t>
      </w:r>
      <w:r w:rsidR="009F028A" w:rsidRPr="00A655A1">
        <w:t xml:space="preserve"> adjusted for treatment crossover</w:t>
      </w:r>
      <w:r w:rsidR="00B27569" w:rsidRPr="00A655A1">
        <w:t xml:space="preserve"> using the TSEM</w:t>
      </w:r>
      <w:r w:rsidR="009F028A" w:rsidRPr="00A655A1">
        <w:t xml:space="preserve">. </w:t>
      </w:r>
    </w:p>
    <w:p w:rsidR="00FF0F65" w:rsidRPr="00A655A1" w:rsidRDefault="00FF0F65" w:rsidP="00E53385">
      <w:pPr>
        <w:pStyle w:val="3-BodyText"/>
        <w:rPr>
          <w:color w:val="0066FF"/>
        </w:rPr>
      </w:pPr>
      <w:r w:rsidRPr="00A655A1">
        <w:rPr>
          <w:iCs/>
        </w:rPr>
        <w:t xml:space="preserve">An informed choice of best parametric fit based on visual inspection </w:t>
      </w:r>
      <w:r w:rsidR="00057EC1" w:rsidRPr="00A655A1">
        <w:rPr>
          <w:iCs/>
        </w:rPr>
        <w:t>wa</w:t>
      </w:r>
      <w:r w:rsidR="00C76524" w:rsidRPr="00A655A1">
        <w:rPr>
          <w:iCs/>
        </w:rPr>
        <w:t xml:space="preserve">s unreliable within this context </w:t>
      </w:r>
      <w:r w:rsidR="00164041" w:rsidRPr="00A655A1">
        <w:rPr>
          <w:iCs/>
        </w:rPr>
        <w:t xml:space="preserve">due </w:t>
      </w:r>
      <w:r w:rsidR="002451B0" w:rsidRPr="00A655A1">
        <w:rPr>
          <w:iCs/>
        </w:rPr>
        <w:t>to extensive</w:t>
      </w:r>
      <w:r w:rsidRPr="00A655A1">
        <w:rPr>
          <w:iCs/>
        </w:rPr>
        <w:t xml:space="preserve"> extrapolation </w:t>
      </w:r>
      <w:r w:rsidR="00164041" w:rsidRPr="00A655A1">
        <w:rPr>
          <w:iCs/>
        </w:rPr>
        <w:t>(</w:t>
      </w:r>
      <w:r w:rsidRPr="00A655A1">
        <w:rPr>
          <w:iCs/>
        </w:rPr>
        <w:t>15-year time horizon</w:t>
      </w:r>
      <w:r w:rsidR="00164041" w:rsidRPr="00A655A1">
        <w:rPr>
          <w:iCs/>
        </w:rPr>
        <w:t>)</w:t>
      </w:r>
      <w:r w:rsidRPr="00A655A1">
        <w:rPr>
          <w:iCs/>
        </w:rPr>
        <w:t xml:space="preserve"> based on </w:t>
      </w:r>
      <w:r w:rsidR="005F0D6D" w:rsidRPr="00A655A1">
        <w:rPr>
          <w:iCs/>
        </w:rPr>
        <w:t xml:space="preserve">immature </w:t>
      </w:r>
      <w:r w:rsidR="009D4548" w:rsidRPr="00A655A1">
        <w:rPr>
          <w:iCs/>
        </w:rPr>
        <w:t>Kaplan-Meier</w:t>
      </w:r>
      <w:r w:rsidRPr="00A655A1">
        <w:rPr>
          <w:iCs/>
        </w:rPr>
        <w:t xml:space="preserve"> data.</w:t>
      </w:r>
      <w:r w:rsidRPr="00A655A1">
        <w:t xml:space="preserve"> </w:t>
      </w:r>
      <w:r w:rsidR="007B3963" w:rsidRPr="00A655A1">
        <w:rPr>
          <w:iCs/>
        </w:rPr>
        <w:t xml:space="preserve">For the TTD of </w:t>
      </w:r>
      <w:r w:rsidR="007B7F40" w:rsidRPr="00A655A1">
        <w:rPr>
          <w:iCs/>
        </w:rPr>
        <w:t xml:space="preserve">Bd, the </w:t>
      </w:r>
      <w:r w:rsidR="009D4548" w:rsidRPr="00A655A1">
        <w:rPr>
          <w:iCs/>
        </w:rPr>
        <w:t>Kaplan-Meier</w:t>
      </w:r>
      <w:r w:rsidR="007B7F40" w:rsidRPr="00A655A1">
        <w:rPr>
          <w:iCs/>
        </w:rPr>
        <w:t xml:space="preserve"> curve appears to plateau quicker than the parametric model estimates</w:t>
      </w:r>
      <w:r w:rsidR="001626CA" w:rsidRPr="00A655A1">
        <w:rPr>
          <w:iCs/>
        </w:rPr>
        <w:t>, with the extrapolation curves for SBd sitting below the observed data and the curves for Bd sitting above the observed data</w:t>
      </w:r>
      <w:r w:rsidR="007B7F40" w:rsidRPr="00A655A1">
        <w:rPr>
          <w:iCs/>
        </w:rPr>
        <w:t>.</w:t>
      </w:r>
      <w:r w:rsidR="00E54DC3" w:rsidRPr="00A655A1">
        <w:rPr>
          <w:iCs/>
        </w:rPr>
        <w:t xml:space="preserve"> </w:t>
      </w:r>
      <w:r w:rsidR="00491AD5" w:rsidRPr="00A655A1">
        <w:rPr>
          <w:iCs/>
        </w:rPr>
        <w:t xml:space="preserve">The ESC noted that this resulted in a modelled </w:t>
      </w:r>
      <w:r w:rsidR="00612485" w:rsidRPr="00A655A1">
        <w:rPr>
          <w:iCs/>
        </w:rPr>
        <w:t xml:space="preserve">mean </w:t>
      </w:r>
      <w:r w:rsidR="00491AD5" w:rsidRPr="00A655A1">
        <w:rPr>
          <w:iCs/>
        </w:rPr>
        <w:t xml:space="preserve">TTD for SBd of 12.73 months versus 14.37 months for Bd which was inconsistent </w:t>
      </w:r>
      <w:r w:rsidR="00207B0A" w:rsidRPr="00A655A1">
        <w:rPr>
          <w:iCs/>
        </w:rPr>
        <w:t xml:space="preserve">with </w:t>
      </w:r>
      <w:r w:rsidR="00491AD5" w:rsidRPr="00A655A1">
        <w:rPr>
          <w:iCs/>
        </w:rPr>
        <w:t>the clinical claim that SBd was superior to Bd</w:t>
      </w:r>
      <w:r w:rsidR="00161F23" w:rsidRPr="00A655A1">
        <w:rPr>
          <w:iCs/>
        </w:rPr>
        <w:t xml:space="preserve"> in terms of efficacy</w:t>
      </w:r>
      <w:r w:rsidR="00491AD5" w:rsidRPr="00A655A1">
        <w:rPr>
          <w:iCs/>
        </w:rPr>
        <w:t>.</w:t>
      </w:r>
      <w:r w:rsidR="00612485" w:rsidRPr="00A655A1">
        <w:rPr>
          <w:iCs/>
        </w:rPr>
        <w:t xml:space="preserve"> The pre-PBAC response stated that the median TTD in BOSTON for SBd and Bd was 7.10 months (95% CI: 6.44, 8.54) and 7.95 months (95% CI: 6.80, 9.23) respectively, with modelled median TTDs of 7.13 months and 8.05 months respectively. In addition, a more dura</w:t>
      </w:r>
      <w:r w:rsidR="009E2E06" w:rsidRPr="00A655A1">
        <w:rPr>
          <w:iCs/>
        </w:rPr>
        <w:t>ble</w:t>
      </w:r>
      <w:r w:rsidR="00612485" w:rsidRPr="00A655A1">
        <w:rPr>
          <w:iCs/>
        </w:rPr>
        <w:t xml:space="preserve"> response in PFS was observed for SBd (median = 13.93 months, change compared to TTD = 6.83 months) following cessation of treatment compared to Bd (</w:t>
      </w:r>
      <w:r w:rsidR="009625C3" w:rsidRPr="00A655A1">
        <w:rPr>
          <w:iCs/>
        </w:rPr>
        <w:t>median = 9.46 months, change compared to TTD = 1.51 months), which was not incongruent with the clinical claim of superior efficacy. Additiona</w:t>
      </w:r>
      <w:r w:rsidR="003C6781" w:rsidRPr="00A655A1">
        <w:rPr>
          <w:iCs/>
        </w:rPr>
        <w:t>l</w:t>
      </w:r>
      <w:r w:rsidR="009625C3" w:rsidRPr="00A655A1">
        <w:rPr>
          <w:iCs/>
        </w:rPr>
        <w:t>l</w:t>
      </w:r>
      <w:r w:rsidR="003C6781" w:rsidRPr="00A655A1">
        <w:rPr>
          <w:iCs/>
        </w:rPr>
        <w:t>y</w:t>
      </w:r>
      <w:r w:rsidR="009625C3" w:rsidRPr="00A655A1">
        <w:rPr>
          <w:iCs/>
        </w:rPr>
        <w:t xml:space="preserve">, the pre-PBAC response noted that the </w:t>
      </w:r>
      <w:r w:rsidR="009E2E06" w:rsidRPr="00A655A1">
        <w:rPr>
          <w:iCs/>
        </w:rPr>
        <w:t>longer</w:t>
      </w:r>
      <w:r w:rsidR="009625C3" w:rsidRPr="00A655A1">
        <w:rPr>
          <w:iCs/>
        </w:rPr>
        <w:t xml:space="preserve"> modelled TTD for Bd was likely due to the decreasing hazard of discontinuation observed in the tail of the TTD </w:t>
      </w:r>
      <w:r w:rsidR="009D4548" w:rsidRPr="00A655A1">
        <w:rPr>
          <w:iCs/>
        </w:rPr>
        <w:t>Kaplan-Meier</w:t>
      </w:r>
      <w:r w:rsidR="009625C3" w:rsidRPr="00A655A1">
        <w:rPr>
          <w:iCs/>
        </w:rPr>
        <w:t xml:space="preserve"> curve relative to SBd.</w:t>
      </w:r>
      <w:r w:rsidR="00612485" w:rsidRPr="00A655A1">
        <w:rPr>
          <w:iCs/>
        </w:rPr>
        <w:t xml:space="preserve"> </w:t>
      </w:r>
    </w:p>
    <w:p w:rsidR="005E3947" w:rsidRPr="00A655A1" w:rsidRDefault="007031F3" w:rsidP="00153242">
      <w:pPr>
        <w:pStyle w:val="3-BodyText"/>
        <w:rPr>
          <w:color w:val="0066FF"/>
        </w:rPr>
      </w:pPr>
      <w:r w:rsidRPr="00A655A1">
        <w:rPr>
          <w:iCs/>
        </w:rPr>
        <w:t>Within the context of relatively short</w:t>
      </w:r>
      <w:r w:rsidR="00A3016C" w:rsidRPr="00A655A1">
        <w:rPr>
          <w:iCs/>
        </w:rPr>
        <w:t xml:space="preserve"> follow-up for the</w:t>
      </w:r>
      <w:r w:rsidRPr="00A655A1">
        <w:rPr>
          <w:iCs/>
        </w:rPr>
        <w:t xml:space="preserve"> OS data</w:t>
      </w:r>
      <w:r w:rsidR="0019751B" w:rsidRPr="00A655A1">
        <w:rPr>
          <w:iCs/>
        </w:rPr>
        <w:t xml:space="preserve"> and thus limit</w:t>
      </w:r>
      <w:r w:rsidR="00712E26" w:rsidRPr="00A655A1">
        <w:rPr>
          <w:iCs/>
        </w:rPr>
        <w:t xml:space="preserve">ation </w:t>
      </w:r>
      <w:r w:rsidR="009A7470" w:rsidRPr="00A655A1">
        <w:rPr>
          <w:iCs/>
        </w:rPr>
        <w:t>in the</w:t>
      </w:r>
      <w:r w:rsidR="00712E26" w:rsidRPr="00A655A1">
        <w:rPr>
          <w:iCs/>
        </w:rPr>
        <w:t xml:space="preserve"> </w:t>
      </w:r>
      <w:r w:rsidR="009D4548" w:rsidRPr="00A655A1">
        <w:rPr>
          <w:iCs/>
        </w:rPr>
        <w:t>Akaike Information Criterion (</w:t>
      </w:r>
      <w:r w:rsidR="00712E26" w:rsidRPr="00A655A1">
        <w:rPr>
          <w:iCs/>
        </w:rPr>
        <w:t>AIC</w:t>
      </w:r>
      <w:r w:rsidR="009D4548" w:rsidRPr="00A655A1">
        <w:rPr>
          <w:iCs/>
        </w:rPr>
        <w:t>)</w:t>
      </w:r>
      <w:r w:rsidR="00712E26" w:rsidRPr="00A655A1">
        <w:rPr>
          <w:iCs/>
        </w:rPr>
        <w:t xml:space="preserve"> and </w:t>
      </w:r>
      <w:r w:rsidR="009D4548" w:rsidRPr="00A655A1">
        <w:rPr>
          <w:iCs/>
        </w:rPr>
        <w:t>Bayesian Information Criterion (</w:t>
      </w:r>
      <w:r w:rsidR="00712E26" w:rsidRPr="00A655A1">
        <w:rPr>
          <w:iCs/>
        </w:rPr>
        <w:t>BIC</w:t>
      </w:r>
      <w:r w:rsidR="009D4548" w:rsidRPr="00A655A1">
        <w:rPr>
          <w:iCs/>
        </w:rPr>
        <w:t>)</w:t>
      </w:r>
      <w:r w:rsidR="00712E26" w:rsidRPr="00A655A1">
        <w:rPr>
          <w:iCs/>
        </w:rPr>
        <w:t xml:space="preserve"> </w:t>
      </w:r>
      <w:r w:rsidR="009A7470" w:rsidRPr="00A655A1">
        <w:rPr>
          <w:iCs/>
        </w:rPr>
        <w:t>statistics</w:t>
      </w:r>
      <w:r w:rsidR="007F65ED" w:rsidRPr="00A655A1">
        <w:rPr>
          <w:iCs/>
        </w:rPr>
        <w:t>,</w:t>
      </w:r>
      <w:r w:rsidRPr="00A655A1">
        <w:rPr>
          <w:iCs/>
        </w:rPr>
        <w:t xml:space="preserve"> </w:t>
      </w:r>
      <w:r w:rsidR="00905D79" w:rsidRPr="00A655A1">
        <w:rPr>
          <w:iCs/>
        </w:rPr>
        <w:t xml:space="preserve">the </w:t>
      </w:r>
      <w:r w:rsidR="00CA176B" w:rsidRPr="00A655A1">
        <w:rPr>
          <w:iCs/>
        </w:rPr>
        <w:t xml:space="preserve">exponential model was the best fit in terms of BIC, but the </w:t>
      </w:r>
      <w:r w:rsidR="009D4548" w:rsidRPr="00A655A1">
        <w:rPr>
          <w:iCs/>
        </w:rPr>
        <w:t xml:space="preserve">sixth </w:t>
      </w:r>
      <w:r w:rsidR="00CA176B" w:rsidRPr="00A655A1">
        <w:rPr>
          <w:iCs/>
        </w:rPr>
        <w:t xml:space="preserve">best fit </w:t>
      </w:r>
      <w:r w:rsidR="007A03D7" w:rsidRPr="00A655A1">
        <w:rPr>
          <w:iCs/>
        </w:rPr>
        <w:t>as to</w:t>
      </w:r>
      <w:r w:rsidR="00CA176B" w:rsidRPr="00A655A1">
        <w:rPr>
          <w:iCs/>
        </w:rPr>
        <w:t xml:space="preserve"> AIC</w:t>
      </w:r>
      <w:r w:rsidR="00057EC1" w:rsidRPr="00A655A1">
        <w:rPr>
          <w:iCs/>
        </w:rPr>
        <w:t>;</w:t>
      </w:r>
      <w:r w:rsidR="008C25B6" w:rsidRPr="00A655A1">
        <w:rPr>
          <w:iCs/>
        </w:rPr>
        <w:t xml:space="preserve"> w</w:t>
      </w:r>
      <w:r w:rsidR="00057EC1" w:rsidRPr="00A655A1">
        <w:rPr>
          <w:iCs/>
        </w:rPr>
        <w:t>hereas</w:t>
      </w:r>
      <w:r w:rsidR="006B555E" w:rsidRPr="00A655A1">
        <w:rPr>
          <w:iCs/>
        </w:rPr>
        <w:t xml:space="preserve">, </w:t>
      </w:r>
      <w:r w:rsidR="00CA176B" w:rsidRPr="00A655A1">
        <w:rPr>
          <w:iCs/>
        </w:rPr>
        <w:t xml:space="preserve">the Weibull distribution was the best fit in terms of AIC and the </w:t>
      </w:r>
      <w:r w:rsidR="009D4548" w:rsidRPr="00A655A1">
        <w:rPr>
          <w:iCs/>
        </w:rPr>
        <w:t>third</w:t>
      </w:r>
      <w:r w:rsidR="00CA176B" w:rsidRPr="00A655A1">
        <w:rPr>
          <w:iCs/>
        </w:rPr>
        <w:t xml:space="preserve"> best fit </w:t>
      </w:r>
      <w:r w:rsidR="005E75A3" w:rsidRPr="00A655A1">
        <w:rPr>
          <w:iCs/>
        </w:rPr>
        <w:t>as to</w:t>
      </w:r>
      <w:r w:rsidR="00CA176B" w:rsidRPr="00A655A1">
        <w:rPr>
          <w:iCs/>
        </w:rPr>
        <w:t xml:space="preserve"> BIC.</w:t>
      </w:r>
      <w:r w:rsidR="00C7074F" w:rsidRPr="00A655A1">
        <w:rPr>
          <w:iCs/>
        </w:rPr>
        <w:t xml:space="preserve"> Furthermore</w:t>
      </w:r>
      <w:r w:rsidR="00A97D82" w:rsidRPr="00A655A1">
        <w:rPr>
          <w:iCs/>
        </w:rPr>
        <w:t xml:space="preserve">, </w:t>
      </w:r>
      <w:r w:rsidR="00A57ED7" w:rsidRPr="00A655A1">
        <w:rPr>
          <w:iCs/>
        </w:rPr>
        <w:t xml:space="preserve">noting that the </w:t>
      </w:r>
      <w:r w:rsidR="0020133F" w:rsidRPr="00A655A1">
        <w:rPr>
          <w:iCs/>
        </w:rPr>
        <w:t>clinical data</w:t>
      </w:r>
      <w:r w:rsidR="005E4C3D" w:rsidRPr="00A655A1">
        <w:rPr>
          <w:iCs/>
        </w:rPr>
        <w:t xml:space="preserve"> was not statistically significant for OS</w:t>
      </w:r>
      <w:r w:rsidR="00884A71" w:rsidRPr="00A655A1">
        <w:rPr>
          <w:iCs/>
        </w:rPr>
        <w:t>, t</w:t>
      </w:r>
      <w:r w:rsidR="00A57ED7" w:rsidRPr="00A655A1">
        <w:rPr>
          <w:iCs/>
        </w:rPr>
        <w:t xml:space="preserve">he ESC considered </w:t>
      </w:r>
      <w:r w:rsidR="00884A71" w:rsidRPr="00A655A1">
        <w:rPr>
          <w:iCs/>
        </w:rPr>
        <w:t xml:space="preserve">it </w:t>
      </w:r>
      <w:r w:rsidR="00A57ED7" w:rsidRPr="00A655A1">
        <w:rPr>
          <w:iCs/>
        </w:rPr>
        <w:t>wa</w:t>
      </w:r>
      <w:r w:rsidR="00884A71" w:rsidRPr="00A655A1">
        <w:rPr>
          <w:iCs/>
        </w:rPr>
        <w:t xml:space="preserve">s </w:t>
      </w:r>
      <w:r w:rsidR="00A57ED7" w:rsidRPr="00A655A1">
        <w:rPr>
          <w:iCs/>
        </w:rPr>
        <w:t xml:space="preserve">highly </w:t>
      </w:r>
      <w:r w:rsidR="00884A71" w:rsidRPr="00A655A1">
        <w:rPr>
          <w:iCs/>
        </w:rPr>
        <w:t>unlikely that the</w:t>
      </w:r>
      <w:r w:rsidR="00EA613C" w:rsidRPr="00A655A1">
        <w:rPr>
          <w:iCs/>
        </w:rPr>
        <w:t xml:space="preserve"> survival advantage of SBd based on the exponential distribution </w:t>
      </w:r>
      <w:r w:rsidR="00884A71" w:rsidRPr="00A655A1">
        <w:rPr>
          <w:iCs/>
        </w:rPr>
        <w:t>w</w:t>
      </w:r>
      <w:r w:rsidR="00A57ED7" w:rsidRPr="00A655A1">
        <w:rPr>
          <w:iCs/>
        </w:rPr>
        <w:t>ould</w:t>
      </w:r>
      <w:r w:rsidR="00884A71" w:rsidRPr="00A655A1">
        <w:rPr>
          <w:iCs/>
        </w:rPr>
        <w:t xml:space="preserve"> </w:t>
      </w:r>
      <w:r w:rsidR="00EA613C" w:rsidRPr="00A655A1">
        <w:rPr>
          <w:iCs/>
        </w:rPr>
        <w:t>extend beyond the 15-year time horizon</w:t>
      </w:r>
      <w:r w:rsidR="0020133F" w:rsidRPr="00A655A1">
        <w:rPr>
          <w:iCs/>
        </w:rPr>
        <w:t xml:space="preserve">. </w:t>
      </w:r>
      <w:r w:rsidR="00CE7ABD" w:rsidRPr="00A655A1">
        <w:rPr>
          <w:iCs/>
        </w:rPr>
        <w:t xml:space="preserve">To that end, the choice of Weibull </w:t>
      </w:r>
      <w:r w:rsidR="00BF5CA3" w:rsidRPr="00A655A1">
        <w:rPr>
          <w:iCs/>
        </w:rPr>
        <w:t xml:space="preserve">may be more </w:t>
      </w:r>
      <w:r w:rsidR="00C47967" w:rsidRPr="00A655A1">
        <w:rPr>
          <w:iCs/>
        </w:rPr>
        <w:t xml:space="preserve">appropriate as the </w:t>
      </w:r>
      <w:r w:rsidR="005D6890" w:rsidRPr="00A655A1">
        <w:rPr>
          <w:iCs/>
        </w:rPr>
        <w:t xml:space="preserve">OS </w:t>
      </w:r>
      <w:r w:rsidR="005817BC" w:rsidRPr="00A655A1">
        <w:rPr>
          <w:iCs/>
        </w:rPr>
        <w:t xml:space="preserve">appears to converge </w:t>
      </w:r>
      <w:r w:rsidR="005D6890" w:rsidRPr="00A655A1">
        <w:rPr>
          <w:iCs/>
        </w:rPr>
        <w:t xml:space="preserve">over the 15-year time </w:t>
      </w:r>
      <w:r w:rsidR="00E64DFE" w:rsidRPr="00A655A1">
        <w:rPr>
          <w:iCs/>
        </w:rPr>
        <w:t>horizon</w:t>
      </w:r>
      <w:r w:rsidR="005D6890" w:rsidRPr="00A655A1">
        <w:rPr>
          <w:iCs/>
        </w:rPr>
        <w:t xml:space="preserve"> </w:t>
      </w:r>
      <w:r w:rsidR="005E3947" w:rsidRPr="00A655A1">
        <w:rPr>
          <w:iCs/>
        </w:rPr>
        <w:t xml:space="preserve">(see Figure </w:t>
      </w:r>
      <w:r w:rsidR="00CA2DD6" w:rsidRPr="00A655A1">
        <w:rPr>
          <w:iCs/>
        </w:rPr>
        <w:t>5</w:t>
      </w:r>
      <w:r w:rsidR="005E3947" w:rsidRPr="00A655A1">
        <w:rPr>
          <w:iCs/>
        </w:rPr>
        <w:t>)</w:t>
      </w:r>
      <w:r w:rsidR="00F836AF" w:rsidRPr="00A655A1">
        <w:rPr>
          <w:iCs/>
        </w:rPr>
        <w:t xml:space="preserve">. </w:t>
      </w:r>
      <w:r w:rsidR="004666D8" w:rsidRPr="00A655A1">
        <w:rPr>
          <w:iCs/>
        </w:rPr>
        <w:t xml:space="preserve"> </w:t>
      </w:r>
    </w:p>
    <w:p w:rsidR="006240D2" w:rsidRPr="00A655A1" w:rsidRDefault="005B307A" w:rsidP="006240D2">
      <w:pPr>
        <w:pStyle w:val="3-BodyText"/>
        <w:rPr>
          <w:color w:val="0066FF"/>
        </w:rPr>
      </w:pPr>
      <w:r w:rsidRPr="00A655A1">
        <w:rPr>
          <w:iCs/>
        </w:rPr>
        <w:t xml:space="preserve">The ESC noted that the assumption of constant proportional hazards resulted in </w:t>
      </w:r>
      <w:r w:rsidR="00A57ED7" w:rsidRPr="00A655A1">
        <w:rPr>
          <w:iCs/>
        </w:rPr>
        <w:t xml:space="preserve">the majority of the </w:t>
      </w:r>
      <w:r w:rsidRPr="00A655A1">
        <w:rPr>
          <w:iCs/>
        </w:rPr>
        <w:t>extrapolation models predicting differences in OS at 15 years</w:t>
      </w:r>
      <w:r w:rsidR="00942CF6" w:rsidRPr="00A655A1">
        <w:rPr>
          <w:iCs/>
        </w:rPr>
        <w:t xml:space="preserve"> (only use of the Gompertz model resulted in OS curves that completely converged)</w:t>
      </w:r>
      <w:r w:rsidRPr="00A655A1">
        <w:rPr>
          <w:iCs/>
        </w:rPr>
        <w:t xml:space="preserve">. The ESC considered that the assumption of constant proportional hazards was difficult to justify based on the observed OS data and the short time </w:t>
      </w:r>
      <w:r w:rsidR="00A3016C" w:rsidRPr="00A655A1">
        <w:rPr>
          <w:iCs/>
        </w:rPr>
        <w:t>follow-up for</w:t>
      </w:r>
      <w:r w:rsidRPr="00A655A1">
        <w:rPr>
          <w:iCs/>
        </w:rPr>
        <w:t xml:space="preserve"> the trial (median follow-up = 17 months).</w:t>
      </w:r>
    </w:p>
    <w:p w:rsidR="006240D2" w:rsidRPr="00A655A1" w:rsidRDefault="0018446F" w:rsidP="006240D2">
      <w:pPr>
        <w:pStyle w:val="TableFigureHeading"/>
      </w:pPr>
      <w:r>
        <w:t>Figure 6: OS using the T</w:t>
      </w:r>
      <w:r w:rsidR="006240D2" w:rsidRPr="00A655A1">
        <w:t>S</w:t>
      </w:r>
      <w:r>
        <w:t>E</w:t>
      </w:r>
      <w:r w:rsidR="006240D2" w:rsidRPr="00A655A1">
        <w:t>M (ITT population)</w:t>
      </w:r>
    </w:p>
    <w:p w:rsidR="006240D2" w:rsidRPr="00A655A1" w:rsidRDefault="003C6781" w:rsidP="006240D2">
      <w:pPr>
        <w:rPr>
          <w:rFonts w:ascii="Arial Narrow" w:hAnsi="Arial Narrow"/>
          <w:sz w:val="18"/>
          <w:szCs w:val="18"/>
        </w:rPr>
      </w:pPr>
      <w:r w:rsidRPr="00A655A1">
        <w:rPr>
          <w:noProof/>
        </w:rPr>
        <w:drawing>
          <wp:anchor distT="0" distB="0" distL="114300" distR="114300" simplePos="0" relativeHeight="251661312" behindDoc="0" locked="0" layoutInCell="1" allowOverlap="1" wp14:anchorId="3176DF74" wp14:editId="3867402E">
            <wp:simplePos x="0" y="0"/>
            <wp:positionH relativeFrom="margin">
              <wp:align>left</wp:align>
            </wp:positionH>
            <wp:positionV relativeFrom="paragraph">
              <wp:posOffset>132080</wp:posOffset>
            </wp:positionV>
            <wp:extent cx="3657600" cy="2788285"/>
            <wp:effectExtent l="0" t="0" r="0" b="0"/>
            <wp:wrapTopAndBottom/>
            <wp:docPr id="2" name="Picture 2" title="Figure 6: OS using the TSEM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375" t="7098" r="1543" b="408"/>
                    <a:stretch/>
                  </pic:blipFill>
                  <pic:spPr bwMode="auto">
                    <a:xfrm>
                      <a:off x="0" y="0"/>
                      <a:ext cx="3657600" cy="2788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240D2" w:rsidRPr="00A655A1" w:rsidRDefault="006240D2" w:rsidP="006240D2">
      <w:pPr>
        <w:rPr>
          <w:rFonts w:ascii="Arial Narrow" w:hAnsi="Arial Narrow"/>
          <w:sz w:val="18"/>
          <w:szCs w:val="18"/>
        </w:rPr>
      </w:pPr>
      <w:r w:rsidRPr="00A655A1">
        <w:rPr>
          <w:rFonts w:ascii="Arial Narrow" w:hAnsi="Arial Narrow"/>
          <w:sz w:val="18"/>
          <w:szCs w:val="18"/>
        </w:rPr>
        <w:t xml:space="preserve">Source: Figure 3-4 p144 of the submission. </w:t>
      </w:r>
    </w:p>
    <w:p w:rsidR="006240D2" w:rsidRPr="00A655A1" w:rsidRDefault="006240D2" w:rsidP="006240D2">
      <w:pPr>
        <w:rPr>
          <w:rFonts w:ascii="Arial Narrow" w:hAnsi="Arial Narrow"/>
          <w:sz w:val="18"/>
          <w:szCs w:val="18"/>
        </w:rPr>
      </w:pPr>
      <w:r w:rsidRPr="00A655A1">
        <w:rPr>
          <w:rFonts w:ascii="Arial Narrow" w:hAnsi="Arial Narrow"/>
          <w:sz w:val="18"/>
          <w:szCs w:val="18"/>
        </w:rPr>
        <w:t xml:space="preserve">ITT = intent to treat; OS = overall survival; SVd = selinexor + bortezomib + dexamethasone; </w:t>
      </w:r>
      <w:r w:rsidR="00B27569" w:rsidRPr="00A655A1">
        <w:rPr>
          <w:rFonts w:ascii="Arial Narrow" w:hAnsi="Arial Narrow"/>
          <w:sz w:val="18"/>
          <w:szCs w:val="18"/>
        </w:rPr>
        <w:t xml:space="preserve">TSEM = two-stage estimation method; </w:t>
      </w:r>
      <w:r w:rsidR="0018446F">
        <w:rPr>
          <w:rFonts w:ascii="Arial Narrow" w:hAnsi="Arial Narrow"/>
          <w:sz w:val="18"/>
          <w:szCs w:val="18"/>
        </w:rPr>
        <w:t>Vd = </w:t>
      </w:r>
      <w:r w:rsidRPr="00A655A1">
        <w:rPr>
          <w:rFonts w:ascii="Arial Narrow" w:hAnsi="Arial Narrow"/>
          <w:sz w:val="18"/>
          <w:szCs w:val="18"/>
        </w:rPr>
        <w:t>bortezomib + dexamethasone</w:t>
      </w:r>
    </w:p>
    <w:p w:rsidR="00116837" w:rsidRPr="00A655A1" w:rsidRDefault="00116837" w:rsidP="00116837">
      <w:pPr>
        <w:pStyle w:val="3-BodyText"/>
        <w:numPr>
          <w:ilvl w:val="0"/>
          <w:numId w:val="0"/>
        </w:numPr>
        <w:rPr>
          <w:color w:val="0066FF"/>
        </w:rPr>
      </w:pPr>
    </w:p>
    <w:p w:rsidR="00FF0F65" w:rsidRPr="00A655A1" w:rsidRDefault="00000973" w:rsidP="00E53385">
      <w:pPr>
        <w:pStyle w:val="3-BodyText"/>
        <w:rPr>
          <w:color w:val="0066FF"/>
        </w:rPr>
      </w:pPr>
      <w:r w:rsidRPr="00A655A1">
        <w:rPr>
          <w:color w:val="000000" w:themeColor="text1"/>
        </w:rPr>
        <w:t xml:space="preserve">The trial-collected utility values </w:t>
      </w:r>
      <w:r w:rsidR="00D34114" w:rsidRPr="00A655A1">
        <w:rPr>
          <w:color w:val="000000" w:themeColor="text1"/>
        </w:rPr>
        <w:t xml:space="preserve">were not applied </w:t>
      </w:r>
      <w:r w:rsidRPr="00A655A1">
        <w:rPr>
          <w:color w:val="000000" w:themeColor="text1"/>
        </w:rPr>
        <w:t xml:space="preserve">in the base case, as </w:t>
      </w:r>
      <w:r w:rsidR="00D34114" w:rsidRPr="00A655A1">
        <w:rPr>
          <w:color w:val="000000" w:themeColor="text1"/>
        </w:rPr>
        <w:t xml:space="preserve">the submission </w:t>
      </w:r>
      <w:r w:rsidRPr="00A655A1">
        <w:rPr>
          <w:color w:val="000000" w:themeColor="text1"/>
        </w:rPr>
        <w:t xml:space="preserve">considered that </w:t>
      </w:r>
      <w:r w:rsidR="00D34114" w:rsidRPr="00A655A1">
        <w:rPr>
          <w:color w:val="000000" w:themeColor="text1"/>
        </w:rPr>
        <w:t xml:space="preserve">the </w:t>
      </w:r>
      <w:r w:rsidRPr="00A655A1">
        <w:rPr>
          <w:color w:val="000000" w:themeColor="text1"/>
        </w:rPr>
        <w:t>small difference between the health states</w:t>
      </w:r>
      <w:r w:rsidR="002A18AC" w:rsidRPr="00A655A1">
        <w:rPr>
          <w:color w:val="000000" w:themeColor="text1"/>
        </w:rPr>
        <w:t xml:space="preserve"> (</w:t>
      </w:r>
      <w:r w:rsidR="00C739C7" w:rsidRPr="00A655A1">
        <w:rPr>
          <w:color w:val="000000" w:themeColor="text1"/>
        </w:rPr>
        <w:t>progression free</w:t>
      </w:r>
      <w:r w:rsidR="002A18AC" w:rsidRPr="00A655A1">
        <w:rPr>
          <w:color w:val="000000" w:themeColor="text1"/>
        </w:rPr>
        <w:t xml:space="preserve"> = 0.</w:t>
      </w:r>
      <w:r w:rsidR="008F7138" w:rsidRPr="00A655A1">
        <w:rPr>
          <w:color w:val="000000" w:themeColor="text1"/>
        </w:rPr>
        <w:t>8</w:t>
      </w:r>
      <w:r w:rsidR="009D4548" w:rsidRPr="00A655A1">
        <w:rPr>
          <w:color w:val="000000" w:themeColor="text1"/>
        </w:rPr>
        <w:t>;</w:t>
      </w:r>
      <w:r w:rsidR="002A18AC" w:rsidRPr="00A655A1">
        <w:rPr>
          <w:color w:val="000000" w:themeColor="text1"/>
        </w:rPr>
        <w:t xml:space="preserve"> </w:t>
      </w:r>
      <w:r w:rsidR="00C739C7" w:rsidRPr="00A655A1">
        <w:rPr>
          <w:color w:val="000000" w:themeColor="text1"/>
        </w:rPr>
        <w:t>progressive disease</w:t>
      </w:r>
      <w:r w:rsidR="002A18AC" w:rsidRPr="00A655A1">
        <w:rPr>
          <w:color w:val="000000" w:themeColor="text1"/>
        </w:rPr>
        <w:t xml:space="preserve"> = 0</w:t>
      </w:r>
      <w:r w:rsidR="008F7138" w:rsidRPr="00A655A1">
        <w:rPr>
          <w:color w:val="000000" w:themeColor="text1"/>
        </w:rPr>
        <w:t>.78</w:t>
      </w:r>
      <w:r w:rsidR="00207B0A" w:rsidRPr="00A655A1">
        <w:rPr>
          <w:color w:val="000000" w:themeColor="text1"/>
        </w:rPr>
        <w:t>)</w:t>
      </w:r>
      <w:r w:rsidR="006C4B5A" w:rsidRPr="00A655A1">
        <w:rPr>
          <w:color w:val="000000" w:themeColor="text1"/>
        </w:rPr>
        <w:t xml:space="preserve"> </w:t>
      </w:r>
      <w:r w:rsidR="00D34114" w:rsidRPr="00A655A1">
        <w:rPr>
          <w:color w:val="000000" w:themeColor="text1"/>
        </w:rPr>
        <w:t>did not</w:t>
      </w:r>
      <w:r w:rsidRPr="00A655A1">
        <w:rPr>
          <w:color w:val="000000" w:themeColor="text1"/>
        </w:rPr>
        <w:t xml:space="preserve"> capture the true expected detriment of </w:t>
      </w:r>
      <w:r w:rsidR="009D4548" w:rsidRPr="00A655A1">
        <w:rPr>
          <w:color w:val="000000" w:themeColor="text1"/>
        </w:rPr>
        <w:t>progressive disease</w:t>
      </w:r>
      <w:r w:rsidRPr="00A655A1">
        <w:rPr>
          <w:color w:val="000000" w:themeColor="text1"/>
        </w:rPr>
        <w:t xml:space="preserve"> for RRMM.</w:t>
      </w:r>
      <w:r w:rsidR="00AD0F42" w:rsidRPr="00A655A1">
        <w:rPr>
          <w:color w:val="000000" w:themeColor="text1"/>
        </w:rPr>
        <w:t xml:space="preserve"> </w:t>
      </w:r>
      <w:r w:rsidR="00395894" w:rsidRPr="00A655A1">
        <w:rPr>
          <w:color w:val="000000" w:themeColor="text1"/>
        </w:rPr>
        <w:t xml:space="preserve">The submission further stated that compared to published utility for </w:t>
      </w:r>
      <w:r w:rsidR="009D4548" w:rsidRPr="00A655A1">
        <w:rPr>
          <w:color w:val="000000" w:themeColor="text1"/>
        </w:rPr>
        <w:t>progressive disease</w:t>
      </w:r>
      <w:r w:rsidR="00896E39" w:rsidRPr="00A655A1">
        <w:rPr>
          <w:color w:val="000000" w:themeColor="text1"/>
        </w:rPr>
        <w:t xml:space="preserve"> in </w:t>
      </w:r>
      <w:r w:rsidR="00395894" w:rsidRPr="00A655A1">
        <w:rPr>
          <w:color w:val="000000" w:themeColor="text1"/>
        </w:rPr>
        <w:t>RRMM (ENDEAVOR</w:t>
      </w:r>
      <w:r w:rsidR="00AB7EEA" w:rsidRPr="00A655A1">
        <w:rPr>
          <w:color w:val="000000" w:themeColor="text1"/>
        </w:rPr>
        <w:t>:</w:t>
      </w:r>
      <w:r w:rsidR="00395894" w:rsidRPr="00A655A1">
        <w:rPr>
          <w:color w:val="000000" w:themeColor="text1"/>
        </w:rPr>
        <w:t xml:space="preserve"> 0.665, ASPIRE</w:t>
      </w:r>
      <w:r w:rsidR="00AB7EEA" w:rsidRPr="00A655A1">
        <w:rPr>
          <w:color w:val="000000" w:themeColor="text1"/>
        </w:rPr>
        <w:t>:</w:t>
      </w:r>
      <w:r w:rsidR="00395894" w:rsidRPr="00A655A1">
        <w:rPr>
          <w:color w:val="000000" w:themeColor="text1"/>
        </w:rPr>
        <w:t xml:space="preserve"> 0.637 and TOURMALINE-MM1</w:t>
      </w:r>
      <w:r w:rsidR="00AB7EEA" w:rsidRPr="00A655A1">
        <w:rPr>
          <w:color w:val="000000" w:themeColor="text1"/>
        </w:rPr>
        <w:t>:</w:t>
      </w:r>
      <w:r w:rsidR="00395894" w:rsidRPr="00A655A1">
        <w:rPr>
          <w:color w:val="000000" w:themeColor="text1"/>
        </w:rPr>
        <w:t xml:space="preserve"> 0.616), </w:t>
      </w:r>
      <w:r w:rsidR="009F681D" w:rsidRPr="00A655A1">
        <w:rPr>
          <w:color w:val="000000" w:themeColor="text1"/>
        </w:rPr>
        <w:t>HRQoL</w:t>
      </w:r>
      <w:r w:rsidR="00395894" w:rsidRPr="00A655A1">
        <w:rPr>
          <w:color w:val="000000" w:themeColor="text1"/>
        </w:rPr>
        <w:t xml:space="preserve"> for </w:t>
      </w:r>
      <w:r w:rsidR="009D4548" w:rsidRPr="00A655A1">
        <w:rPr>
          <w:color w:val="000000" w:themeColor="text1"/>
        </w:rPr>
        <w:t>progressive disease</w:t>
      </w:r>
      <w:r w:rsidR="00395894" w:rsidRPr="00A655A1">
        <w:rPr>
          <w:color w:val="000000" w:themeColor="text1"/>
        </w:rPr>
        <w:t xml:space="preserve"> in BOSTON appeared to be overestimated</w:t>
      </w:r>
      <w:r w:rsidR="009F681D" w:rsidRPr="00A655A1">
        <w:rPr>
          <w:color w:val="000000" w:themeColor="text1"/>
        </w:rPr>
        <w:t xml:space="preserve">. </w:t>
      </w:r>
      <w:r w:rsidR="00974680" w:rsidRPr="00A655A1">
        <w:rPr>
          <w:iCs/>
          <w:color w:val="000000" w:themeColor="text1"/>
        </w:rPr>
        <w:t>T</w:t>
      </w:r>
      <w:r w:rsidR="006414EB" w:rsidRPr="00A655A1">
        <w:rPr>
          <w:iCs/>
          <w:color w:val="000000" w:themeColor="text1"/>
        </w:rPr>
        <w:t xml:space="preserve">he </w:t>
      </w:r>
      <w:r w:rsidR="009F681D" w:rsidRPr="00A655A1">
        <w:rPr>
          <w:iCs/>
          <w:color w:val="000000" w:themeColor="text1"/>
        </w:rPr>
        <w:t>submission d</w:t>
      </w:r>
      <w:r w:rsidR="006414EB" w:rsidRPr="00A655A1">
        <w:rPr>
          <w:iCs/>
          <w:color w:val="000000" w:themeColor="text1"/>
        </w:rPr>
        <w:t>id</w:t>
      </w:r>
      <w:r w:rsidR="009F681D" w:rsidRPr="00A655A1">
        <w:rPr>
          <w:iCs/>
          <w:color w:val="000000" w:themeColor="text1"/>
        </w:rPr>
        <w:t xml:space="preserve"> not justify why the values obtained from BOSTON were overestimated and hence</w:t>
      </w:r>
      <w:r w:rsidR="00FE01E7" w:rsidRPr="00A655A1">
        <w:rPr>
          <w:iCs/>
          <w:color w:val="000000" w:themeColor="text1"/>
        </w:rPr>
        <w:t>,</w:t>
      </w:r>
      <w:r w:rsidR="009F681D" w:rsidRPr="00A655A1">
        <w:rPr>
          <w:iCs/>
          <w:color w:val="000000" w:themeColor="text1"/>
        </w:rPr>
        <w:t xml:space="preserve"> not reflective of the HRQoL impact of treatment with SBd. </w:t>
      </w:r>
    </w:p>
    <w:p w:rsidR="00504D76" w:rsidRPr="00A655A1" w:rsidRDefault="00640712" w:rsidP="00E53385">
      <w:pPr>
        <w:pStyle w:val="3-BodyText"/>
        <w:rPr>
          <w:color w:val="0066FF"/>
        </w:rPr>
      </w:pPr>
      <w:r w:rsidRPr="00A655A1">
        <w:rPr>
          <w:color w:val="000000" w:themeColor="text1"/>
        </w:rPr>
        <w:t>T</w:t>
      </w:r>
      <w:r w:rsidR="00C36DC0" w:rsidRPr="00A655A1">
        <w:rPr>
          <w:color w:val="000000" w:themeColor="text1"/>
        </w:rPr>
        <w:t>he submission utilised the health state values from ENDEAVOR (</w:t>
      </w:r>
      <w:r w:rsidR="009D4548" w:rsidRPr="00A655A1">
        <w:rPr>
          <w:color w:val="000000" w:themeColor="text1"/>
        </w:rPr>
        <w:t>progression free</w:t>
      </w:r>
      <w:r w:rsidR="00C36DC0" w:rsidRPr="00A655A1">
        <w:rPr>
          <w:color w:val="000000" w:themeColor="text1"/>
        </w:rPr>
        <w:t xml:space="preserve"> = 0.741</w:t>
      </w:r>
      <w:r w:rsidR="009D4548" w:rsidRPr="00A655A1">
        <w:rPr>
          <w:color w:val="000000" w:themeColor="text1"/>
        </w:rPr>
        <w:t>;</w:t>
      </w:r>
      <w:r w:rsidR="008F7138" w:rsidRPr="00A655A1">
        <w:rPr>
          <w:color w:val="000000" w:themeColor="text1"/>
        </w:rPr>
        <w:t xml:space="preserve"> </w:t>
      </w:r>
      <w:r w:rsidR="009D4548" w:rsidRPr="00A655A1">
        <w:rPr>
          <w:color w:val="000000" w:themeColor="text1"/>
        </w:rPr>
        <w:t>progressive disease</w:t>
      </w:r>
      <w:r w:rsidR="008F7138" w:rsidRPr="00A655A1">
        <w:rPr>
          <w:color w:val="000000" w:themeColor="text1"/>
        </w:rPr>
        <w:t xml:space="preserve"> = 0.665) </w:t>
      </w:r>
      <w:r w:rsidR="00C36DC0" w:rsidRPr="00A655A1">
        <w:rPr>
          <w:color w:val="000000" w:themeColor="text1"/>
        </w:rPr>
        <w:t>to form the base case in the economic model.</w:t>
      </w:r>
      <w:r w:rsidR="00C36DC0" w:rsidRPr="00A655A1">
        <w:rPr>
          <w:iCs/>
          <w:color w:val="000000" w:themeColor="text1"/>
        </w:rPr>
        <w:t xml:space="preserve"> The utility value for </w:t>
      </w:r>
      <w:r w:rsidR="009D4548" w:rsidRPr="00A655A1">
        <w:rPr>
          <w:iCs/>
          <w:color w:val="000000" w:themeColor="text1"/>
        </w:rPr>
        <w:t>progression free</w:t>
      </w:r>
      <w:r w:rsidR="00C36DC0" w:rsidRPr="00A655A1">
        <w:rPr>
          <w:iCs/>
          <w:color w:val="000000" w:themeColor="text1"/>
        </w:rPr>
        <w:t xml:space="preserve"> of 0.741 for Cd was calculated in a subgroup of patient</w:t>
      </w:r>
      <w:r w:rsidR="00963C72" w:rsidRPr="00A655A1">
        <w:rPr>
          <w:iCs/>
          <w:color w:val="000000" w:themeColor="text1"/>
        </w:rPr>
        <w:t>s</w:t>
      </w:r>
      <w:r w:rsidR="004A3C82" w:rsidRPr="00A655A1">
        <w:rPr>
          <w:iCs/>
          <w:color w:val="000000" w:themeColor="text1"/>
        </w:rPr>
        <w:t xml:space="preserve"> from ENDEAVOR</w:t>
      </w:r>
      <w:r w:rsidR="00C36DC0" w:rsidRPr="00A655A1">
        <w:rPr>
          <w:iCs/>
          <w:color w:val="000000" w:themeColor="text1"/>
        </w:rPr>
        <w:t xml:space="preserve"> (with one prior therapy and no prior bortezomib) which was not consistent with the ITT population of ENDEAVOR nor BOSTON.</w:t>
      </w:r>
      <w:r w:rsidR="00C84D81" w:rsidRPr="00A655A1">
        <w:rPr>
          <w:iCs/>
          <w:color w:val="000000" w:themeColor="text1"/>
        </w:rPr>
        <w:t xml:space="preserve"> </w:t>
      </w:r>
    </w:p>
    <w:p w:rsidR="00E66CC6" w:rsidRPr="00A655A1" w:rsidRDefault="00E66CC6" w:rsidP="00E53385">
      <w:pPr>
        <w:pStyle w:val="3-BodyText"/>
        <w:rPr>
          <w:color w:val="0066FF"/>
        </w:rPr>
      </w:pPr>
      <w:r w:rsidRPr="00A655A1">
        <w:rPr>
          <w:color w:val="000000" w:themeColor="text1"/>
        </w:rPr>
        <w:t>B</w:t>
      </w:r>
      <w:r w:rsidR="00AB7EEA" w:rsidRPr="00A655A1">
        <w:rPr>
          <w:color w:val="000000" w:themeColor="text1"/>
        </w:rPr>
        <w:t>OSTON patient-data analyse</w:t>
      </w:r>
      <w:r w:rsidRPr="00A655A1">
        <w:rPr>
          <w:color w:val="000000" w:themeColor="text1"/>
        </w:rPr>
        <w:t>s w</w:t>
      </w:r>
      <w:r w:rsidR="00AB7EEA" w:rsidRPr="00A655A1">
        <w:rPr>
          <w:color w:val="000000" w:themeColor="text1"/>
        </w:rPr>
        <w:t>ere</w:t>
      </w:r>
      <w:r w:rsidRPr="00A655A1">
        <w:rPr>
          <w:color w:val="000000" w:themeColor="text1"/>
        </w:rPr>
        <w:t xml:space="preserve"> utilised in the application of utility decrements for AEs</w:t>
      </w:r>
      <w:r w:rsidR="002B4308" w:rsidRPr="00A655A1">
        <w:rPr>
          <w:color w:val="000000" w:themeColor="text1"/>
        </w:rPr>
        <w:t xml:space="preserve"> (anaemia</w:t>
      </w:r>
      <w:r w:rsidR="00B45EDD" w:rsidRPr="00A655A1">
        <w:rPr>
          <w:color w:val="000000" w:themeColor="text1"/>
        </w:rPr>
        <w:t xml:space="preserve"> -0.0558, fatigue -0.1003, peripheral neuropathy -0.0582 and thrombocytopenia -0.0319)</w:t>
      </w:r>
      <w:r w:rsidRPr="00A655A1">
        <w:rPr>
          <w:color w:val="000000" w:themeColor="text1"/>
        </w:rPr>
        <w:t xml:space="preserve">. </w:t>
      </w:r>
      <w:r w:rsidR="001A2A04" w:rsidRPr="00A655A1">
        <w:rPr>
          <w:iCs/>
          <w:color w:val="000000" w:themeColor="text1"/>
        </w:rPr>
        <w:t xml:space="preserve">A disutility value was not applied to all Grade </w:t>
      </w:r>
      <w:r w:rsidR="001A2A04" w:rsidRPr="00A655A1">
        <w:rPr>
          <w:rFonts w:cs="Calibri"/>
          <w:iCs/>
          <w:color w:val="000000" w:themeColor="text1"/>
        </w:rPr>
        <w:t>≥</w:t>
      </w:r>
      <w:r w:rsidR="001A2A04" w:rsidRPr="00A655A1">
        <w:rPr>
          <w:iCs/>
          <w:color w:val="000000" w:themeColor="text1"/>
        </w:rPr>
        <w:t xml:space="preserve"> 3 </w:t>
      </w:r>
      <w:r w:rsidR="00974680" w:rsidRPr="00A655A1">
        <w:rPr>
          <w:iCs/>
          <w:color w:val="000000" w:themeColor="text1"/>
        </w:rPr>
        <w:t xml:space="preserve">adverse events </w:t>
      </w:r>
      <w:r w:rsidR="00AB7EEA" w:rsidRPr="00A655A1">
        <w:rPr>
          <w:iCs/>
          <w:color w:val="000000" w:themeColor="text1"/>
        </w:rPr>
        <w:t xml:space="preserve">associated with SBd. </w:t>
      </w:r>
      <w:r w:rsidR="00BD70F1" w:rsidRPr="00A655A1">
        <w:rPr>
          <w:iCs/>
          <w:color w:val="000000" w:themeColor="text1"/>
        </w:rPr>
        <w:t>T</w:t>
      </w:r>
      <w:r w:rsidR="00963C72" w:rsidRPr="00A655A1">
        <w:rPr>
          <w:iCs/>
          <w:color w:val="000000" w:themeColor="text1"/>
        </w:rPr>
        <w:t xml:space="preserve">he </w:t>
      </w:r>
      <w:r w:rsidRPr="00A655A1">
        <w:rPr>
          <w:iCs/>
          <w:color w:val="000000" w:themeColor="text1"/>
        </w:rPr>
        <w:t>inconsisten</w:t>
      </w:r>
      <w:r w:rsidR="00AB7EEA" w:rsidRPr="00A655A1">
        <w:rPr>
          <w:iCs/>
          <w:color w:val="000000" w:themeColor="text1"/>
        </w:rPr>
        <w:t>cy</w:t>
      </w:r>
      <w:r w:rsidR="00963C72" w:rsidRPr="00A655A1">
        <w:rPr>
          <w:iCs/>
          <w:color w:val="000000" w:themeColor="text1"/>
        </w:rPr>
        <w:t xml:space="preserve"> in the </w:t>
      </w:r>
      <w:r w:rsidRPr="00A655A1">
        <w:rPr>
          <w:iCs/>
          <w:color w:val="000000" w:themeColor="text1"/>
        </w:rPr>
        <w:t xml:space="preserve">source </w:t>
      </w:r>
      <w:r w:rsidR="00AB7EEA" w:rsidRPr="00A655A1">
        <w:rPr>
          <w:iCs/>
          <w:color w:val="000000" w:themeColor="text1"/>
        </w:rPr>
        <w:t>of</w:t>
      </w:r>
      <w:r w:rsidRPr="00A655A1">
        <w:rPr>
          <w:iCs/>
          <w:color w:val="000000" w:themeColor="text1"/>
        </w:rPr>
        <w:t xml:space="preserve"> utility values </w:t>
      </w:r>
      <w:r w:rsidR="00963C72" w:rsidRPr="00A655A1">
        <w:rPr>
          <w:iCs/>
          <w:color w:val="000000" w:themeColor="text1"/>
        </w:rPr>
        <w:t xml:space="preserve">(in terms of populations and instruments applied) confounds </w:t>
      </w:r>
      <w:r w:rsidRPr="00A655A1">
        <w:rPr>
          <w:iCs/>
          <w:color w:val="000000" w:themeColor="text1"/>
        </w:rPr>
        <w:t>the interpretation of utilit</w:t>
      </w:r>
      <w:r w:rsidR="00963C72" w:rsidRPr="00A655A1">
        <w:rPr>
          <w:iCs/>
          <w:color w:val="000000" w:themeColor="text1"/>
        </w:rPr>
        <w:t>y values applied</w:t>
      </w:r>
      <w:r w:rsidR="000961EC" w:rsidRPr="00A655A1">
        <w:rPr>
          <w:iCs/>
          <w:color w:val="000000" w:themeColor="text1"/>
        </w:rPr>
        <w:t>.</w:t>
      </w:r>
    </w:p>
    <w:p w:rsidR="00CB62CF" w:rsidRPr="00A655A1" w:rsidRDefault="00EC0541" w:rsidP="00E53385">
      <w:pPr>
        <w:pStyle w:val="3-BodyText"/>
        <w:rPr>
          <w:color w:val="0066FF"/>
        </w:rPr>
      </w:pPr>
      <w:r w:rsidRPr="00A655A1">
        <w:t>C</w:t>
      </w:r>
      <w:r w:rsidR="00CB62CF" w:rsidRPr="00A655A1">
        <w:t xml:space="preserve">osts </w:t>
      </w:r>
      <w:r w:rsidR="00AB7EEA" w:rsidRPr="00A655A1">
        <w:t>associated with</w:t>
      </w:r>
      <w:r w:rsidR="00CB62CF" w:rsidRPr="00A655A1">
        <w:t xml:space="preserve"> </w:t>
      </w:r>
      <w:r w:rsidRPr="00A655A1">
        <w:t xml:space="preserve">Grade </w:t>
      </w:r>
      <w:r w:rsidRPr="00A655A1">
        <w:rPr>
          <w:rFonts w:cs="Calibri"/>
          <w:color w:val="000000" w:themeColor="text1"/>
        </w:rPr>
        <w:t>≥</w:t>
      </w:r>
      <w:r w:rsidR="00372A55" w:rsidRPr="00A655A1">
        <w:t xml:space="preserve"> 3 </w:t>
      </w:r>
      <w:r w:rsidR="00974680" w:rsidRPr="00A655A1">
        <w:t xml:space="preserve">adverse events </w:t>
      </w:r>
      <w:r w:rsidR="00CB62CF" w:rsidRPr="00A655A1">
        <w:t xml:space="preserve">for SBd and </w:t>
      </w:r>
      <w:r w:rsidR="00757D69" w:rsidRPr="00A655A1">
        <w:t>Bd were</w:t>
      </w:r>
      <w:r w:rsidR="00372A55" w:rsidRPr="00A655A1">
        <w:t xml:space="preserve"> applied as a one-time cost during the first cycle of the </w:t>
      </w:r>
      <w:r w:rsidR="00CB62CF" w:rsidRPr="00A655A1">
        <w:t>economic model</w:t>
      </w:r>
      <w:r w:rsidR="00CB62CF" w:rsidRPr="00A655A1">
        <w:rPr>
          <w:color w:val="000000" w:themeColor="text1"/>
        </w:rPr>
        <w:t>. This likely underestimat</w:t>
      </w:r>
      <w:r w:rsidR="00974680" w:rsidRPr="00A655A1">
        <w:rPr>
          <w:color w:val="000000" w:themeColor="text1"/>
        </w:rPr>
        <w:t>ed</w:t>
      </w:r>
      <w:r w:rsidR="00CB62CF" w:rsidRPr="00A655A1">
        <w:rPr>
          <w:color w:val="000000" w:themeColor="text1"/>
        </w:rPr>
        <w:t xml:space="preserve"> the costs associated with the management of </w:t>
      </w:r>
      <w:r w:rsidR="00974680" w:rsidRPr="00A655A1">
        <w:rPr>
          <w:color w:val="000000" w:themeColor="text1"/>
        </w:rPr>
        <w:t xml:space="preserve">adverse events </w:t>
      </w:r>
      <w:r w:rsidR="00CB62CF" w:rsidRPr="00A655A1">
        <w:rPr>
          <w:color w:val="000000" w:themeColor="text1"/>
        </w:rPr>
        <w:t>as it d</w:t>
      </w:r>
      <w:r w:rsidR="00974680" w:rsidRPr="00A655A1">
        <w:rPr>
          <w:color w:val="000000" w:themeColor="text1"/>
        </w:rPr>
        <w:t>id</w:t>
      </w:r>
      <w:r w:rsidR="00CB62CF" w:rsidRPr="00A655A1">
        <w:rPr>
          <w:color w:val="000000" w:themeColor="text1"/>
        </w:rPr>
        <w:t xml:space="preserve"> not account for a particular patient experiencing the same </w:t>
      </w:r>
      <w:r w:rsidR="00974680" w:rsidRPr="00A655A1">
        <w:rPr>
          <w:color w:val="000000" w:themeColor="text1"/>
        </w:rPr>
        <w:t xml:space="preserve">event </w:t>
      </w:r>
      <w:r w:rsidR="00CB62CF" w:rsidRPr="00A655A1">
        <w:rPr>
          <w:color w:val="000000" w:themeColor="text1"/>
        </w:rPr>
        <w:t>more than once within the follow-up period and assume</w:t>
      </w:r>
      <w:r w:rsidR="00974680" w:rsidRPr="00A655A1">
        <w:rPr>
          <w:color w:val="000000" w:themeColor="text1"/>
        </w:rPr>
        <w:t>d</w:t>
      </w:r>
      <w:r w:rsidR="00CB62CF" w:rsidRPr="00A655A1">
        <w:rPr>
          <w:color w:val="000000" w:themeColor="text1"/>
        </w:rPr>
        <w:t xml:space="preserve"> resolution of the Grade ≥ 3 </w:t>
      </w:r>
      <w:r w:rsidR="00974680" w:rsidRPr="00A655A1">
        <w:rPr>
          <w:color w:val="000000" w:themeColor="text1"/>
        </w:rPr>
        <w:t xml:space="preserve">event </w:t>
      </w:r>
      <w:r w:rsidR="00CB62CF" w:rsidRPr="00A655A1">
        <w:rPr>
          <w:color w:val="000000" w:themeColor="text1"/>
        </w:rPr>
        <w:t>within the same model cycle in which it occurred.</w:t>
      </w:r>
      <w:r w:rsidR="009E244A" w:rsidRPr="00A655A1">
        <w:rPr>
          <w:color w:val="000000" w:themeColor="text1"/>
        </w:rPr>
        <w:t xml:space="preserve"> Furthermore the submission did </w:t>
      </w:r>
      <w:r w:rsidR="0011121C" w:rsidRPr="00A655A1">
        <w:rPr>
          <w:color w:val="000000" w:themeColor="text1"/>
        </w:rPr>
        <w:t xml:space="preserve">not include costs associated with </w:t>
      </w:r>
      <w:r w:rsidR="009E244A" w:rsidRPr="00A655A1">
        <w:rPr>
          <w:iCs/>
        </w:rPr>
        <w:t xml:space="preserve">Grade </w:t>
      </w:r>
      <w:r w:rsidR="009E244A" w:rsidRPr="00A655A1">
        <w:rPr>
          <w:rFonts w:cs="Calibri"/>
          <w:iCs/>
        </w:rPr>
        <w:t>≥</w:t>
      </w:r>
      <w:r w:rsidR="009E244A" w:rsidRPr="00A655A1">
        <w:rPr>
          <w:iCs/>
        </w:rPr>
        <w:t xml:space="preserve"> 3 pneumonia (13.8% SBd vs 11.8% Bd), asthenia (8.2% SBd vs 4.4% Bd) and hypophosphataemia (5.1% SBd vs 1.5% Bd)</w:t>
      </w:r>
      <w:r w:rsidR="00755F87" w:rsidRPr="00A655A1">
        <w:rPr>
          <w:iCs/>
        </w:rPr>
        <w:t>,</w:t>
      </w:r>
      <w:r w:rsidR="00834AC7" w:rsidRPr="00A655A1">
        <w:rPr>
          <w:iCs/>
        </w:rPr>
        <w:t xml:space="preserve"> </w:t>
      </w:r>
      <w:r w:rsidR="009E244A" w:rsidRPr="00A655A1">
        <w:rPr>
          <w:iCs/>
        </w:rPr>
        <w:t xml:space="preserve">thus likely to result in an under-estimation of costs associated with the management of SBd </w:t>
      </w:r>
      <w:r w:rsidR="00974680" w:rsidRPr="00A655A1">
        <w:rPr>
          <w:iCs/>
        </w:rPr>
        <w:t>adverse events</w:t>
      </w:r>
      <w:r w:rsidR="00C3778E" w:rsidRPr="00A655A1">
        <w:rPr>
          <w:iCs/>
        </w:rPr>
        <w:t xml:space="preserve">. </w:t>
      </w:r>
    </w:p>
    <w:p w:rsidR="00787167" w:rsidRPr="00A655A1" w:rsidRDefault="00787167" w:rsidP="00E53385">
      <w:pPr>
        <w:pStyle w:val="3-BodyText"/>
        <w:rPr>
          <w:color w:val="0066FF"/>
        </w:rPr>
      </w:pPr>
      <w:r w:rsidRPr="00A655A1">
        <w:rPr>
          <w:iCs/>
        </w:rPr>
        <w:t xml:space="preserve">The model did not consider </w:t>
      </w:r>
      <w:r w:rsidR="002B4AF7" w:rsidRPr="00A655A1">
        <w:rPr>
          <w:iCs/>
        </w:rPr>
        <w:t>subsequent treatment</w:t>
      </w:r>
      <w:r w:rsidRPr="00A655A1">
        <w:rPr>
          <w:iCs/>
        </w:rPr>
        <w:t xml:space="preserve"> costs associated with </w:t>
      </w:r>
      <w:r w:rsidR="002B4AF7" w:rsidRPr="00A655A1">
        <w:rPr>
          <w:iCs/>
        </w:rPr>
        <w:t xml:space="preserve">either arm </w:t>
      </w:r>
      <w:r w:rsidR="001B07BF" w:rsidRPr="00A655A1">
        <w:rPr>
          <w:iCs/>
        </w:rPr>
        <w:t>despite</w:t>
      </w:r>
      <w:r w:rsidRPr="00A655A1">
        <w:rPr>
          <w:iCs/>
        </w:rPr>
        <w:t xml:space="preserve"> 35% of the patients in the SBd arm, 32% of patients who did not crossover to SBd in the Bd </w:t>
      </w:r>
      <w:r w:rsidR="00FE01E7" w:rsidRPr="00A655A1">
        <w:rPr>
          <w:iCs/>
        </w:rPr>
        <w:t>arm</w:t>
      </w:r>
      <w:r w:rsidRPr="00A655A1">
        <w:rPr>
          <w:iCs/>
        </w:rPr>
        <w:t xml:space="preserve">, and 49% </w:t>
      </w:r>
      <w:r w:rsidR="00FE01E7" w:rsidRPr="00A655A1">
        <w:rPr>
          <w:iCs/>
        </w:rPr>
        <w:t xml:space="preserve">of </w:t>
      </w:r>
      <w:r w:rsidRPr="00A655A1">
        <w:rPr>
          <w:iCs/>
        </w:rPr>
        <w:t>patients who crossed over from Bd to SBd receiv</w:t>
      </w:r>
      <w:r w:rsidR="00AB7EEA" w:rsidRPr="00A655A1">
        <w:rPr>
          <w:iCs/>
        </w:rPr>
        <w:t>ing</w:t>
      </w:r>
      <w:r w:rsidRPr="00A655A1">
        <w:rPr>
          <w:iCs/>
        </w:rPr>
        <w:t xml:space="preserve"> subsequent anti-myeloma therapy. </w:t>
      </w:r>
      <w:r w:rsidR="00FE01E7" w:rsidRPr="00A655A1">
        <w:rPr>
          <w:iCs/>
        </w:rPr>
        <w:t>T</w:t>
      </w:r>
      <w:r w:rsidRPr="00A655A1">
        <w:rPr>
          <w:iCs/>
        </w:rPr>
        <w:t xml:space="preserve">he omission of subsequent therapy limits the applicability of the economic model to the Australian clinical setting, where patients are very likely to receive subsequent therapy beyond SBd. </w:t>
      </w:r>
    </w:p>
    <w:p w:rsidR="00324BB8" w:rsidRPr="00A655A1" w:rsidRDefault="00A00CF2" w:rsidP="00E53385">
      <w:pPr>
        <w:pStyle w:val="3-BodyText"/>
        <w:rPr>
          <w:color w:val="0066FF"/>
        </w:rPr>
      </w:pPr>
      <w:r w:rsidRPr="00A655A1">
        <w:t>T</w:t>
      </w:r>
      <w:r w:rsidR="00324BB8" w:rsidRPr="00A655A1">
        <w:t>he dose frequency, dose intensity, and time on treatment w</w:t>
      </w:r>
      <w:r w:rsidR="007B2599" w:rsidRPr="00A655A1">
        <w:t>ere</w:t>
      </w:r>
      <w:r w:rsidR="00324BB8" w:rsidRPr="00A655A1">
        <w:t xml:space="preserve"> informed by the data from BOSTON </w:t>
      </w:r>
      <w:r w:rsidR="00963C72" w:rsidRPr="00A655A1">
        <w:t xml:space="preserve">for </w:t>
      </w:r>
      <w:r w:rsidR="00324BB8" w:rsidRPr="00A655A1">
        <w:t xml:space="preserve">both SBd and Bd treatment arms. </w:t>
      </w:r>
      <w:r w:rsidR="00324BB8" w:rsidRPr="00A655A1">
        <w:rPr>
          <w:iCs/>
        </w:rPr>
        <w:t xml:space="preserve">The dose intensities presented in the economic model were 80% for selinexor, </w:t>
      </w:r>
      <w:r w:rsidR="00FE01E7" w:rsidRPr="00A655A1">
        <w:rPr>
          <w:iCs/>
        </w:rPr>
        <w:t xml:space="preserve">89.6% for </w:t>
      </w:r>
      <w:r w:rsidR="00324BB8" w:rsidRPr="00A655A1">
        <w:rPr>
          <w:iCs/>
        </w:rPr>
        <w:t xml:space="preserve">bortezomib and </w:t>
      </w:r>
      <w:r w:rsidR="00FE01E7" w:rsidRPr="00A655A1">
        <w:rPr>
          <w:iCs/>
        </w:rPr>
        <w:t xml:space="preserve">90.6% for </w:t>
      </w:r>
      <w:r w:rsidR="00324BB8" w:rsidRPr="00A655A1">
        <w:rPr>
          <w:iCs/>
        </w:rPr>
        <w:t xml:space="preserve">dexamethasone </w:t>
      </w:r>
      <w:r w:rsidR="00FE01E7" w:rsidRPr="00A655A1">
        <w:rPr>
          <w:iCs/>
        </w:rPr>
        <w:t>in</w:t>
      </w:r>
      <w:r w:rsidR="00324BB8" w:rsidRPr="00A655A1">
        <w:rPr>
          <w:iCs/>
        </w:rPr>
        <w:t xml:space="preserve"> the SBd arm, and </w:t>
      </w:r>
      <w:r w:rsidR="00FE01E7" w:rsidRPr="00A655A1">
        <w:rPr>
          <w:iCs/>
        </w:rPr>
        <w:t xml:space="preserve">99.0% for </w:t>
      </w:r>
      <w:r w:rsidR="00324BB8" w:rsidRPr="00A655A1">
        <w:rPr>
          <w:iCs/>
        </w:rPr>
        <w:t xml:space="preserve">bortezomib and </w:t>
      </w:r>
      <w:r w:rsidR="00FE01E7" w:rsidRPr="00A655A1">
        <w:rPr>
          <w:iCs/>
        </w:rPr>
        <w:t xml:space="preserve">94.5% for </w:t>
      </w:r>
      <w:r w:rsidR="00324BB8" w:rsidRPr="00A655A1">
        <w:rPr>
          <w:iCs/>
        </w:rPr>
        <w:t xml:space="preserve">dexamethasone </w:t>
      </w:r>
      <w:r w:rsidR="00FE01E7" w:rsidRPr="00A655A1">
        <w:rPr>
          <w:iCs/>
        </w:rPr>
        <w:t>in</w:t>
      </w:r>
      <w:r w:rsidR="00324BB8" w:rsidRPr="00A655A1">
        <w:rPr>
          <w:iCs/>
        </w:rPr>
        <w:t xml:space="preserve"> the Bd arm.</w:t>
      </w:r>
      <w:r w:rsidRPr="00A655A1">
        <w:rPr>
          <w:iCs/>
        </w:rPr>
        <w:t xml:space="preserve"> </w:t>
      </w:r>
      <w:r w:rsidR="00963C72" w:rsidRPr="00A655A1">
        <w:rPr>
          <w:iCs/>
        </w:rPr>
        <w:t>T</w:t>
      </w:r>
      <w:r w:rsidR="00D10D68" w:rsidRPr="00A655A1">
        <w:rPr>
          <w:iCs/>
        </w:rPr>
        <w:t xml:space="preserve">he dose intensity for selinexor appears low relative to the Bd backbone. </w:t>
      </w:r>
      <w:r w:rsidR="00491AD5" w:rsidRPr="00A655A1">
        <w:rPr>
          <w:iCs/>
        </w:rPr>
        <w:t>The ESC considered that the low</w:t>
      </w:r>
      <w:r w:rsidR="00563566" w:rsidRPr="00A655A1">
        <w:rPr>
          <w:iCs/>
        </w:rPr>
        <w:t>er</w:t>
      </w:r>
      <w:r w:rsidR="00491AD5" w:rsidRPr="00A655A1">
        <w:rPr>
          <w:iCs/>
        </w:rPr>
        <w:t xml:space="preserve"> dose intensity for selinexor represented the high rate of adverse events associated with SBd and the required dose modifications (i.e. dose reductions and interruptions). </w:t>
      </w:r>
    </w:p>
    <w:p w:rsidR="00C963F1" w:rsidRPr="00A655A1" w:rsidRDefault="008263B7" w:rsidP="00E53385">
      <w:pPr>
        <w:pStyle w:val="3-BodyText"/>
        <w:rPr>
          <w:color w:val="0066FF"/>
        </w:rPr>
      </w:pPr>
      <w:r w:rsidRPr="00A655A1">
        <w:t>A summary of the key drivers of the model is presented in</w:t>
      </w:r>
      <w:r w:rsidR="0018446F">
        <w:t xml:space="preserve"> Table 16</w:t>
      </w:r>
      <w:r w:rsidRPr="00A655A1">
        <w:t>.</w:t>
      </w:r>
    </w:p>
    <w:p w:rsidR="00E53385" w:rsidRPr="00A655A1" w:rsidRDefault="008263B7" w:rsidP="008263B7">
      <w:pPr>
        <w:pStyle w:val="TableFigureHeading"/>
        <w:rPr>
          <w:rStyle w:val="CommentReference"/>
          <w:b/>
          <w:szCs w:val="24"/>
        </w:rPr>
      </w:pPr>
      <w:bookmarkStart w:id="35" w:name="_Ref69380648"/>
      <w:r w:rsidRPr="00A655A1">
        <w:t xml:space="preserve">Table </w:t>
      </w:r>
      <w:bookmarkEnd w:id="35"/>
      <w:r w:rsidR="00B70D9A" w:rsidRPr="00A655A1">
        <w:t>1</w:t>
      </w:r>
      <w:r w:rsidR="00AB7EEA" w:rsidRPr="00A655A1">
        <w:t>6</w:t>
      </w:r>
      <w:r w:rsidR="00E53385" w:rsidRPr="00A655A1">
        <w:rPr>
          <w:rStyle w:val="CommentReference"/>
          <w:b/>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1"/>
        <w:gridCol w:w="4227"/>
        <w:gridCol w:w="3659"/>
      </w:tblGrid>
      <w:tr w:rsidR="00E53385" w:rsidRPr="00A655A1" w:rsidTr="005178EF">
        <w:trPr>
          <w:tblHeader/>
        </w:trPr>
        <w:tc>
          <w:tcPr>
            <w:tcW w:w="627" w:type="pct"/>
            <w:shd w:val="clear" w:color="auto" w:fill="auto"/>
            <w:vAlign w:val="center"/>
          </w:tcPr>
          <w:p w:rsidR="00E53385" w:rsidRPr="00A655A1" w:rsidRDefault="00E53385" w:rsidP="00E60B3A">
            <w:pPr>
              <w:pStyle w:val="In-tableHeading"/>
              <w:rPr>
                <w:lang w:val="en-AU"/>
              </w:rPr>
            </w:pPr>
            <w:r w:rsidRPr="00A655A1">
              <w:rPr>
                <w:lang w:val="en-AU"/>
              </w:rPr>
              <w:t>Description</w:t>
            </w:r>
          </w:p>
        </w:tc>
        <w:tc>
          <w:tcPr>
            <w:tcW w:w="2344" w:type="pct"/>
            <w:shd w:val="clear" w:color="auto" w:fill="auto"/>
            <w:vAlign w:val="center"/>
          </w:tcPr>
          <w:p w:rsidR="00E53385" w:rsidRPr="00A655A1" w:rsidRDefault="00E53385" w:rsidP="0043067D">
            <w:pPr>
              <w:pStyle w:val="In-tableHeading"/>
              <w:jc w:val="center"/>
              <w:rPr>
                <w:lang w:val="en-AU"/>
              </w:rPr>
            </w:pPr>
            <w:r w:rsidRPr="00A655A1">
              <w:rPr>
                <w:lang w:val="en-AU"/>
              </w:rPr>
              <w:t>Method/Value</w:t>
            </w:r>
          </w:p>
        </w:tc>
        <w:tc>
          <w:tcPr>
            <w:tcW w:w="2029" w:type="pct"/>
            <w:shd w:val="clear" w:color="auto" w:fill="auto"/>
            <w:vAlign w:val="center"/>
          </w:tcPr>
          <w:p w:rsidR="00E53385" w:rsidRPr="00A655A1" w:rsidRDefault="00E53385" w:rsidP="00963C72">
            <w:pPr>
              <w:pStyle w:val="In-tableHeading"/>
              <w:jc w:val="center"/>
              <w:rPr>
                <w:lang w:val="en-AU"/>
              </w:rPr>
            </w:pPr>
            <w:r w:rsidRPr="00A655A1">
              <w:rPr>
                <w:lang w:val="en-AU"/>
              </w:rPr>
              <w:t>Impact</w:t>
            </w:r>
          </w:p>
          <w:p w:rsidR="00E53385" w:rsidRPr="00A655A1" w:rsidRDefault="00E53385" w:rsidP="00963C72">
            <w:pPr>
              <w:pStyle w:val="In-tableHeading"/>
              <w:jc w:val="center"/>
              <w:rPr>
                <w:lang w:val="en-AU"/>
              </w:rPr>
            </w:pPr>
            <w:r w:rsidRPr="00A655A1">
              <w:rPr>
                <w:rFonts w:cs="Arial"/>
                <w:szCs w:val="20"/>
                <w:lang w:val="en-AU"/>
              </w:rPr>
              <w:t>Base case: $</w:t>
            </w:r>
            <w:r w:rsidR="007004AE">
              <w:rPr>
                <w:rFonts w:cs="Arial"/>
                <w:noProof/>
                <w:color w:val="000000"/>
                <w:szCs w:val="20"/>
                <w:highlight w:val="black"/>
                <w:lang w:val="en-AU"/>
              </w:rPr>
              <w:t>''''''''''''''</w:t>
            </w:r>
            <w:r w:rsidR="00254C38">
              <w:rPr>
                <w:vertAlign w:val="superscript"/>
              </w:rPr>
              <w:t>1</w:t>
            </w:r>
            <w:r w:rsidR="00B27569" w:rsidRPr="00A655A1">
              <w:rPr>
                <w:rFonts w:cs="Arial"/>
                <w:szCs w:val="20"/>
                <w:lang w:val="en-AU"/>
              </w:rPr>
              <w:t xml:space="preserve"> per </w:t>
            </w:r>
            <w:r w:rsidRPr="00A655A1">
              <w:rPr>
                <w:rFonts w:cs="Arial"/>
                <w:szCs w:val="20"/>
                <w:lang w:val="en-AU"/>
              </w:rPr>
              <w:t xml:space="preserve">QALY </w:t>
            </w:r>
          </w:p>
        </w:tc>
      </w:tr>
      <w:tr w:rsidR="00963C72" w:rsidRPr="00A655A1" w:rsidTr="008B76E8">
        <w:tc>
          <w:tcPr>
            <w:tcW w:w="627" w:type="pct"/>
            <w:shd w:val="clear" w:color="auto" w:fill="auto"/>
            <w:vAlign w:val="center"/>
          </w:tcPr>
          <w:p w:rsidR="00963C72" w:rsidRPr="00A655A1" w:rsidRDefault="00E60B3A" w:rsidP="00E60B3A">
            <w:pPr>
              <w:pStyle w:val="TableText0"/>
            </w:pPr>
            <w:r w:rsidRPr="00A655A1">
              <w:t>Time h</w:t>
            </w:r>
            <w:r w:rsidR="00963C72" w:rsidRPr="00A655A1">
              <w:t>orizon</w:t>
            </w:r>
          </w:p>
        </w:tc>
        <w:tc>
          <w:tcPr>
            <w:tcW w:w="2344" w:type="pct"/>
            <w:shd w:val="clear" w:color="auto" w:fill="auto"/>
            <w:vAlign w:val="center"/>
          </w:tcPr>
          <w:p w:rsidR="00963C72" w:rsidRPr="00254C38" w:rsidRDefault="00963C72" w:rsidP="00254C38">
            <w:pPr>
              <w:pStyle w:val="TableText0"/>
              <w:rPr>
                <w:vertAlign w:val="superscript"/>
              </w:rPr>
            </w:pPr>
            <w:r w:rsidRPr="00A655A1">
              <w:t xml:space="preserve">15 years </w:t>
            </w:r>
          </w:p>
        </w:tc>
        <w:tc>
          <w:tcPr>
            <w:tcW w:w="2029" w:type="pct"/>
            <w:shd w:val="clear" w:color="auto" w:fill="auto"/>
            <w:vAlign w:val="center"/>
          </w:tcPr>
          <w:p w:rsidR="00963C72" w:rsidRPr="00A655A1" w:rsidRDefault="005B307A" w:rsidP="002375D9">
            <w:pPr>
              <w:pStyle w:val="TableText0"/>
            </w:pPr>
            <w:r w:rsidRPr="00A655A1">
              <w:rPr>
                <w:iCs/>
              </w:rPr>
              <w:t>Moderate</w:t>
            </w:r>
            <w:r w:rsidR="00963C72" w:rsidRPr="00A655A1">
              <w:rPr>
                <w:iCs/>
              </w:rPr>
              <w:t>,</w:t>
            </w:r>
            <w:r w:rsidR="00963C72" w:rsidRPr="00A655A1">
              <w:t xml:space="preserve"> favours SBd. </w:t>
            </w:r>
            <w:r w:rsidR="002375D9" w:rsidRPr="00A655A1">
              <w:br/>
            </w:r>
            <w:r w:rsidR="00963C72" w:rsidRPr="00A655A1">
              <w:t>Reduction in the time horizon to 10 years increase</w:t>
            </w:r>
            <w:r w:rsidR="002375D9" w:rsidRPr="00A655A1">
              <w:t>d</w:t>
            </w:r>
            <w:r w:rsidR="00963C72" w:rsidRPr="00A655A1">
              <w:t xml:space="preserve"> </w:t>
            </w:r>
            <w:r w:rsidR="002375D9" w:rsidRPr="00A655A1">
              <w:t>the</w:t>
            </w:r>
            <w:r w:rsidR="00963C72" w:rsidRPr="00A655A1">
              <w:t xml:space="preserve"> ICER to $</w:t>
            </w:r>
            <w:r w:rsidR="007004AE">
              <w:rPr>
                <w:noProof/>
                <w:color w:val="000000"/>
                <w:highlight w:val="black"/>
              </w:rPr>
              <w:t>'''''''''''''''</w:t>
            </w:r>
            <w:r w:rsidR="00254C38">
              <w:rPr>
                <w:vertAlign w:val="superscript"/>
              </w:rPr>
              <w:t>2</w:t>
            </w:r>
            <w:r w:rsidR="00B27569" w:rsidRPr="00254C38">
              <w:t xml:space="preserve"> </w:t>
            </w:r>
            <w:r w:rsidR="00B27569" w:rsidRPr="00A655A1">
              <w:t>per QALY</w:t>
            </w:r>
            <w:r w:rsidR="00963C72" w:rsidRPr="00A655A1">
              <w:t>.</w:t>
            </w:r>
          </w:p>
        </w:tc>
      </w:tr>
      <w:tr w:rsidR="007B2599" w:rsidRPr="00A655A1" w:rsidTr="002E3185">
        <w:tc>
          <w:tcPr>
            <w:tcW w:w="627" w:type="pct"/>
            <w:shd w:val="clear" w:color="auto" w:fill="auto"/>
            <w:vAlign w:val="center"/>
          </w:tcPr>
          <w:p w:rsidR="007B2599" w:rsidRPr="00A655A1" w:rsidRDefault="007B2599" w:rsidP="00E60B3A">
            <w:pPr>
              <w:pStyle w:val="TableText0"/>
            </w:pPr>
            <w:r w:rsidRPr="00A655A1">
              <w:t>Treatment crossover</w:t>
            </w:r>
          </w:p>
        </w:tc>
        <w:tc>
          <w:tcPr>
            <w:tcW w:w="2344" w:type="pct"/>
            <w:shd w:val="clear" w:color="auto" w:fill="auto"/>
            <w:vAlign w:val="center"/>
          </w:tcPr>
          <w:p w:rsidR="007B2599" w:rsidRPr="00A655A1" w:rsidRDefault="007B2599" w:rsidP="002E3185">
            <w:pPr>
              <w:pStyle w:val="TableText0"/>
            </w:pPr>
            <w:r w:rsidRPr="00A655A1">
              <w:t>Treatment crossover for OS was adjusted using TSEM</w:t>
            </w:r>
          </w:p>
        </w:tc>
        <w:tc>
          <w:tcPr>
            <w:tcW w:w="2029" w:type="pct"/>
            <w:shd w:val="clear" w:color="auto" w:fill="auto"/>
            <w:vAlign w:val="center"/>
          </w:tcPr>
          <w:p w:rsidR="002375D9" w:rsidRPr="00A655A1" w:rsidRDefault="007B2599" w:rsidP="002375D9">
            <w:pPr>
              <w:pStyle w:val="TableText0"/>
            </w:pPr>
            <w:r w:rsidRPr="00A655A1">
              <w:t>High</w:t>
            </w:r>
            <w:r w:rsidR="002375D9" w:rsidRPr="00A655A1">
              <w:t xml:space="preserve">, favours SBd. </w:t>
            </w:r>
          </w:p>
          <w:p w:rsidR="007B2599" w:rsidRPr="00A655A1" w:rsidRDefault="002375D9" w:rsidP="002375D9">
            <w:pPr>
              <w:pStyle w:val="TableText0"/>
            </w:pPr>
            <w:r w:rsidRPr="00A655A1">
              <w:t>N</w:t>
            </w:r>
            <w:r w:rsidR="007B2599" w:rsidRPr="00A655A1">
              <w:t>o adjustment for crossover increased the ICER to $</w:t>
            </w:r>
            <w:r w:rsidR="007004AE">
              <w:rPr>
                <w:noProof/>
                <w:color w:val="000000"/>
                <w:highlight w:val="black"/>
              </w:rPr>
              <w:t>'''''''''''''''''''</w:t>
            </w:r>
            <w:r w:rsidR="00254C38">
              <w:rPr>
                <w:vertAlign w:val="superscript"/>
              </w:rPr>
              <w:t>3</w:t>
            </w:r>
            <w:r w:rsidR="00B27569" w:rsidRPr="00A655A1">
              <w:t xml:space="preserve"> per QALY</w:t>
            </w:r>
            <w:r w:rsidR="007B2599" w:rsidRPr="00A655A1">
              <w:t>.</w:t>
            </w:r>
          </w:p>
        </w:tc>
      </w:tr>
      <w:tr w:rsidR="00E53385" w:rsidRPr="00A655A1" w:rsidTr="005178EF">
        <w:tc>
          <w:tcPr>
            <w:tcW w:w="627" w:type="pct"/>
            <w:shd w:val="clear" w:color="auto" w:fill="auto"/>
            <w:vAlign w:val="center"/>
          </w:tcPr>
          <w:p w:rsidR="00E53385" w:rsidRPr="00A655A1" w:rsidRDefault="00E53385" w:rsidP="00E60B3A">
            <w:pPr>
              <w:pStyle w:val="TableText0"/>
            </w:pPr>
            <w:r w:rsidRPr="00A655A1">
              <w:t>Extrapolation</w:t>
            </w:r>
          </w:p>
        </w:tc>
        <w:tc>
          <w:tcPr>
            <w:tcW w:w="2344" w:type="pct"/>
            <w:shd w:val="clear" w:color="auto" w:fill="auto"/>
            <w:vAlign w:val="center"/>
          </w:tcPr>
          <w:p w:rsidR="00E53385" w:rsidRPr="00A655A1" w:rsidRDefault="002F0103" w:rsidP="0043067D">
            <w:pPr>
              <w:pStyle w:val="TableText0"/>
            </w:pPr>
            <w:r w:rsidRPr="00A655A1">
              <w:t>Parametric models for extrapolation were selected based on AIC</w:t>
            </w:r>
            <w:r w:rsidR="006E5D95" w:rsidRPr="00A655A1">
              <w:t xml:space="preserve">, </w:t>
            </w:r>
            <w:r w:rsidRPr="00A655A1">
              <w:t>BIC,</w:t>
            </w:r>
            <w:r w:rsidR="006E5D95" w:rsidRPr="00A655A1">
              <w:t xml:space="preserve"> and visual inspection</w:t>
            </w:r>
            <w:r w:rsidR="0048613D" w:rsidRPr="00A655A1">
              <w:t>. External validity of OS was based on published estimates</w:t>
            </w:r>
            <w:r w:rsidR="00F045E3" w:rsidRPr="00A655A1">
              <w:t xml:space="preserve"> and plausibility. </w:t>
            </w:r>
          </w:p>
        </w:tc>
        <w:tc>
          <w:tcPr>
            <w:tcW w:w="2029" w:type="pct"/>
            <w:shd w:val="clear" w:color="auto" w:fill="auto"/>
            <w:vAlign w:val="center"/>
          </w:tcPr>
          <w:p w:rsidR="00E53385" w:rsidRPr="00A655A1" w:rsidRDefault="00E53385" w:rsidP="005D4500">
            <w:pPr>
              <w:pStyle w:val="TableText0"/>
            </w:pPr>
            <w:r w:rsidRPr="00A655A1">
              <w:t xml:space="preserve">High, favours </w:t>
            </w:r>
            <w:r w:rsidR="007809E1" w:rsidRPr="00A655A1">
              <w:t>SBd.</w:t>
            </w:r>
          </w:p>
          <w:p w:rsidR="00D35E7A" w:rsidRPr="00A655A1" w:rsidRDefault="002702B0" w:rsidP="005D4500">
            <w:pPr>
              <w:pStyle w:val="TableText0"/>
            </w:pPr>
            <w:r w:rsidRPr="00A655A1">
              <w:t>Assumption of no OS gain</w:t>
            </w:r>
            <w:r w:rsidR="00D601E4" w:rsidRPr="00A655A1">
              <w:t xml:space="preserve"> with SBd</w:t>
            </w:r>
            <w:r w:rsidRPr="00A655A1">
              <w:t xml:space="preserve"> </w:t>
            </w:r>
            <w:r w:rsidR="00D601E4" w:rsidRPr="00A655A1">
              <w:t xml:space="preserve">over Bd </w:t>
            </w:r>
            <w:r w:rsidR="008702E4" w:rsidRPr="00A655A1">
              <w:t>increased the ICER to $</w:t>
            </w:r>
            <w:r w:rsidR="007004AE">
              <w:rPr>
                <w:noProof/>
                <w:color w:val="000000"/>
                <w:highlight w:val="black"/>
              </w:rPr>
              <w:t>''''''''''''''''''</w:t>
            </w:r>
            <w:r w:rsidR="00254C38">
              <w:rPr>
                <w:vertAlign w:val="superscript"/>
              </w:rPr>
              <w:t>4</w:t>
            </w:r>
            <w:r w:rsidR="00B27569" w:rsidRPr="00A655A1">
              <w:t xml:space="preserve"> per QALY</w:t>
            </w:r>
            <w:r w:rsidR="00D601E4" w:rsidRPr="00A655A1">
              <w:t>.</w:t>
            </w:r>
          </w:p>
        </w:tc>
      </w:tr>
      <w:tr w:rsidR="00C0167B" w:rsidRPr="00A655A1" w:rsidTr="005178EF">
        <w:tc>
          <w:tcPr>
            <w:tcW w:w="627" w:type="pct"/>
            <w:shd w:val="clear" w:color="auto" w:fill="auto"/>
            <w:vAlign w:val="center"/>
          </w:tcPr>
          <w:p w:rsidR="00C0167B" w:rsidRPr="00A655A1" w:rsidRDefault="00D27C45" w:rsidP="00E60B3A">
            <w:pPr>
              <w:pStyle w:val="TableText0"/>
            </w:pPr>
            <w:r w:rsidRPr="00A655A1">
              <w:t>Utility values</w:t>
            </w:r>
          </w:p>
        </w:tc>
        <w:tc>
          <w:tcPr>
            <w:tcW w:w="2344" w:type="pct"/>
            <w:shd w:val="clear" w:color="auto" w:fill="auto"/>
            <w:vAlign w:val="center"/>
          </w:tcPr>
          <w:p w:rsidR="00C0167B" w:rsidRPr="00A655A1" w:rsidRDefault="00D27C45" w:rsidP="0043067D">
            <w:pPr>
              <w:pStyle w:val="TableText0"/>
            </w:pPr>
            <w:r w:rsidRPr="00A655A1">
              <w:t>ENDEAVOR trial utility values</w:t>
            </w:r>
            <w:r w:rsidR="00786C2B" w:rsidRPr="00A655A1">
              <w:t xml:space="preserve">. </w:t>
            </w:r>
          </w:p>
        </w:tc>
        <w:tc>
          <w:tcPr>
            <w:tcW w:w="2029" w:type="pct"/>
            <w:shd w:val="clear" w:color="auto" w:fill="auto"/>
            <w:vAlign w:val="center"/>
          </w:tcPr>
          <w:p w:rsidR="002375D9" w:rsidRPr="00A655A1" w:rsidRDefault="00C37E55" w:rsidP="005D4500">
            <w:pPr>
              <w:pStyle w:val="TableText0"/>
            </w:pPr>
            <w:r w:rsidRPr="00A655A1">
              <w:t xml:space="preserve">Moderate, </w:t>
            </w:r>
            <w:r w:rsidR="002375D9" w:rsidRPr="00A655A1">
              <w:t>favours Bd.</w:t>
            </w:r>
          </w:p>
          <w:p w:rsidR="00C37E55" w:rsidRPr="00A655A1" w:rsidRDefault="002375D9" w:rsidP="005D4500">
            <w:pPr>
              <w:pStyle w:val="TableText0"/>
            </w:pPr>
            <w:r w:rsidRPr="00A655A1">
              <w:t>U</w:t>
            </w:r>
            <w:r w:rsidR="00C37E55" w:rsidRPr="00A655A1">
              <w:t>til</w:t>
            </w:r>
            <w:r w:rsidRPr="00A655A1">
              <w:t>ity values from BOSTON decreased</w:t>
            </w:r>
            <w:r w:rsidR="00C37E55" w:rsidRPr="00A655A1">
              <w:t xml:space="preserve"> the ICER to </w:t>
            </w:r>
            <w:r w:rsidR="00B6597A" w:rsidRPr="00A655A1">
              <w:t>$</w:t>
            </w:r>
            <w:r w:rsidR="007004AE">
              <w:rPr>
                <w:noProof/>
                <w:color w:val="000000"/>
                <w:highlight w:val="black"/>
              </w:rPr>
              <w:t>'''''''''''''''''</w:t>
            </w:r>
            <w:r w:rsidR="00254C38">
              <w:rPr>
                <w:vertAlign w:val="superscript"/>
              </w:rPr>
              <w:t>1</w:t>
            </w:r>
            <w:r w:rsidR="00B27569" w:rsidRPr="00A655A1">
              <w:t xml:space="preserve"> per QALY</w:t>
            </w:r>
            <w:r w:rsidR="00B6597A" w:rsidRPr="00A655A1">
              <w:t>.</w:t>
            </w:r>
          </w:p>
        </w:tc>
      </w:tr>
    </w:tbl>
    <w:p w:rsidR="005178EF" w:rsidRPr="00A655A1" w:rsidRDefault="005178EF" w:rsidP="005178EF">
      <w:pPr>
        <w:pStyle w:val="TableFigureFooter"/>
        <w:rPr>
          <w:szCs w:val="18"/>
        </w:rPr>
      </w:pPr>
      <w:r w:rsidRPr="00A655A1">
        <w:t xml:space="preserve">Source: compiled during the evaluation </w:t>
      </w:r>
      <w:r w:rsidRPr="00A655A1">
        <w:rPr>
          <w:szCs w:val="18"/>
        </w:rPr>
        <w:t>using results in Excel workbook PBAC_March 2021_XPOVIO Selinexor_RRMM_XVd_Section 3 CUA Workbook_Final.xlsm</w:t>
      </w:r>
    </w:p>
    <w:p w:rsidR="008B75CF" w:rsidRDefault="005178EF" w:rsidP="005178EF">
      <w:pPr>
        <w:pStyle w:val="TableFigureFooter"/>
        <w:rPr>
          <w:szCs w:val="18"/>
        </w:rPr>
      </w:pPr>
      <w:r w:rsidRPr="00A655A1">
        <w:rPr>
          <w:szCs w:val="18"/>
        </w:rPr>
        <w:t xml:space="preserve">AIC = Akaike Information Criterion; BIC = Bayesian information </w:t>
      </w:r>
      <w:r w:rsidR="000D15C2" w:rsidRPr="00A655A1">
        <w:rPr>
          <w:szCs w:val="18"/>
        </w:rPr>
        <w:t>criterion;</w:t>
      </w:r>
      <w:r w:rsidR="008B75CF" w:rsidRPr="00A655A1">
        <w:rPr>
          <w:szCs w:val="18"/>
        </w:rPr>
        <w:t xml:space="preserve"> ICER = incremental cost effectiveness ratio;</w:t>
      </w:r>
      <w:r w:rsidR="000D15C2" w:rsidRPr="00A655A1">
        <w:rPr>
          <w:szCs w:val="18"/>
        </w:rPr>
        <w:t xml:space="preserve"> OS = overall survival; </w:t>
      </w:r>
      <w:r w:rsidR="00B27569" w:rsidRPr="00A655A1">
        <w:rPr>
          <w:szCs w:val="18"/>
        </w:rPr>
        <w:t xml:space="preserve">QALY = quality adjusted life year; </w:t>
      </w:r>
      <w:r w:rsidR="000D15C2" w:rsidRPr="00A655A1">
        <w:rPr>
          <w:szCs w:val="18"/>
        </w:rPr>
        <w:t>SBd = selinexor + bortezomib + dexamethason</w:t>
      </w:r>
      <w:r w:rsidR="00BF7ED1" w:rsidRPr="00A655A1">
        <w:rPr>
          <w:szCs w:val="18"/>
        </w:rPr>
        <w:t>e; TSEM = two-stage estimat</w:t>
      </w:r>
      <w:r w:rsidR="008E2B74" w:rsidRPr="00A655A1">
        <w:rPr>
          <w:szCs w:val="18"/>
        </w:rPr>
        <w:t>ion</w:t>
      </w:r>
      <w:r w:rsidR="00BF7ED1" w:rsidRPr="00A655A1">
        <w:rPr>
          <w:szCs w:val="18"/>
        </w:rPr>
        <w:t xml:space="preserve"> method</w:t>
      </w:r>
    </w:p>
    <w:p w:rsidR="00254C38" w:rsidRPr="009868C4" w:rsidRDefault="00254C38" w:rsidP="00254C38">
      <w:pPr>
        <w:pStyle w:val="TableFigureFooter"/>
        <w:spacing w:after="0"/>
        <w:contextualSpacing w:val="0"/>
      </w:pPr>
      <w:r w:rsidRPr="009868C4">
        <w:rPr>
          <w:i/>
        </w:rPr>
        <w:t>The redacted values correspond to the following ranges</w:t>
      </w:r>
      <w:r>
        <w:rPr>
          <w:i/>
        </w:rPr>
        <w:t xml:space="preserve">: </w:t>
      </w:r>
    </w:p>
    <w:p w:rsidR="00254C38" w:rsidRPr="00254C38" w:rsidRDefault="00254C38" w:rsidP="005178EF">
      <w:pPr>
        <w:pStyle w:val="TableFigureFooter"/>
        <w:rPr>
          <w:i/>
        </w:rPr>
      </w:pPr>
      <w:r w:rsidRPr="00254C38">
        <w:rPr>
          <w:i/>
          <w:vertAlign w:val="superscript"/>
        </w:rPr>
        <w:t xml:space="preserve">1 </w:t>
      </w:r>
      <w:r w:rsidRPr="00254C38">
        <w:rPr>
          <w:i/>
        </w:rPr>
        <w:t>$55,000 to &lt; $75,000</w:t>
      </w:r>
    </w:p>
    <w:p w:rsidR="00254C38" w:rsidRPr="007004AE" w:rsidRDefault="00254C38" w:rsidP="005178EF">
      <w:pPr>
        <w:pStyle w:val="TableFigureFooter"/>
        <w:rPr>
          <w:i/>
        </w:rPr>
      </w:pPr>
      <w:r w:rsidRPr="007004AE">
        <w:rPr>
          <w:i/>
          <w:vertAlign w:val="superscript"/>
        </w:rPr>
        <w:t xml:space="preserve">2 </w:t>
      </w:r>
      <w:r w:rsidRPr="007004AE">
        <w:rPr>
          <w:i/>
        </w:rPr>
        <w:t>$75,000 to &lt; $95,000</w:t>
      </w:r>
    </w:p>
    <w:p w:rsidR="00254C38" w:rsidRPr="007004AE" w:rsidRDefault="00254C38" w:rsidP="005178EF">
      <w:pPr>
        <w:pStyle w:val="TableFigureFooter"/>
        <w:rPr>
          <w:i/>
        </w:rPr>
      </w:pPr>
      <w:r w:rsidRPr="007004AE">
        <w:rPr>
          <w:i/>
          <w:vertAlign w:val="superscript"/>
        </w:rPr>
        <w:t xml:space="preserve">3 </w:t>
      </w:r>
      <w:r w:rsidRPr="007004AE">
        <w:rPr>
          <w:i/>
        </w:rPr>
        <w:t>$95,000 to &lt; $115,000</w:t>
      </w:r>
    </w:p>
    <w:p w:rsidR="00254C38" w:rsidRPr="007004AE" w:rsidRDefault="00254C38" w:rsidP="005178EF">
      <w:pPr>
        <w:pStyle w:val="TableFigureFooter"/>
        <w:rPr>
          <w:i/>
        </w:rPr>
      </w:pPr>
      <w:r w:rsidRPr="007004AE">
        <w:rPr>
          <w:i/>
          <w:vertAlign w:val="superscript"/>
        </w:rPr>
        <w:t xml:space="preserve">4 </w:t>
      </w:r>
      <w:r w:rsidRPr="007004AE">
        <w:rPr>
          <w:i/>
        </w:rPr>
        <w:t>$155,000 to &lt; $255,000</w:t>
      </w:r>
    </w:p>
    <w:p w:rsidR="005611A8" w:rsidRPr="00A655A1" w:rsidRDefault="0005486B" w:rsidP="00254C38">
      <w:pPr>
        <w:pStyle w:val="3-BodyText"/>
        <w:rPr>
          <w:rStyle w:val="CommentReference"/>
          <w:rFonts w:asciiTheme="minorHAnsi" w:hAnsiTheme="minorHAnsi"/>
          <w:b w:val="0"/>
          <w:color w:val="0066FF"/>
          <w:sz w:val="24"/>
          <w:szCs w:val="24"/>
        </w:rPr>
      </w:pPr>
      <w:r w:rsidRPr="00A655A1">
        <w:t>The results from the economic evaluation are summarised in</w:t>
      </w:r>
      <w:r w:rsidR="0018446F">
        <w:t xml:space="preserve"> Table 17</w:t>
      </w:r>
      <w:r w:rsidRPr="00A655A1">
        <w:t>.</w:t>
      </w:r>
      <w:r w:rsidR="000912C0" w:rsidRPr="00A655A1">
        <w:t xml:space="preserve"> In the base-case, treatment with SBd resulted in estimated incremental costs of </w:t>
      </w:r>
      <w:r w:rsidR="00254C38" w:rsidRPr="00254C38">
        <w:t>$35,000 to &lt; $45,000</w:t>
      </w:r>
      <w:r w:rsidR="000912C0" w:rsidRPr="00A655A1">
        <w:t xml:space="preserve">, incremental life years of 0.806 and incremental </w:t>
      </w:r>
      <w:r w:rsidR="00974680" w:rsidRPr="00A655A1">
        <w:t>quality adjusted life years (</w:t>
      </w:r>
      <w:r w:rsidR="000912C0" w:rsidRPr="00A655A1">
        <w:t>QALYs</w:t>
      </w:r>
      <w:r w:rsidR="00974680" w:rsidRPr="00A655A1">
        <w:t>)</w:t>
      </w:r>
      <w:r w:rsidR="000912C0" w:rsidRPr="00A655A1">
        <w:t xml:space="preserve"> of 0.581, compared with treatment with Bd, resulting in an ICER of </w:t>
      </w:r>
      <w:r w:rsidR="00254C38" w:rsidRPr="00254C38">
        <w:rPr>
          <w:iCs/>
        </w:rPr>
        <w:t>$45,000 to &lt; $55,000</w:t>
      </w:r>
      <w:r w:rsidR="00254C38">
        <w:rPr>
          <w:iCs/>
        </w:rPr>
        <w:t xml:space="preserve"> </w:t>
      </w:r>
      <w:r w:rsidR="0081500D" w:rsidRPr="00A655A1">
        <w:rPr>
          <w:iCs/>
        </w:rPr>
        <w:t xml:space="preserve">per </w:t>
      </w:r>
      <w:r w:rsidR="00974680" w:rsidRPr="00A655A1">
        <w:rPr>
          <w:iCs/>
        </w:rPr>
        <w:t xml:space="preserve">life year </w:t>
      </w:r>
      <w:r w:rsidR="0081500D" w:rsidRPr="00A655A1">
        <w:rPr>
          <w:iCs/>
        </w:rPr>
        <w:t>gained</w:t>
      </w:r>
      <w:r w:rsidR="0081500D" w:rsidRPr="00A655A1">
        <w:rPr>
          <w:i/>
          <w:iCs/>
        </w:rPr>
        <w:t xml:space="preserve"> </w:t>
      </w:r>
      <w:r w:rsidR="000912C0" w:rsidRPr="00A655A1">
        <w:t xml:space="preserve">and of </w:t>
      </w:r>
      <w:r w:rsidR="00254C38" w:rsidRPr="00254C38">
        <w:rPr>
          <w:iCs/>
        </w:rPr>
        <w:t>$75,000 to &lt; $95,000</w:t>
      </w:r>
      <w:r w:rsidR="0081500D" w:rsidRPr="00A655A1">
        <w:rPr>
          <w:iCs/>
        </w:rPr>
        <w:t>per QALY gained</w:t>
      </w:r>
      <w:r w:rsidR="000912C0" w:rsidRPr="00A655A1">
        <w:rPr>
          <w:i/>
          <w:iCs/>
        </w:rPr>
        <w:t>.</w:t>
      </w:r>
      <w:r w:rsidR="000912C0" w:rsidRPr="00A655A1">
        <w:t xml:space="preserve"> </w:t>
      </w:r>
    </w:p>
    <w:p w:rsidR="0005486B" w:rsidRPr="00A655A1" w:rsidRDefault="0005486B" w:rsidP="00C54B46">
      <w:pPr>
        <w:pStyle w:val="TableFigureHeading"/>
      </w:pPr>
      <w:bookmarkStart w:id="36" w:name="_Ref69384139"/>
      <w:r w:rsidRPr="00A655A1">
        <w:t xml:space="preserve">Table </w:t>
      </w:r>
      <w:bookmarkEnd w:id="36"/>
      <w:r w:rsidR="00AB7EEA" w:rsidRPr="00A655A1">
        <w:t>17</w:t>
      </w:r>
      <w:r w:rsidRPr="00A655A1">
        <w:t xml:space="preserve">: </w:t>
      </w:r>
      <w:r w:rsidR="00C54B46" w:rsidRPr="00A655A1">
        <w:t>Economic model base-case results for SBd vs Bd in the treatment of RRMM</w:t>
      </w:r>
    </w:p>
    <w:tbl>
      <w:tblPr>
        <w:tblW w:w="5000" w:type="pct"/>
        <w:tblLook w:val="04A0" w:firstRow="1" w:lastRow="0" w:firstColumn="1" w:lastColumn="0" w:noHBand="0" w:noVBand="1"/>
      </w:tblPr>
      <w:tblGrid>
        <w:gridCol w:w="3680"/>
        <w:gridCol w:w="1845"/>
        <w:gridCol w:w="1699"/>
        <w:gridCol w:w="1793"/>
      </w:tblGrid>
      <w:tr w:rsidR="00C54B46" w:rsidRPr="00A655A1" w:rsidTr="0028658D">
        <w:trPr>
          <w:trHeight w:val="50"/>
        </w:trPr>
        <w:tc>
          <w:tcPr>
            <w:tcW w:w="204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54B46" w:rsidRPr="00A655A1" w:rsidRDefault="00C54B46" w:rsidP="0043067D">
            <w:pPr>
              <w:pStyle w:val="TableText0"/>
              <w:rPr>
                <w:b/>
                <w:bCs w:val="0"/>
              </w:rPr>
            </w:pPr>
            <w:r w:rsidRPr="00A655A1">
              <w:rPr>
                <w:b/>
                <w:bCs w:val="0"/>
              </w:rPr>
              <w:t>Result</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4B46" w:rsidRPr="00A655A1" w:rsidRDefault="00C54B46" w:rsidP="000C0ACE">
            <w:pPr>
              <w:pStyle w:val="TableText0"/>
              <w:jc w:val="center"/>
              <w:rPr>
                <w:b/>
                <w:bCs w:val="0"/>
              </w:rPr>
            </w:pPr>
            <w:r w:rsidRPr="00A655A1">
              <w:rPr>
                <w:b/>
                <w:bCs w:val="0"/>
              </w:rPr>
              <w:t>SBd</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4B46" w:rsidRPr="00A655A1" w:rsidRDefault="00C54B46" w:rsidP="000C0ACE">
            <w:pPr>
              <w:pStyle w:val="TableText0"/>
              <w:jc w:val="center"/>
              <w:rPr>
                <w:b/>
                <w:bCs w:val="0"/>
              </w:rPr>
            </w:pPr>
            <w:r w:rsidRPr="00A655A1">
              <w:rPr>
                <w:b/>
                <w:bCs w:val="0"/>
              </w:rPr>
              <w:t>Bd</w:t>
            </w:r>
          </w:p>
        </w:tc>
        <w:tc>
          <w:tcPr>
            <w:tcW w:w="994" w:type="pct"/>
            <w:tcBorders>
              <w:top w:val="single" w:sz="4" w:space="0" w:color="000000"/>
              <w:left w:val="single" w:sz="4" w:space="0" w:color="000000"/>
              <w:bottom w:val="single" w:sz="4" w:space="0" w:color="000000"/>
              <w:right w:val="single" w:sz="4" w:space="0" w:color="000000"/>
            </w:tcBorders>
          </w:tcPr>
          <w:p w:rsidR="00C54B46" w:rsidRPr="00A655A1" w:rsidRDefault="00C54B46" w:rsidP="0028658D">
            <w:pPr>
              <w:pStyle w:val="TableText0"/>
              <w:jc w:val="center"/>
              <w:rPr>
                <w:b/>
                <w:bCs w:val="0"/>
              </w:rPr>
            </w:pPr>
            <w:r w:rsidRPr="00A655A1">
              <w:rPr>
                <w:b/>
                <w:bCs w:val="0"/>
              </w:rPr>
              <w:t>Incremental</w:t>
            </w:r>
          </w:p>
        </w:tc>
      </w:tr>
      <w:tr w:rsidR="00C54B46" w:rsidRPr="00A655A1" w:rsidTr="0028658D">
        <w:trPr>
          <w:trHeight w:val="50"/>
        </w:trPr>
        <w:tc>
          <w:tcPr>
            <w:tcW w:w="204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54B46" w:rsidRPr="00A655A1" w:rsidRDefault="00C54B46" w:rsidP="0043067D">
            <w:pPr>
              <w:pStyle w:val="TableText0"/>
            </w:pPr>
            <w:r w:rsidRPr="00A655A1">
              <w:t>Total LYs</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54B46" w:rsidRPr="00A655A1" w:rsidRDefault="00C54B46" w:rsidP="0043067D">
            <w:pPr>
              <w:pStyle w:val="TableText0"/>
              <w:jc w:val="center"/>
            </w:pPr>
            <w:r w:rsidRPr="00A655A1">
              <w:t>3.89</w:t>
            </w:r>
          </w:p>
        </w:tc>
        <w:tc>
          <w:tcPr>
            <w:tcW w:w="9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54B46" w:rsidRPr="00A655A1" w:rsidRDefault="00C54B46" w:rsidP="0043067D">
            <w:pPr>
              <w:pStyle w:val="TableText0"/>
              <w:jc w:val="center"/>
            </w:pPr>
            <w:r w:rsidRPr="00A655A1">
              <w:t>3.09</w:t>
            </w:r>
          </w:p>
        </w:tc>
        <w:tc>
          <w:tcPr>
            <w:tcW w:w="994" w:type="pct"/>
            <w:tcBorders>
              <w:top w:val="single" w:sz="4" w:space="0" w:color="000000"/>
              <w:left w:val="single" w:sz="4" w:space="0" w:color="000000"/>
              <w:bottom w:val="single" w:sz="4" w:space="0" w:color="000000"/>
              <w:right w:val="single" w:sz="4" w:space="0" w:color="000000"/>
            </w:tcBorders>
          </w:tcPr>
          <w:p w:rsidR="00C54B46" w:rsidRPr="00A655A1" w:rsidRDefault="00C54B46" w:rsidP="0043067D">
            <w:pPr>
              <w:pStyle w:val="TableText0"/>
              <w:jc w:val="center"/>
              <w:rPr>
                <w:b/>
                <w:bCs w:val="0"/>
              </w:rPr>
            </w:pPr>
            <w:r w:rsidRPr="00A655A1">
              <w:t>0.806</w:t>
            </w:r>
          </w:p>
        </w:tc>
      </w:tr>
      <w:tr w:rsidR="00C54B46" w:rsidRPr="00A655A1" w:rsidTr="0028658D">
        <w:trPr>
          <w:trHeight w:val="50"/>
        </w:trPr>
        <w:tc>
          <w:tcPr>
            <w:tcW w:w="204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54B46" w:rsidRPr="00A655A1" w:rsidRDefault="00C54B46" w:rsidP="0043067D">
            <w:pPr>
              <w:pStyle w:val="TableText0"/>
            </w:pPr>
            <w:r w:rsidRPr="00A655A1">
              <w:t>Total QALYs</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54B46" w:rsidRPr="00A655A1" w:rsidRDefault="00C54B46" w:rsidP="0043067D">
            <w:pPr>
              <w:pStyle w:val="TableText0"/>
              <w:jc w:val="center"/>
            </w:pPr>
            <w:r w:rsidRPr="00A655A1">
              <w:t>2.74</w:t>
            </w:r>
          </w:p>
        </w:tc>
        <w:tc>
          <w:tcPr>
            <w:tcW w:w="9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54B46" w:rsidRPr="00A655A1" w:rsidRDefault="00C54B46" w:rsidP="0043067D">
            <w:pPr>
              <w:pStyle w:val="TableText0"/>
              <w:jc w:val="center"/>
            </w:pPr>
            <w:r w:rsidRPr="00A655A1">
              <w:t>2.16</w:t>
            </w:r>
          </w:p>
        </w:tc>
        <w:tc>
          <w:tcPr>
            <w:tcW w:w="994" w:type="pct"/>
            <w:tcBorders>
              <w:top w:val="single" w:sz="4" w:space="0" w:color="000000"/>
              <w:left w:val="single" w:sz="4" w:space="0" w:color="000000"/>
              <w:bottom w:val="single" w:sz="4" w:space="0" w:color="000000"/>
              <w:right w:val="single" w:sz="4" w:space="0" w:color="000000"/>
            </w:tcBorders>
          </w:tcPr>
          <w:p w:rsidR="00C54B46" w:rsidRPr="00A655A1" w:rsidRDefault="00C54B46" w:rsidP="0043067D">
            <w:pPr>
              <w:pStyle w:val="TableText0"/>
              <w:jc w:val="center"/>
              <w:rPr>
                <w:b/>
                <w:bCs w:val="0"/>
              </w:rPr>
            </w:pPr>
            <w:r w:rsidRPr="00A655A1">
              <w:t>0.581</w:t>
            </w:r>
          </w:p>
        </w:tc>
      </w:tr>
      <w:tr w:rsidR="00C54B46" w:rsidRPr="00A655A1" w:rsidTr="0028658D">
        <w:trPr>
          <w:trHeight w:val="50"/>
        </w:trPr>
        <w:tc>
          <w:tcPr>
            <w:tcW w:w="204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54B46" w:rsidRPr="00A655A1" w:rsidRDefault="00C54B46" w:rsidP="0043067D">
            <w:pPr>
              <w:pStyle w:val="TableText0"/>
            </w:pPr>
            <w:r w:rsidRPr="00A655A1">
              <w:t>Total costs</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B7EEA" w:rsidRPr="00A655A1" w:rsidRDefault="00AB7EEA" w:rsidP="00D67288">
            <w:pPr>
              <w:pStyle w:val="TableText0"/>
              <w:jc w:val="center"/>
            </w:pPr>
            <w:r w:rsidRPr="00A655A1">
              <w:t>$</w:t>
            </w:r>
            <w:r w:rsidR="007004AE">
              <w:rPr>
                <w:noProof/>
                <w:color w:val="000000"/>
                <w:highlight w:val="black"/>
              </w:rPr>
              <w:t>'''''''''''''''''''''</w:t>
            </w:r>
          </w:p>
        </w:tc>
        <w:tc>
          <w:tcPr>
            <w:tcW w:w="9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658D" w:rsidRPr="00A655A1" w:rsidRDefault="00D67288" w:rsidP="00D67288">
            <w:pPr>
              <w:pStyle w:val="TableText0"/>
              <w:jc w:val="center"/>
            </w:pPr>
            <w:r w:rsidRPr="00A655A1">
              <w:t xml:space="preserve"> </w:t>
            </w:r>
            <w:r w:rsidR="0028658D" w:rsidRPr="00A655A1">
              <w:t>$82,770</w:t>
            </w:r>
          </w:p>
        </w:tc>
        <w:tc>
          <w:tcPr>
            <w:tcW w:w="994" w:type="pct"/>
            <w:tcBorders>
              <w:top w:val="single" w:sz="4" w:space="0" w:color="000000"/>
              <w:left w:val="single" w:sz="4" w:space="0" w:color="000000"/>
              <w:bottom w:val="single" w:sz="4" w:space="0" w:color="000000"/>
              <w:right w:val="single" w:sz="4" w:space="0" w:color="000000"/>
            </w:tcBorders>
          </w:tcPr>
          <w:p w:rsidR="0028658D" w:rsidRPr="00A655A1" w:rsidRDefault="0028658D" w:rsidP="00D67288">
            <w:pPr>
              <w:pStyle w:val="TableText0"/>
              <w:jc w:val="center"/>
              <w:rPr>
                <w:b/>
                <w:bCs w:val="0"/>
              </w:rPr>
            </w:pPr>
            <w:r w:rsidRPr="00A655A1">
              <w:t>$</w:t>
            </w:r>
            <w:r w:rsidR="007004AE">
              <w:rPr>
                <w:noProof/>
                <w:color w:val="000000"/>
                <w:highlight w:val="black"/>
              </w:rPr>
              <w:t>'''''''''''''''''</w:t>
            </w:r>
          </w:p>
        </w:tc>
      </w:tr>
      <w:tr w:rsidR="00C54B46" w:rsidRPr="00A655A1" w:rsidTr="00FE01E7">
        <w:trPr>
          <w:trHeight w:val="5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54B46" w:rsidRPr="00A655A1" w:rsidRDefault="00C54B46" w:rsidP="0043067D">
            <w:pPr>
              <w:pStyle w:val="TableText0"/>
              <w:rPr>
                <w:b/>
                <w:bCs w:val="0"/>
              </w:rPr>
            </w:pPr>
            <w:r w:rsidRPr="00A655A1">
              <w:t>Incremental cost-effectiveness ratios</w:t>
            </w:r>
          </w:p>
        </w:tc>
      </w:tr>
      <w:tr w:rsidR="00C54B46" w:rsidRPr="00A655A1" w:rsidTr="0028658D">
        <w:trPr>
          <w:trHeight w:val="50"/>
        </w:trPr>
        <w:tc>
          <w:tcPr>
            <w:tcW w:w="400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54B46" w:rsidRPr="00A655A1" w:rsidRDefault="00C54B46" w:rsidP="0043067D">
            <w:pPr>
              <w:pStyle w:val="TableText0"/>
            </w:pPr>
            <w:r w:rsidRPr="00A655A1">
              <w:t>Cost per LY gained</w:t>
            </w:r>
          </w:p>
        </w:tc>
        <w:tc>
          <w:tcPr>
            <w:tcW w:w="994" w:type="pct"/>
            <w:tcBorders>
              <w:top w:val="single" w:sz="4" w:space="0" w:color="000000"/>
              <w:left w:val="single" w:sz="4" w:space="0" w:color="000000"/>
              <w:bottom w:val="single" w:sz="4" w:space="0" w:color="000000"/>
              <w:right w:val="single" w:sz="4" w:space="0" w:color="000000"/>
            </w:tcBorders>
            <w:vAlign w:val="center"/>
          </w:tcPr>
          <w:p w:rsidR="0028658D" w:rsidRPr="00A655A1" w:rsidRDefault="00D67288" w:rsidP="00D67288">
            <w:pPr>
              <w:pStyle w:val="TableText0"/>
              <w:jc w:val="center"/>
              <w:rPr>
                <w:bCs w:val="0"/>
              </w:rPr>
            </w:pPr>
            <w:r w:rsidRPr="00A655A1">
              <w:t xml:space="preserve"> </w:t>
            </w:r>
            <w:r w:rsidR="0028658D" w:rsidRPr="00A655A1">
              <w:t>$</w:t>
            </w:r>
            <w:r w:rsidR="007004AE">
              <w:rPr>
                <w:noProof/>
                <w:color w:val="000000"/>
                <w:highlight w:val="black"/>
              </w:rPr>
              <w:t>'''''''''''''''</w:t>
            </w:r>
            <w:r w:rsidR="00272E58">
              <w:rPr>
                <w:vertAlign w:val="superscript"/>
              </w:rPr>
              <w:t>1</w:t>
            </w:r>
          </w:p>
        </w:tc>
      </w:tr>
      <w:tr w:rsidR="00C54B46" w:rsidRPr="00A655A1" w:rsidTr="0028658D">
        <w:trPr>
          <w:trHeight w:val="50"/>
        </w:trPr>
        <w:tc>
          <w:tcPr>
            <w:tcW w:w="400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54B46" w:rsidRPr="00A655A1" w:rsidRDefault="00C54B46" w:rsidP="0043067D">
            <w:pPr>
              <w:pStyle w:val="TableText0"/>
              <w:rPr>
                <w:b/>
                <w:bCs w:val="0"/>
              </w:rPr>
            </w:pPr>
            <w:r w:rsidRPr="00A655A1">
              <w:rPr>
                <w:b/>
                <w:bCs w:val="0"/>
              </w:rPr>
              <w:t>Cost per QALY gained</w:t>
            </w:r>
          </w:p>
        </w:tc>
        <w:tc>
          <w:tcPr>
            <w:tcW w:w="994" w:type="pct"/>
            <w:tcBorders>
              <w:top w:val="single" w:sz="4" w:space="0" w:color="000000"/>
              <w:left w:val="single" w:sz="4" w:space="0" w:color="000000"/>
              <w:bottom w:val="single" w:sz="4" w:space="0" w:color="000000"/>
              <w:right w:val="single" w:sz="4" w:space="0" w:color="000000"/>
            </w:tcBorders>
            <w:vAlign w:val="center"/>
          </w:tcPr>
          <w:p w:rsidR="00C54B46" w:rsidRPr="00A655A1" w:rsidRDefault="00D67288" w:rsidP="00D67288">
            <w:pPr>
              <w:pStyle w:val="TableText0"/>
              <w:jc w:val="center"/>
              <w:rPr>
                <w:b/>
                <w:bCs w:val="0"/>
              </w:rPr>
            </w:pPr>
            <w:r w:rsidRPr="00A655A1">
              <w:rPr>
                <w:b/>
                <w:bCs w:val="0"/>
              </w:rPr>
              <w:t xml:space="preserve"> </w:t>
            </w:r>
            <w:r w:rsidR="0028658D" w:rsidRPr="00A655A1">
              <w:rPr>
                <w:b/>
                <w:bCs w:val="0"/>
              </w:rPr>
              <w:t>$</w:t>
            </w:r>
            <w:r w:rsidR="007004AE">
              <w:rPr>
                <w:b/>
                <w:bCs w:val="0"/>
                <w:noProof/>
                <w:color w:val="000000"/>
                <w:highlight w:val="black"/>
              </w:rPr>
              <w:t>''''''''''''</w:t>
            </w:r>
            <w:r w:rsidR="00272E58">
              <w:rPr>
                <w:vertAlign w:val="superscript"/>
              </w:rPr>
              <w:t>2</w:t>
            </w:r>
          </w:p>
        </w:tc>
      </w:tr>
    </w:tbl>
    <w:p w:rsidR="00C54B46" w:rsidRPr="00A655A1" w:rsidRDefault="00C54B46" w:rsidP="00C54B46">
      <w:pPr>
        <w:pStyle w:val="TableFigureFooter"/>
      </w:pPr>
      <w:r w:rsidRPr="00A655A1">
        <w:t xml:space="preserve">Source: </w:t>
      </w:r>
      <w:r w:rsidRPr="00A655A1">
        <w:rPr>
          <w:szCs w:val="18"/>
        </w:rPr>
        <w:t>Table 3-17 of the submission</w:t>
      </w:r>
    </w:p>
    <w:p w:rsidR="00C54B46" w:rsidRPr="00A655A1" w:rsidRDefault="00865474" w:rsidP="00C54B46">
      <w:pPr>
        <w:pStyle w:val="TableFigureFooter"/>
      </w:pPr>
      <w:r w:rsidRPr="00A655A1">
        <w:t xml:space="preserve">AEMP = approved ex-manufacturer price; </w:t>
      </w:r>
      <w:r w:rsidR="00C54B46" w:rsidRPr="00A655A1">
        <w:t xml:space="preserve">Bd = bortezomib + dexamethasone; </w:t>
      </w:r>
      <w:r w:rsidRPr="00A655A1">
        <w:t xml:space="preserve">DPMQ = dispensed price for maximum quantity; </w:t>
      </w:r>
      <w:r w:rsidR="00C54B46" w:rsidRPr="00A655A1">
        <w:t>LY = life year; QALY = quality adjusted life year; SBd = selinexor + bortezomib +</w:t>
      </w:r>
      <w:r w:rsidR="00963C72" w:rsidRPr="00A655A1">
        <w:t xml:space="preserve"> </w:t>
      </w:r>
      <w:r w:rsidR="00C54B46" w:rsidRPr="00A655A1">
        <w:t>dexamethasone</w:t>
      </w:r>
    </w:p>
    <w:p w:rsidR="00FD2431" w:rsidRDefault="00865474" w:rsidP="00EF5065">
      <w:pPr>
        <w:pStyle w:val="TableFigureFooter"/>
        <w:rPr>
          <w:iCs/>
        </w:rPr>
      </w:pPr>
      <w:r w:rsidRPr="00A655A1">
        <w:rPr>
          <w:rFonts w:eastAsia="Calibri"/>
          <w:szCs w:val="20"/>
        </w:rPr>
        <w:t xml:space="preserve">Note: </w:t>
      </w:r>
      <w:r w:rsidR="00963C72" w:rsidRPr="00A655A1">
        <w:rPr>
          <w:iCs/>
        </w:rPr>
        <w:t xml:space="preserve">Prices were updated based on the </w:t>
      </w:r>
      <w:r w:rsidR="00714501" w:rsidRPr="00A655A1">
        <w:rPr>
          <w:iCs/>
        </w:rPr>
        <w:t xml:space="preserve">DPMQ </w:t>
      </w:r>
      <w:r w:rsidR="00963C72" w:rsidRPr="00A655A1">
        <w:rPr>
          <w:iCs/>
        </w:rPr>
        <w:t>of selinexor (rather than the use of AEMP for consistency with other comparator drugs) and MBS item cost updates.</w:t>
      </w:r>
    </w:p>
    <w:p w:rsidR="00272E58" w:rsidRDefault="00254C38" w:rsidP="00272E58">
      <w:pPr>
        <w:pStyle w:val="TableFigureFooter"/>
        <w:spacing w:after="0"/>
        <w:contextualSpacing w:val="0"/>
        <w:rPr>
          <w:i/>
        </w:rPr>
      </w:pPr>
      <w:r w:rsidRPr="009868C4">
        <w:rPr>
          <w:i/>
        </w:rPr>
        <w:t>The redacted values correspond to the following ranges</w:t>
      </w:r>
      <w:r>
        <w:rPr>
          <w:i/>
        </w:rPr>
        <w:t xml:space="preserve">: </w:t>
      </w:r>
    </w:p>
    <w:p w:rsidR="00272E58" w:rsidRPr="007004AE" w:rsidRDefault="00272E58" w:rsidP="00272E58">
      <w:pPr>
        <w:pStyle w:val="TableFigureFooter"/>
        <w:spacing w:after="0"/>
        <w:contextualSpacing w:val="0"/>
      </w:pPr>
      <w:r w:rsidRPr="007004AE">
        <w:rPr>
          <w:i/>
          <w:vertAlign w:val="superscript"/>
        </w:rPr>
        <w:t>1</w:t>
      </w:r>
      <w:r w:rsidR="00254C38" w:rsidRPr="007004AE">
        <w:rPr>
          <w:i/>
          <w:vertAlign w:val="superscript"/>
        </w:rPr>
        <w:t xml:space="preserve"> </w:t>
      </w:r>
      <w:r w:rsidRPr="007004AE">
        <w:rPr>
          <w:i/>
        </w:rPr>
        <w:t>$45,000 to &lt; $55,000</w:t>
      </w:r>
    </w:p>
    <w:p w:rsidR="00254C38" w:rsidRPr="007004AE" w:rsidRDefault="00272E58" w:rsidP="00254C38">
      <w:pPr>
        <w:pStyle w:val="TableFigureFooter"/>
        <w:rPr>
          <w:i/>
        </w:rPr>
      </w:pPr>
      <w:r w:rsidRPr="007004AE">
        <w:rPr>
          <w:i/>
          <w:vertAlign w:val="superscript"/>
        </w:rPr>
        <w:t>2</w:t>
      </w:r>
      <w:r w:rsidR="00254C38" w:rsidRPr="007004AE">
        <w:rPr>
          <w:i/>
          <w:vertAlign w:val="superscript"/>
        </w:rPr>
        <w:t xml:space="preserve"> </w:t>
      </w:r>
      <w:r w:rsidRPr="007004AE">
        <w:rPr>
          <w:i/>
        </w:rPr>
        <w:t>$75,000 to &lt; $95,000</w:t>
      </w:r>
    </w:p>
    <w:p w:rsidR="00254C38" w:rsidRPr="00A655A1" w:rsidRDefault="00254C38" w:rsidP="00EF5065">
      <w:pPr>
        <w:pStyle w:val="TableFigureFooter"/>
        <w:rPr>
          <w:rFonts w:eastAsia="Calibri"/>
          <w:szCs w:val="20"/>
        </w:rPr>
      </w:pPr>
    </w:p>
    <w:p w:rsidR="00FD2431" w:rsidRPr="00A655A1" w:rsidRDefault="002B0825" w:rsidP="00FD2431">
      <w:pPr>
        <w:pStyle w:val="3-BodyText"/>
      </w:pPr>
      <w:r w:rsidRPr="00A655A1">
        <w:rPr>
          <w:iCs/>
        </w:rPr>
        <w:t xml:space="preserve">The </w:t>
      </w:r>
      <w:r w:rsidR="0028658D" w:rsidRPr="00A655A1">
        <w:rPr>
          <w:iCs/>
        </w:rPr>
        <w:t>life years</w:t>
      </w:r>
      <w:r w:rsidRPr="00A655A1">
        <w:rPr>
          <w:iCs/>
        </w:rPr>
        <w:t xml:space="preserve"> gained </w:t>
      </w:r>
      <w:r w:rsidR="00974680" w:rsidRPr="00A655A1">
        <w:rPr>
          <w:iCs/>
        </w:rPr>
        <w:t xml:space="preserve">in </w:t>
      </w:r>
      <w:r w:rsidRPr="00A655A1">
        <w:rPr>
          <w:iCs/>
        </w:rPr>
        <w:t xml:space="preserve">the </w:t>
      </w:r>
      <w:r w:rsidR="00EF5065" w:rsidRPr="00A655A1">
        <w:rPr>
          <w:iCs/>
        </w:rPr>
        <w:t>economic analysis (</w:t>
      </w:r>
      <w:r w:rsidR="00B3240D" w:rsidRPr="00A655A1">
        <w:rPr>
          <w:iCs/>
        </w:rPr>
        <w:t>15</w:t>
      </w:r>
      <w:r w:rsidR="00E25BB7" w:rsidRPr="00A655A1">
        <w:rPr>
          <w:iCs/>
        </w:rPr>
        <w:t>-</w:t>
      </w:r>
      <w:r w:rsidR="00B3240D" w:rsidRPr="00A655A1">
        <w:rPr>
          <w:iCs/>
        </w:rPr>
        <w:t>year</w:t>
      </w:r>
      <w:r w:rsidR="0028658D" w:rsidRPr="00A655A1">
        <w:rPr>
          <w:iCs/>
        </w:rPr>
        <w:t xml:space="preserve"> time horizon = 0.806 years; </w:t>
      </w:r>
      <w:r w:rsidR="004F5EDC">
        <w:rPr>
          <w:iCs/>
        </w:rPr>
        <w:t>10</w:t>
      </w:r>
      <w:r w:rsidR="004F5EDC">
        <w:rPr>
          <w:iCs/>
        </w:rPr>
        <w:noBreakHyphen/>
      </w:r>
      <w:r w:rsidR="00E25BB7" w:rsidRPr="00A655A1">
        <w:rPr>
          <w:iCs/>
        </w:rPr>
        <w:t>year</w:t>
      </w:r>
      <w:r w:rsidR="0028658D" w:rsidRPr="00A655A1">
        <w:rPr>
          <w:iCs/>
        </w:rPr>
        <w:t xml:space="preserve"> = </w:t>
      </w:r>
      <w:r w:rsidR="00E25BB7" w:rsidRPr="00A655A1">
        <w:rPr>
          <w:iCs/>
        </w:rPr>
        <w:t>0.671</w:t>
      </w:r>
      <w:r w:rsidR="00EF5065" w:rsidRPr="00A655A1">
        <w:rPr>
          <w:iCs/>
        </w:rPr>
        <w:t xml:space="preserve"> years) </w:t>
      </w:r>
      <w:r w:rsidR="00974680" w:rsidRPr="00A655A1">
        <w:rPr>
          <w:iCs/>
        </w:rPr>
        <w:t>were</w:t>
      </w:r>
      <w:r w:rsidR="00EF5065" w:rsidRPr="00A655A1">
        <w:rPr>
          <w:iCs/>
        </w:rPr>
        <w:t xml:space="preserve"> </w:t>
      </w:r>
      <w:r w:rsidR="00EF5FEE" w:rsidRPr="00A655A1">
        <w:rPr>
          <w:iCs/>
        </w:rPr>
        <w:t xml:space="preserve">significantly longer than </w:t>
      </w:r>
      <w:r w:rsidR="00974680" w:rsidRPr="00A655A1">
        <w:rPr>
          <w:iCs/>
        </w:rPr>
        <w:t xml:space="preserve">those resulting from the </w:t>
      </w:r>
      <w:r w:rsidR="00F8795B" w:rsidRPr="00A655A1">
        <w:rPr>
          <w:iCs/>
        </w:rPr>
        <w:t xml:space="preserve">economic analysis for Cd </w:t>
      </w:r>
      <w:r w:rsidR="00974680" w:rsidRPr="00A655A1">
        <w:rPr>
          <w:iCs/>
        </w:rPr>
        <w:t xml:space="preserve">versus Bd </w:t>
      </w:r>
      <w:r w:rsidR="00F8795B" w:rsidRPr="00A655A1">
        <w:rPr>
          <w:iCs/>
        </w:rPr>
        <w:t>(</w:t>
      </w:r>
      <w:r w:rsidR="0028658D" w:rsidRPr="00A655A1">
        <w:rPr>
          <w:iCs/>
        </w:rPr>
        <w:t xml:space="preserve">10-year time horizon = </w:t>
      </w:r>
      <w:r w:rsidR="00F8795B" w:rsidRPr="00A655A1">
        <w:rPr>
          <w:iCs/>
        </w:rPr>
        <w:t>0.329 years</w:t>
      </w:r>
      <w:r w:rsidR="001061CB" w:rsidRPr="00A655A1">
        <w:rPr>
          <w:iCs/>
        </w:rPr>
        <w:t xml:space="preserve">; Table 14, </w:t>
      </w:r>
      <w:r w:rsidR="00974680" w:rsidRPr="00A655A1">
        <w:rPr>
          <w:iCs/>
        </w:rPr>
        <w:t>c</w:t>
      </w:r>
      <w:r w:rsidR="006D52FB" w:rsidRPr="00A655A1">
        <w:rPr>
          <w:iCs/>
        </w:rPr>
        <w:t>arfilzomib PSD, July 2017</w:t>
      </w:r>
      <w:r w:rsidR="00F8795B" w:rsidRPr="00A655A1">
        <w:rPr>
          <w:iCs/>
        </w:rPr>
        <w:t>)</w:t>
      </w:r>
      <w:r w:rsidR="00CE249F" w:rsidRPr="00A655A1">
        <w:rPr>
          <w:iCs/>
        </w:rPr>
        <w:t xml:space="preserve">. Thus, in the context of a claim of non-inferiority in comparison with Cd and </w:t>
      </w:r>
      <w:r w:rsidR="001061CB" w:rsidRPr="00A655A1">
        <w:rPr>
          <w:iCs/>
        </w:rPr>
        <w:t>immature OS data, a survival advantage of more than double that of Cd does not appear to be clinical</w:t>
      </w:r>
      <w:r w:rsidR="00207B0A" w:rsidRPr="00A655A1">
        <w:rPr>
          <w:iCs/>
        </w:rPr>
        <w:t>ly</w:t>
      </w:r>
      <w:r w:rsidR="001061CB" w:rsidRPr="00A655A1">
        <w:rPr>
          <w:iCs/>
        </w:rPr>
        <w:t xml:space="preserve"> plausible. </w:t>
      </w:r>
      <w:r w:rsidR="00BB0E5B" w:rsidRPr="00A655A1">
        <w:rPr>
          <w:iCs/>
        </w:rPr>
        <w:t xml:space="preserve">The PSCR stated that the OS estimates for Cd and Bd from which the comparison of life years gained between SBd and Cd were drawn were </w:t>
      </w:r>
      <w:r w:rsidR="00A57ED7" w:rsidRPr="00A655A1">
        <w:rPr>
          <w:iCs/>
        </w:rPr>
        <w:t xml:space="preserve">based on an earlier data cut of the ENDEAVOR trial (HR = 0.79; 95% CI: 0.65, 0.96) and were underestimated. The PSCR stated that use of the later data cut (HR = 0.76; 95% CI: 0.63, 0.92) would result in a </w:t>
      </w:r>
      <w:r w:rsidR="00BB0E5B" w:rsidRPr="00A655A1">
        <w:rPr>
          <w:iCs/>
        </w:rPr>
        <w:t xml:space="preserve">survival advantage for Cd over Bd </w:t>
      </w:r>
      <w:r w:rsidR="00A57ED7" w:rsidRPr="00A655A1">
        <w:rPr>
          <w:iCs/>
        </w:rPr>
        <w:t>which would be</w:t>
      </w:r>
      <w:r w:rsidR="00BB0E5B" w:rsidRPr="00A655A1">
        <w:rPr>
          <w:iCs/>
        </w:rPr>
        <w:t xml:space="preserve"> similar to th</w:t>
      </w:r>
      <w:r w:rsidR="00A57ED7" w:rsidRPr="00A655A1">
        <w:rPr>
          <w:iCs/>
        </w:rPr>
        <w:t>at</w:t>
      </w:r>
      <w:r w:rsidR="00BB0E5B" w:rsidRPr="00A655A1">
        <w:rPr>
          <w:iCs/>
        </w:rPr>
        <w:t xml:space="preserve"> currently estimated for SBd vs Bd. The ESC noted that the PSCR did not provide a quantitative analysis for this claim. Fur</w:t>
      </w:r>
      <w:r w:rsidR="00A57ED7" w:rsidRPr="00A655A1">
        <w:rPr>
          <w:iCs/>
        </w:rPr>
        <w:t xml:space="preserve">thermore, the ESC noted that Cd resulted in a statistically significant improvement in OS compared to Bd at both data cuts. </w:t>
      </w:r>
    </w:p>
    <w:p w:rsidR="00BE175E" w:rsidRPr="00A655A1" w:rsidRDefault="00BE175E" w:rsidP="00E53385">
      <w:pPr>
        <w:pStyle w:val="3-BodyText"/>
      </w:pPr>
      <w:r w:rsidRPr="00A655A1">
        <w:t xml:space="preserve">The results of the key sensitivity analyses are summarised in </w:t>
      </w:r>
      <w:r w:rsidR="007B3AB4" w:rsidRPr="00A655A1">
        <w:t xml:space="preserve">Table </w:t>
      </w:r>
      <w:r w:rsidR="0028658D" w:rsidRPr="00A655A1">
        <w:t>18</w:t>
      </w:r>
      <w:r w:rsidR="005A74D1" w:rsidRPr="00A655A1">
        <w:t>.</w:t>
      </w:r>
    </w:p>
    <w:p w:rsidR="005A74D1" w:rsidRPr="00A655A1" w:rsidRDefault="006D307C" w:rsidP="00913FBD">
      <w:pPr>
        <w:pStyle w:val="TableFigureHeading"/>
        <w:rPr>
          <w:rFonts w:cs="Calibri"/>
          <w:iCs/>
          <w:szCs w:val="20"/>
          <w:lang w:eastAsia="en-US"/>
        </w:rPr>
      </w:pPr>
      <w:bookmarkStart w:id="37" w:name="_Ref69384595"/>
      <w:r w:rsidRPr="00A655A1">
        <w:t xml:space="preserve">Table </w:t>
      </w:r>
      <w:bookmarkEnd w:id="37"/>
      <w:r w:rsidR="0028658D" w:rsidRPr="00A655A1">
        <w:t>18</w:t>
      </w:r>
      <w:r w:rsidRPr="00A655A1">
        <w:t xml:space="preserve">: </w:t>
      </w:r>
      <w:r w:rsidR="005A74D1" w:rsidRPr="00A655A1">
        <w:rPr>
          <w:rFonts w:cs="Calibri"/>
          <w:iCs/>
          <w:szCs w:val="20"/>
          <w:lang w:eastAsia="en-US"/>
        </w:rPr>
        <w:t>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2409"/>
        <w:gridCol w:w="1277"/>
        <w:gridCol w:w="1277"/>
        <w:gridCol w:w="940"/>
      </w:tblGrid>
      <w:tr w:rsidR="0028658D" w:rsidRPr="00A655A1" w:rsidTr="002375D9">
        <w:trPr>
          <w:trHeight w:val="315"/>
          <w:tblHeader/>
        </w:trPr>
        <w:tc>
          <w:tcPr>
            <w:tcW w:w="705" w:type="pct"/>
            <w:shd w:val="clear" w:color="auto" w:fill="auto"/>
            <w:vAlign w:val="center"/>
            <w:hideMark/>
          </w:tcPr>
          <w:p w:rsidR="0028658D" w:rsidRPr="00A655A1" w:rsidRDefault="0028658D" w:rsidP="00913FBD">
            <w:pPr>
              <w:pStyle w:val="TableText0"/>
              <w:widowControl w:val="0"/>
              <w:rPr>
                <w:b/>
                <w:bCs w:val="0"/>
              </w:rPr>
            </w:pPr>
            <w:r w:rsidRPr="00A655A1">
              <w:rPr>
                <w:b/>
                <w:bCs w:val="0"/>
              </w:rPr>
              <w:t>Scenario</w:t>
            </w:r>
          </w:p>
        </w:tc>
        <w:tc>
          <w:tcPr>
            <w:tcW w:w="1022" w:type="pct"/>
            <w:shd w:val="clear" w:color="auto" w:fill="auto"/>
            <w:vAlign w:val="center"/>
            <w:hideMark/>
          </w:tcPr>
          <w:p w:rsidR="0028658D" w:rsidRPr="00A655A1" w:rsidRDefault="0028658D" w:rsidP="00913FBD">
            <w:pPr>
              <w:pStyle w:val="TableText0"/>
              <w:widowControl w:val="0"/>
              <w:rPr>
                <w:b/>
                <w:bCs w:val="0"/>
              </w:rPr>
            </w:pPr>
            <w:r w:rsidRPr="00A655A1">
              <w:rPr>
                <w:b/>
                <w:bCs w:val="0"/>
              </w:rPr>
              <w:t>Base-case value</w:t>
            </w:r>
          </w:p>
        </w:tc>
        <w:tc>
          <w:tcPr>
            <w:tcW w:w="1336" w:type="pct"/>
            <w:shd w:val="clear" w:color="auto" w:fill="auto"/>
            <w:vAlign w:val="center"/>
            <w:hideMark/>
          </w:tcPr>
          <w:p w:rsidR="0028658D" w:rsidRPr="00A655A1" w:rsidRDefault="0028658D" w:rsidP="00913FBD">
            <w:pPr>
              <w:pStyle w:val="TableText0"/>
              <w:widowControl w:val="0"/>
              <w:rPr>
                <w:b/>
                <w:bCs w:val="0"/>
              </w:rPr>
            </w:pPr>
            <w:r w:rsidRPr="00A655A1">
              <w:rPr>
                <w:b/>
                <w:bCs w:val="0"/>
              </w:rPr>
              <w:t>Scenario analysis value</w:t>
            </w:r>
          </w:p>
        </w:tc>
        <w:tc>
          <w:tcPr>
            <w:tcW w:w="708" w:type="pct"/>
            <w:shd w:val="clear" w:color="auto" w:fill="auto"/>
            <w:vAlign w:val="center"/>
          </w:tcPr>
          <w:p w:rsidR="0028658D" w:rsidRPr="00A655A1" w:rsidRDefault="0028658D" w:rsidP="00913FBD">
            <w:pPr>
              <w:pStyle w:val="TableText0"/>
              <w:widowControl w:val="0"/>
              <w:ind w:left="-29"/>
              <w:jc w:val="center"/>
              <w:rPr>
                <w:b/>
                <w:bCs w:val="0"/>
              </w:rPr>
            </w:pPr>
            <w:r w:rsidRPr="00A655A1">
              <w:rPr>
                <w:b/>
                <w:bCs w:val="0"/>
              </w:rPr>
              <w:t>Incremental costs</w:t>
            </w:r>
          </w:p>
        </w:tc>
        <w:tc>
          <w:tcPr>
            <w:tcW w:w="708" w:type="pct"/>
            <w:vAlign w:val="center"/>
          </w:tcPr>
          <w:p w:rsidR="0028658D" w:rsidRPr="00A655A1" w:rsidRDefault="0028658D" w:rsidP="00913FBD">
            <w:pPr>
              <w:pStyle w:val="TableText0"/>
              <w:widowControl w:val="0"/>
              <w:jc w:val="center"/>
              <w:rPr>
                <w:b/>
                <w:bCs w:val="0"/>
              </w:rPr>
            </w:pPr>
            <w:r w:rsidRPr="00A655A1">
              <w:rPr>
                <w:b/>
                <w:bCs w:val="0"/>
              </w:rPr>
              <w:t>Incremental outcomes</w:t>
            </w:r>
          </w:p>
        </w:tc>
        <w:tc>
          <w:tcPr>
            <w:tcW w:w="521" w:type="pct"/>
            <w:shd w:val="clear" w:color="auto" w:fill="auto"/>
            <w:vAlign w:val="center"/>
            <w:hideMark/>
          </w:tcPr>
          <w:p w:rsidR="0028658D" w:rsidRPr="00A655A1" w:rsidRDefault="0028658D" w:rsidP="00913FBD">
            <w:pPr>
              <w:pStyle w:val="TableText0"/>
              <w:widowControl w:val="0"/>
              <w:jc w:val="center"/>
              <w:rPr>
                <w:b/>
                <w:bCs w:val="0"/>
              </w:rPr>
            </w:pPr>
            <w:r w:rsidRPr="00A655A1">
              <w:rPr>
                <w:b/>
                <w:bCs w:val="0"/>
              </w:rPr>
              <w:t>ICER</w:t>
            </w:r>
          </w:p>
        </w:tc>
      </w:tr>
      <w:tr w:rsidR="0028658D" w:rsidRPr="00A655A1" w:rsidTr="002375D9">
        <w:trPr>
          <w:trHeight w:val="60"/>
        </w:trPr>
        <w:tc>
          <w:tcPr>
            <w:tcW w:w="3063" w:type="pct"/>
            <w:gridSpan w:val="3"/>
            <w:shd w:val="clear" w:color="auto" w:fill="auto"/>
            <w:vAlign w:val="center"/>
            <w:hideMark/>
          </w:tcPr>
          <w:p w:rsidR="0028658D" w:rsidRPr="00A655A1" w:rsidRDefault="0028658D" w:rsidP="00913FBD">
            <w:pPr>
              <w:pStyle w:val="TableText0"/>
              <w:widowControl w:val="0"/>
              <w:ind w:left="-71" w:right="-76"/>
              <w:rPr>
                <w:b/>
                <w:bCs w:val="0"/>
              </w:rPr>
            </w:pPr>
            <w:r w:rsidRPr="00A655A1">
              <w:rPr>
                <w:b/>
                <w:bCs w:val="0"/>
              </w:rPr>
              <w:t xml:space="preserve">Base case </w:t>
            </w:r>
            <w:r w:rsidRPr="00A655A1">
              <w:rPr>
                <w:b/>
                <w:bCs w:val="0"/>
                <w:vertAlign w:val="superscript"/>
              </w:rPr>
              <w:t>a</w:t>
            </w:r>
            <w:r w:rsidRPr="00A655A1">
              <w:rPr>
                <w:b/>
                <w:bCs w:val="0"/>
              </w:rPr>
              <w:t> </w:t>
            </w:r>
          </w:p>
        </w:tc>
        <w:tc>
          <w:tcPr>
            <w:tcW w:w="708" w:type="pct"/>
            <w:shd w:val="clear" w:color="auto" w:fill="auto"/>
            <w:vAlign w:val="center"/>
          </w:tcPr>
          <w:p w:rsidR="0028658D" w:rsidRPr="00A655A1" w:rsidRDefault="0028658D" w:rsidP="005370EE">
            <w:pPr>
              <w:pStyle w:val="TableText0"/>
              <w:widowControl w:val="0"/>
              <w:jc w:val="center"/>
              <w:rPr>
                <w:b/>
                <w:bCs w:val="0"/>
                <w:iCs/>
              </w:rPr>
            </w:pPr>
            <w:r w:rsidRPr="00A655A1">
              <w:rPr>
                <w:rFonts w:cs="Calibri"/>
                <w:b/>
                <w:bCs w:val="0"/>
                <w:iCs/>
              </w:rPr>
              <w:t>$</w:t>
            </w:r>
            <w:r w:rsidR="007004AE">
              <w:rPr>
                <w:rFonts w:cs="Calibri"/>
                <w:b/>
                <w:bCs w:val="0"/>
                <w:iCs/>
                <w:noProof/>
                <w:color w:val="000000"/>
                <w:highlight w:val="black"/>
              </w:rPr>
              <w:t>'''''''''''''</w:t>
            </w:r>
          </w:p>
        </w:tc>
        <w:tc>
          <w:tcPr>
            <w:tcW w:w="708" w:type="pct"/>
          </w:tcPr>
          <w:p w:rsidR="0028658D" w:rsidRPr="00A655A1" w:rsidRDefault="005370EE" w:rsidP="00B90F29">
            <w:pPr>
              <w:pStyle w:val="TableText0"/>
              <w:widowControl w:val="0"/>
              <w:jc w:val="center"/>
              <w:rPr>
                <w:rFonts w:cs="Calibri"/>
                <w:b/>
                <w:bCs w:val="0"/>
                <w:iCs/>
              </w:rPr>
            </w:pPr>
            <w:r w:rsidRPr="00A655A1">
              <w:rPr>
                <w:rFonts w:cs="Calibri"/>
                <w:b/>
                <w:bCs w:val="0"/>
                <w:iCs/>
              </w:rPr>
              <w:t>0.58</w:t>
            </w:r>
            <w:r w:rsidR="00B90F29" w:rsidRPr="00A655A1">
              <w:rPr>
                <w:rFonts w:cs="Calibri"/>
                <w:b/>
                <w:bCs w:val="0"/>
                <w:iCs/>
              </w:rPr>
              <w:t>1</w:t>
            </w:r>
          </w:p>
        </w:tc>
        <w:tc>
          <w:tcPr>
            <w:tcW w:w="521" w:type="pct"/>
            <w:shd w:val="clear" w:color="auto" w:fill="auto"/>
            <w:vAlign w:val="center"/>
            <w:hideMark/>
          </w:tcPr>
          <w:p w:rsidR="0028658D" w:rsidRPr="00A655A1" w:rsidRDefault="0028658D" w:rsidP="005370EE">
            <w:pPr>
              <w:pStyle w:val="TableText0"/>
              <w:widowControl w:val="0"/>
              <w:jc w:val="center"/>
              <w:rPr>
                <w:rFonts w:cs="Calibri"/>
                <w:b/>
                <w:bCs w:val="0"/>
                <w:iCs/>
              </w:rPr>
            </w:pPr>
            <w:r w:rsidRPr="00A655A1">
              <w:rPr>
                <w:rFonts w:cs="Calibri"/>
                <w:b/>
                <w:bCs w:val="0"/>
                <w:iCs/>
              </w:rPr>
              <w:t>$</w:t>
            </w:r>
            <w:r w:rsidR="007004AE">
              <w:rPr>
                <w:rFonts w:cs="Calibri"/>
                <w:b/>
                <w:bCs w:val="0"/>
                <w:iCs/>
                <w:noProof/>
                <w:color w:val="000000"/>
                <w:highlight w:val="black"/>
              </w:rPr>
              <w:t>''''''''''''''</w:t>
            </w:r>
            <w:r w:rsidR="00272E58">
              <w:rPr>
                <w:vertAlign w:val="superscript"/>
              </w:rPr>
              <w:t>1</w:t>
            </w:r>
          </w:p>
        </w:tc>
      </w:tr>
      <w:tr w:rsidR="0028658D" w:rsidRPr="00A655A1" w:rsidTr="002375D9">
        <w:trPr>
          <w:trHeight w:val="60"/>
        </w:trPr>
        <w:tc>
          <w:tcPr>
            <w:tcW w:w="705" w:type="pct"/>
            <w:vMerge w:val="restart"/>
            <w:shd w:val="clear" w:color="auto" w:fill="auto"/>
            <w:vAlign w:val="center"/>
            <w:hideMark/>
          </w:tcPr>
          <w:p w:rsidR="0028658D" w:rsidRPr="00A655A1" w:rsidRDefault="0028658D" w:rsidP="00913FBD">
            <w:pPr>
              <w:pStyle w:val="TableText0"/>
              <w:widowControl w:val="0"/>
              <w:ind w:left="-71" w:right="-76"/>
            </w:pPr>
            <w:r w:rsidRPr="00A655A1">
              <w:t>Time horizon</w:t>
            </w:r>
          </w:p>
        </w:tc>
        <w:tc>
          <w:tcPr>
            <w:tcW w:w="1022" w:type="pct"/>
            <w:vMerge w:val="restart"/>
            <w:shd w:val="clear" w:color="auto" w:fill="auto"/>
            <w:vAlign w:val="center"/>
            <w:hideMark/>
          </w:tcPr>
          <w:p w:rsidR="0028658D" w:rsidRPr="00A655A1" w:rsidRDefault="0028658D" w:rsidP="00913FBD">
            <w:pPr>
              <w:pStyle w:val="TableText0"/>
              <w:widowControl w:val="0"/>
              <w:ind w:left="-77" w:right="-51"/>
            </w:pPr>
            <w:r w:rsidRPr="00A655A1">
              <w:t>15 years</w:t>
            </w:r>
          </w:p>
        </w:tc>
        <w:tc>
          <w:tcPr>
            <w:tcW w:w="1336" w:type="pct"/>
            <w:shd w:val="clear" w:color="auto" w:fill="auto"/>
            <w:vAlign w:val="center"/>
            <w:hideMark/>
          </w:tcPr>
          <w:p w:rsidR="0028658D" w:rsidRPr="00A655A1" w:rsidRDefault="0028658D" w:rsidP="00913FBD">
            <w:pPr>
              <w:pStyle w:val="TableText0"/>
              <w:widowControl w:val="0"/>
              <w:ind w:left="-67" w:right="-64"/>
            </w:pPr>
            <w:r w:rsidRPr="00A655A1">
              <w:t>5 years</w:t>
            </w:r>
          </w:p>
        </w:tc>
        <w:tc>
          <w:tcPr>
            <w:tcW w:w="708" w:type="pct"/>
            <w:shd w:val="clear" w:color="auto" w:fill="auto"/>
            <w:vAlign w:val="center"/>
          </w:tcPr>
          <w:p w:rsidR="0028658D" w:rsidRPr="00A655A1" w:rsidRDefault="0028658D" w:rsidP="00913FBD">
            <w:pPr>
              <w:pStyle w:val="TableText0"/>
              <w:widowControl w:val="0"/>
              <w:jc w:val="center"/>
            </w:pPr>
            <w:r w:rsidRPr="00A655A1">
              <w:rPr>
                <w:rFonts w:cs="Calibri"/>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rPr>
            </w:pPr>
            <w:r w:rsidRPr="00A655A1">
              <w:rPr>
                <w:rFonts w:cs="Calibri"/>
              </w:rPr>
              <w:t>0.270</w:t>
            </w:r>
          </w:p>
        </w:tc>
        <w:tc>
          <w:tcPr>
            <w:tcW w:w="521" w:type="pct"/>
            <w:shd w:val="clear" w:color="auto" w:fill="auto"/>
            <w:vAlign w:val="center"/>
            <w:hideMark/>
          </w:tcPr>
          <w:p w:rsidR="0028658D" w:rsidRPr="00A655A1" w:rsidRDefault="0028658D" w:rsidP="00913FBD">
            <w:pPr>
              <w:pStyle w:val="TableText0"/>
              <w:widowControl w:val="0"/>
              <w:jc w:val="center"/>
              <w:rPr>
                <w:rFonts w:cs="Calibri"/>
              </w:rPr>
            </w:pPr>
            <w:r w:rsidRPr="00A655A1">
              <w:rPr>
                <w:rFonts w:cs="Calibri"/>
              </w:rPr>
              <w:t>$</w:t>
            </w:r>
            <w:r w:rsidR="007004AE">
              <w:rPr>
                <w:rFonts w:cs="Calibri"/>
                <w:noProof/>
                <w:color w:val="000000"/>
                <w:highlight w:val="black"/>
              </w:rPr>
              <w:t>''''''''''''''''''</w:t>
            </w:r>
            <w:r w:rsidR="00272E58">
              <w:rPr>
                <w:vertAlign w:val="superscript"/>
              </w:rPr>
              <w:t>2</w:t>
            </w:r>
          </w:p>
        </w:tc>
      </w:tr>
      <w:tr w:rsidR="0028658D" w:rsidRPr="00A655A1" w:rsidTr="002375D9">
        <w:trPr>
          <w:trHeight w:val="60"/>
        </w:trPr>
        <w:tc>
          <w:tcPr>
            <w:tcW w:w="705" w:type="pct"/>
            <w:vMerge/>
            <w:vAlign w:val="center"/>
            <w:hideMark/>
          </w:tcPr>
          <w:p w:rsidR="0028658D" w:rsidRPr="00A655A1" w:rsidRDefault="0028658D" w:rsidP="00913FBD">
            <w:pPr>
              <w:pStyle w:val="TableText0"/>
              <w:widowControl w:val="0"/>
              <w:ind w:left="-71" w:right="-76"/>
            </w:pPr>
          </w:p>
        </w:tc>
        <w:tc>
          <w:tcPr>
            <w:tcW w:w="1022" w:type="pct"/>
            <w:vMerge/>
            <w:vAlign w:val="center"/>
            <w:hideMark/>
          </w:tcPr>
          <w:p w:rsidR="0028658D" w:rsidRPr="00A655A1" w:rsidRDefault="0028658D" w:rsidP="00913FBD">
            <w:pPr>
              <w:pStyle w:val="TableText0"/>
              <w:widowControl w:val="0"/>
              <w:ind w:left="-77" w:right="-51"/>
            </w:pPr>
          </w:p>
        </w:tc>
        <w:tc>
          <w:tcPr>
            <w:tcW w:w="1336" w:type="pct"/>
            <w:shd w:val="clear" w:color="auto" w:fill="auto"/>
            <w:vAlign w:val="center"/>
            <w:hideMark/>
          </w:tcPr>
          <w:p w:rsidR="0028658D" w:rsidRPr="00A655A1" w:rsidRDefault="0028658D" w:rsidP="00913FBD">
            <w:pPr>
              <w:pStyle w:val="TableText0"/>
              <w:widowControl w:val="0"/>
              <w:ind w:left="-67" w:right="-64"/>
            </w:pPr>
            <w:r w:rsidRPr="00A655A1">
              <w:t>10 years</w:t>
            </w:r>
          </w:p>
        </w:tc>
        <w:tc>
          <w:tcPr>
            <w:tcW w:w="708" w:type="pct"/>
            <w:shd w:val="clear" w:color="auto" w:fill="auto"/>
            <w:vAlign w:val="center"/>
          </w:tcPr>
          <w:p w:rsidR="0028658D" w:rsidRPr="00A655A1" w:rsidRDefault="0028658D" w:rsidP="00913FBD">
            <w:pPr>
              <w:pStyle w:val="TableText0"/>
              <w:widowControl w:val="0"/>
              <w:jc w:val="center"/>
            </w:pPr>
            <w:r w:rsidRPr="00A655A1">
              <w:rPr>
                <w:rFonts w:cs="Calibri"/>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rPr>
            </w:pPr>
            <w:r w:rsidRPr="00A655A1">
              <w:rPr>
                <w:rFonts w:cs="Calibri"/>
              </w:rPr>
              <w:t>0.488</w:t>
            </w:r>
          </w:p>
        </w:tc>
        <w:tc>
          <w:tcPr>
            <w:tcW w:w="521" w:type="pct"/>
            <w:shd w:val="clear" w:color="auto" w:fill="auto"/>
            <w:vAlign w:val="center"/>
            <w:hideMark/>
          </w:tcPr>
          <w:p w:rsidR="0028658D" w:rsidRPr="00A655A1" w:rsidRDefault="0028658D" w:rsidP="00913FBD">
            <w:pPr>
              <w:pStyle w:val="TableText0"/>
              <w:widowControl w:val="0"/>
              <w:jc w:val="center"/>
              <w:rPr>
                <w:rFonts w:cs="Calibri"/>
              </w:rPr>
            </w:pPr>
            <w:r w:rsidRPr="00A655A1">
              <w:rPr>
                <w:rFonts w:cs="Calibri"/>
              </w:rPr>
              <w:t>$</w:t>
            </w:r>
            <w:r w:rsidR="007004AE">
              <w:rPr>
                <w:rFonts w:cs="Calibri"/>
                <w:noProof/>
                <w:color w:val="000000"/>
                <w:highlight w:val="black"/>
              </w:rPr>
              <w:t>''''''''''''''''</w:t>
            </w:r>
            <w:r w:rsidR="00272E58">
              <w:rPr>
                <w:vertAlign w:val="superscript"/>
              </w:rPr>
              <w:t>1</w:t>
            </w:r>
          </w:p>
        </w:tc>
      </w:tr>
      <w:tr w:rsidR="0028658D" w:rsidRPr="00A655A1" w:rsidTr="002375D9">
        <w:trPr>
          <w:trHeight w:val="60"/>
        </w:trPr>
        <w:tc>
          <w:tcPr>
            <w:tcW w:w="705" w:type="pct"/>
            <w:vMerge/>
            <w:vAlign w:val="center"/>
            <w:hideMark/>
          </w:tcPr>
          <w:p w:rsidR="0028658D" w:rsidRPr="00A655A1" w:rsidRDefault="0028658D" w:rsidP="00913FBD">
            <w:pPr>
              <w:pStyle w:val="TableText0"/>
              <w:widowControl w:val="0"/>
              <w:ind w:left="-71" w:right="-76"/>
            </w:pPr>
          </w:p>
        </w:tc>
        <w:tc>
          <w:tcPr>
            <w:tcW w:w="1022" w:type="pct"/>
            <w:vMerge/>
            <w:vAlign w:val="center"/>
            <w:hideMark/>
          </w:tcPr>
          <w:p w:rsidR="0028658D" w:rsidRPr="00A655A1" w:rsidRDefault="0028658D" w:rsidP="00913FBD">
            <w:pPr>
              <w:pStyle w:val="TableText0"/>
              <w:widowControl w:val="0"/>
              <w:ind w:left="-77" w:right="-51"/>
            </w:pPr>
          </w:p>
        </w:tc>
        <w:tc>
          <w:tcPr>
            <w:tcW w:w="1336" w:type="pct"/>
            <w:shd w:val="clear" w:color="auto" w:fill="auto"/>
            <w:vAlign w:val="center"/>
            <w:hideMark/>
          </w:tcPr>
          <w:p w:rsidR="0028658D" w:rsidRPr="00A655A1" w:rsidRDefault="0028658D" w:rsidP="00913FBD">
            <w:pPr>
              <w:pStyle w:val="TableText0"/>
              <w:widowControl w:val="0"/>
              <w:ind w:left="-67" w:right="-64"/>
            </w:pPr>
            <w:r w:rsidRPr="00A655A1">
              <w:t>20 years</w:t>
            </w:r>
          </w:p>
        </w:tc>
        <w:tc>
          <w:tcPr>
            <w:tcW w:w="708" w:type="pct"/>
            <w:shd w:val="clear" w:color="auto" w:fill="auto"/>
            <w:vAlign w:val="center"/>
          </w:tcPr>
          <w:p w:rsidR="0028658D" w:rsidRPr="00A655A1" w:rsidRDefault="0028658D" w:rsidP="00913FBD">
            <w:pPr>
              <w:pStyle w:val="TableText0"/>
              <w:widowControl w:val="0"/>
              <w:jc w:val="center"/>
            </w:pPr>
            <w:r w:rsidRPr="00A655A1">
              <w:rPr>
                <w:rFonts w:cs="Calibri"/>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rPr>
            </w:pPr>
            <w:r w:rsidRPr="00A655A1">
              <w:rPr>
                <w:rFonts w:cs="Calibri"/>
              </w:rPr>
              <w:t>0.614</w:t>
            </w:r>
          </w:p>
        </w:tc>
        <w:tc>
          <w:tcPr>
            <w:tcW w:w="521" w:type="pct"/>
            <w:shd w:val="clear" w:color="auto" w:fill="auto"/>
            <w:vAlign w:val="center"/>
            <w:hideMark/>
          </w:tcPr>
          <w:p w:rsidR="0028658D" w:rsidRPr="00A655A1" w:rsidRDefault="0028658D" w:rsidP="00913FBD">
            <w:pPr>
              <w:pStyle w:val="TableText0"/>
              <w:widowControl w:val="0"/>
              <w:jc w:val="center"/>
              <w:rPr>
                <w:rFonts w:cs="Calibri"/>
              </w:rPr>
            </w:pPr>
            <w:r w:rsidRPr="00A655A1">
              <w:rPr>
                <w:rFonts w:cs="Calibri"/>
              </w:rPr>
              <w:t>$</w:t>
            </w:r>
            <w:r w:rsidR="007004AE">
              <w:rPr>
                <w:rFonts w:cs="Calibri"/>
                <w:noProof/>
                <w:color w:val="000000"/>
                <w:highlight w:val="black"/>
              </w:rPr>
              <w:t>'''''''''''''''''</w:t>
            </w:r>
            <w:r w:rsidR="00D075CF">
              <w:rPr>
                <w:vertAlign w:val="superscript"/>
              </w:rPr>
              <w:t>3</w:t>
            </w:r>
          </w:p>
        </w:tc>
      </w:tr>
      <w:tr w:rsidR="0028658D" w:rsidRPr="00A655A1" w:rsidTr="002375D9">
        <w:trPr>
          <w:trHeight w:val="525"/>
        </w:trPr>
        <w:tc>
          <w:tcPr>
            <w:tcW w:w="705" w:type="pct"/>
            <w:shd w:val="clear" w:color="auto" w:fill="auto"/>
            <w:vAlign w:val="center"/>
            <w:hideMark/>
          </w:tcPr>
          <w:p w:rsidR="0028658D" w:rsidRPr="00A655A1" w:rsidRDefault="0028658D" w:rsidP="00913FBD">
            <w:pPr>
              <w:pStyle w:val="TableText0"/>
              <w:widowControl w:val="0"/>
              <w:ind w:left="-71" w:right="-76"/>
            </w:pPr>
            <w:r w:rsidRPr="00A655A1">
              <w:t>OS</w:t>
            </w:r>
          </w:p>
        </w:tc>
        <w:tc>
          <w:tcPr>
            <w:tcW w:w="1022" w:type="pct"/>
            <w:shd w:val="clear" w:color="auto" w:fill="auto"/>
            <w:vAlign w:val="center"/>
            <w:hideMark/>
          </w:tcPr>
          <w:p w:rsidR="0028658D" w:rsidRPr="00A655A1" w:rsidRDefault="0028658D" w:rsidP="00913FBD">
            <w:pPr>
              <w:pStyle w:val="TableText0"/>
              <w:widowControl w:val="0"/>
              <w:ind w:left="-77" w:right="-51"/>
            </w:pPr>
            <w:r w:rsidRPr="00A655A1">
              <w:t>With TSEM adjustment for treatment crossover</w:t>
            </w:r>
          </w:p>
        </w:tc>
        <w:tc>
          <w:tcPr>
            <w:tcW w:w="1336" w:type="pct"/>
            <w:shd w:val="clear" w:color="auto" w:fill="auto"/>
            <w:vAlign w:val="center"/>
            <w:hideMark/>
          </w:tcPr>
          <w:p w:rsidR="0028658D" w:rsidRPr="00A655A1" w:rsidRDefault="0028658D" w:rsidP="00913FBD">
            <w:pPr>
              <w:pStyle w:val="TableText0"/>
              <w:widowControl w:val="0"/>
              <w:ind w:left="-67" w:right="-64"/>
              <w:rPr>
                <w:vertAlign w:val="superscript"/>
              </w:rPr>
            </w:pPr>
            <w:r w:rsidRPr="00A655A1">
              <w:t xml:space="preserve">No adjustment </w:t>
            </w:r>
            <w:r w:rsidRPr="00A655A1">
              <w:rPr>
                <w:vertAlign w:val="superscript"/>
              </w:rPr>
              <w:t>b</w:t>
            </w:r>
          </w:p>
        </w:tc>
        <w:tc>
          <w:tcPr>
            <w:tcW w:w="708" w:type="pct"/>
            <w:shd w:val="clear" w:color="auto" w:fill="auto"/>
            <w:vAlign w:val="center"/>
          </w:tcPr>
          <w:p w:rsidR="0028658D" w:rsidRPr="00A655A1" w:rsidRDefault="0028658D" w:rsidP="00913FBD">
            <w:pPr>
              <w:pStyle w:val="TableText0"/>
              <w:widowControl w:val="0"/>
              <w:jc w:val="center"/>
            </w:pPr>
            <w:r w:rsidRPr="00A655A1">
              <w:rPr>
                <w:rFonts w:cs="Calibri"/>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rPr>
            </w:pPr>
            <w:r w:rsidRPr="00A655A1">
              <w:rPr>
                <w:rFonts w:cs="Calibri"/>
              </w:rPr>
              <w:t>0.431</w:t>
            </w:r>
          </w:p>
        </w:tc>
        <w:tc>
          <w:tcPr>
            <w:tcW w:w="521" w:type="pct"/>
            <w:shd w:val="clear" w:color="auto" w:fill="auto"/>
            <w:vAlign w:val="center"/>
            <w:hideMark/>
          </w:tcPr>
          <w:p w:rsidR="0028658D" w:rsidRPr="00A655A1" w:rsidRDefault="0028658D" w:rsidP="00913FBD">
            <w:pPr>
              <w:pStyle w:val="TableText0"/>
              <w:widowControl w:val="0"/>
              <w:jc w:val="center"/>
              <w:rPr>
                <w:rFonts w:cs="Calibri"/>
              </w:rPr>
            </w:pPr>
            <w:r w:rsidRPr="00A655A1">
              <w:rPr>
                <w:rFonts w:cs="Calibri"/>
              </w:rPr>
              <w:t>$</w:t>
            </w:r>
            <w:r w:rsidR="007004AE">
              <w:rPr>
                <w:rFonts w:cs="Calibri"/>
                <w:noProof/>
                <w:color w:val="000000"/>
                <w:highlight w:val="black"/>
              </w:rPr>
              <w:t>'''''''''''''''''</w:t>
            </w:r>
            <w:r w:rsidR="00D075CF">
              <w:rPr>
                <w:vertAlign w:val="superscript"/>
              </w:rPr>
              <w:t>4</w:t>
            </w:r>
          </w:p>
        </w:tc>
      </w:tr>
      <w:tr w:rsidR="0028658D" w:rsidRPr="00A655A1" w:rsidTr="002375D9">
        <w:trPr>
          <w:trHeight w:val="315"/>
        </w:trPr>
        <w:tc>
          <w:tcPr>
            <w:tcW w:w="705" w:type="pct"/>
            <w:vMerge w:val="restart"/>
            <w:shd w:val="clear" w:color="auto" w:fill="auto"/>
            <w:vAlign w:val="center"/>
          </w:tcPr>
          <w:p w:rsidR="0028658D" w:rsidRPr="00A655A1" w:rsidRDefault="0028658D" w:rsidP="00913FBD">
            <w:pPr>
              <w:pStyle w:val="TableText0"/>
              <w:widowControl w:val="0"/>
              <w:ind w:left="-71" w:right="-76"/>
            </w:pPr>
            <w:r w:rsidRPr="00A655A1">
              <w:t>OS extrapolation</w:t>
            </w:r>
          </w:p>
        </w:tc>
        <w:tc>
          <w:tcPr>
            <w:tcW w:w="1022" w:type="pct"/>
            <w:shd w:val="clear" w:color="auto" w:fill="auto"/>
            <w:vAlign w:val="center"/>
          </w:tcPr>
          <w:p w:rsidR="0028658D" w:rsidRPr="00A655A1" w:rsidRDefault="0028658D" w:rsidP="00913FBD">
            <w:pPr>
              <w:pStyle w:val="TableText0"/>
              <w:widowControl w:val="0"/>
              <w:ind w:left="-77" w:right="-51"/>
            </w:pPr>
            <w:r w:rsidRPr="00A655A1">
              <w:t>OS advantage with SBd</w:t>
            </w:r>
          </w:p>
        </w:tc>
        <w:tc>
          <w:tcPr>
            <w:tcW w:w="1336" w:type="pct"/>
            <w:shd w:val="clear" w:color="auto" w:fill="auto"/>
            <w:vAlign w:val="center"/>
          </w:tcPr>
          <w:p w:rsidR="0028658D" w:rsidRPr="00A655A1" w:rsidRDefault="0028658D" w:rsidP="00913FBD">
            <w:pPr>
              <w:pStyle w:val="TableText0"/>
              <w:widowControl w:val="0"/>
              <w:ind w:left="-67" w:right="-64"/>
            </w:pPr>
            <w:r w:rsidRPr="00A655A1">
              <w:t>No OS gain for SBd</w:t>
            </w:r>
          </w:p>
        </w:tc>
        <w:tc>
          <w:tcPr>
            <w:tcW w:w="708" w:type="pct"/>
            <w:shd w:val="clear" w:color="auto" w:fill="auto"/>
            <w:vAlign w:val="center"/>
          </w:tcPr>
          <w:p w:rsidR="0028658D" w:rsidRPr="00A655A1" w:rsidRDefault="0028658D" w:rsidP="00913FBD">
            <w:pPr>
              <w:pStyle w:val="TableText0"/>
              <w:widowControl w:val="0"/>
              <w:jc w:val="center"/>
              <w:rPr>
                <w:rFonts w:cs="Calibri"/>
                <w:iCs/>
              </w:rPr>
            </w:pPr>
            <w:r w:rsidRPr="00A655A1">
              <w:rPr>
                <w:rFonts w:cs="Calibri"/>
                <w:iCs/>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iCs/>
              </w:rPr>
            </w:pPr>
            <w:r w:rsidRPr="00A655A1">
              <w:rPr>
                <w:rFonts w:cs="Calibri"/>
                <w:iCs/>
              </w:rPr>
              <w:t>0.215</w:t>
            </w:r>
          </w:p>
        </w:tc>
        <w:tc>
          <w:tcPr>
            <w:tcW w:w="521" w:type="pct"/>
            <w:shd w:val="clear" w:color="auto" w:fill="auto"/>
            <w:vAlign w:val="center"/>
          </w:tcPr>
          <w:p w:rsidR="0028658D" w:rsidRPr="00A655A1" w:rsidRDefault="0028658D" w:rsidP="00913FBD">
            <w:pPr>
              <w:pStyle w:val="TableText0"/>
              <w:widowControl w:val="0"/>
              <w:jc w:val="center"/>
              <w:rPr>
                <w:rFonts w:cs="Calibri"/>
                <w:iCs/>
              </w:rPr>
            </w:pPr>
            <w:r w:rsidRPr="00A655A1">
              <w:rPr>
                <w:rFonts w:cs="Calibri"/>
                <w:iCs/>
              </w:rPr>
              <w:t>$</w:t>
            </w:r>
            <w:r w:rsidR="007004AE">
              <w:rPr>
                <w:rFonts w:cs="Calibri"/>
                <w:noProof/>
                <w:color w:val="000000"/>
                <w:highlight w:val="black"/>
              </w:rPr>
              <w:t>''''''''''''''''''</w:t>
            </w:r>
            <w:r w:rsidR="00D075CF">
              <w:rPr>
                <w:vertAlign w:val="superscript"/>
              </w:rPr>
              <w:t>5</w:t>
            </w:r>
          </w:p>
        </w:tc>
      </w:tr>
      <w:tr w:rsidR="0028658D" w:rsidRPr="00A655A1" w:rsidTr="002375D9">
        <w:trPr>
          <w:trHeight w:val="315"/>
        </w:trPr>
        <w:tc>
          <w:tcPr>
            <w:tcW w:w="705" w:type="pct"/>
            <w:vMerge/>
            <w:shd w:val="clear" w:color="auto" w:fill="auto"/>
            <w:vAlign w:val="center"/>
            <w:hideMark/>
          </w:tcPr>
          <w:p w:rsidR="0028658D" w:rsidRPr="00A655A1" w:rsidRDefault="0028658D" w:rsidP="00913FBD">
            <w:pPr>
              <w:pStyle w:val="TableText0"/>
              <w:widowControl w:val="0"/>
              <w:ind w:left="-71" w:right="-76"/>
            </w:pPr>
          </w:p>
        </w:tc>
        <w:tc>
          <w:tcPr>
            <w:tcW w:w="1022" w:type="pct"/>
            <w:shd w:val="clear" w:color="auto" w:fill="auto"/>
            <w:vAlign w:val="center"/>
            <w:hideMark/>
          </w:tcPr>
          <w:p w:rsidR="0028658D" w:rsidRPr="00A655A1" w:rsidRDefault="0028658D" w:rsidP="00913FBD">
            <w:pPr>
              <w:pStyle w:val="TableText0"/>
              <w:widowControl w:val="0"/>
              <w:ind w:left="-77" w:right="-51"/>
            </w:pPr>
            <w:r w:rsidRPr="00A655A1">
              <w:t>Dependent exponential model</w:t>
            </w:r>
          </w:p>
        </w:tc>
        <w:tc>
          <w:tcPr>
            <w:tcW w:w="1336" w:type="pct"/>
            <w:shd w:val="clear" w:color="auto" w:fill="auto"/>
            <w:vAlign w:val="center"/>
            <w:hideMark/>
          </w:tcPr>
          <w:p w:rsidR="0028658D" w:rsidRPr="00A655A1" w:rsidRDefault="0028658D" w:rsidP="00913FBD">
            <w:pPr>
              <w:pStyle w:val="TableText0"/>
              <w:widowControl w:val="0"/>
              <w:ind w:left="-67" w:right="-64"/>
            </w:pPr>
            <w:r w:rsidRPr="00A655A1">
              <w:t>Dependent Weibull</w:t>
            </w:r>
          </w:p>
        </w:tc>
        <w:tc>
          <w:tcPr>
            <w:tcW w:w="708" w:type="pct"/>
            <w:shd w:val="clear" w:color="auto" w:fill="auto"/>
            <w:vAlign w:val="center"/>
          </w:tcPr>
          <w:p w:rsidR="0028658D" w:rsidRPr="00A655A1" w:rsidRDefault="0028658D" w:rsidP="00913FBD">
            <w:pPr>
              <w:pStyle w:val="TableText0"/>
              <w:widowControl w:val="0"/>
              <w:jc w:val="center"/>
            </w:pPr>
            <w:r w:rsidRPr="00A655A1">
              <w:rPr>
                <w:rFonts w:cs="Calibri"/>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rPr>
            </w:pPr>
            <w:r w:rsidRPr="00A655A1">
              <w:rPr>
                <w:rFonts w:cs="Calibri"/>
              </w:rPr>
              <w:t>0.480</w:t>
            </w:r>
          </w:p>
        </w:tc>
        <w:tc>
          <w:tcPr>
            <w:tcW w:w="521" w:type="pct"/>
            <w:shd w:val="clear" w:color="auto" w:fill="auto"/>
            <w:vAlign w:val="center"/>
            <w:hideMark/>
          </w:tcPr>
          <w:p w:rsidR="0028658D" w:rsidRPr="00A655A1" w:rsidRDefault="0028658D" w:rsidP="00913FBD">
            <w:pPr>
              <w:pStyle w:val="TableText0"/>
              <w:widowControl w:val="0"/>
              <w:jc w:val="center"/>
              <w:rPr>
                <w:rFonts w:cs="Calibri"/>
              </w:rPr>
            </w:pPr>
            <w:r w:rsidRPr="00A655A1">
              <w:rPr>
                <w:rFonts w:cs="Calibri"/>
              </w:rPr>
              <w:t>$</w:t>
            </w:r>
            <w:r w:rsidR="007004AE">
              <w:rPr>
                <w:rFonts w:cs="Calibri"/>
                <w:noProof/>
                <w:color w:val="000000"/>
                <w:highlight w:val="black"/>
              </w:rPr>
              <w:t>'''''''''''''''</w:t>
            </w:r>
            <w:r w:rsidR="00272E58">
              <w:rPr>
                <w:vertAlign w:val="superscript"/>
              </w:rPr>
              <w:t>1</w:t>
            </w:r>
          </w:p>
        </w:tc>
      </w:tr>
      <w:tr w:rsidR="0028658D" w:rsidRPr="00A655A1" w:rsidTr="002375D9">
        <w:trPr>
          <w:trHeight w:val="315"/>
        </w:trPr>
        <w:tc>
          <w:tcPr>
            <w:tcW w:w="705" w:type="pct"/>
            <w:vMerge/>
            <w:shd w:val="clear" w:color="auto" w:fill="auto"/>
            <w:vAlign w:val="center"/>
          </w:tcPr>
          <w:p w:rsidR="0028658D" w:rsidRPr="00A655A1" w:rsidRDefault="0028658D" w:rsidP="00913FBD">
            <w:pPr>
              <w:pStyle w:val="TableText0"/>
              <w:widowControl w:val="0"/>
              <w:ind w:left="-71" w:right="-76"/>
            </w:pPr>
          </w:p>
        </w:tc>
        <w:tc>
          <w:tcPr>
            <w:tcW w:w="1022" w:type="pct"/>
            <w:shd w:val="clear" w:color="auto" w:fill="auto"/>
            <w:vAlign w:val="center"/>
          </w:tcPr>
          <w:p w:rsidR="0028658D" w:rsidRPr="00A655A1" w:rsidRDefault="0028658D" w:rsidP="00913FBD">
            <w:pPr>
              <w:pStyle w:val="TableText0"/>
              <w:widowControl w:val="0"/>
              <w:ind w:left="-77" w:right="-51"/>
            </w:pPr>
            <w:r w:rsidRPr="00A655A1">
              <w:t>No OS convergence</w:t>
            </w:r>
          </w:p>
        </w:tc>
        <w:tc>
          <w:tcPr>
            <w:tcW w:w="1336" w:type="pct"/>
            <w:shd w:val="clear" w:color="auto" w:fill="auto"/>
            <w:vAlign w:val="center"/>
          </w:tcPr>
          <w:p w:rsidR="0028658D" w:rsidRPr="00A655A1" w:rsidRDefault="0028658D" w:rsidP="00913FBD">
            <w:pPr>
              <w:pStyle w:val="TableText0"/>
              <w:widowControl w:val="0"/>
              <w:ind w:left="-67" w:right="-64"/>
            </w:pPr>
            <w:r w:rsidRPr="00A655A1">
              <w:t>Convergence at 5 years</w:t>
            </w:r>
          </w:p>
        </w:tc>
        <w:tc>
          <w:tcPr>
            <w:tcW w:w="708" w:type="pct"/>
            <w:shd w:val="clear" w:color="auto" w:fill="auto"/>
            <w:vAlign w:val="center"/>
          </w:tcPr>
          <w:p w:rsidR="0028658D" w:rsidRPr="00A655A1" w:rsidRDefault="0028658D" w:rsidP="00913FBD">
            <w:pPr>
              <w:pStyle w:val="TableText0"/>
              <w:widowControl w:val="0"/>
              <w:jc w:val="center"/>
              <w:rPr>
                <w:rFonts w:cs="Calibri"/>
                <w:iCs/>
              </w:rPr>
            </w:pPr>
            <w:r w:rsidRPr="00A655A1">
              <w:rPr>
                <w:rFonts w:cs="Calibri"/>
                <w:iCs/>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iCs/>
              </w:rPr>
            </w:pPr>
            <w:r w:rsidRPr="00A655A1">
              <w:rPr>
                <w:rFonts w:cs="Calibri"/>
                <w:iCs/>
              </w:rPr>
              <w:t>0.448</w:t>
            </w:r>
          </w:p>
        </w:tc>
        <w:tc>
          <w:tcPr>
            <w:tcW w:w="521" w:type="pct"/>
            <w:shd w:val="clear" w:color="auto" w:fill="auto"/>
            <w:vAlign w:val="center"/>
          </w:tcPr>
          <w:p w:rsidR="0028658D" w:rsidRPr="00A655A1" w:rsidRDefault="0028658D" w:rsidP="00913FBD">
            <w:pPr>
              <w:pStyle w:val="TableText0"/>
              <w:widowControl w:val="0"/>
              <w:jc w:val="center"/>
              <w:rPr>
                <w:rFonts w:cs="Calibri"/>
                <w:iCs/>
              </w:rPr>
            </w:pPr>
            <w:r w:rsidRPr="00A655A1">
              <w:rPr>
                <w:rFonts w:cs="Calibri"/>
                <w:iCs/>
              </w:rPr>
              <w:t>$</w:t>
            </w:r>
            <w:r w:rsidR="007004AE">
              <w:rPr>
                <w:rFonts w:cs="Calibri"/>
                <w:noProof/>
                <w:color w:val="000000"/>
                <w:highlight w:val="black"/>
              </w:rPr>
              <w:t>'''''''''''''''</w:t>
            </w:r>
            <w:r w:rsidR="00D075CF">
              <w:rPr>
                <w:vertAlign w:val="superscript"/>
              </w:rPr>
              <w:t>4</w:t>
            </w:r>
          </w:p>
        </w:tc>
      </w:tr>
      <w:tr w:rsidR="0028658D" w:rsidRPr="00A655A1" w:rsidTr="002375D9">
        <w:trPr>
          <w:trHeight w:val="315"/>
        </w:trPr>
        <w:tc>
          <w:tcPr>
            <w:tcW w:w="705" w:type="pct"/>
            <w:shd w:val="clear" w:color="auto" w:fill="auto"/>
            <w:vAlign w:val="center"/>
          </w:tcPr>
          <w:p w:rsidR="0028658D" w:rsidRPr="00A655A1" w:rsidDel="00FE01E7" w:rsidRDefault="0028658D" w:rsidP="00913FBD">
            <w:pPr>
              <w:pStyle w:val="TableText0"/>
              <w:widowControl w:val="0"/>
              <w:ind w:left="-71" w:right="-76"/>
            </w:pPr>
            <w:r w:rsidRPr="00A655A1">
              <w:t>PFS extrapolation</w:t>
            </w:r>
          </w:p>
        </w:tc>
        <w:tc>
          <w:tcPr>
            <w:tcW w:w="1022" w:type="pct"/>
            <w:shd w:val="clear" w:color="auto" w:fill="auto"/>
            <w:vAlign w:val="center"/>
          </w:tcPr>
          <w:p w:rsidR="0028658D" w:rsidRPr="00A655A1" w:rsidDel="00FE01E7" w:rsidRDefault="0028658D" w:rsidP="00913FBD">
            <w:pPr>
              <w:pStyle w:val="TableText0"/>
              <w:widowControl w:val="0"/>
              <w:ind w:left="-77" w:right="-51"/>
            </w:pPr>
            <w:r w:rsidRPr="00A655A1">
              <w:t>No PFS convergence</w:t>
            </w:r>
          </w:p>
        </w:tc>
        <w:tc>
          <w:tcPr>
            <w:tcW w:w="1336" w:type="pct"/>
            <w:shd w:val="clear" w:color="auto" w:fill="auto"/>
            <w:vAlign w:val="center"/>
          </w:tcPr>
          <w:p w:rsidR="0028658D" w:rsidRPr="00A655A1" w:rsidDel="00FE01E7" w:rsidRDefault="0028658D" w:rsidP="00913FBD">
            <w:pPr>
              <w:pStyle w:val="TableText0"/>
              <w:widowControl w:val="0"/>
              <w:ind w:left="-67" w:right="-64"/>
            </w:pPr>
            <w:r w:rsidRPr="00A655A1">
              <w:t>Convergence at 5 years</w:t>
            </w:r>
          </w:p>
        </w:tc>
        <w:tc>
          <w:tcPr>
            <w:tcW w:w="708" w:type="pct"/>
            <w:shd w:val="clear" w:color="auto" w:fill="auto"/>
            <w:vAlign w:val="center"/>
          </w:tcPr>
          <w:p w:rsidR="0028658D" w:rsidRPr="00A655A1" w:rsidDel="00FE01E7" w:rsidRDefault="0028658D" w:rsidP="00913FBD">
            <w:pPr>
              <w:pStyle w:val="TableText0"/>
              <w:widowControl w:val="0"/>
              <w:jc w:val="center"/>
              <w:rPr>
                <w:rFonts w:cs="Calibri"/>
                <w:iCs/>
              </w:rPr>
            </w:pPr>
            <w:r w:rsidRPr="00A655A1">
              <w:rPr>
                <w:rFonts w:cs="Calibri"/>
                <w:iCs/>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iCs/>
              </w:rPr>
            </w:pPr>
            <w:r w:rsidRPr="00A655A1">
              <w:rPr>
                <w:rFonts w:cs="Calibri"/>
                <w:iCs/>
              </w:rPr>
              <w:t>0.579</w:t>
            </w:r>
          </w:p>
        </w:tc>
        <w:tc>
          <w:tcPr>
            <w:tcW w:w="521" w:type="pct"/>
            <w:shd w:val="clear" w:color="auto" w:fill="auto"/>
            <w:vAlign w:val="center"/>
          </w:tcPr>
          <w:p w:rsidR="0028658D" w:rsidRPr="00A655A1" w:rsidDel="00FE01E7" w:rsidRDefault="0028658D" w:rsidP="00913FBD">
            <w:pPr>
              <w:pStyle w:val="TableText0"/>
              <w:widowControl w:val="0"/>
              <w:jc w:val="center"/>
              <w:rPr>
                <w:rFonts w:cs="Calibri"/>
                <w:iCs/>
              </w:rPr>
            </w:pPr>
            <w:r w:rsidRPr="00A655A1">
              <w:rPr>
                <w:rFonts w:cs="Calibri"/>
                <w:iCs/>
              </w:rPr>
              <w:t>$</w:t>
            </w:r>
            <w:r w:rsidR="007004AE">
              <w:rPr>
                <w:rFonts w:cs="Calibri"/>
                <w:noProof/>
                <w:color w:val="000000"/>
                <w:highlight w:val="black"/>
              </w:rPr>
              <w:t>''''''''''''''''</w:t>
            </w:r>
            <w:r w:rsidR="00272E58">
              <w:rPr>
                <w:vertAlign w:val="superscript"/>
              </w:rPr>
              <w:t>1</w:t>
            </w:r>
          </w:p>
        </w:tc>
      </w:tr>
      <w:tr w:rsidR="0028658D" w:rsidRPr="00A655A1" w:rsidTr="002375D9">
        <w:trPr>
          <w:trHeight w:val="315"/>
        </w:trPr>
        <w:tc>
          <w:tcPr>
            <w:tcW w:w="705" w:type="pct"/>
            <w:vMerge w:val="restart"/>
            <w:shd w:val="clear" w:color="auto" w:fill="auto"/>
            <w:vAlign w:val="center"/>
            <w:hideMark/>
          </w:tcPr>
          <w:p w:rsidR="0028658D" w:rsidRPr="00A655A1" w:rsidRDefault="0028658D" w:rsidP="00913FBD">
            <w:pPr>
              <w:pStyle w:val="TableText0"/>
              <w:widowControl w:val="0"/>
              <w:ind w:left="-71" w:right="-76"/>
            </w:pPr>
            <w:r w:rsidRPr="00A655A1">
              <w:t>TTD extrapolation</w:t>
            </w:r>
          </w:p>
        </w:tc>
        <w:tc>
          <w:tcPr>
            <w:tcW w:w="1022" w:type="pct"/>
            <w:vMerge w:val="restart"/>
            <w:shd w:val="clear" w:color="auto" w:fill="auto"/>
            <w:vAlign w:val="center"/>
            <w:hideMark/>
          </w:tcPr>
          <w:p w:rsidR="0028658D" w:rsidRPr="00A655A1" w:rsidRDefault="0028658D" w:rsidP="00913FBD">
            <w:pPr>
              <w:pStyle w:val="TableText0"/>
              <w:widowControl w:val="0"/>
              <w:ind w:left="-77" w:right="-51"/>
            </w:pPr>
            <w:r w:rsidRPr="00A655A1">
              <w:t>Independent log-normal (SBd) and independent log-logistic (Bd) models</w:t>
            </w:r>
          </w:p>
        </w:tc>
        <w:tc>
          <w:tcPr>
            <w:tcW w:w="1336" w:type="pct"/>
            <w:shd w:val="clear" w:color="auto" w:fill="auto"/>
            <w:vAlign w:val="center"/>
            <w:hideMark/>
          </w:tcPr>
          <w:p w:rsidR="0028658D" w:rsidRPr="00A655A1" w:rsidRDefault="0028658D" w:rsidP="00913FBD">
            <w:pPr>
              <w:pStyle w:val="TableText0"/>
              <w:widowControl w:val="0"/>
              <w:ind w:left="-67" w:right="-64"/>
            </w:pPr>
            <w:r w:rsidRPr="00A655A1">
              <w:t>Independent log-logistic (SBd)</w:t>
            </w:r>
          </w:p>
        </w:tc>
        <w:tc>
          <w:tcPr>
            <w:tcW w:w="708" w:type="pct"/>
            <w:shd w:val="clear" w:color="auto" w:fill="auto"/>
            <w:vAlign w:val="center"/>
          </w:tcPr>
          <w:p w:rsidR="0028658D" w:rsidRPr="00A655A1" w:rsidRDefault="0028658D" w:rsidP="00913FBD">
            <w:pPr>
              <w:pStyle w:val="TableText0"/>
              <w:widowControl w:val="0"/>
              <w:jc w:val="center"/>
            </w:pPr>
            <w:r w:rsidRPr="00A655A1">
              <w:rPr>
                <w:rFonts w:cs="Calibri"/>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rPr>
            </w:pPr>
            <w:r w:rsidRPr="00A655A1">
              <w:rPr>
                <w:rFonts w:cs="Calibri"/>
              </w:rPr>
              <w:t>0.581</w:t>
            </w:r>
          </w:p>
        </w:tc>
        <w:tc>
          <w:tcPr>
            <w:tcW w:w="521" w:type="pct"/>
            <w:shd w:val="clear" w:color="auto" w:fill="auto"/>
            <w:vAlign w:val="center"/>
            <w:hideMark/>
          </w:tcPr>
          <w:p w:rsidR="0028658D" w:rsidRPr="00A655A1" w:rsidRDefault="0028658D" w:rsidP="00913FBD">
            <w:pPr>
              <w:pStyle w:val="TableText0"/>
              <w:widowControl w:val="0"/>
              <w:jc w:val="center"/>
              <w:rPr>
                <w:rFonts w:cs="Calibri"/>
              </w:rPr>
            </w:pPr>
            <w:r w:rsidRPr="00A655A1">
              <w:rPr>
                <w:rFonts w:cs="Calibri"/>
              </w:rPr>
              <w:t>$</w:t>
            </w:r>
            <w:r w:rsidR="007004AE">
              <w:rPr>
                <w:rFonts w:cs="Calibri"/>
                <w:noProof/>
                <w:color w:val="000000"/>
                <w:highlight w:val="black"/>
              </w:rPr>
              <w:t>'''''''''''''''</w:t>
            </w:r>
            <w:r w:rsidR="00272E58">
              <w:rPr>
                <w:vertAlign w:val="superscript"/>
              </w:rPr>
              <w:t>1</w:t>
            </w:r>
          </w:p>
        </w:tc>
      </w:tr>
      <w:tr w:rsidR="0028658D" w:rsidRPr="00A655A1" w:rsidTr="002375D9">
        <w:trPr>
          <w:trHeight w:val="315"/>
        </w:trPr>
        <w:tc>
          <w:tcPr>
            <w:tcW w:w="705" w:type="pct"/>
            <w:vMerge/>
            <w:vAlign w:val="center"/>
            <w:hideMark/>
          </w:tcPr>
          <w:p w:rsidR="0028658D" w:rsidRPr="00A655A1" w:rsidRDefault="0028658D" w:rsidP="00913FBD">
            <w:pPr>
              <w:pStyle w:val="TableText0"/>
              <w:widowControl w:val="0"/>
              <w:ind w:left="-71" w:right="-76"/>
            </w:pPr>
          </w:p>
        </w:tc>
        <w:tc>
          <w:tcPr>
            <w:tcW w:w="1022" w:type="pct"/>
            <w:vMerge/>
            <w:vAlign w:val="center"/>
            <w:hideMark/>
          </w:tcPr>
          <w:p w:rsidR="0028658D" w:rsidRPr="00A655A1" w:rsidRDefault="0028658D" w:rsidP="00913FBD">
            <w:pPr>
              <w:pStyle w:val="TableText0"/>
              <w:widowControl w:val="0"/>
              <w:ind w:left="-77" w:right="-51"/>
            </w:pPr>
          </w:p>
        </w:tc>
        <w:tc>
          <w:tcPr>
            <w:tcW w:w="1336" w:type="pct"/>
            <w:shd w:val="clear" w:color="auto" w:fill="auto"/>
            <w:vAlign w:val="center"/>
            <w:hideMark/>
          </w:tcPr>
          <w:p w:rsidR="0028658D" w:rsidRPr="00A655A1" w:rsidRDefault="0028658D" w:rsidP="00913FBD">
            <w:pPr>
              <w:pStyle w:val="TableText0"/>
              <w:widowControl w:val="0"/>
              <w:ind w:left="-67" w:right="-64"/>
            </w:pPr>
            <w:r w:rsidRPr="00A655A1">
              <w:t>Independent log-normal (Bd)</w:t>
            </w:r>
          </w:p>
        </w:tc>
        <w:tc>
          <w:tcPr>
            <w:tcW w:w="708" w:type="pct"/>
            <w:shd w:val="clear" w:color="auto" w:fill="auto"/>
            <w:vAlign w:val="center"/>
          </w:tcPr>
          <w:p w:rsidR="0028658D" w:rsidRPr="00A655A1" w:rsidRDefault="0028658D" w:rsidP="00913FBD">
            <w:pPr>
              <w:pStyle w:val="TableText0"/>
              <w:widowControl w:val="0"/>
              <w:jc w:val="center"/>
            </w:pPr>
            <w:r w:rsidRPr="00A655A1">
              <w:rPr>
                <w:rFonts w:cs="Calibri"/>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rPr>
            </w:pPr>
            <w:r w:rsidRPr="00A655A1">
              <w:rPr>
                <w:rFonts w:cs="Calibri"/>
              </w:rPr>
              <w:t>0.581</w:t>
            </w:r>
          </w:p>
        </w:tc>
        <w:tc>
          <w:tcPr>
            <w:tcW w:w="521" w:type="pct"/>
            <w:shd w:val="clear" w:color="auto" w:fill="auto"/>
            <w:vAlign w:val="center"/>
            <w:hideMark/>
          </w:tcPr>
          <w:p w:rsidR="0028658D" w:rsidRPr="00A655A1" w:rsidRDefault="0028658D" w:rsidP="00913FBD">
            <w:pPr>
              <w:pStyle w:val="TableText0"/>
              <w:widowControl w:val="0"/>
              <w:jc w:val="center"/>
              <w:rPr>
                <w:rFonts w:cs="Calibri"/>
              </w:rPr>
            </w:pPr>
            <w:r w:rsidRPr="00A655A1">
              <w:rPr>
                <w:rFonts w:cs="Calibri"/>
              </w:rPr>
              <w:t>$</w:t>
            </w:r>
            <w:r w:rsidR="007004AE">
              <w:rPr>
                <w:rFonts w:cs="Calibri"/>
                <w:noProof/>
                <w:color w:val="000000"/>
                <w:highlight w:val="black"/>
              </w:rPr>
              <w:t>''''''''''''''''</w:t>
            </w:r>
            <w:r w:rsidR="00272E58">
              <w:rPr>
                <w:vertAlign w:val="superscript"/>
              </w:rPr>
              <w:t>1</w:t>
            </w:r>
          </w:p>
        </w:tc>
      </w:tr>
      <w:tr w:rsidR="0028658D" w:rsidRPr="00A655A1" w:rsidTr="002375D9">
        <w:trPr>
          <w:trHeight w:val="315"/>
        </w:trPr>
        <w:tc>
          <w:tcPr>
            <w:tcW w:w="705" w:type="pct"/>
            <w:vMerge w:val="restart"/>
            <w:shd w:val="clear" w:color="auto" w:fill="auto"/>
            <w:vAlign w:val="center"/>
            <w:hideMark/>
          </w:tcPr>
          <w:p w:rsidR="0028658D" w:rsidRPr="00A655A1" w:rsidRDefault="0028658D" w:rsidP="00913FBD">
            <w:pPr>
              <w:pStyle w:val="TableText0"/>
              <w:widowControl w:val="0"/>
              <w:ind w:left="-71" w:right="-76"/>
            </w:pPr>
            <w:r w:rsidRPr="00A655A1">
              <w:t>Extrapolation start point (OS, PFS, TTD)</w:t>
            </w:r>
          </w:p>
        </w:tc>
        <w:tc>
          <w:tcPr>
            <w:tcW w:w="1022" w:type="pct"/>
            <w:vMerge w:val="restart"/>
            <w:shd w:val="clear" w:color="auto" w:fill="auto"/>
            <w:vAlign w:val="center"/>
            <w:hideMark/>
          </w:tcPr>
          <w:p w:rsidR="0028658D" w:rsidRPr="00A655A1" w:rsidRDefault="0028658D" w:rsidP="00913FBD">
            <w:pPr>
              <w:pStyle w:val="TableText0"/>
              <w:widowControl w:val="0"/>
              <w:ind w:left="-77" w:right="-51"/>
            </w:pPr>
            <w:r w:rsidRPr="00A655A1">
              <w:t>Median follow-up</w:t>
            </w:r>
          </w:p>
        </w:tc>
        <w:tc>
          <w:tcPr>
            <w:tcW w:w="1336" w:type="pct"/>
            <w:shd w:val="clear" w:color="auto" w:fill="auto"/>
            <w:vAlign w:val="center"/>
            <w:hideMark/>
          </w:tcPr>
          <w:p w:rsidR="0028658D" w:rsidRPr="00A655A1" w:rsidRDefault="0028658D" w:rsidP="00913FBD">
            <w:pPr>
              <w:pStyle w:val="TableText0"/>
              <w:widowControl w:val="0"/>
              <w:ind w:left="-67" w:right="-64"/>
            </w:pPr>
            <w:r w:rsidRPr="00A655A1">
              <w:t>From start</w:t>
            </w:r>
          </w:p>
        </w:tc>
        <w:tc>
          <w:tcPr>
            <w:tcW w:w="708" w:type="pct"/>
            <w:shd w:val="clear" w:color="auto" w:fill="auto"/>
            <w:vAlign w:val="center"/>
          </w:tcPr>
          <w:p w:rsidR="0028658D" w:rsidRPr="00A655A1" w:rsidRDefault="0028658D" w:rsidP="00913FBD">
            <w:pPr>
              <w:pStyle w:val="TableText0"/>
              <w:widowControl w:val="0"/>
              <w:jc w:val="center"/>
            </w:pPr>
            <w:r w:rsidRPr="00A655A1">
              <w:rPr>
                <w:rFonts w:cs="Calibri"/>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rPr>
            </w:pPr>
            <w:r w:rsidRPr="00A655A1">
              <w:rPr>
                <w:rFonts w:cs="Calibri"/>
              </w:rPr>
              <w:t>0.599</w:t>
            </w:r>
          </w:p>
        </w:tc>
        <w:tc>
          <w:tcPr>
            <w:tcW w:w="521" w:type="pct"/>
            <w:shd w:val="clear" w:color="auto" w:fill="auto"/>
            <w:vAlign w:val="center"/>
            <w:hideMark/>
          </w:tcPr>
          <w:p w:rsidR="0028658D" w:rsidRPr="00A655A1" w:rsidRDefault="0028658D" w:rsidP="00913FBD">
            <w:pPr>
              <w:pStyle w:val="TableText0"/>
              <w:widowControl w:val="0"/>
              <w:jc w:val="center"/>
              <w:rPr>
                <w:rFonts w:cs="Calibri"/>
              </w:rPr>
            </w:pPr>
            <w:r w:rsidRPr="00A655A1">
              <w:rPr>
                <w:rFonts w:cs="Calibri"/>
              </w:rPr>
              <w:t>$</w:t>
            </w:r>
            <w:r w:rsidR="007004AE">
              <w:rPr>
                <w:rFonts w:cs="Calibri"/>
                <w:noProof/>
                <w:color w:val="000000"/>
                <w:highlight w:val="black"/>
              </w:rPr>
              <w:t>'''''''''''''''</w:t>
            </w:r>
            <w:r w:rsidR="00272E58">
              <w:rPr>
                <w:vertAlign w:val="superscript"/>
              </w:rPr>
              <w:t>1</w:t>
            </w:r>
          </w:p>
        </w:tc>
      </w:tr>
      <w:tr w:rsidR="0028658D" w:rsidRPr="00A655A1" w:rsidTr="002375D9">
        <w:trPr>
          <w:trHeight w:val="315"/>
        </w:trPr>
        <w:tc>
          <w:tcPr>
            <w:tcW w:w="705" w:type="pct"/>
            <w:vMerge/>
            <w:vAlign w:val="center"/>
            <w:hideMark/>
          </w:tcPr>
          <w:p w:rsidR="0028658D" w:rsidRPr="00A655A1" w:rsidRDefault="0028658D" w:rsidP="00913FBD">
            <w:pPr>
              <w:pStyle w:val="TableText0"/>
              <w:widowControl w:val="0"/>
              <w:ind w:left="-71" w:right="-76"/>
            </w:pPr>
          </w:p>
        </w:tc>
        <w:tc>
          <w:tcPr>
            <w:tcW w:w="1022" w:type="pct"/>
            <w:vMerge/>
            <w:vAlign w:val="center"/>
            <w:hideMark/>
          </w:tcPr>
          <w:p w:rsidR="0028658D" w:rsidRPr="00A655A1" w:rsidRDefault="0028658D" w:rsidP="00913FBD">
            <w:pPr>
              <w:pStyle w:val="TableText0"/>
              <w:widowControl w:val="0"/>
              <w:ind w:left="-77" w:right="-51"/>
            </w:pPr>
          </w:p>
        </w:tc>
        <w:tc>
          <w:tcPr>
            <w:tcW w:w="1336" w:type="pct"/>
            <w:shd w:val="clear" w:color="auto" w:fill="auto"/>
            <w:vAlign w:val="center"/>
            <w:hideMark/>
          </w:tcPr>
          <w:p w:rsidR="0028658D" w:rsidRPr="00A655A1" w:rsidRDefault="0028658D" w:rsidP="00913FBD">
            <w:pPr>
              <w:pStyle w:val="TableText0"/>
              <w:widowControl w:val="0"/>
              <w:ind w:left="-67" w:right="-64"/>
              <w:rPr>
                <w:vertAlign w:val="superscript"/>
              </w:rPr>
            </w:pPr>
            <w:r w:rsidRPr="00A655A1">
              <w:t>From 10% patients at risk </w:t>
            </w:r>
            <w:r w:rsidRPr="00A655A1">
              <w:rPr>
                <w:vertAlign w:val="superscript"/>
              </w:rPr>
              <w:t>c</w:t>
            </w:r>
          </w:p>
        </w:tc>
        <w:tc>
          <w:tcPr>
            <w:tcW w:w="708" w:type="pct"/>
            <w:shd w:val="clear" w:color="auto" w:fill="auto"/>
            <w:vAlign w:val="center"/>
          </w:tcPr>
          <w:p w:rsidR="0028658D" w:rsidRPr="00A655A1" w:rsidRDefault="0028658D" w:rsidP="00913FBD">
            <w:pPr>
              <w:pStyle w:val="TableText0"/>
              <w:widowControl w:val="0"/>
              <w:jc w:val="center"/>
            </w:pPr>
            <w:r w:rsidRPr="00A655A1">
              <w:rPr>
                <w:rFonts w:cs="Calibri"/>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rPr>
            </w:pPr>
            <w:r w:rsidRPr="00A655A1">
              <w:rPr>
                <w:rFonts w:cs="Calibri"/>
              </w:rPr>
              <w:t>0.484</w:t>
            </w:r>
          </w:p>
        </w:tc>
        <w:tc>
          <w:tcPr>
            <w:tcW w:w="521" w:type="pct"/>
            <w:shd w:val="clear" w:color="auto" w:fill="auto"/>
            <w:vAlign w:val="center"/>
            <w:hideMark/>
          </w:tcPr>
          <w:p w:rsidR="0028658D" w:rsidRPr="00A655A1" w:rsidRDefault="0028658D" w:rsidP="00913FBD">
            <w:pPr>
              <w:pStyle w:val="TableText0"/>
              <w:widowControl w:val="0"/>
              <w:jc w:val="center"/>
              <w:rPr>
                <w:rFonts w:cs="Calibri"/>
              </w:rPr>
            </w:pPr>
            <w:r w:rsidRPr="00A655A1">
              <w:rPr>
                <w:rFonts w:cs="Calibri"/>
              </w:rPr>
              <w:t>$</w:t>
            </w:r>
            <w:r w:rsidR="007004AE">
              <w:rPr>
                <w:rFonts w:cs="Calibri"/>
                <w:noProof/>
                <w:color w:val="000000"/>
                <w:highlight w:val="black"/>
              </w:rPr>
              <w:t>''''''''''''''''</w:t>
            </w:r>
            <w:r w:rsidR="00D075CF">
              <w:rPr>
                <w:vertAlign w:val="superscript"/>
              </w:rPr>
              <w:t>4</w:t>
            </w:r>
          </w:p>
        </w:tc>
      </w:tr>
      <w:tr w:rsidR="0028658D" w:rsidRPr="00A655A1" w:rsidTr="002375D9">
        <w:trPr>
          <w:trHeight w:val="315"/>
        </w:trPr>
        <w:tc>
          <w:tcPr>
            <w:tcW w:w="705" w:type="pct"/>
            <w:vMerge/>
            <w:vAlign w:val="center"/>
            <w:hideMark/>
          </w:tcPr>
          <w:p w:rsidR="0028658D" w:rsidRPr="00A655A1" w:rsidRDefault="0028658D" w:rsidP="00913FBD">
            <w:pPr>
              <w:pStyle w:val="TableText0"/>
              <w:widowControl w:val="0"/>
              <w:ind w:left="-71" w:right="-76"/>
            </w:pPr>
          </w:p>
        </w:tc>
        <w:tc>
          <w:tcPr>
            <w:tcW w:w="1022" w:type="pct"/>
            <w:vMerge/>
            <w:vAlign w:val="center"/>
            <w:hideMark/>
          </w:tcPr>
          <w:p w:rsidR="0028658D" w:rsidRPr="00A655A1" w:rsidRDefault="0028658D" w:rsidP="00913FBD">
            <w:pPr>
              <w:pStyle w:val="TableText0"/>
              <w:widowControl w:val="0"/>
              <w:ind w:left="-77" w:right="-51"/>
            </w:pPr>
          </w:p>
        </w:tc>
        <w:tc>
          <w:tcPr>
            <w:tcW w:w="1336" w:type="pct"/>
            <w:shd w:val="clear" w:color="auto" w:fill="auto"/>
            <w:vAlign w:val="center"/>
            <w:hideMark/>
          </w:tcPr>
          <w:p w:rsidR="0028658D" w:rsidRPr="00A655A1" w:rsidRDefault="0028658D" w:rsidP="00913FBD">
            <w:pPr>
              <w:pStyle w:val="TableText0"/>
              <w:widowControl w:val="0"/>
              <w:ind w:left="-67" w:right="-64"/>
              <w:rPr>
                <w:vertAlign w:val="superscript"/>
              </w:rPr>
            </w:pPr>
            <w:r w:rsidRPr="00A655A1">
              <w:t xml:space="preserve">From 20% patients at risk </w:t>
            </w:r>
            <w:r w:rsidRPr="00A655A1">
              <w:rPr>
                <w:vertAlign w:val="superscript"/>
              </w:rPr>
              <w:t>c</w:t>
            </w:r>
          </w:p>
        </w:tc>
        <w:tc>
          <w:tcPr>
            <w:tcW w:w="708" w:type="pct"/>
            <w:shd w:val="clear" w:color="auto" w:fill="auto"/>
            <w:vAlign w:val="center"/>
          </w:tcPr>
          <w:p w:rsidR="0028658D" w:rsidRPr="00A655A1" w:rsidRDefault="0028658D" w:rsidP="00913FBD">
            <w:pPr>
              <w:pStyle w:val="TableText0"/>
              <w:widowControl w:val="0"/>
              <w:jc w:val="center"/>
            </w:pPr>
            <w:r w:rsidRPr="00A655A1">
              <w:rPr>
                <w:rFonts w:cs="Calibri"/>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rPr>
            </w:pPr>
            <w:r w:rsidRPr="00A655A1">
              <w:rPr>
                <w:rFonts w:cs="Calibri"/>
              </w:rPr>
              <w:t>0.529</w:t>
            </w:r>
          </w:p>
        </w:tc>
        <w:tc>
          <w:tcPr>
            <w:tcW w:w="521" w:type="pct"/>
            <w:shd w:val="clear" w:color="auto" w:fill="auto"/>
            <w:vAlign w:val="center"/>
            <w:hideMark/>
          </w:tcPr>
          <w:p w:rsidR="0028658D" w:rsidRPr="00A655A1" w:rsidRDefault="0028658D" w:rsidP="00913FBD">
            <w:pPr>
              <w:pStyle w:val="TableText0"/>
              <w:widowControl w:val="0"/>
              <w:jc w:val="center"/>
              <w:rPr>
                <w:rFonts w:cs="Calibri"/>
              </w:rPr>
            </w:pPr>
            <w:r w:rsidRPr="00A655A1">
              <w:rPr>
                <w:rFonts w:cs="Calibri"/>
              </w:rPr>
              <w:t>$</w:t>
            </w:r>
            <w:r w:rsidR="007004AE">
              <w:rPr>
                <w:rFonts w:cs="Calibri"/>
                <w:noProof/>
                <w:color w:val="000000"/>
                <w:highlight w:val="black"/>
              </w:rPr>
              <w:t>'''''''''''''''''</w:t>
            </w:r>
            <w:r w:rsidR="00272E58">
              <w:rPr>
                <w:vertAlign w:val="superscript"/>
              </w:rPr>
              <w:t>1</w:t>
            </w:r>
          </w:p>
        </w:tc>
      </w:tr>
      <w:tr w:rsidR="0028658D" w:rsidRPr="00A655A1" w:rsidTr="002375D9">
        <w:trPr>
          <w:trHeight w:val="525"/>
        </w:trPr>
        <w:tc>
          <w:tcPr>
            <w:tcW w:w="705" w:type="pct"/>
            <w:vMerge w:val="restart"/>
            <w:shd w:val="clear" w:color="auto" w:fill="auto"/>
            <w:vAlign w:val="center"/>
            <w:hideMark/>
          </w:tcPr>
          <w:p w:rsidR="0028658D" w:rsidRPr="00A655A1" w:rsidRDefault="0028658D" w:rsidP="00913FBD">
            <w:pPr>
              <w:pStyle w:val="TableText0"/>
              <w:widowControl w:val="0"/>
              <w:ind w:left="-71" w:right="-76"/>
            </w:pPr>
            <w:r w:rsidRPr="00A655A1">
              <w:t>Utility values</w:t>
            </w:r>
          </w:p>
        </w:tc>
        <w:tc>
          <w:tcPr>
            <w:tcW w:w="1022" w:type="pct"/>
            <w:vMerge w:val="restart"/>
            <w:shd w:val="clear" w:color="auto" w:fill="auto"/>
            <w:vAlign w:val="center"/>
            <w:hideMark/>
          </w:tcPr>
          <w:p w:rsidR="0028658D" w:rsidRPr="00A655A1" w:rsidRDefault="0028658D" w:rsidP="00913FBD">
            <w:pPr>
              <w:pStyle w:val="TableText0"/>
              <w:widowControl w:val="0"/>
              <w:ind w:left="-77" w:right="-51"/>
            </w:pPr>
            <w:r w:rsidRPr="00A655A1">
              <w:t>ENDEAVOR trial utility values</w:t>
            </w:r>
          </w:p>
        </w:tc>
        <w:tc>
          <w:tcPr>
            <w:tcW w:w="1336" w:type="pct"/>
            <w:shd w:val="clear" w:color="auto" w:fill="auto"/>
            <w:vAlign w:val="center"/>
            <w:hideMark/>
          </w:tcPr>
          <w:p w:rsidR="0028658D" w:rsidRPr="00A655A1" w:rsidRDefault="0028658D" w:rsidP="00913FBD">
            <w:pPr>
              <w:pStyle w:val="TableText0"/>
              <w:widowControl w:val="0"/>
              <w:ind w:left="-67" w:right="-64"/>
              <w:rPr>
                <w:vertAlign w:val="superscript"/>
              </w:rPr>
            </w:pPr>
            <w:r w:rsidRPr="00A655A1">
              <w:t xml:space="preserve">TOURMALINE-MM1 BoR adjusted </w:t>
            </w:r>
            <w:r w:rsidRPr="00A655A1">
              <w:rPr>
                <w:vertAlign w:val="superscript"/>
              </w:rPr>
              <w:t>d</w:t>
            </w:r>
          </w:p>
        </w:tc>
        <w:tc>
          <w:tcPr>
            <w:tcW w:w="708" w:type="pct"/>
            <w:shd w:val="clear" w:color="auto" w:fill="auto"/>
            <w:vAlign w:val="center"/>
          </w:tcPr>
          <w:p w:rsidR="0028658D" w:rsidRPr="00A655A1" w:rsidRDefault="0028658D" w:rsidP="00913FBD">
            <w:pPr>
              <w:pStyle w:val="TableText0"/>
              <w:widowControl w:val="0"/>
              <w:jc w:val="center"/>
            </w:pPr>
            <w:r w:rsidRPr="00A655A1">
              <w:rPr>
                <w:rFonts w:cs="Calibri"/>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rPr>
            </w:pPr>
            <w:r w:rsidRPr="00A655A1">
              <w:rPr>
                <w:rFonts w:cs="Calibri"/>
              </w:rPr>
              <w:t>0.579</w:t>
            </w:r>
          </w:p>
        </w:tc>
        <w:tc>
          <w:tcPr>
            <w:tcW w:w="521" w:type="pct"/>
            <w:shd w:val="clear" w:color="auto" w:fill="auto"/>
            <w:vAlign w:val="center"/>
            <w:hideMark/>
          </w:tcPr>
          <w:p w:rsidR="0028658D" w:rsidRPr="00A655A1" w:rsidRDefault="0028658D" w:rsidP="00913FBD">
            <w:pPr>
              <w:pStyle w:val="TableText0"/>
              <w:widowControl w:val="0"/>
              <w:jc w:val="center"/>
              <w:rPr>
                <w:rFonts w:cs="Calibri"/>
              </w:rPr>
            </w:pPr>
            <w:r w:rsidRPr="00A655A1">
              <w:rPr>
                <w:rFonts w:cs="Calibri"/>
              </w:rPr>
              <w:t>$</w:t>
            </w:r>
            <w:r w:rsidR="007004AE">
              <w:rPr>
                <w:rFonts w:cs="Calibri"/>
                <w:noProof/>
                <w:color w:val="000000"/>
                <w:highlight w:val="black"/>
              </w:rPr>
              <w:t>'''''''''''''''</w:t>
            </w:r>
            <w:r w:rsidR="00272E58">
              <w:rPr>
                <w:vertAlign w:val="superscript"/>
              </w:rPr>
              <w:t>1</w:t>
            </w:r>
          </w:p>
        </w:tc>
      </w:tr>
      <w:tr w:rsidR="0028658D" w:rsidRPr="00A655A1" w:rsidTr="002375D9">
        <w:trPr>
          <w:trHeight w:val="315"/>
        </w:trPr>
        <w:tc>
          <w:tcPr>
            <w:tcW w:w="705" w:type="pct"/>
            <w:vMerge/>
            <w:vAlign w:val="center"/>
            <w:hideMark/>
          </w:tcPr>
          <w:p w:rsidR="0028658D" w:rsidRPr="00A655A1" w:rsidRDefault="0028658D" w:rsidP="00913FBD">
            <w:pPr>
              <w:pStyle w:val="TableText0"/>
              <w:widowControl w:val="0"/>
            </w:pPr>
          </w:p>
        </w:tc>
        <w:tc>
          <w:tcPr>
            <w:tcW w:w="1022" w:type="pct"/>
            <w:vMerge/>
            <w:vAlign w:val="center"/>
            <w:hideMark/>
          </w:tcPr>
          <w:p w:rsidR="0028658D" w:rsidRPr="00A655A1" w:rsidRDefault="0028658D" w:rsidP="00913FBD">
            <w:pPr>
              <w:pStyle w:val="TableText0"/>
              <w:widowControl w:val="0"/>
            </w:pPr>
          </w:p>
        </w:tc>
        <w:tc>
          <w:tcPr>
            <w:tcW w:w="1336" w:type="pct"/>
            <w:shd w:val="clear" w:color="auto" w:fill="auto"/>
            <w:vAlign w:val="center"/>
            <w:hideMark/>
          </w:tcPr>
          <w:p w:rsidR="0028658D" w:rsidRPr="00A655A1" w:rsidRDefault="0028658D" w:rsidP="00913FBD">
            <w:pPr>
              <w:pStyle w:val="TableText0"/>
              <w:widowControl w:val="0"/>
              <w:ind w:left="-67" w:right="-64"/>
            </w:pPr>
            <w:r w:rsidRPr="00A655A1">
              <w:t>BOSTON trial values</w:t>
            </w:r>
          </w:p>
        </w:tc>
        <w:tc>
          <w:tcPr>
            <w:tcW w:w="708" w:type="pct"/>
            <w:shd w:val="clear" w:color="auto" w:fill="auto"/>
            <w:vAlign w:val="center"/>
          </w:tcPr>
          <w:p w:rsidR="0028658D" w:rsidRPr="00A655A1" w:rsidRDefault="0028658D" w:rsidP="00913FBD">
            <w:pPr>
              <w:pStyle w:val="TableText0"/>
              <w:widowControl w:val="0"/>
              <w:jc w:val="center"/>
            </w:pPr>
            <w:r w:rsidRPr="00A655A1">
              <w:rPr>
                <w:rFonts w:cs="Calibri"/>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cs="Calibri"/>
              </w:rPr>
            </w:pPr>
            <w:r w:rsidRPr="00A655A1">
              <w:rPr>
                <w:rFonts w:cs="Calibri"/>
              </w:rPr>
              <w:t>0.639</w:t>
            </w:r>
          </w:p>
        </w:tc>
        <w:tc>
          <w:tcPr>
            <w:tcW w:w="521" w:type="pct"/>
            <w:shd w:val="clear" w:color="auto" w:fill="auto"/>
            <w:vAlign w:val="center"/>
            <w:hideMark/>
          </w:tcPr>
          <w:p w:rsidR="0028658D" w:rsidRPr="00A655A1" w:rsidRDefault="0028658D" w:rsidP="00913FBD">
            <w:pPr>
              <w:pStyle w:val="TableText0"/>
              <w:widowControl w:val="0"/>
              <w:jc w:val="center"/>
              <w:rPr>
                <w:rFonts w:cs="Calibri"/>
              </w:rPr>
            </w:pPr>
            <w:r w:rsidRPr="00A655A1">
              <w:rPr>
                <w:rFonts w:cs="Calibri"/>
              </w:rPr>
              <w:t>$</w:t>
            </w:r>
            <w:r w:rsidR="007004AE">
              <w:rPr>
                <w:rFonts w:cs="Calibri"/>
                <w:noProof/>
                <w:color w:val="000000"/>
                <w:highlight w:val="black"/>
              </w:rPr>
              <w:t>''''''''''''''''''</w:t>
            </w:r>
            <w:r w:rsidR="00D075CF">
              <w:rPr>
                <w:vertAlign w:val="superscript"/>
              </w:rPr>
              <w:t>3</w:t>
            </w:r>
          </w:p>
        </w:tc>
      </w:tr>
      <w:tr w:rsidR="0081500D" w:rsidRPr="00A655A1" w:rsidTr="002375D9">
        <w:trPr>
          <w:trHeight w:val="204"/>
        </w:trPr>
        <w:tc>
          <w:tcPr>
            <w:tcW w:w="3063" w:type="pct"/>
            <w:gridSpan w:val="3"/>
            <w:shd w:val="clear" w:color="auto" w:fill="auto"/>
            <w:vAlign w:val="center"/>
          </w:tcPr>
          <w:p w:rsidR="0028658D" w:rsidRPr="00A655A1" w:rsidRDefault="0028658D" w:rsidP="00913FBD">
            <w:pPr>
              <w:pStyle w:val="TableText0"/>
              <w:widowControl w:val="0"/>
              <w:ind w:left="-67" w:right="-64"/>
              <w:rPr>
                <w:rFonts w:eastAsia="Batang" w:cs="Calibri"/>
                <w:color w:val="000000"/>
                <w:szCs w:val="20"/>
                <w:lang w:eastAsia="en-US"/>
              </w:rPr>
            </w:pPr>
            <w:r w:rsidRPr="00A655A1">
              <w:rPr>
                <w:rFonts w:eastAsia="Batang" w:cs="Calibri"/>
                <w:color w:val="000000"/>
                <w:szCs w:val="20"/>
                <w:lang w:eastAsia="en-US"/>
              </w:rPr>
              <w:t>Time horizon (10 years), dependent Weibull for OS</w:t>
            </w:r>
          </w:p>
        </w:tc>
        <w:tc>
          <w:tcPr>
            <w:tcW w:w="708" w:type="pct"/>
            <w:shd w:val="clear" w:color="auto" w:fill="auto"/>
            <w:vAlign w:val="center"/>
          </w:tcPr>
          <w:p w:rsidR="0028658D" w:rsidRPr="00A655A1" w:rsidRDefault="0028658D" w:rsidP="00913FBD">
            <w:pPr>
              <w:pStyle w:val="TableText0"/>
              <w:widowControl w:val="0"/>
              <w:jc w:val="center"/>
              <w:rPr>
                <w:rFonts w:eastAsia="Batang" w:cs="Calibri"/>
                <w:color w:val="000000"/>
                <w:szCs w:val="20"/>
                <w:lang w:eastAsia="en-US"/>
              </w:rPr>
            </w:pPr>
            <w:r w:rsidRPr="00A655A1">
              <w:rPr>
                <w:rFonts w:eastAsia="Batang" w:cs="Calibri"/>
                <w:color w:val="000000"/>
                <w:szCs w:val="20"/>
                <w:lang w:eastAsia="en-US"/>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eastAsia="Batang" w:cs="Calibri"/>
                <w:color w:val="000000"/>
                <w:szCs w:val="20"/>
                <w:lang w:eastAsia="en-US"/>
              </w:rPr>
            </w:pPr>
            <w:r w:rsidRPr="00A655A1">
              <w:rPr>
                <w:rFonts w:eastAsia="Batang" w:cs="Calibri"/>
                <w:color w:val="000000"/>
                <w:szCs w:val="20"/>
                <w:lang w:eastAsia="en-US"/>
              </w:rPr>
              <w:t>0.444</w:t>
            </w:r>
          </w:p>
        </w:tc>
        <w:tc>
          <w:tcPr>
            <w:tcW w:w="521" w:type="pct"/>
            <w:shd w:val="clear" w:color="auto" w:fill="auto"/>
            <w:vAlign w:val="center"/>
          </w:tcPr>
          <w:p w:rsidR="0028658D" w:rsidRPr="00A655A1" w:rsidRDefault="0028658D" w:rsidP="00913FBD">
            <w:pPr>
              <w:pStyle w:val="TableText0"/>
              <w:widowControl w:val="0"/>
              <w:jc w:val="center"/>
              <w:rPr>
                <w:rFonts w:eastAsia="Batang" w:cs="Calibri"/>
                <w:color w:val="000000"/>
                <w:szCs w:val="20"/>
                <w:lang w:eastAsia="en-US"/>
              </w:rPr>
            </w:pPr>
            <w:r w:rsidRPr="00A655A1">
              <w:rPr>
                <w:rFonts w:eastAsia="Batang" w:cs="Calibri"/>
                <w:color w:val="000000"/>
                <w:szCs w:val="20"/>
                <w:lang w:eastAsia="en-US"/>
              </w:rPr>
              <w:t>$</w:t>
            </w:r>
            <w:r w:rsidR="007004AE">
              <w:rPr>
                <w:rFonts w:cs="Calibri"/>
                <w:noProof/>
                <w:color w:val="000000"/>
                <w:highlight w:val="black"/>
              </w:rPr>
              <w:t>'''''''''''''''''</w:t>
            </w:r>
            <w:r w:rsidR="00D075CF">
              <w:rPr>
                <w:vertAlign w:val="superscript"/>
              </w:rPr>
              <w:t>4</w:t>
            </w:r>
          </w:p>
        </w:tc>
      </w:tr>
      <w:tr w:rsidR="0081500D" w:rsidRPr="00A655A1" w:rsidTr="002375D9">
        <w:trPr>
          <w:trHeight w:val="204"/>
        </w:trPr>
        <w:tc>
          <w:tcPr>
            <w:tcW w:w="3063" w:type="pct"/>
            <w:gridSpan w:val="3"/>
            <w:shd w:val="clear" w:color="auto" w:fill="auto"/>
            <w:vAlign w:val="center"/>
          </w:tcPr>
          <w:p w:rsidR="0028658D" w:rsidRPr="00A655A1" w:rsidRDefault="0028658D" w:rsidP="00913FBD">
            <w:pPr>
              <w:pStyle w:val="TableText0"/>
              <w:widowControl w:val="0"/>
              <w:ind w:left="-67" w:right="-64"/>
              <w:rPr>
                <w:rFonts w:eastAsia="Batang" w:cs="Calibri"/>
                <w:color w:val="000000"/>
                <w:szCs w:val="20"/>
                <w:lang w:eastAsia="en-US"/>
              </w:rPr>
            </w:pPr>
            <w:r w:rsidRPr="00A655A1">
              <w:rPr>
                <w:rFonts w:eastAsia="Batang" w:cs="Calibri"/>
                <w:color w:val="000000"/>
                <w:szCs w:val="20"/>
                <w:lang w:eastAsia="en-US"/>
              </w:rPr>
              <w:t>Time horizon (10 years), dependent Weibull for OS (no adjustment)</w:t>
            </w:r>
          </w:p>
        </w:tc>
        <w:tc>
          <w:tcPr>
            <w:tcW w:w="708" w:type="pct"/>
            <w:shd w:val="clear" w:color="auto" w:fill="auto"/>
            <w:vAlign w:val="center"/>
          </w:tcPr>
          <w:p w:rsidR="0028658D" w:rsidRPr="00A655A1" w:rsidRDefault="0028658D" w:rsidP="00913FBD">
            <w:pPr>
              <w:pStyle w:val="TableText0"/>
              <w:widowControl w:val="0"/>
              <w:jc w:val="center"/>
              <w:rPr>
                <w:rFonts w:eastAsia="Batang" w:cs="Calibri"/>
                <w:color w:val="000000"/>
                <w:szCs w:val="20"/>
                <w:lang w:eastAsia="en-US"/>
              </w:rPr>
            </w:pPr>
            <w:r w:rsidRPr="00A655A1">
              <w:rPr>
                <w:rFonts w:eastAsia="Batang" w:cs="Calibri"/>
                <w:color w:val="000000"/>
                <w:szCs w:val="20"/>
                <w:lang w:eastAsia="en-US"/>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eastAsia="Batang" w:cs="Calibri"/>
                <w:color w:val="000000"/>
                <w:szCs w:val="20"/>
                <w:lang w:eastAsia="en-US"/>
              </w:rPr>
            </w:pPr>
            <w:r w:rsidRPr="00A655A1">
              <w:rPr>
                <w:rFonts w:eastAsia="Batang" w:cs="Calibri"/>
                <w:color w:val="000000"/>
                <w:szCs w:val="20"/>
                <w:lang w:eastAsia="en-US"/>
              </w:rPr>
              <w:t>0.318</w:t>
            </w:r>
          </w:p>
        </w:tc>
        <w:tc>
          <w:tcPr>
            <w:tcW w:w="521" w:type="pct"/>
            <w:shd w:val="clear" w:color="auto" w:fill="auto"/>
            <w:vAlign w:val="center"/>
          </w:tcPr>
          <w:p w:rsidR="0028658D" w:rsidRPr="00A655A1" w:rsidRDefault="0028658D" w:rsidP="00913FBD">
            <w:pPr>
              <w:pStyle w:val="TableText0"/>
              <w:widowControl w:val="0"/>
              <w:jc w:val="center"/>
              <w:rPr>
                <w:rFonts w:eastAsia="Batang" w:cs="Calibri"/>
                <w:color w:val="000000"/>
                <w:szCs w:val="20"/>
                <w:lang w:eastAsia="en-US"/>
              </w:rPr>
            </w:pPr>
            <w:r w:rsidRPr="00A655A1">
              <w:rPr>
                <w:rFonts w:eastAsia="Batang" w:cs="Calibri"/>
                <w:color w:val="000000"/>
                <w:szCs w:val="20"/>
                <w:lang w:eastAsia="en-US"/>
              </w:rPr>
              <w:t>$</w:t>
            </w:r>
            <w:r w:rsidR="007004AE">
              <w:rPr>
                <w:rFonts w:cs="Calibri"/>
                <w:noProof/>
                <w:color w:val="000000"/>
                <w:highlight w:val="black"/>
              </w:rPr>
              <w:t>''''''''''''''''''</w:t>
            </w:r>
            <w:r w:rsidR="00272E58">
              <w:rPr>
                <w:vertAlign w:val="superscript"/>
              </w:rPr>
              <w:t>2</w:t>
            </w:r>
          </w:p>
        </w:tc>
      </w:tr>
      <w:tr w:rsidR="0028658D" w:rsidRPr="00A655A1" w:rsidTr="002375D9">
        <w:trPr>
          <w:trHeight w:val="204"/>
        </w:trPr>
        <w:tc>
          <w:tcPr>
            <w:tcW w:w="3063" w:type="pct"/>
            <w:gridSpan w:val="3"/>
            <w:shd w:val="clear" w:color="auto" w:fill="auto"/>
            <w:vAlign w:val="center"/>
          </w:tcPr>
          <w:p w:rsidR="0028658D" w:rsidRPr="00A655A1" w:rsidRDefault="0028658D" w:rsidP="00913FBD">
            <w:pPr>
              <w:pStyle w:val="TableText0"/>
              <w:widowControl w:val="0"/>
              <w:ind w:left="-67" w:right="-64"/>
            </w:pPr>
            <w:r w:rsidRPr="00A655A1">
              <w:rPr>
                <w:rFonts w:eastAsia="Batang" w:cs="Calibri"/>
                <w:color w:val="000000"/>
                <w:szCs w:val="20"/>
                <w:lang w:eastAsia="en-US"/>
              </w:rPr>
              <w:t>Time horizon (10 years), dependent Weibull for OS and BOSTON utility values</w:t>
            </w:r>
          </w:p>
        </w:tc>
        <w:tc>
          <w:tcPr>
            <w:tcW w:w="708" w:type="pct"/>
            <w:shd w:val="clear" w:color="auto" w:fill="auto"/>
            <w:vAlign w:val="center"/>
          </w:tcPr>
          <w:p w:rsidR="0028658D" w:rsidRPr="00A655A1" w:rsidRDefault="0028658D" w:rsidP="00913FBD">
            <w:pPr>
              <w:pStyle w:val="TableText0"/>
              <w:widowControl w:val="0"/>
              <w:jc w:val="center"/>
              <w:rPr>
                <w:rFonts w:cs="Calibri"/>
              </w:rPr>
            </w:pPr>
            <w:r w:rsidRPr="00A655A1">
              <w:rPr>
                <w:rFonts w:eastAsia="Batang" w:cs="Calibri"/>
                <w:color w:val="000000"/>
                <w:szCs w:val="20"/>
                <w:lang w:eastAsia="en-US"/>
              </w:rPr>
              <w:t>$</w:t>
            </w:r>
            <w:r w:rsidR="007004AE">
              <w:rPr>
                <w:rFonts w:cs="Calibri"/>
                <w:noProof/>
                <w:color w:val="000000"/>
                <w:highlight w:val="black"/>
              </w:rPr>
              <w:t>''''''''''''''''</w:t>
            </w:r>
          </w:p>
        </w:tc>
        <w:tc>
          <w:tcPr>
            <w:tcW w:w="708" w:type="pct"/>
            <w:vAlign w:val="center"/>
          </w:tcPr>
          <w:p w:rsidR="0028658D" w:rsidRPr="00A655A1" w:rsidRDefault="0028658D" w:rsidP="00913FBD">
            <w:pPr>
              <w:pStyle w:val="TableText0"/>
              <w:widowControl w:val="0"/>
              <w:jc w:val="center"/>
              <w:rPr>
                <w:rFonts w:eastAsia="Batang" w:cs="Calibri"/>
                <w:color w:val="000000"/>
                <w:szCs w:val="20"/>
                <w:lang w:eastAsia="en-US"/>
              </w:rPr>
            </w:pPr>
            <w:r w:rsidRPr="00A655A1">
              <w:rPr>
                <w:rFonts w:eastAsia="Batang" w:cs="Calibri"/>
                <w:color w:val="000000"/>
                <w:szCs w:val="20"/>
                <w:lang w:eastAsia="en-US"/>
              </w:rPr>
              <w:t>0.482</w:t>
            </w:r>
          </w:p>
        </w:tc>
        <w:tc>
          <w:tcPr>
            <w:tcW w:w="521" w:type="pct"/>
            <w:shd w:val="clear" w:color="auto" w:fill="auto"/>
            <w:vAlign w:val="center"/>
          </w:tcPr>
          <w:p w:rsidR="0028658D" w:rsidRPr="00A655A1" w:rsidRDefault="0028658D" w:rsidP="00913FBD">
            <w:pPr>
              <w:pStyle w:val="TableText0"/>
              <w:widowControl w:val="0"/>
              <w:jc w:val="center"/>
              <w:rPr>
                <w:rFonts w:cs="Calibri"/>
              </w:rPr>
            </w:pPr>
            <w:r w:rsidRPr="00A655A1">
              <w:rPr>
                <w:rFonts w:eastAsia="Batang" w:cs="Calibri"/>
                <w:color w:val="000000"/>
                <w:szCs w:val="20"/>
                <w:lang w:eastAsia="en-US"/>
              </w:rPr>
              <w:t>$</w:t>
            </w:r>
            <w:r w:rsidR="007004AE">
              <w:rPr>
                <w:rFonts w:cs="Calibri"/>
                <w:noProof/>
                <w:color w:val="000000"/>
                <w:highlight w:val="black"/>
              </w:rPr>
              <w:t>''''''''''''''''</w:t>
            </w:r>
            <w:r w:rsidR="00272E58">
              <w:rPr>
                <w:vertAlign w:val="superscript"/>
              </w:rPr>
              <w:t>1</w:t>
            </w:r>
          </w:p>
        </w:tc>
      </w:tr>
    </w:tbl>
    <w:p w:rsidR="005F374E" w:rsidRDefault="005F374E" w:rsidP="005F374E">
      <w:pPr>
        <w:pStyle w:val="TableFigureFooter"/>
        <w:rPr>
          <w:szCs w:val="18"/>
        </w:rPr>
      </w:pPr>
      <w:r w:rsidRPr="00A655A1">
        <w:t xml:space="preserve">Source: </w:t>
      </w:r>
      <w:r w:rsidRPr="00A655A1">
        <w:rPr>
          <w:szCs w:val="18"/>
        </w:rPr>
        <w:t>Table 3-22 of the submission; and developed during the eva</w:t>
      </w:r>
      <w:r w:rsidR="001754F9" w:rsidRPr="00A655A1">
        <w:rPr>
          <w:szCs w:val="18"/>
        </w:rPr>
        <w:t>l</w:t>
      </w:r>
      <w:r w:rsidRPr="00A655A1">
        <w:rPr>
          <w:szCs w:val="18"/>
        </w:rPr>
        <w:t>u</w:t>
      </w:r>
      <w:r w:rsidR="001754F9" w:rsidRPr="00A655A1">
        <w:rPr>
          <w:szCs w:val="18"/>
        </w:rPr>
        <w:t>a</w:t>
      </w:r>
      <w:r w:rsidRPr="00A655A1">
        <w:rPr>
          <w:szCs w:val="18"/>
        </w:rPr>
        <w:t xml:space="preserve">tion </w:t>
      </w:r>
    </w:p>
    <w:p w:rsidR="00272E58" w:rsidRDefault="00272E58" w:rsidP="00272E58">
      <w:pPr>
        <w:pStyle w:val="TableFigureFooter"/>
        <w:spacing w:after="0"/>
        <w:contextualSpacing w:val="0"/>
        <w:rPr>
          <w:i/>
        </w:rPr>
      </w:pPr>
      <w:r w:rsidRPr="009868C4">
        <w:rPr>
          <w:i/>
        </w:rPr>
        <w:t>The redacted values correspond to the following ranges</w:t>
      </w:r>
      <w:r>
        <w:rPr>
          <w:i/>
        </w:rPr>
        <w:t xml:space="preserve">: </w:t>
      </w:r>
    </w:p>
    <w:p w:rsidR="00272E58" w:rsidRDefault="00272E58" w:rsidP="00272E58">
      <w:pPr>
        <w:pStyle w:val="TableFigureFooter"/>
        <w:spacing w:after="0"/>
        <w:contextualSpacing w:val="0"/>
        <w:rPr>
          <w:i/>
        </w:rPr>
      </w:pPr>
      <w:r>
        <w:rPr>
          <w:i/>
          <w:vertAlign w:val="superscript"/>
        </w:rPr>
        <w:t>1</w:t>
      </w:r>
      <w:r>
        <w:rPr>
          <w:i/>
        </w:rPr>
        <w:t xml:space="preserve"> $</w:t>
      </w:r>
      <w:r w:rsidRPr="00272E58">
        <w:rPr>
          <w:i/>
        </w:rPr>
        <w:t>75,000 to &lt; $95,000</w:t>
      </w:r>
    </w:p>
    <w:p w:rsidR="00272E58" w:rsidRDefault="00272E58" w:rsidP="00272E58">
      <w:pPr>
        <w:pStyle w:val="TableFigureFooter"/>
        <w:spacing w:after="0"/>
        <w:contextualSpacing w:val="0"/>
        <w:rPr>
          <w:i/>
        </w:rPr>
      </w:pPr>
      <w:r>
        <w:rPr>
          <w:i/>
          <w:vertAlign w:val="superscript"/>
        </w:rPr>
        <w:t>2</w:t>
      </w:r>
      <w:r>
        <w:rPr>
          <w:i/>
        </w:rPr>
        <w:t xml:space="preserve"> $</w:t>
      </w:r>
      <w:r w:rsidRPr="00272E58">
        <w:rPr>
          <w:i/>
        </w:rPr>
        <w:t>135,000 to &lt; $155,000</w:t>
      </w:r>
    </w:p>
    <w:p w:rsidR="00272E58" w:rsidRDefault="00272E58" w:rsidP="00272E58">
      <w:pPr>
        <w:pStyle w:val="TableFigureFooter"/>
        <w:spacing w:after="0"/>
        <w:contextualSpacing w:val="0"/>
        <w:rPr>
          <w:i/>
        </w:rPr>
      </w:pPr>
      <w:r>
        <w:rPr>
          <w:i/>
          <w:vertAlign w:val="superscript"/>
        </w:rPr>
        <w:t>3</w:t>
      </w:r>
      <w:r>
        <w:rPr>
          <w:i/>
        </w:rPr>
        <w:t xml:space="preserve"> $</w:t>
      </w:r>
      <w:r w:rsidR="00D075CF" w:rsidRPr="00D075CF">
        <w:rPr>
          <w:i/>
        </w:rPr>
        <w:t>55,000 to &lt; $75,000</w:t>
      </w:r>
    </w:p>
    <w:p w:rsidR="00272E58" w:rsidRDefault="00272E58" w:rsidP="00272E58">
      <w:pPr>
        <w:pStyle w:val="TableFigureFooter"/>
        <w:spacing w:after="0"/>
        <w:contextualSpacing w:val="0"/>
        <w:rPr>
          <w:i/>
        </w:rPr>
      </w:pPr>
      <w:r>
        <w:rPr>
          <w:i/>
          <w:vertAlign w:val="superscript"/>
        </w:rPr>
        <w:t>4</w:t>
      </w:r>
      <w:r>
        <w:rPr>
          <w:i/>
        </w:rPr>
        <w:t xml:space="preserve"> $</w:t>
      </w:r>
      <w:r w:rsidR="00D075CF" w:rsidRPr="00D075CF">
        <w:rPr>
          <w:i/>
        </w:rPr>
        <w:t>95,000 to &lt; $115,000</w:t>
      </w:r>
    </w:p>
    <w:p w:rsidR="00272E58" w:rsidRPr="009A4E42" w:rsidRDefault="00272E58" w:rsidP="00272E58">
      <w:pPr>
        <w:pStyle w:val="TableFigureFooter"/>
        <w:spacing w:after="0"/>
        <w:contextualSpacing w:val="0"/>
      </w:pPr>
      <w:r>
        <w:rPr>
          <w:i/>
          <w:vertAlign w:val="superscript"/>
        </w:rPr>
        <w:t xml:space="preserve">5 </w:t>
      </w:r>
      <w:r>
        <w:rPr>
          <w:i/>
        </w:rPr>
        <w:t>$</w:t>
      </w:r>
      <w:r w:rsidR="00D075CF" w:rsidRPr="00D075CF">
        <w:rPr>
          <w:i/>
        </w:rPr>
        <w:t>155,000 to &lt; $255,000</w:t>
      </w:r>
    </w:p>
    <w:p w:rsidR="00272E58" w:rsidRPr="00A655A1" w:rsidRDefault="00272E58" w:rsidP="005F374E">
      <w:pPr>
        <w:pStyle w:val="TableFigureFooter"/>
      </w:pPr>
    </w:p>
    <w:p w:rsidR="005F374E" w:rsidRPr="00A655A1" w:rsidRDefault="00394F65" w:rsidP="005F374E">
      <w:pPr>
        <w:pStyle w:val="TableFigureFooter"/>
      </w:pPr>
      <w:r w:rsidRPr="00A655A1">
        <w:t xml:space="preserve">Bd = bortezomib + dexamethasone </w:t>
      </w:r>
      <w:r w:rsidR="005F374E" w:rsidRPr="00A655A1">
        <w:t xml:space="preserve">BOR = best overall response; ICER = incremental cost effectiveness ratio; </w:t>
      </w:r>
      <w:r w:rsidRPr="00A655A1">
        <w:t xml:space="preserve">HR = hazard ratio; </w:t>
      </w:r>
      <w:r w:rsidR="005F374E" w:rsidRPr="00A655A1">
        <w:t>OS = overall survival; PFS = progression free survival;</w:t>
      </w:r>
      <w:r w:rsidR="00865474" w:rsidRPr="00A655A1">
        <w:t xml:space="preserve"> SBd = selinexor + bortezomib + dexamethasone; </w:t>
      </w:r>
      <w:r w:rsidR="005F374E" w:rsidRPr="00A655A1">
        <w:t>TTD = time to treatment discontinuation; TSEM= two-stage estimation method</w:t>
      </w:r>
    </w:p>
    <w:p w:rsidR="005F374E" w:rsidRPr="00A655A1" w:rsidRDefault="00865474" w:rsidP="005F374E">
      <w:pPr>
        <w:pStyle w:val="TableFigureFooter"/>
      </w:pPr>
      <w:r w:rsidRPr="00A655A1">
        <w:t xml:space="preserve">a. </w:t>
      </w:r>
      <w:r w:rsidR="005F374E" w:rsidRPr="00A655A1">
        <w:t>The base case scenario presented in the scenario analysis in Table 3-22 of the submission was slightly different (incremental outcomes = 0.582, incremental cost = $</w:t>
      </w:r>
      <w:r w:rsidR="007004AE">
        <w:rPr>
          <w:noProof/>
          <w:color w:val="000000"/>
          <w:highlight w:val="black"/>
        </w:rPr>
        <w:t>'''''''''''''''</w:t>
      </w:r>
      <w:r w:rsidR="005F374E" w:rsidRPr="00A655A1">
        <w:t xml:space="preserve"> and ICER = $</w:t>
      </w:r>
      <w:r w:rsidR="007004AE">
        <w:rPr>
          <w:noProof/>
          <w:color w:val="000000"/>
          <w:highlight w:val="black"/>
        </w:rPr>
        <w:t>''''''''''''''''''</w:t>
      </w:r>
      <w:r w:rsidR="00D075CF">
        <w:rPr>
          <w:i/>
          <w:vertAlign w:val="superscript"/>
        </w:rPr>
        <w:t>3</w:t>
      </w:r>
      <w:r w:rsidR="005F374E" w:rsidRPr="00A655A1">
        <w:t xml:space="preserve">) to that presented in Section 3A.8. Results from Section 3A.8 reflected the excel model. </w:t>
      </w:r>
    </w:p>
    <w:p w:rsidR="005F374E" w:rsidRPr="00A655A1" w:rsidRDefault="00865474" w:rsidP="005F374E">
      <w:pPr>
        <w:pStyle w:val="TableFigureFooter"/>
        <w:rPr>
          <w:iCs/>
        </w:rPr>
      </w:pPr>
      <w:r w:rsidRPr="00A655A1">
        <w:t>b.</w:t>
      </w:r>
      <w:r w:rsidR="005F374E" w:rsidRPr="00A655A1">
        <w:t xml:space="preserve"> T</w:t>
      </w:r>
      <w:r w:rsidR="005F374E" w:rsidRPr="00A655A1">
        <w:rPr>
          <w:iCs/>
        </w:rPr>
        <w:t xml:space="preserve">he cost calculations between the submission and the evaluation varied, the submission estimated the ICER as </w:t>
      </w:r>
      <w:r w:rsidR="00714501" w:rsidRPr="00A655A1">
        <w:rPr>
          <w:iCs/>
        </w:rPr>
        <w:t>$</w:t>
      </w:r>
      <w:r w:rsidR="007004AE">
        <w:rPr>
          <w:iCs/>
          <w:noProof/>
          <w:color w:val="000000"/>
          <w:highlight w:val="black"/>
        </w:rPr>
        <w:t>'''''''''''''''</w:t>
      </w:r>
      <w:r w:rsidR="00D075CF">
        <w:rPr>
          <w:i/>
          <w:vertAlign w:val="superscript"/>
        </w:rPr>
        <w:t>1</w:t>
      </w:r>
      <w:r w:rsidRPr="00A655A1">
        <w:rPr>
          <w:iCs/>
        </w:rPr>
        <w:t xml:space="preserve"> per QALY</w:t>
      </w:r>
      <w:r w:rsidR="005F374E" w:rsidRPr="00A655A1">
        <w:rPr>
          <w:iCs/>
        </w:rPr>
        <w:t xml:space="preserve">, and incremental outcome as 0.479 whilst calculations during the evaluation are presented in the table. These results were based on selecting “none” in cell C9 worksheet ‘Survival’ </w:t>
      </w:r>
    </w:p>
    <w:p w:rsidR="005F374E" w:rsidRPr="00A655A1" w:rsidRDefault="00865474" w:rsidP="005F374E">
      <w:pPr>
        <w:pStyle w:val="TableFigureFooter"/>
        <w:rPr>
          <w:iCs/>
        </w:rPr>
      </w:pPr>
      <w:r w:rsidRPr="00A655A1">
        <w:rPr>
          <w:iCs/>
        </w:rPr>
        <w:t xml:space="preserve">c. </w:t>
      </w:r>
      <w:r w:rsidR="005F374E" w:rsidRPr="00A655A1">
        <w:rPr>
          <w:iCs/>
        </w:rPr>
        <w:t>The cost calculated between the submission and the evaluation varied, the submission estimated the ICER as $</w:t>
      </w:r>
      <w:r w:rsidR="007004AE">
        <w:rPr>
          <w:iCs/>
          <w:noProof/>
          <w:color w:val="000000"/>
          <w:highlight w:val="black"/>
        </w:rPr>
        <w:t>'''''''''''''''''</w:t>
      </w:r>
      <w:r w:rsidR="00D075CF">
        <w:rPr>
          <w:i/>
          <w:vertAlign w:val="superscript"/>
        </w:rPr>
        <w:t>1</w:t>
      </w:r>
      <w:r w:rsidRPr="00A655A1">
        <w:rPr>
          <w:iCs/>
        </w:rPr>
        <w:t xml:space="preserve"> per QALY</w:t>
      </w:r>
      <w:r w:rsidR="005F374E" w:rsidRPr="00A655A1">
        <w:rPr>
          <w:iCs/>
        </w:rPr>
        <w:t xml:space="preserve"> and incremental outcome as 0.484 for 10% risk and ICER $</w:t>
      </w:r>
      <w:r w:rsidR="007004AE">
        <w:rPr>
          <w:iCs/>
          <w:noProof/>
          <w:color w:val="000000"/>
          <w:highlight w:val="black"/>
        </w:rPr>
        <w:t>''''''''''''''''''</w:t>
      </w:r>
      <w:r w:rsidR="00D075CF">
        <w:rPr>
          <w:i/>
          <w:vertAlign w:val="superscript"/>
        </w:rPr>
        <w:t>1</w:t>
      </w:r>
      <w:r w:rsidRPr="00A655A1">
        <w:rPr>
          <w:iCs/>
        </w:rPr>
        <w:t xml:space="preserve"> per QALY</w:t>
      </w:r>
      <w:r w:rsidR="005F374E" w:rsidRPr="00A655A1">
        <w:rPr>
          <w:iCs/>
        </w:rPr>
        <w:t xml:space="preserve"> and incremental outcome as 0.471 for 20% risk whilst calculations during the evaluation are presented in the table. These results were based on selecting “10% patients left at risk” and “20% patients left at risk” respectively in cell C8 worksheet ‘Survival’</w:t>
      </w:r>
    </w:p>
    <w:p w:rsidR="005F374E" w:rsidRPr="00A655A1" w:rsidRDefault="00865474" w:rsidP="005F374E">
      <w:pPr>
        <w:pStyle w:val="TableFigureFooter"/>
        <w:rPr>
          <w:iCs/>
        </w:rPr>
      </w:pPr>
      <w:r w:rsidRPr="00A655A1">
        <w:rPr>
          <w:iCs/>
        </w:rPr>
        <w:t xml:space="preserve">d. </w:t>
      </w:r>
      <w:r w:rsidR="005F374E" w:rsidRPr="00A655A1">
        <w:rPr>
          <w:iCs/>
        </w:rPr>
        <w:t>Utility type was also changed to ‘treatment-specific’ during the validation process, as health state specific utilities were not available.</w:t>
      </w:r>
    </w:p>
    <w:p w:rsidR="005F374E" w:rsidRPr="00A655A1" w:rsidRDefault="005F374E" w:rsidP="005F374E">
      <w:pPr>
        <w:pStyle w:val="TableFigureFooter"/>
        <w:rPr>
          <w:iCs/>
        </w:rPr>
      </w:pPr>
      <w:r w:rsidRPr="00A655A1">
        <w:rPr>
          <w:iCs/>
        </w:rPr>
        <w:t>Calculations varied slightly potential based on the calculation differences in base case, which were suspected to have been carried through the sensitivity analyses cautions.</w:t>
      </w:r>
      <w:r w:rsidR="007E4A55" w:rsidRPr="00A655A1">
        <w:rPr>
          <w:iCs/>
        </w:rPr>
        <w:t xml:space="preserve">  </w:t>
      </w:r>
    </w:p>
    <w:p w:rsidR="005A74D1" w:rsidRPr="00A655A1" w:rsidRDefault="005A74D1" w:rsidP="005A74D1">
      <w:pPr>
        <w:pStyle w:val="In-tableHeading"/>
        <w:rPr>
          <w:lang w:val="en-AU" w:eastAsia="en-US"/>
        </w:rPr>
      </w:pPr>
    </w:p>
    <w:p w:rsidR="00E53385" w:rsidRPr="00A655A1" w:rsidRDefault="00F82A75" w:rsidP="00D075CF">
      <w:pPr>
        <w:pStyle w:val="3-BodyText"/>
      </w:pPr>
      <w:r w:rsidRPr="00A655A1">
        <w:t xml:space="preserve">Overall, the sensitivity analyses </w:t>
      </w:r>
      <w:r w:rsidR="00974680" w:rsidRPr="00A655A1">
        <w:t>demonstrated that the ICER was</w:t>
      </w:r>
      <w:r w:rsidRPr="00A655A1">
        <w:t xml:space="preserve"> sensitive to the time horizon</w:t>
      </w:r>
      <w:r w:rsidR="00E76E3E" w:rsidRPr="00A655A1">
        <w:t xml:space="preserve">, </w:t>
      </w:r>
      <w:r w:rsidR="00D67288" w:rsidRPr="00A655A1">
        <w:t xml:space="preserve">TSEM adjustment for treatment crossover, </w:t>
      </w:r>
      <w:r w:rsidRPr="00A655A1">
        <w:t>the choice of parametric function chosen for extrapolation</w:t>
      </w:r>
      <w:r w:rsidR="00E76E3E" w:rsidRPr="00A655A1">
        <w:t xml:space="preserve"> and the </w:t>
      </w:r>
      <w:r w:rsidR="00AD56F6" w:rsidRPr="00A655A1">
        <w:t>survival advantage of SBd over Bd</w:t>
      </w:r>
      <w:r w:rsidR="00E76E3E" w:rsidRPr="00A655A1">
        <w:t>.</w:t>
      </w:r>
      <w:r w:rsidR="007F1113" w:rsidRPr="00A655A1">
        <w:t xml:space="preserve"> </w:t>
      </w:r>
      <w:r w:rsidR="005C3908" w:rsidRPr="00A655A1">
        <w:t>The submission considered that the Weibull distribution</w:t>
      </w:r>
      <w:r w:rsidR="001925C3" w:rsidRPr="00A655A1">
        <w:t xml:space="preserve"> </w:t>
      </w:r>
      <w:r w:rsidR="005C3908" w:rsidRPr="00A655A1">
        <w:t xml:space="preserve">appeared to underestimate mean survival according to the published literature and expert clinical opinion. </w:t>
      </w:r>
      <w:r w:rsidR="00CB70BB" w:rsidRPr="00A655A1">
        <w:rPr>
          <w:iCs/>
        </w:rPr>
        <w:t>T</w:t>
      </w:r>
      <w:r w:rsidR="005C3908" w:rsidRPr="00A655A1">
        <w:rPr>
          <w:iCs/>
        </w:rPr>
        <w:t>he</w:t>
      </w:r>
      <w:r w:rsidR="00CB70BB" w:rsidRPr="00A655A1">
        <w:rPr>
          <w:iCs/>
        </w:rPr>
        <w:t xml:space="preserve"> rationale for these considerations w</w:t>
      </w:r>
      <w:r w:rsidR="00963C72" w:rsidRPr="00A655A1">
        <w:rPr>
          <w:iCs/>
        </w:rPr>
        <w:t>as</w:t>
      </w:r>
      <w:r w:rsidR="00CB70BB" w:rsidRPr="00A655A1">
        <w:rPr>
          <w:iCs/>
        </w:rPr>
        <w:t xml:space="preserve"> not</w:t>
      </w:r>
      <w:r w:rsidR="005C3908" w:rsidRPr="00A655A1">
        <w:rPr>
          <w:iCs/>
        </w:rPr>
        <w:t xml:space="preserve"> presented within the submission. </w:t>
      </w:r>
      <w:r w:rsidR="007D3F31" w:rsidRPr="00A655A1">
        <w:t xml:space="preserve">The choice of </w:t>
      </w:r>
      <w:r w:rsidR="00963C72" w:rsidRPr="00A655A1">
        <w:t xml:space="preserve">the </w:t>
      </w:r>
      <w:r w:rsidR="007D3F31" w:rsidRPr="00A655A1">
        <w:t>Weibull</w:t>
      </w:r>
      <w:r w:rsidR="00963C72" w:rsidRPr="00A655A1">
        <w:t xml:space="preserve"> function</w:t>
      </w:r>
      <w:r w:rsidR="007D3F31" w:rsidRPr="00A655A1">
        <w:t xml:space="preserve"> for OS extrapolation </w:t>
      </w:r>
      <w:r w:rsidR="00662ADC" w:rsidRPr="00A655A1">
        <w:t>over a 10</w:t>
      </w:r>
      <w:r w:rsidR="009D4548" w:rsidRPr="00A655A1">
        <w:t>-</w:t>
      </w:r>
      <w:r w:rsidR="00662ADC" w:rsidRPr="00A655A1">
        <w:t xml:space="preserve">year time horizon </w:t>
      </w:r>
      <w:r w:rsidR="007F7604" w:rsidRPr="00A655A1">
        <w:t xml:space="preserve">and no adjustment for treatment crossover </w:t>
      </w:r>
      <w:r w:rsidR="00662ADC" w:rsidRPr="00A655A1">
        <w:t xml:space="preserve">increased the ICER </w:t>
      </w:r>
      <w:r w:rsidR="0081500D" w:rsidRPr="00A655A1">
        <w:t>to $</w:t>
      </w:r>
      <w:r w:rsidR="00D075CF" w:rsidRPr="00D075CF">
        <w:t>135,000 to &lt; $155,000</w:t>
      </w:r>
      <w:r w:rsidR="0081500D" w:rsidRPr="00A655A1">
        <w:t>per QALY</w:t>
      </w:r>
      <w:r w:rsidR="00662ADC" w:rsidRPr="00A655A1">
        <w:t xml:space="preserve">. </w:t>
      </w:r>
    </w:p>
    <w:p w:rsidR="00A45B08" w:rsidRPr="00A655A1" w:rsidRDefault="007F7604" w:rsidP="007F7604">
      <w:pPr>
        <w:pStyle w:val="3-BodyText"/>
      </w:pPr>
      <w:r w:rsidRPr="00A655A1">
        <w:t>The ESC considered that the economic model should be revised to better estimate any likely OS gain by using (i) a 10 year time horizon; (ii) the unadjusted OS results from BOSTON or results from an appropriately justified adjusted analysis; and (iii) the fitting of independent sur</w:t>
      </w:r>
      <w:r w:rsidR="00E0655F" w:rsidRPr="00A655A1">
        <w:t>vival</w:t>
      </w:r>
      <w:r w:rsidRPr="00A655A1">
        <w:t xml:space="preserve"> curves for OS that predicted more realistic long-term survival effects. Additional revisions would be required relating to the resource use including improved modelling of TTD and costing of subsequent therapies and adverse events.</w:t>
      </w:r>
    </w:p>
    <w:p w:rsidR="0043067D" w:rsidRPr="00A655A1" w:rsidRDefault="0043067D" w:rsidP="0081500D">
      <w:pPr>
        <w:spacing w:after="120"/>
        <w:rPr>
          <w:u w:val="single"/>
        </w:rPr>
      </w:pPr>
      <w:r w:rsidRPr="00A655A1">
        <w:rPr>
          <w:u w:val="single"/>
        </w:rPr>
        <w:t>C</w:t>
      </w:r>
      <w:r w:rsidR="007527A2" w:rsidRPr="00A655A1">
        <w:rPr>
          <w:u w:val="single"/>
        </w:rPr>
        <w:t>M</w:t>
      </w:r>
      <w:r w:rsidRPr="00A655A1">
        <w:rPr>
          <w:u w:val="single"/>
        </w:rPr>
        <w:t>A – SBd v</w:t>
      </w:r>
      <w:r w:rsidR="00B64F77" w:rsidRPr="00A655A1">
        <w:rPr>
          <w:u w:val="single"/>
        </w:rPr>
        <w:t>ersu</w:t>
      </w:r>
      <w:r w:rsidRPr="00A655A1">
        <w:rPr>
          <w:u w:val="single"/>
        </w:rPr>
        <w:t xml:space="preserve">s </w:t>
      </w:r>
      <w:r w:rsidR="007527A2" w:rsidRPr="00A655A1">
        <w:rPr>
          <w:u w:val="single"/>
        </w:rPr>
        <w:t>C</w:t>
      </w:r>
      <w:r w:rsidRPr="00A655A1">
        <w:rPr>
          <w:u w:val="single"/>
        </w:rPr>
        <w:t>d</w:t>
      </w:r>
    </w:p>
    <w:p w:rsidR="00A91F4D" w:rsidRPr="00A655A1" w:rsidRDefault="00A91F4D" w:rsidP="00E53385">
      <w:pPr>
        <w:pStyle w:val="3-BodyText"/>
      </w:pPr>
      <w:r w:rsidRPr="00A655A1">
        <w:rPr>
          <w:color w:val="000000" w:themeColor="text1"/>
        </w:rPr>
        <w:t>The key components and assumptions of the CMA are presented in</w:t>
      </w:r>
      <w:r w:rsidR="007B5BEA" w:rsidRPr="00A655A1">
        <w:rPr>
          <w:color w:val="000000" w:themeColor="text1"/>
        </w:rPr>
        <w:t xml:space="preserve"> Table 19</w:t>
      </w:r>
      <w:r w:rsidR="002B0E5E" w:rsidRPr="00A655A1">
        <w:rPr>
          <w:color w:val="000000" w:themeColor="text1"/>
        </w:rPr>
        <w:t>.</w:t>
      </w:r>
      <w:r w:rsidR="00963C72" w:rsidRPr="00A655A1">
        <w:rPr>
          <w:color w:val="000000" w:themeColor="text1"/>
        </w:rPr>
        <w:t xml:space="preserve"> </w:t>
      </w:r>
      <w:r w:rsidR="00963C72" w:rsidRPr="00A655A1">
        <w:rPr>
          <w:iCs/>
        </w:rPr>
        <w:t xml:space="preserve">The CMA was presented based on </w:t>
      </w:r>
      <w:r w:rsidR="0090462F" w:rsidRPr="00A655A1">
        <w:rPr>
          <w:iCs/>
        </w:rPr>
        <w:t>the</w:t>
      </w:r>
      <w:r w:rsidR="00963C72" w:rsidRPr="00A655A1">
        <w:rPr>
          <w:iCs/>
        </w:rPr>
        <w:t xml:space="preserve"> naïve ITC between the SBd arm of BOSTON and the Cd arm of ENDEAVOR. </w:t>
      </w:r>
      <w:r w:rsidR="00B90F29" w:rsidRPr="00A655A1">
        <w:rPr>
          <w:iCs/>
        </w:rPr>
        <w:t>As the claim of non-inferio</w:t>
      </w:r>
      <w:r w:rsidR="007004AE">
        <w:rPr>
          <w:iCs/>
        </w:rPr>
        <w:t xml:space="preserve">rity between SBd and Cd was not </w:t>
      </w:r>
      <w:r w:rsidR="00B90F29" w:rsidRPr="00A655A1">
        <w:rPr>
          <w:iCs/>
        </w:rPr>
        <w:t>supported, the ESC considered that the CMA was not informative</w:t>
      </w:r>
      <w:r w:rsidR="00963C72" w:rsidRPr="00A655A1">
        <w:rPr>
          <w:iCs/>
        </w:rPr>
        <w:t>.</w:t>
      </w:r>
    </w:p>
    <w:p w:rsidR="00A91F4D" w:rsidRPr="00A655A1" w:rsidRDefault="00A91F4D" w:rsidP="002B0E5E">
      <w:pPr>
        <w:pStyle w:val="TableFigureHeading"/>
        <w:rPr>
          <w:szCs w:val="20"/>
        </w:rPr>
      </w:pPr>
      <w:bookmarkStart w:id="38" w:name="_Ref69387178"/>
      <w:r w:rsidRPr="00A655A1">
        <w:t xml:space="preserve">Table </w:t>
      </w:r>
      <w:bookmarkEnd w:id="38"/>
      <w:r w:rsidR="007B5BEA" w:rsidRPr="00A655A1">
        <w:t>19</w:t>
      </w:r>
      <w:r w:rsidRPr="00A655A1">
        <w:t xml:space="preserve">: </w:t>
      </w:r>
      <w:r w:rsidR="002B0E5E" w:rsidRPr="00A655A1">
        <w:rPr>
          <w:rStyle w:val="CommentReference"/>
          <w:b/>
          <w:szCs w:val="24"/>
        </w:rPr>
        <w:t xml:space="preserve">Key components and assumptions of the </w:t>
      </w:r>
      <w:r w:rsidR="002B0E5E" w:rsidRPr="00A655A1">
        <w:rPr>
          <w:szCs w:val="20"/>
        </w:rPr>
        <w:t>economic evaluation (CMA)</w:t>
      </w:r>
    </w:p>
    <w:tbl>
      <w:tblPr>
        <w:tblStyle w:val="Submissionstandard"/>
        <w:tblW w:w="0" w:type="auto"/>
        <w:tblLook w:val="04A0" w:firstRow="1" w:lastRow="0" w:firstColumn="1" w:lastColumn="0" w:noHBand="0" w:noVBand="1"/>
        <w:tblCaption w:val="Table 19: Key components and assumptions of the economic evaluation (CMA)"/>
      </w:tblPr>
      <w:tblGrid>
        <w:gridCol w:w="2122"/>
        <w:gridCol w:w="6895"/>
      </w:tblGrid>
      <w:tr w:rsidR="0084523B" w:rsidRPr="00A655A1" w:rsidTr="0081500D">
        <w:trPr>
          <w:cnfStyle w:val="100000000000" w:firstRow="1" w:lastRow="0" w:firstColumn="0" w:lastColumn="0" w:oddVBand="0" w:evenVBand="0" w:oddHBand="0" w:evenHBand="0" w:firstRowFirstColumn="0" w:firstRowLastColumn="0" w:lastRowFirstColumn="0" w:lastRowLastColumn="0"/>
          <w:cantSplit/>
          <w:tblHeader/>
        </w:trPr>
        <w:tc>
          <w:tcPr>
            <w:tcW w:w="2122" w:type="dxa"/>
            <w:shd w:val="clear" w:color="auto" w:fill="auto"/>
          </w:tcPr>
          <w:p w:rsidR="0084523B" w:rsidRPr="00A655A1" w:rsidRDefault="0084523B" w:rsidP="00E74E69">
            <w:pPr>
              <w:pStyle w:val="TableText0"/>
              <w:ind w:left="-57" w:right="-64"/>
              <w:rPr>
                <w:lang w:val="en-AU"/>
              </w:rPr>
            </w:pPr>
            <w:r w:rsidRPr="00A655A1">
              <w:rPr>
                <w:lang w:val="en-AU"/>
              </w:rPr>
              <w:t>Component</w:t>
            </w:r>
          </w:p>
        </w:tc>
        <w:tc>
          <w:tcPr>
            <w:tcW w:w="6895" w:type="dxa"/>
            <w:shd w:val="clear" w:color="auto" w:fill="auto"/>
          </w:tcPr>
          <w:p w:rsidR="0084523B" w:rsidRPr="00A655A1" w:rsidRDefault="0084523B" w:rsidP="00E74E69">
            <w:pPr>
              <w:pStyle w:val="TableText0"/>
              <w:rPr>
                <w:lang w:val="en-AU"/>
              </w:rPr>
            </w:pPr>
            <w:r w:rsidRPr="00A655A1">
              <w:rPr>
                <w:lang w:val="en-AU"/>
              </w:rPr>
              <w:t>Claim or assumption</w:t>
            </w:r>
          </w:p>
        </w:tc>
      </w:tr>
      <w:tr w:rsidR="0084523B" w:rsidRPr="00A655A1" w:rsidTr="0081500D">
        <w:trPr>
          <w:cantSplit/>
        </w:trPr>
        <w:tc>
          <w:tcPr>
            <w:tcW w:w="2122" w:type="dxa"/>
            <w:shd w:val="clear" w:color="auto" w:fill="auto"/>
          </w:tcPr>
          <w:p w:rsidR="0084523B" w:rsidRPr="00A655A1" w:rsidRDefault="0084523B" w:rsidP="00E74E69">
            <w:pPr>
              <w:pStyle w:val="TableText0"/>
              <w:ind w:left="-57" w:right="-64"/>
              <w:rPr>
                <w:lang w:val="en-AU"/>
              </w:rPr>
            </w:pPr>
            <w:r w:rsidRPr="00A655A1">
              <w:rPr>
                <w:lang w:val="en-AU"/>
              </w:rPr>
              <w:t>Therapeutic claim: effectiveness</w:t>
            </w:r>
          </w:p>
        </w:tc>
        <w:tc>
          <w:tcPr>
            <w:tcW w:w="6895" w:type="dxa"/>
            <w:shd w:val="clear" w:color="auto" w:fill="auto"/>
          </w:tcPr>
          <w:p w:rsidR="0084523B" w:rsidRPr="00A655A1" w:rsidRDefault="0084523B" w:rsidP="00E33D58">
            <w:pPr>
              <w:pStyle w:val="TableText0"/>
              <w:ind w:left="-48"/>
              <w:rPr>
                <w:lang w:val="en-AU"/>
              </w:rPr>
            </w:pPr>
            <w:r w:rsidRPr="00A655A1">
              <w:rPr>
                <w:lang w:val="en-AU"/>
              </w:rPr>
              <w:t>Based on evidence from a naïve ITC, effectiveness is assumed to be comparable</w:t>
            </w:r>
          </w:p>
        </w:tc>
      </w:tr>
      <w:tr w:rsidR="0084523B" w:rsidRPr="00A655A1" w:rsidTr="0081500D">
        <w:trPr>
          <w:cantSplit/>
        </w:trPr>
        <w:tc>
          <w:tcPr>
            <w:tcW w:w="2122" w:type="dxa"/>
            <w:shd w:val="clear" w:color="auto" w:fill="auto"/>
          </w:tcPr>
          <w:p w:rsidR="0084523B" w:rsidRPr="00A655A1" w:rsidRDefault="0084523B" w:rsidP="00E74E69">
            <w:pPr>
              <w:pStyle w:val="TableText0"/>
              <w:ind w:left="-57" w:right="-64"/>
              <w:rPr>
                <w:lang w:val="en-AU"/>
              </w:rPr>
            </w:pPr>
            <w:r w:rsidRPr="00A655A1">
              <w:rPr>
                <w:lang w:val="en-AU"/>
              </w:rPr>
              <w:t>Therapeutic claim: safety</w:t>
            </w:r>
          </w:p>
        </w:tc>
        <w:tc>
          <w:tcPr>
            <w:tcW w:w="6895" w:type="dxa"/>
            <w:shd w:val="clear" w:color="auto" w:fill="auto"/>
          </w:tcPr>
          <w:p w:rsidR="0084523B" w:rsidRPr="00A655A1" w:rsidRDefault="0084523B" w:rsidP="00E33D58">
            <w:pPr>
              <w:pStyle w:val="TableText0"/>
              <w:ind w:left="-48"/>
              <w:rPr>
                <w:lang w:val="en-AU"/>
              </w:rPr>
            </w:pPr>
            <w:r w:rsidRPr="00A655A1">
              <w:rPr>
                <w:lang w:val="en-AU"/>
              </w:rPr>
              <w:t>Based on evidence from a naïve ITC, safety is assumed to be comparable</w:t>
            </w:r>
          </w:p>
        </w:tc>
      </w:tr>
      <w:tr w:rsidR="0084523B" w:rsidRPr="00A655A1" w:rsidTr="0081500D">
        <w:trPr>
          <w:cantSplit/>
        </w:trPr>
        <w:tc>
          <w:tcPr>
            <w:tcW w:w="2122" w:type="dxa"/>
            <w:shd w:val="clear" w:color="auto" w:fill="auto"/>
          </w:tcPr>
          <w:p w:rsidR="0084523B" w:rsidRPr="00A655A1" w:rsidRDefault="0084523B" w:rsidP="00E74E69">
            <w:pPr>
              <w:pStyle w:val="TableText0"/>
              <w:ind w:left="-57" w:right="-64"/>
              <w:rPr>
                <w:lang w:val="en-AU"/>
              </w:rPr>
            </w:pPr>
            <w:r w:rsidRPr="00A655A1">
              <w:rPr>
                <w:lang w:val="en-AU"/>
              </w:rPr>
              <w:t>Evidence base</w:t>
            </w:r>
          </w:p>
        </w:tc>
        <w:tc>
          <w:tcPr>
            <w:tcW w:w="6895" w:type="dxa"/>
            <w:shd w:val="clear" w:color="auto" w:fill="auto"/>
          </w:tcPr>
          <w:p w:rsidR="0084523B" w:rsidRPr="00A655A1" w:rsidRDefault="0084523B" w:rsidP="00C52B3C">
            <w:pPr>
              <w:pStyle w:val="TableText0"/>
              <w:ind w:left="-48"/>
              <w:rPr>
                <w:lang w:val="en-AU"/>
              </w:rPr>
            </w:pPr>
            <w:r w:rsidRPr="00A655A1">
              <w:rPr>
                <w:lang w:val="en-AU"/>
              </w:rPr>
              <w:t>A naive ITC comparing SBd and Cd using data from the BOSTON and ENDEAVOR trials.</w:t>
            </w:r>
          </w:p>
        </w:tc>
      </w:tr>
      <w:tr w:rsidR="0084523B" w:rsidRPr="00A655A1" w:rsidTr="0081500D">
        <w:trPr>
          <w:cantSplit/>
        </w:trPr>
        <w:tc>
          <w:tcPr>
            <w:tcW w:w="2122" w:type="dxa"/>
            <w:shd w:val="clear" w:color="auto" w:fill="auto"/>
          </w:tcPr>
          <w:p w:rsidR="0084523B" w:rsidRPr="00A655A1" w:rsidRDefault="0084523B" w:rsidP="00E74E69">
            <w:pPr>
              <w:pStyle w:val="TableText0"/>
              <w:ind w:left="-57" w:right="-64"/>
              <w:rPr>
                <w:lang w:val="en-AU"/>
              </w:rPr>
            </w:pPr>
            <w:r w:rsidRPr="00A655A1">
              <w:rPr>
                <w:lang w:val="en-AU"/>
              </w:rPr>
              <w:t>Equi-effective doses</w:t>
            </w:r>
          </w:p>
        </w:tc>
        <w:tc>
          <w:tcPr>
            <w:tcW w:w="6895" w:type="dxa"/>
            <w:shd w:val="clear" w:color="auto" w:fill="auto"/>
          </w:tcPr>
          <w:p w:rsidR="0084523B" w:rsidRPr="00A655A1" w:rsidRDefault="0084523B" w:rsidP="00E74E69">
            <w:pPr>
              <w:pStyle w:val="TableText0"/>
              <w:ind w:left="-48"/>
              <w:rPr>
                <w:lang w:val="en-AU"/>
              </w:rPr>
            </w:pPr>
            <w:r w:rsidRPr="00A655A1">
              <w:rPr>
                <w:lang w:val="en-AU"/>
              </w:rPr>
              <w:t>SBd per 35-day cycle –</w:t>
            </w:r>
            <w:r w:rsidR="001F77D5" w:rsidRPr="00A655A1">
              <w:rPr>
                <w:lang w:val="en-AU"/>
              </w:rPr>
              <w:t xml:space="preserve"> </w:t>
            </w:r>
            <w:r w:rsidRPr="00A655A1">
              <w:rPr>
                <w:lang w:val="en-AU"/>
              </w:rPr>
              <w:t>selinexor 100 mg D1,8,15,22,29; bortezomib 1.3 mg/m</w:t>
            </w:r>
            <w:r w:rsidRPr="00A655A1">
              <w:rPr>
                <w:vertAlign w:val="superscript"/>
                <w:lang w:val="en-AU"/>
              </w:rPr>
              <w:t xml:space="preserve">2 </w:t>
            </w:r>
            <w:r w:rsidRPr="00A655A1">
              <w:rPr>
                <w:lang w:val="en-AU"/>
              </w:rPr>
              <w:t>D1,8,15,22, dexamethasone 20 mg D1,2,8,9,15,16,22,23,29,30</w:t>
            </w:r>
          </w:p>
          <w:p w:rsidR="0084523B" w:rsidRPr="00A655A1" w:rsidRDefault="0090462F" w:rsidP="00E74E69">
            <w:pPr>
              <w:pStyle w:val="TableText0"/>
              <w:spacing w:before="120" w:after="120"/>
              <w:ind w:left="-48"/>
              <w:rPr>
                <w:lang w:val="en-AU"/>
              </w:rPr>
            </w:pPr>
            <w:r w:rsidRPr="00A655A1">
              <w:rPr>
                <w:lang w:val="en-AU"/>
              </w:rPr>
              <w:t>is equi-effective to</w:t>
            </w:r>
          </w:p>
          <w:p w:rsidR="0084523B" w:rsidRPr="00A655A1" w:rsidRDefault="0084523B" w:rsidP="00E74E69">
            <w:pPr>
              <w:pStyle w:val="TableText0"/>
              <w:ind w:left="-48"/>
              <w:rPr>
                <w:lang w:val="en-AU"/>
              </w:rPr>
            </w:pPr>
            <w:r w:rsidRPr="00A655A1">
              <w:rPr>
                <w:lang w:val="en-AU"/>
              </w:rPr>
              <w:t>Cd (twice weekly – model base case; Cd 56/20 mg/m</w:t>
            </w:r>
            <w:r w:rsidRPr="00A655A1">
              <w:rPr>
                <w:vertAlign w:val="superscript"/>
                <w:lang w:val="en-AU"/>
              </w:rPr>
              <w:t>2</w:t>
            </w:r>
            <w:r w:rsidRPr="00A655A1">
              <w:rPr>
                <w:lang w:val="en-AU"/>
              </w:rPr>
              <w:t>)</w:t>
            </w:r>
            <w:r w:rsidR="009F02FF" w:rsidRPr="00A655A1">
              <w:rPr>
                <w:lang w:val="en-AU"/>
              </w:rPr>
              <w:t xml:space="preserve"> </w:t>
            </w:r>
            <w:r w:rsidR="009F02FF" w:rsidRPr="00A655A1">
              <w:rPr>
                <w:vertAlign w:val="superscript"/>
                <w:lang w:val="en-AU"/>
              </w:rPr>
              <w:t>a</w:t>
            </w:r>
            <w:r w:rsidRPr="00A655A1">
              <w:rPr>
                <w:lang w:val="en-AU"/>
              </w:rPr>
              <w:t xml:space="preserve"> per 28-day cycle:</w:t>
            </w:r>
          </w:p>
          <w:p w:rsidR="0084523B" w:rsidRPr="00A655A1" w:rsidRDefault="0084523B" w:rsidP="00E74E69">
            <w:pPr>
              <w:pStyle w:val="TableText0"/>
              <w:ind w:left="-48"/>
              <w:rPr>
                <w:lang w:val="en-AU"/>
              </w:rPr>
            </w:pPr>
            <w:r w:rsidRPr="00A655A1">
              <w:rPr>
                <w:lang w:val="en-AU"/>
              </w:rPr>
              <w:t>Cycle 1 - carfilzomib 20 mg/m</w:t>
            </w:r>
            <w:r w:rsidRPr="00A655A1">
              <w:rPr>
                <w:vertAlign w:val="superscript"/>
                <w:lang w:val="en-AU"/>
              </w:rPr>
              <w:t>2</w:t>
            </w:r>
            <w:r w:rsidRPr="00A655A1">
              <w:rPr>
                <w:lang w:val="en-AU"/>
              </w:rPr>
              <w:t xml:space="preserve"> D1,2, 56 mg/m</w:t>
            </w:r>
            <w:r w:rsidRPr="00A655A1">
              <w:rPr>
                <w:vertAlign w:val="superscript"/>
                <w:lang w:val="en-AU"/>
              </w:rPr>
              <w:t>2</w:t>
            </w:r>
            <w:r w:rsidRPr="00A655A1">
              <w:rPr>
                <w:lang w:val="en-AU"/>
              </w:rPr>
              <w:t xml:space="preserve"> D8,9,15,16; dexamethasone 20 mg D1,2,8,9,15,16,22,23</w:t>
            </w:r>
          </w:p>
          <w:p w:rsidR="0084523B" w:rsidRPr="00A655A1" w:rsidRDefault="0084523B" w:rsidP="001A2B35">
            <w:pPr>
              <w:pStyle w:val="TableText0"/>
              <w:ind w:left="-48"/>
              <w:rPr>
                <w:lang w:val="en-AU"/>
              </w:rPr>
            </w:pPr>
            <w:r w:rsidRPr="00A655A1">
              <w:rPr>
                <w:lang w:val="en-AU"/>
              </w:rPr>
              <w:t>Cycles 2+ - carfilzomib 56 mg/m</w:t>
            </w:r>
            <w:r w:rsidRPr="00A655A1">
              <w:rPr>
                <w:vertAlign w:val="superscript"/>
                <w:lang w:val="en-AU"/>
              </w:rPr>
              <w:t>2</w:t>
            </w:r>
            <w:r w:rsidRPr="00A655A1">
              <w:rPr>
                <w:lang w:val="en-AU"/>
              </w:rPr>
              <w:t xml:space="preserve"> D1,2,8,9,15,16; dexamethasone 20 mg D1,2,8,9,15,16,22,23</w:t>
            </w:r>
          </w:p>
        </w:tc>
      </w:tr>
      <w:tr w:rsidR="0084523B" w:rsidRPr="00A655A1" w:rsidTr="0081500D">
        <w:trPr>
          <w:cantSplit/>
        </w:trPr>
        <w:tc>
          <w:tcPr>
            <w:tcW w:w="2122" w:type="dxa"/>
            <w:shd w:val="clear" w:color="auto" w:fill="auto"/>
          </w:tcPr>
          <w:p w:rsidR="0084523B" w:rsidRPr="00A655A1" w:rsidRDefault="0084523B" w:rsidP="00E74E69">
            <w:pPr>
              <w:pStyle w:val="TableText0"/>
              <w:ind w:left="-57" w:right="-64"/>
              <w:rPr>
                <w:lang w:val="en-AU"/>
              </w:rPr>
            </w:pPr>
            <w:r w:rsidRPr="00A655A1">
              <w:rPr>
                <w:lang w:val="en-AU"/>
              </w:rPr>
              <w:t>Other costs or cost offsets</w:t>
            </w:r>
          </w:p>
        </w:tc>
        <w:tc>
          <w:tcPr>
            <w:tcW w:w="6895" w:type="dxa"/>
            <w:shd w:val="clear" w:color="auto" w:fill="auto"/>
          </w:tcPr>
          <w:p w:rsidR="0084523B" w:rsidRPr="00A655A1" w:rsidRDefault="0084523B" w:rsidP="00E74E69">
            <w:pPr>
              <w:pStyle w:val="TableText0"/>
              <w:ind w:left="-48"/>
              <w:rPr>
                <w:lang w:val="en-AU"/>
              </w:rPr>
            </w:pPr>
            <w:r w:rsidRPr="00A655A1">
              <w:rPr>
                <w:lang w:val="en-AU"/>
              </w:rPr>
              <w:t>Adverse effect-related costs, leading to an incremental cost savings result</w:t>
            </w:r>
          </w:p>
        </w:tc>
      </w:tr>
    </w:tbl>
    <w:p w:rsidR="0084523B" w:rsidRPr="00A655A1" w:rsidRDefault="0084523B" w:rsidP="0084523B">
      <w:pPr>
        <w:pStyle w:val="TableFigureFooter"/>
      </w:pPr>
      <w:r w:rsidRPr="00A655A1">
        <w:t>Source: Table 3-23 p173 of the submission</w:t>
      </w:r>
    </w:p>
    <w:p w:rsidR="0084523B" w:rsidRPr="00A655A1" w:rsidRDefault="0084523B" w:rsidP="0084523B">
      <w:pPr>
        <w:pStyle w:val="TableFigureFooter"/>
      </w:pPr>
      <w:r w:rsidRPr="00A655A1">
        <w:t>Cd = carfilzomib + dexamethasone; CMA = cost minimisation analysis; D = day; ITC = indirect treatment comparison; SBd = selinexor + bortezomib + dexamethasone</w:t>
      </w:r>
    </w:p>
    <w:p w:rsidR="00C1371A" w:rsidRPr="00A655A1" w:rsidRDefault="00865474" w:rsidP="0084523B">
      <w:pPr>
        <w:pStyle w:val="TableFigureFooter"/>
      </w:pPr>
      <w:r w:rsidRPr="00A655A1">
        <w:rPr>
          <w:iCs/>
        </w:rPr>
        <w:t xml:space="preserve">a. </w:t>
      </w:r>
      <w:r w:rsidR="00AE2FBC" w:rsidRPr="00A655A1">
        <w:rPr>
          <w:iCs/>
        </w:rPr>
        <w:t>The base case assumed the use of Cd twice weekly only</w:t>
      </w:r>
      <w:r w:rsidR="009A7740" w:rsidRPr="00A655A1">
        <w:rPr>
          <w:iCs/>
        </w:rPr>
        <w:t xml:space="preserve">, </w:t>
      </w:r>
      <w:r w:rsidR="00337697" w:rsidRPr="00A655A1">
        <w:rPr>
          <w:iCs/>
        </w:rPr>
        <w:t>a sensitivity analysis which assumed 100% weekly Cd (</w:t>
      </w:r>
      <w:r w:rsidR="003F497C" w:rsidRPr="00A655A1">
        <w:rPr>
          <w:iCs/>
        </w:rPr>
        <w:t>70/20 mg/m</w:t>
      </w:r>
      <w:r w:rsidR="003F497C" w:rsidRPr="00A655A1">
        <w:rPr>
          <w:iCs/>
          <w:vertAlign w:val="superscript"/>
        </w:rPr>
        <w:t>2</w:t>
      </w:r>
      <w:r w:rsidR="009F02FF" w:rsidRPr="00A655A1">
        <w:rPr>
          <w:iCs/>
        </w:rPr>
        <w:t>) is presented in Table 2</w:t>
      </w:r>
      <w:r w:rsidR="002569EF">
        <w:rPr>
          <w:iCs/>
        </w:rPr>
        <w:t>2</w:t>
      </w:r>
      <w:r w:rsidR="009F02FF" w:rsidRPr="00A655A1">
        <w:rPr>
          <w:iCs/>
        </w:rPr>
        <w:t xml:space="preserve">. </w:t>
      </w:r>
      <w:r w:rsidR="00AE2FBC" w:rsidRPr="00A655A1">
        <w:rPr>
          <w:iCs/>
        </w:rPr>
        <w:t xml:space="preserve"> </w:t>
      </w:r>
    </w:p>
    <w:p w:rsidR="004605B6" w:rsidRPr="00A655A1" w:rsidRDefault="00F618FB" w:rsidP="00F618FB">
      <w:pPr>
        <w:pStyle w:val="3-BodyText"/>
        <w:rPr>
          <w:color w:val="0066FF"/>
        </w:rPr>
      </w:pPr>
      <w:r w:rsidRPr="00A655A1">
        <w:t xml:space="preserve">The equi-effective doses </w:t>
      </w:r>
      <w:r w:rsidR="002C3C74" w:rsidRPr="00A655A1">
        <w:t xml:space="preserve">for SBd and Cd </w:t>
      </w:r>
      <w:r w:rsidRPr="00A655A1">
        <w:t xml:space="preserve">were estimated </w:t>
      </w:r>
      <w:r w:rsidR="002C3C74" w:rsidRPr="00A655A1">
        <w:t>based on the key clini</w:t>
      </w:r>
      <w:r w:rsidR="005B3563" w:rsidRPr="00A655A1">
        <w:t xml:space="preserve">cal </w:t>
      </w:r>
      <w:r w:rsidR="005222A2" w:rsidRPr="00A655A1">
        <w:t>trials</w:t>
      </w:r>
      <w:r w:rsidR="005B3563" w:rsidRPr="00A655A1">
        <w:t xml:space="preserve"> (BOSTON and ENDEAVOR) and PIs for selinexor and carfilzomib. </w:t>
      </w:r>
      <w:r w:rsidR="004506B0" w:rsidRPr="00A655A1">
        <w:t>The base case assumed the use of Cd twice weekly regimen only</w:t>
      </w:r>
      <w:r w:rsidR="00F63ABD" w:rsidRPr="00A655A1">
        <w:t xml:space="preserve"> as per the ENDEAVOR trial.</w:t>
      </w:r>
      <w:r w:rsidR="00AE6044" w:rsidRPr="00A655A1">
        <w:t xml:space="preserve"> </w:t>
      </w:r>
      <w:r w:rsidR="00F63ABD" w:rsidRPr="00A655A1">
        <w:t>T</w:t>
      </w:r>
      <w:r w:rsidR="00AE6044" w:rsidRPr="00A655A1">
        <w:t xml:space="preserve">he PBAC considered that it would be appropriate to apply the effective </w:t>
      </w:r>
      <w:r w:rsidR="009D4548" w:rsidRPr="00A655A1">
        <w:t>approved ex-manufacturer price (</w:t>
      </w:r>
      <w:r w:rsidR="00AE6044" w:rsidRPr="00A655A1">
        <w:t>AEMP</w:t>
      </w:r>
      <w:r w:rsidR="009D4548" w:rsidRPr="00A655A1">
        <w:t>)</w:t>
      </w:r>
      <w:r w:rsidR="00AE6044" w:rsidRPr="00A655A1">
        <w:t xml:space="preserve"> of carfilzomib which corresponded to th</w:t>
      </w:r>
      <w:r w:rsidR="00F63ABD" w:rsidRPr="00A655A1">
        <w:t>i</w:t>
      </w:r>
      <w:r w:rsidR="00AE6044" w:rsidRPr="00A655A1">
        <w:t>s regimen</w:t>
      </w:r>
      <w:r w:rsidR="004506B0" w:rsidRPr="00A655A1">
        <w:t xml:space="preserve">. </w:t>
      </w:r>
      <w:r w:rsidR="00974680" w:rsidRPr="00A655A1">
        <w:t>T</w:t>
      </w:r>
      <w:r w:rsidR="00767051" w:rsidRPr="00A655A1">
        <w:t xml:space="preserve">he submission stated that the dose intensity </w:t>
      </w:r>
      <w:r w:rsidR="00974680" w:rsidRPr="00A655A1">
        <w:t xml:space="preserve">for Cd in ENDEAVOR </w:t>
      </w:r>
      <w:r w:rsidR="00767051" w:rsidRPr="00A655A1">
        <w:t>was 87% and the median duration of treatment was 9.18 months</w:t>
      </w:r>
      <w:r w:rsidR="00974680" w:rsidRPr="00A655A1">
        <w:t>; h</w:t>
      </w:r>
      <w:r w:rsidR="00E86C67" w:rsidRPr="00A655A1">
        <w:rPr>
          <w:iCs/>
        </w:rPr>
        <w:t>owever, t</w:t>
      </w:r>
      <w:r w:rsidR="00767051" w:rsidRPr="00A655A1">
        <w:rPr>
          <w:iCs/>
        </w:rPr>
        <w:t xml:space="preserve">his could not be verified based on the reference provided in the submission. </w:t>
      </w:r>
      <w:r w:rsidR="00402B00" w:rsidRPr="00A655A1">
        <w:rPr>
          <w:iCs/>
        </w:rPr>
        <w:t>A sensitivity analysis was conducted during the ev</w:t>
      </w:r>
      <w:r w:rsidR="00B02F4D" w:rsidRPr="00A655A1">
        <w:rPr>
          <w:iCs/>
        </w:rPr>
        <w:t xml:space="preserve">aluation which </w:t>
      </w:r>
      <w:r w:rsidR="00003CFA" w:rsidRPr="00A655A1">
        <w:rPr>
          <w:iCs/>
        </w:rPr>
        <w:t xml:space="preserve">applied </w:t>
      </w:r>
      <w:r w:rsidR="00B02F4D" w:rsidRPr="00A655A1">
        <w:rPr>
          <w:iCs/>
        </w:rPr>
        <w:t xml:space="preserve">a dose intensity of 91.0% for Cd </w:t>
      </w:r>
      <w:r w:rsidR="00DA153B" w:rsidRPr="00A655A1">
        <w:rPr>
          <w:iCs/>
        </w:rPr>
        <w:t>and a treatment duration of 48.0 week</w:t>
      </w:r>
      <w:r w:rsidR="00AB5C99" w:rsidRPr="00A655A1">
        <w:rPr>
          <w:iCs/>
        </w:rPr>
        <w:t>s</w:t>
      </w:r>
      <w:r w:rsidR="00DA153B" w:rsidRPr="00A655A1">
        <w:rPr>
          <w:iCs/>
        </w:rPr>
        <w:t xml:space="preserve"> (</w:t>
      </w:r>
      <w:r w:rsidR="0059756B" w:rsidRPr="00A655A1">
        <w:rPr>
          <w:iCs/>
        </w:rPr>
        <w:t>i.e.</w:t>
      </w:r>
      <w:r w:rsidR="00DA153B" w:rsidRPr="00A655A1">
        <w:rPr>
          <w:iCs/>
        </w:rPr>
        <w:t xml:space="preserve"> 12 cycles)</w:t>
      </w:r>
      <w:r w:rsidR="00AB5C99" w:rsidRPr="00A655A1">
        <w:rPr>
          <w:iCs/>
        </w:rPr>
        <w:t>,</w:t>
      </w:r>
      <w:r w:rsidR="00DA153B" w:rsidRPr="00A655A1">
        <w:rPr>
          <w:iCs/>
        </w:rPr>
        <w:t xml:space="preserve"> consistent with the </w:t>
      </w:r>
      <w:r w:rsidR="0090462F" w:rsidRPr="00A655A1">
        <w:rPr>
          <w:iCs/>
        </w:rPr>
        <w:t xml:space="preserve">CMAs presented in the </w:t>
      </w:r>
      <w:r w:rsidR="00DA153B" w:rsidRPr="00A655A1">
        <w:rPr>
          <w:iCs/>
        </w:rPr>
        <w:t>submission</w:t>
      </w:r>
      <w:r w:rsidR="00AB5C99" w:rsidRPr="00A655A1">
        <w:rPr>
          <w:iCs/>
        </w:rPr>
        <w:t>s</w:t>
      </w:r>
      <w:r w:rsidR="00DA153B" w:rsidRPr="00A655A1">
        <w:rPr>
          <w:iCs/>
        </w:rPr>
        <w:t xml:space="preserve"> for ixazomib and elotuzumab </w:t>
      </w:r>
      <w:r w:rsidR="00974680" w:rsidRPr="00A655A1">
        <w:rPr>
          <w:iCs/>
        </w:rPr>
        <w:t xml:space="preserve">which were </w:t>
      </w:r>
      <w:r w:rsidR="00DA153B" w:rsidRPr="00A655A1">
        <w:rPr>
          <w:iCs/>
        </w:rPr>
        <w:t>considered at the November 2020 PBAC Meeting</w:t>
      </w:r>
      <w:r w:rsidR="00BC24BF" w:rsidRPr="00A655A1">
        <w:rPr>
          <w:iCs/>
        </w:rPr>
        <w:t xml:space="preserve"> (paragraph 6.41; </w:t>
      </w:r>
      <w:r w:rsidR="00974680" w:rsidRPr="00A655A1">
        <w:rPr>
          <w:iCs/>
        </w:rPr>
        <w:t>e</w:t>
      </w:r>
      <w:r w:rsidR="00BC24BF" w:rsidRPr="00A655A1">
        <w:rPr>
          <w:iCs/>
        </w:rPr>
        <w:t xml:space="preserve">lotuzumab PSD, November 2020; and paragraph 6.48; </w:t>
      </w:r>
      <w:r w:rsidR="00974680" w:rsidRPr="00A655A1">
        <w:rPr>
          <w:iCs/>
        </w:rPr>
        <w:t>i</w:t>
      </w:r>
      <w:r w:rsidR="00BC24BF" w:rsidRPr="00A655A1">
        <w:rPr>
          <w:iCs/>
        </w:rPr>
        <w:t>xazomib PSD, November 2020</w:t>
      </w:r>
      <w:r w:rsidR="00AD0144" w:rsidRPr="00A655A1">
        <w:rPr>
          <w:iCs/>
        </w:rPr>
        <w:t>)</w:t>
      </w:r>
      <w:r w:rsidR="004605B6" w:rsidRPr="00A655A1">
        <w:rPr>
          <w:iCs/>
        </w:rPr>
        <w:t xml:space="preserve">. </w:t>
      </w:r>
    </w:p>
    <w:p w:rsidR="004605B6" w:rsidRPr="00A655A1" w:rsidRDefault="00B9391D" w:rsidP="00F618FB">
      <w:pPr>
        <w:pStyle w:val="3-BodyText"/>
        <w:rPr>
          <w:color w:val="0066FF"/>
        </w:rPr>
      </w:pPr>
      <w:r w:rsidRPr="00A655A1">
        <w:t>The duration of treatment with SBd was made equivalent to that of Cd (9.18 months of treatment, i.e. 7.98 cycles</w:t>
      </w:r>
      <w:r w:rsidR="00974680" w:rsidRPr="00A655A1">
        <w:t xml:space="preserve"> of SBd</w:t>
      </w:r>
      <w:r w:rsidRPr="00A655A1">
        <w:t xml:space="preserve"> and 9.98 cycles</w:t>
      </w:r>
      <w:r w:rsidR="00974680" w:rsidRPr="00A655A1">
        <w:t xml:space="preserve"> of Cd</w:t>
      </w:r>
      <w:r w:rsidRPr="00A655A1">
        <w:t>) within the CMA.</w:t>
      </w:r>
      <w:r w:rsidRPr="00A655A1">
        <w:rPr>
          <w:iCs/>
        </w:rPr>
        <w:t xml:space="preserve"> </w:t>
      </w:r>
      <w:r w:rsidR="0085333A" w:rsidRPr="00A655A1">
        <w:rPr>
          <w:iCs/>
        </w:rPr>
        <w:t xml:space="preserve">This may not have been reasonable </w:t>
      </w:r>
      <w:r w:rsidR="00EA393A" w:rsidRPr="00A655A1">
        <w:rPr>
          <w:iCs/>
        </w:rPr>
        <w:t xml:space="preserve">when considered in terms of the </w:t>
      </w:r>
      <w:r w:rsidR="0085333A" w:rsidRPr="00A655A1">
        <w:rPr>
          <w:iCs/>
        </w:rPr>
        <w:t xml:space="preserve">shorter median PFS </w:t>
      </w:r>
      <w:r w:rsidR="00EA393A" w:rsidRPr="00A655A1">
        <w:rPr>
          <w:iCs/>
        </w:rPr>
        <w:t xml:space="preserve">observed for </w:t>
      </w:r>
      <w:r w:rsidR="0085333A" w:rsidRPr="00A655A1">
        <w:rPr>
          <w:iCs/>
        </w:rPr>
        <w:t xml:space="preserve">SBd </w:t>
      </w:r>
      <w:r w:rsidR="00EA393A" w:rsidRPr="00A655A1">
        <w:rPr>
          <w:iCs/>
        </w:rPr>
        <w:t xml:space="preserve">in BOSTON (13.9 months) </w:t>
      </w:r>
      <w:r w:rsidR="0085333A" w:rsidRPr="00A655A1">
        <w:rPr>
          <w:iCs/>
        </w:rPr>
        <w:t xml:space="preserve">compared with </w:t>
      </w:r>
      <w:r w:rsidR="00EA393A" w:rsidRPr="00A655A1">
        <w:rPr>
          <w:iCs/>
        </w:rPr>
        <w:t xml:space="preserve">that observed for </w:t>
      </w:r>
      <w:r w:rsidR="0085333A" w:rsidRPr="00A655A1">
        <w:rPr>
          <w:iCs/>
        </w:rPr>
        <w:t xml:space="preserve">Cd </w:t>
      </w:r>
      <w:r w:rsidR="00EA393A" w:rsidRPr="00A655A1">
        <w:rPr>
          <w:iCs/>
        </w:rPr>
        <w:t xml:space="preserve">in ENDEAVOR </w:t>
      </w:r>
      <w:r w:rsidR="00DC7F5C" w:rsidRPr="00A655A1">
        <w:rPr>
          <w:iCs/>
        </w:rPr>
        <w:t>(</w:t>
      </w:r>
      <w:r w:rsidR="00EA393A" w:rsidRPr="00A655A1">
        <w:rPr>
          <w:iCs/>
        </w:rPr>
        <w:t>18.7</w:t>
      </w:r>
      <w:r w:rsidR="00DC7F5C" w:rsidRPr="00A655A1">
        <w:rPr>
          <w:iCs/>
        </w:rPr>
        <w:t xml:space="preserve"> months) </w:t>
      </w:r>
      <w:r w:rsidR="00EA393A" w:rsidRPr="00A655A1">
        <w:rPr>
          <w:iCs/>
        </w:rPr>
        <w:t xml:space="preserve">and </w:t>
      </w:r>
      <w:r w:rsidR="0085333A" w:rsidRPr="00A655A1">
        <w:rPr>
          <w:iCs/>
        </w:rPr>
        <w:t>reflect</w:t>
      </w:r>
      <w:r w:rsidR="00EA393A" w:rsidRPr="00A655A1">
        <w:rPr>
          <w:iCs/>
        </w:rPr>
        <w:t>ed</w:t>
      </w:r>
      <w:r w:rsidR="0085333A" w:rsidRPr="00A655A1">
        <w:rPr>
          <w:iCs/>
        </w:rPr>
        <w:t xml:space="preserve"> the uncertainties associated with the non-inferiority claim</w:t>
      </w:r>
      <w:r w:rsidRPr="00A655A1">
        <w:rPr>
          <w:iCs/>
        </w:rPr>
        <w:t>.</w:t>
      </w:r>
    </w:p>
    <w:p w:rsidR="00C719E0" w:rsidRPr="00A655A1" w:rsidRDefault="00AF5A24" w:rsidP="00F737F9">
      <w:pPr>
        <w:pStyle w:val="3-BodyText"/>
        <w:rPr>
          <w:color w:val="0066FF"/>
        </w:rPr>
      </w:pPr>
      <w:r w:rsidRPr="00A655A1">
        <w:t>Administration costs were included to account for the variance in administration between SBd and Cd.</w:t>
      </w:r>
      <w:r w:rsidR="00241CC9" w:rsidRPr="00A655A1">
        <w:t xml:space="preserve"> </w:t>
      </w:r>
      <w:r w:rsidR="004B76FD" w:rsidRPr="00A655A1">
        <w:rPr>
          <w:rFonts w:eastAsiaTheme="minorEastAsia" w:cs="Calibri"/>
          <w:lang w:eastAsia="en-US"/>
        </w:rPr>
        <w:t xml:space="preserve">Costs resulting from differences in safety and toxicity management were calculated separately by the submission </w:t>
      </w:r>
      <w:r w:rsidR="00AB56E2" w:rsidRPr="00A655A1">
        <w:rPr>
          <w:rFonts w:eastAsiaTheme="minorEastAsia" w:cs="Calibri"/>
          <w:lang w:eastAsia="en-US"/>
        </w:rPr>
        <w:t>but</w:t>
      </w:r>
      <w:r w:rsidR="004B76FD" w:rsidRPr="00A655A1">
        <w:rPr>
          <w:rFonts w:eastAsiaTheme="minorEastAsia" w:cs="Calibri"/>
          <w:lang w:eastAsia="en-US"/>
        </w:rPr>
        <w:t xml:space="preserve"> not incorporated within the CMA.</w:t>
      </w:r>
      <w:r w:rsidR="004B76FD" w:rsidRPr="00A655A1">
        <w:rPr>
          <w:rFonts w:eastAsiaTheme="minorEastAsia" w:cs="Calibri"/>
          <w:iCs/>
          <w:lang w:eastAsia="en-US"/>
        </w:rPr>
        <w:t xml:space="preserve"> </w:t>
      </w:r>
      <w:r w:rsidR="00E21500" w:rsidRPr="00A655A1">
        <w:rPr>
          <w:rFonts w:eastAsiaTheme="minorEastAsia" w:cs="Calibri"/>
          <w:iCs/>
          <w:lang w:eastAsia="en-US"/>
        </w:rPr>
        <w:t xml:space="preserve">The ESC considered that adverse event costs, particularly those related to haematological events (e.g. </w:t>
      </w:r>
      <w:r w:rsidR="00D01D86" w:rsidRPr="00A655A1">
        <w:rPr>
          <w:rFonts w:eastAsiaTheme="minorEastAsia" w:cs="Calibri"/>
          <w:iCs/>
          <w:lang w:eastAsia="en-US"/>
        </w:rPr>
        <w:t>thrombopoietin</w:t>
      </w:r>
      <w:r w:rsidR="00E21500" w:rsidRPr="00A655A1">
        <w:rPr>
          <w:rFonts w:eastAsiaTheme="minorEastAsia" w:cs="Calibri"/>
          <w:iCs/>
          <w:lang w:eastAsia="en-US"/>
        </w:rPr>
        <w:t xml:space="preserve"> receptor agonists, platelet monitoring and platelet transfusions) should be incorporated into the CMA. </w:t>
      </w:r>
      <w:r w:rsidRPr="00A655A1">
        <w:t>The submission did not include concomitant medication costs as they were considered to be negligible</w:t>
      </w:r>
      <w:r w:rsidR="00756E31" w:rsidRPr="00A655A1">
        <w:t>.</w:t>
      </w:r>
      <w:r w:rsidR="00C719E0" w:rsidRPr="00A655A1">
        <w:rPr>
          <w:iCs/>
        </w:rPr>
        <w:t xml:space="preserve"> </w:t>
      </w:r>
      <w:r w:rsidR="00D74960" w:rsidRPr="00A655A1">
        <w:rPr>
          <w:rFonts w:eastAsiaTheme="minorEastAsia" w:cs="Calibri"/>
          <w:iCs/>
          <w:lang w:eastAsia="en-US"/>
        </w:rPr>
        <w:t xml:space="preserve">All patients </w:t>
      </w:r>
      <w:r w:rsidR="00287352" w:rsidRPr="00A655A1">
        <w:rPr>
          <w:rFonts w:eastAsiaTheme="minorEastAsia" w:cs="Calibri"/>
          <w:iCs/>
          <w:lang w:eastAsia="en-US"/>
        </w:rPr>
        <w:t>i</w:t>
      </w:r>
      <w:r w:rsidR="00D74960" w:rsidRPr="00A655A1">
        <w:rPr>
          <w:rFonts w:eastAsiaTheme="minorEastAsia" w:cs="Calibri"/>
          <w:iCs/>
          <w:lang w:eastAsia="en-US"/>
        </w:rPr>
        <w:t xml:space="preserve">n ENDEAVOR received antiviral and proton pump inhibitor therapies. </w:t>
      </w:r>
    </w:p>
    <w:p w:rsidR="0092276F" w:rsidRPr="00A655A1" w:rsidRDefault="00F63ABD" w:rsidP="0092276F">
      <w:pPr>
        <w:pStyle w:val="3-BodyText"/>
        <w:rPr>
          <w:iCs/>
          <w:color w:val="0066FF"/>
        </w:rPr>
      </w:pPr>
      <w:r w:rsidRPr="00A655A1">
        <w:rPr>
          <w:iCs/>
        </w:rPr>
        <w:t>Although t</w:t>
      </w:r>
      <w:r w:rsidR="00D65A99" w:rsidRPr="00A655A1">
        <w:rPr>
          <w:iCs/>
        </w:rPr>
        <w:t>he base case assumed the use of Cd twice weekly regimen only</w:t>
      </w:r>
      <w:r w:rsidR="004B4B75" w:rsidRPr="00A655A1">
        <w:rPr>
          <w:iCs/>
        </w:rPr>
        <w:t>,</w:t>
      </w:r>
      <w:r w:rsidR="00D65A99" w:rsidRPr="00A655A1">
        <w:rPr>
          <w:iCs/>
        </w:rPr>
        <w:t xml:space="preserve"> </w:t>
      </w:r>
      <w:r w:rsidRPr="00A655A1">
        <w:rPr>
          <w:iCs/>
        </w:rPr>
        <w:t>a sensitiv</w:t>
      </w:r>
      <w:r w:rsidR="00287352" w:rsidRPr="00A655A1">
        <w:rPr>
          <w:iCs/>
        </w:rPr>
        <w:t>it</w:t>
      </w:r>
      <w:r w:rsidRPr="00A655A1">
        <w:rPr>
          <w:iCs/>
        </w:rPr>
        <w:t xml:space="preserve">y analysis that assumed 100% once weekly Cd use </w:t>
      </w:r>
      <w:r w:rsidR="00B64F77" w:rsidRPr="00A655A1">
        <w:rPr>
          <w:iCs/>
        </w:rPr>
        <w:t>had</w:t>
      </w:r>
      <w:r w:rsidRPr="00A655A1">
        <w:rPr>
          <w:iCs/>
        </w:rPr>
        <w:t xml:space="preserve"> lower administration and drug costs</w:t>
      </w:r>
      <w:r w:rsidR="00831A47" w:rsidRPr="00A655A1">
        <w:rPr>
          <w:iCs/>
        </w:rPr>
        <w:t>,</w:t>
      </w:r>
      <w:r w:rsidRPr="00A655A1">
        <w:rPr>
          <w:iCs/>
        </w:rPr>
        <w:t xml:space="preserve"> </w:t>
      </w:r>
      <w:r w:rsidR="00C1411C" w:rsidRPr="00A655A1">
        <w:rPr>
          <w:rFonts w:eastAsiaTheme="minorEastAsia" w:cs="Calibri"/>
          <w:iCs/>
          <w:lang w:eastAsia="en-US"/>
        </w:rPr>
        <w:t>was</w:t>
      </w:r>
      <w:r w:rsidR="00A924D2" w:rsidRPr="00A655A1">
        <w:rPr>
          <w:rFonts w:eastAsiaTheme="minorEastAsia" w:cs="Calibri"/>
          <w:iCs/>
          <w:lang w:eastAsia="en-US"/>
        </w:rPr>
        <w:t xml:space="preserve"> </w:t>
      </w:r>
      <w:r w:rsidR="0092276F" w:rsidRPr="00A655A1">
        <w:rPr>
          <w:rFonts w:eastAsiaTheme="minorEastAsia" w:cs="Calibri"/>
          <w:iCs/>
          <w:lang w:eastAsia="en-US"/>
        </w:rPr>
        <w:t xml:space="preserve">conducted during the evaluation (see </w:t>
      </w:r>
      <w:r w:rsidR="002569EF">
        <w:rPr>
          <w:rFonts w:eastAsiaTheme="minorEastAsia" w:cs="Calibri"/>
          <w:iCs/>
          <w:lang w:eastAsia="en-US"/>
        </w:rPr>
        <w:t>Table 22</w:t>
      </w:r>
      <w:r w:rsidR="0092276F" w:rsidRPr="00A655A1">
        <w:rPr>
          <w:rFonts w:eastAsiaTheme="minorEastAsia" w:cs="Calibri"/>
          <w:iCs/>
          <w:lang w:eastAsia="en-US"/>
        </w:rPr>
        <w:t xml:space="preserve">). </w:t>
      </w:r>
    </w:p>
    <w:p w:rsidR="000D73FD" w:rsidRPr="00A655A1" w:rsidRDefault="000D73FD" w:rsidP="00AF5A24">
      <w:pPr>
        <w:pStyle w:val="3-BodyText"/>
        <w:rPr>
          <w:b/>
          <w:color w:val="0066FF"/>
        </w:rPr>
      </w:pPr>
      <w:r w:rsidRPr="00A655A1">
        <w:t xml:space="preserve">The submission presented a CMA based on the published AEMP </w:t>
      </w:r>
      <w:r w:rsidR="00AA7812" w:rsidRPr="00A655A1">
        <w:t>Cd</w:t>
      </w:r>
      <w:r w:rsidR="00E24D59" w:rsidRPr="00A655A1">
        <w:t xml:space="preserve"> (see Table </w:t>
      </w:r>
      <w:r w:rsidR="00AB56E2" w:rsidRPr="00A655A1">
        <w:t xml:space="preserve">20 </w:t>
      </w:r>
      <w:r w:rsidR="00E24D59" w:rsidRPr="00A655A1">
        <w:t xml:space="preserve">and Table </w:t>
      </w:r>
      <w:r w:rsidR="00AB56E2" w:rsidRPr="00A655A1">
        <w:t>21</w:t>
      </w:r>
      <w:r w:rsidR="00E24D59" w:rsidRPr="00A655A1">
        <w:t>)</w:t>
      </w:r>
      <w:r w:rsidRPr="00A655A1">
        <w:t xml:space="preserve">. </w:t>
      </w:r>
      <w:r w:rsidRPr="00A655A1">
        <w:rPr>
          <w:iCs/>
        </w:rPr>
        <w:t xml:space="preserve">This was appropriate if the basis of the non-inferiority claim </w:t>
      </w:r>
      <w:r w:rsidR="00EA393A" w:rsidRPr="00A655A1">
        <w:rPr>
          <w:iCs/>
        </w:rPr>
        <w:t>was</w:t>
      </w:r>
      <w:r w:rsidRPr="00A655A1">
        <w:rPr>
          <w:iCs/>
        </w:rPr>
        <w:t xml:space="preserve"> accepted.</w:t>
      </w:r>
      <w:r w:rsidR="005431C0" w:rsidRPr="00A655A1">
        <w:rPr>
          <w:iCs/>
        </w:rPr>
        <w:t xml:space="preserve"> </w:t>
      </w:r>
    </w:p>
    <w:p w:rsidR="005A23E1" w:rsidRPr="00A655A1" w:rsidRDefault="005A23E1" w:rsidP="00AF5A24">
      <w:pPr>
        <w:pStyle w:val="3-BodyText"/>
        <w:rPr>
          <w:color w:val="0066FF"/>
        </w:rPr>
      </w:pPr>
      <w:r w:rsidRPr="00A655A1">
        <w:t>The total cost of the Cd regimen over 9.98 cycles, based on the estimated equi-effective dose, was estimated to be $</w:t>
      </w:r>
      <w:r w:rsidRPr="00A90EE1">
        <w:t>118,572.99</w:t>
      </w:r>
      <w:r w:rsidRPr="00A655A1">
        <w:t xml:space="preserve">. </w:t>
      </w:r>
    </w:p>
    <w:p w:rsidR="005431C0" w:rsidRPr="00A655A1" w:rsidRDefault="005431C0" w:rsidP="00913FBD">
      <w:pPr>
        <w:pStyle w:val="TableFigureHeading"/>
      </w:pPr>
      <w:bookmarkStart w:id="39" w:name="_Ref69392139"/>
      <w:r w:rsidRPr="00A655A1">
        <w:t xml:space="preserve">Table </w:t>
      </w:r>
      <w:bookmarkEnd w:id="39"/>
      <w:r w:rsidR="00AB56E2" w:rsidRPr="00A655A1">
        <w:t>20</w:t>
      </w:r>
      <w:r w:rsidR="00544078" w:rsidRPr="00A655A1">
        <w:t>: Results of the cost-minimisation analysis (Cd)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038"/>
        <w:gridCol w:w="1585"/>
        <w:gridCol w:w="3797"/>
      </w:tblGrid>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Times New Roman"/>
                <w:b/>
                <w:iCs/>
                <w:sz w:val="20"/>
              </w:rPr>
            </w:pPr>
            <w:r w:rsidRPr="00A655A1">
              <w:rPr>
                <w:rFonts w:ascii="Arial Narrow" w:eastAsiaTheme="majorEastAsia" w:hAnsi="Arial Narrow" w:cs="Times New Roman"/>
                <w:b/>
                <w:iCs/>
                <w:sz w:val="20"/>
              </w:rPr>
              <w:t>Row</w:t>
            </w:r>
          </w:p>
        </w:tc>
        <w:tc>
          <w:tcPr>
            <w:tcW w:w="3038" w:type="dxa"/>
          </w:tcPr>
          <w:p w:rsidR="00EA5E41" w:rsidRPr="00A655A1" w:rsidRDefault="00EA5E41" w:rsidP="00913FBD">
            <w:pPr>
              <w:keepNext/>
              <w:widowControl w:val="0"/>
              <w:jc w:val="center"/>
              <w:rPr>
                <w:rFonts w:ascii="Arial Narrow" w:eastAsiaTheme="majorEastAsia" w:hAnsi="Arial Narrow" w:cs="Times New Roman"/>
                <w:b/>
                <w:iCs/>
                <w:sz w:val="20"/>
              </w:rPr>
            </w:pPr>
            <w:r w:rsidRPr="00A655A1">
              <w:rPr>
                <w:rFonts w:ascii="Arial Narrow" w:eastAsiaTheme="majorEastAsia" w:hAnsi="Arial Narrow" w:cs="Times New Roman"/>
                <w:b/>
                <w:iCs/>
                <w:sz w:val="20"/>
              </w:rPr>
              <w:t>Parameter</w:t>
            </w:r>
          </w:p>
        </w:tc>
        <w:tc>
          <w:tcPr>
            <w:tcW w:w="1585" w:type="dxa"/>
          </w:tcPr>
          <w:p w:rsidR="00EA5E41" w:rsidRPr="00A655A1" w:rsidRDefault="00EA5E41" w:rsidP="00913FBD">
            <w:pPr>
              <w:keepNext/>
              <w:widowControl w:val="0"/>
              <w:jc w:val="center"/>
              <w:rPr>
                <w:rFonts w:ascii="Arial Narrow" w:eastAsiaTheme="majorEastAsia" w:hAnsi="Arial Narrow" w:cs="Times New Roman"/>
                <w:b/>
                <w:iCs/>
                <w:sz w:val="20"/>
              </w:rPr>
            </w:pPr>
            <w:r w:rsidRPr="00A655A1">
              <w:rPr>
                <w:rFonts w:ascii="Arial Narrow" w:eastAsiaTheme="majorEastAsia" w:hAnsi="Arial Narrow" w:cs="Times New Roman"/>
                <w:b/>
                <w:iCs/>
                <w:sz w:val="20"/>
              </w:rPr>
              <w:t>Input</w:t>
            </w:r>
          </w:p>
        </w:tc>
        <w:tc>
          <w:tcPr>
            <w:tcW w:w="3797" w:type="dxa"/>
          </w:tcPr>
          <w:p w:rsidR="00EA5E41" w:rsidRPr="00A655A1" w:rsidRDefault="00EA5E41" w:rsidP="00913FBD">
            <w:pPr>
              <w:keepNext/>
              <w:widowControl w:val="0"/>
              <w:jc w:val="center"/>
              <w:rPr>
                <w:rFonts w:ascii="Arial Narrow" w:eastAsiaTheme="majorEastAsia" w:hAnsi="Arial Narrow" w:cs="Times New Roman"/>
                <w:b/>
                <w:iCs/>
                <w:sz w:val="20"/>
              </w:rPr>
            </w:pPr>
            <w:r w:rsidRPr="00A655A1">
              <w:rPr>
                <w:rFonts w:ascii="Arial Narrow" w:eastAsiaTheme="majorEastAsia" w:hAnsi="Arial Narrow" w:cs="Times New Roman"/>
                <w:b/>
                <w:iCs/>
                <w:sz w:val="20"/>
              </w:rPr>
              <w:t>Source/calculation</w:t>
            </w:r>
          </w:p>
        </w:tc>
      </w:tr>
      <w:tr w:rsidR="00EA5E41" w:rsidRPr="00A655A1" w:rsidTr="00E74E69">
        <w:tc>
          <w:tcPr>
            <w:tcW w:w="9017" w:type="dxa"/>
            <w:gridSpan w:val="4"/>
          </w:tcPr>
          <w:p w:rsidR="00EA5E41" w:rsidRPr="00A655A1" w:rsidRDefault="00EA5E41" w:rsidP="00913FBD">
            <w:pPr>
              <w:keepNext/>
              <w:widowControl w:val="0"/>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Carfilzomib</w:t>
            </w:r>
          </w:p>
        </w:tc>
      </w:tr>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A</w:t>
            </w:r>
          </w:p>
        </w:tc>
        <w:tc>
          <w:tcPr>
            <w:tcW w:w="3038"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 xml:space="preserve">AEMP 10 mg vial </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$211.49</w:t>
            </w:r>
          </w:p>
        </w:tc>
        <w:tc>
          <w:tcPr>
            <w:tcW w:w="3797" w:type="dxa"/>
            <w:vMerge w:val="restart"/>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PBS item 11229B, 11230C, 12243J, 12244K</w:t>
            </w:r>
          </w:p>
        </w:tc>
      </w:tr>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B</w:t>
            </w:r>
          </w:p>
        </w:tc>
        <w:tc>
          <w:tcPr>
            <w:tcW w:w="3038"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AEMP 30 mg vial</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$634.47</w:t>
            </w:r>
          </w:p>
        </w:tc>
        <w:tc>
          <w:tcPr>
            <w:tcW w:w="3797" w:type="dxa"/>
            <w:vMerge/>
          </w:tcPr>
          <w:p w:rsidR="00EA5E41" w:rsidRPr="00A655A1" w:rsidRDefault="00EA5E41" w:rsidP="00913FBD">
            <w:pPr>
              <w:keepNext/>
              <w:widowControl w:val="0"/>
              <w:jc w:val="left"/>
              <w:rPr>
                <w:rFonts w:ascii="Arial Narrow" w:eastAsiaTheme="majorEastAsia" w:hAnsi="Arial Narrow" w:cs="Angsana New"/>
                <w:bCs/>
                <w:iCs/>
                <w:sz w:val="20"/>
                <w:lang w:bidi="th-TH"/>
              </w:rPr>
            </w:pPr>
          </w:p>
        </w:tc>
      </w:tr>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C</w:t>
            </w:r>
          </w:p>
        </w:tc>
        <w:tc>
          <w:tcPr>
            <w:tcW w:w="3038"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AEMP 60 mg vial</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$1,268.94</w:t>
            </w:r>
          </w:p>
        </w:tc>
        <w:tc>
          <w:tcPr>
            <w:tcW w:w="3797" w:type="dxa"/>
            <w:vMerge/>
          </w:tcPr>
          <w:p w:rsidR="00EA5E41" w:rsidRPr="00A655A1" w:rsidRDefault="00EA5E41" w:rsidP="00913FBD">
            <w:pPr>
              <w:keepNext/>
              <w:widowControl w:val="0"/>
              <w:jc w:val="left"/>
              <w:rPr>
                <w:rFonts w:ascii="Arial Narrow" w:eastAsiaTheme="majorEastAsia" w:hAnsi="Arial Narrow" w:cs="Angsana New"/>
                <w:bCs/>
                <w:iCs/>
                <w:sz w:val="20"/>
                <w:lang w:bidi="th-TH"/>
              </w:rPr>
            </w:pPr>
          </w:p>
        </w:tc>
      </w:tr>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D</w:t>
            </w:r>
          </w:p>
        </w:tc>
        <w:tc>
          <w:tcPr>
            <w:tcW w:w="3038"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DI, %</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87.0%</w:t>
            </w:r>
          </w:p>
        </w:tc>
        <w:tc>
          <w:tcPr>
            <w:tcW w:w="3797" w:type="dxa"/>
          </w:tcPr>
          <w:p w:rsidR="00EA5E41" w:rsidRPr="00A655A1" w:rsidRDefault="00EA5E41" w:rsidP="00913FBD">
            <w:pPr>
              <w:keepNext/>
              <w:widowControl w:val="0"/>
              <w:jc w:val="left"/>
              <w:rPr>
                <w:rFonts w:ascii="Arial Narrow" w:eastAsiaTheme="majorEastAsia" w:hAnsi="Arial Narrow" w:cs="Angsana New"/>
                <w:bCs/>
                <w:iCs/>
                <w:sz w:val="20"/>
                <w:vertAlign w:val="superscript"/>
                <w:lang w:bidi="th-TH"/>
              </w:rPr>
            </w:pPr>
            <w:r w:rsidRPr="00A655A1">
              <w:rPr>
                <w:rFonts w:ascii="Arial Narrow" w:eastAsiaTheme="majorEastAsia" w:hAnsi="Arial Narrow" w:cs="Angsana New"/>
                <w:bCs/>
                <w:iCs/>
                <w:sz w:val="20"/>
                <w:lang w:bidi="th-TH"/>
              </w:rPr>
              <w:t xml:space="preserve">ENDEAVOR trial </w:t>
            </w:r>
            <w:r w:rsidRPr="00A655A1">
              <w:rPr>
                <w:rFonts w:ascii="Arial Narrow" w:eastAsiaTheme="majorEastAsia" w:hAnsi="Arial Narrow" w:cs="Angsana New"/>
                <w:bCs/>
                <w:iCs/>
                <w:sz w:val="20"/>
                <w:vertAlign w:val="superscript"/>
                <w:lang w:bidi="th-TH"/>
              </w:rPr>
              <w:t>a</w:t>
            </w:r>
          </w:p>
        </w:tc>
      </w:tr>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E</w:t>
            </w:r>
          </w:p>
        </w:tc>
        <w:tc>
          <w:tcPr>
            <w:tcW w:w="3038"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IV infusion</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$111.40</w:t>
            </w:r>
          </w:p>
        </w:tc>
        <w:tc>
          <w:tcPr>
            <w:tcW w:w="3797"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MBS item 13950</w:t>
            </w:r>
          </w:p>
        </w:tc>
      </w:tr>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F</w:t>
            </w:r>
          </w:p>
        </w:tc>
        <w:tc>
          <w:tcPr>
            <w:tcW w:w="3038"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Total cost/dose (initial)</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$845.96</w:t>
            </w:r>
          </w:p>
        </w:tc>
        <w:tc>
          <w:tcPr>
            <w:tcW w:w="3797"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(A + B)</w:t>
            </w:r>
          </w:p>
        </w:tc>
      </w:tr>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G</w:t>
            </w:r>
          </w:p>
        </w:tc>
        <w:tc>
          <w:tcPr>
            <w:tcW w:w="3038"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Total cost/dose (continuing)</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$1,903.41</w:t>
            </w:r>
          </w:p>
        </w:tc>
        <w:tc>
          <w:tcPr>
            <w:tcW w:w="3797"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(B + C)</w:t>
            </w:r>
          </w:p>
        </w:tc>
      </w:tr>
      <w:tr w:rsidR="00EA5E41" w:rsidRPr="00A655A1" w:rsidTr="00E74E69">
        <w:tc>
          <w:tcPr>
            <w:tcW w:w="9017" w:type="dxa"/>
            <w:gridSpan w:val="4"/>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Dexamethasone</w:t>
            </w:r>
          </w:p>
        </w:tc>
      </w:tr>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H</w:t>
            </w:r>
          </w:p>
        </w:tc>
        <w:tc>
          <w:tcPr>
            <w:tcW w:w="3038"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AEMP</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$4.84</w:t>
            </w:r>
          </w:p>
        </w:tc>
        <w:tc>
          <w:tcPr>
            <w:tcW w:w="3797"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PBS item 2507Y</w:t>
            </w:r>
          </w:p>
        </w:tc>
      </w:tr>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I</w:t>
            </w:r>
          </w:p>
        </w:tc>
        <w:tc>
          <w:tcPr>
            <w:tcW w:w="3038"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DI, %</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90.6%</w:t>
            </w:r>
          </w:p>
        </w:tc>
        <w:tc>
          <w:tcPr>
            <w:tcW w:w="3797"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 xml:space="preserve">ENDEAVOR trial </w:t>
            </w:r>
            <w:r w:rsidRPr="00A655A1">
              <w:rPr>
                <w:rFonts w:ascii="Arial Narrow" w:eastAsiaTheme="majorEastAsia" w:hAnsi="Arial Narrow" w:cs="Angsana New"/>
                <w:bCs/>
                <w:iCs/>
                <w:sz w:val="20"/>
                <w:vertAlign w:val="superscript"/>
                <w:lang w:bidi="th-TH"/>
              </w:rPr>
              <w:t>a</w:t>
            </w:r>
          </w:p>
        </w:tc>
      </w:tr>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J</w:t>
            </w:r>
          </w:p>
        </w:tc>
        <w:tc>
          <w:tcPr>
            <w:tcW w:w="3038"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Cost/dose</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$0.73</w:t>
            </w:r>
          </w:p>
        </w:tc>
        <w:tc>
          <w:tcPr>
            <w:tcW w:w="3797" w:type="dxa"/>
          </w:tcPr>
          <w:p w:rsidR="00EA5E41" w:rsidRPr="00A655A1" w:rsidRDefault="00EA5E41" w:rsidP="00913FBD">
            <w:pPr>
              <w:keepNext/>
              <w:widowControl w:val="0"/>
              <w:jc w:val="left"/>
              <w:rPr>
                <w:rFonts w:ascii="Arial Narrow" w:eastAsiaTheme="majorEastAsia" w:hAnsi="Arial Narrow" w:cs="Angsana New"/>
                <w:bCs/>
                <w:iCs/>
                <w:sz w:val="20"/>
                <w:vertAlign w:val="superscript"/>
                <w:lang w:bidi="th-TH"/>
              </w:rPr>
            </w:pPr>
            <w:r w:rsidRPr="00A655A1">
              <w:rPr>
                <w:rFonts w:ascii="Arial Narrow" w:eastAsiaTheme="majorEastAsia" w:hAnsi="Arial Narrow" w:cs="Angsana New"/>
                <w:bCs/>
                <w:iCs/>
                <w:sz w:val="20"/>
                <w:lang w:bidi="th-TH"/>
              </w:rPr>
              <w:t xml:space="preserve">Calculated </w:t>
            </w:r>
            <w:r w:rsidRPr="00A655A1">
              <w:rPr>
                <w:rFonts w:ascii="Arial Narrow" w:eastAsiaTheme="majorEastAsia" w:hAnsi="Arial Narrow" w:cs="Angsana New"/>
                <w:bCs/>
                <w:iCs/>
                <w:sz w:val="20"/>
                <w:vertAlign w:val="superscript"/>
                <w:lang w:bidi="th-TH"/>
              </w:rPr>
              <w:t>b</w:t>
            </w:r>
          </w:p>
        </w:tc>
      </w:tr>
      <w:tr w:rsidR="00EA5E41" w:rsidRPr="00A655A1" w:rsidTr="00E74E69">
        <w:tc>
          <w:tcPr>
            <w:tcW w:w="3635" w:type="dxa"/>
            <w:gridSpan w:val="2"/>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Cd – drug acquisition cost</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p>
        </w:tc>
        <w:tc>
          <w:tcPr>
            <w:tcW w:w="3797" w:type="dxa"/>
          </w:tcPr>
          <w:p w:rsidR="00EA5E41" w:rsidRPr="00A655A1" w:rsidRDefault="00EA5E41" w:rsidP="00913FBD">
            <w:pPr>
              <w:keepNext/>
              <w:widowControl w:val="0"/>
              <w:jc w:val="left"/>
              <w:rPr>
                <w:rFonts w:ascii="Arial Narrow" w:eastAsiaTheme="majorEastAsia" w:hAnsi="Arial Narrow" w:cs="Angsana New"/>
                <w:bCs/>
                <w:iCs/>
                <w:sz w:val="20"/>
                <w:lang w:bidi="th-TH"/>
              </w:rPr>
            </w:pPr>
          </w:p>
        </w:tc>
      </w:tr>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K</w:t>
            </w:r>
          </w:p>
        </w:tc>
        <w:tc>
          <w:tcPr>
            <w:tcW w:w="3038"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Total cost for initial cycle</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$9,311.41</w:t>
            </w:r>
          </w:p>
        </w:tc>
        <w:tc>
          <w:tcPr>
            <w:tcW w:w="3797"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(2 x F) + (4 x G) + (8 x J)</w:t>
            </w:r>
          </w:p>
        </w:tc>
      </w:tr>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L</w:t>
            </w:r>
          </w:p>
        </w:tc>
        <w:tc>
          <w:tcPr>
            <w:tcW w:w="3038"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Total cost per continuing cycle</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$11,426.31</w:t>
            </w:r>
          </w:p>
        </w:tc>
        <w:tc>
          <w:tcPr>
            <w:tcW w:w="3797"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(6 x G) + (8 x J)</w:t>
            </w:r>
          </w:p>
        </w:tc>
      </w:tr>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M</w:t>
            </w:r>
          </w:p>
        </w:tc>
        <w:tc>
          <w:tcPr>
            <w:tcW w:w="3038"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Median duration of therapy, cycles</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9.98</w:t>
            </w:r>
          </w:p>
        </w:tc>
        <w:tc>
          <w:tcPr>
            <w:tcW w:w="3797" w:type="dxa"/>
          </w:tcPr>
          <w:p w:rsidR="00EA5E41" w:rsidRPr="00A655A1" w:rsidRDefault="00EA5E41" w:rsidP="00913FBD">
            <w:pPr>
              <w:keepNext/>
              <w:widowControl w:val="0"/>
              <w:jc w:val="left"/>
              <w:rPr>
                <w:rFonts w:ascii="Arial Narrow" w:eastAsiaTheme="majorEastAsia" w:hAnsi="Arial Narrow" w:cs="Angsana New"/>
                <w:bCs/>
                <w:iCs/>
                <w:sz w:val="20"/>
                <w:vertAlign w:val="superscript"/>
                <w:lang w:bidi="th-TH"/>
              </w:rPr>
            </w:pPr>
            <w:r w:rsidRPr="00A655A1">
              <w:rPr>
                <w:rFonts w:ascii="Arial Narrow" w:eastAsiaTheme="majorEastAsia" w:hAnsi="Arial Narrow" w:cs="Angsana New"/>
                <w:bCs/>
                <w:iCs/>
                <w:sz w:val="20"/>
                <w:lang w:bidi="th-TH"/>
              </w:rPr>
              <w:t xml:space="preserve">As per submission </w:t>
            </w:r>
            <w:r w:rsidRPr="00A655A1">
              <w:rPr>
                <w:rFonts w:ascii="Arial Narrow" w:eastAsiaTheme="majorEastAsia" w:hAnsi="Arial Narrow" w:cs="Angsana New"/>
                <w:bCs/>
                <w:iCs/>
                <w:sz w:val="20"/>
                <w:vertAlign w:val="superscript"/>
                <w:lang w:bidi="th-TH"/>
              </w:rPr>
              <w:t>c</w:t>
            </w:r>
          </w:p>
        </w:tc>
      </w:tr>
      <w:tr w:rsidR="00EA5E41" w:rsidRPr="00A655A1" w:rsidTr="00E74E69">
        <w:tc>
          <w:tcPr>
            <w:tcW w:w="9017" w:type="dxa"/>
            <w:gridSpan w:val="4"/>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Total cost per cycle</w:t>
            </w:r>
          </w:p>
        </w:tc>
      </w:tr>
      <w:tr w:rsidR="00EA5E41" w:rsidRPr="00A655A1" w:rsidTr="00E74E69">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N</w:t>
            </w:r>
          </w:p>
        </w:tc>
        <w:tc>
          <w:tcPr>
            <w:tcW w:w="3038"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Cycle 1</w:t>
            </w:r>
          </w:p>
        </w:tc>
        <w:tc>
          <w:tcPr>
            <w:tcW w:w="1585" w:type="dxa"/>
            <w:vAlign w:val="center"/>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$9,979.81</w:t>
            </w:r>
          </w:p>
        </w:tc>
        <w:tc>
          <w:tcPr>
            <w:tcW w:w="3797" w:type="dxa"/>
          </w:tcPr>
          <w:p w:rsidR="00EA5E41" w:rsidRPr="00A655A1" w:rsidRDefault="00EA5E41" w:rsidP="00913FBD">
            <w:pPr>
              <w:keepNext/>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K + (6 x E)</w:t>
            </w:r>
          </w:p>
        </w:tc>
      </w:tr>
      <w:tr w:rsidR="00EA5E41" w:rsidRPr="00A655A1" w:rsidTr="00E74E69">
        <w:trPr>
          <w:trHeight w:val="60"/>
        </w:trPr>
        <w:tc>
          <w:tcPr>
            <w:tcW w:w="597" w:type="dxa"/>
          </w:tcPr>
          <w:p w:rsidR="00EA5E41" w:rsidRPr="00A655A1" w:rsidRDefault="00EA5E41" w:rsidP="00913FBD">
            <w:pPr>
              <w:keepNext/>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O</w:t>
            </w:r>
          </w:p>
        </w:tc>
        <w:tc>
          <w:tcPr>
            <w:tcW w:w="3038" w:type="dxa"/>
            <w:vAlign w:val="center"/>
          </w:tcPr>
          <w:p w:rsidR="00EA5E41" w:rsidRPr="00A655A1" w:rsidRDefault="00EA5E41" w:rsidP="00913FBD">
            <w:pPr>
              <w:keepNext/>
              <w:widowControl w:val="0"/>
              <w:ind w:left="4320" w:hanging="432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Cycle 2+</w:t>
            </w:r>
          </w:p>
        </w:tc>
        <w:tc>
          <w:tcPr>
            <w:tcW w:w="1585" w:type="dxa"/>
            <w:vAlign w:val="center"/>
          </w:tcPr>
          <w:p w:rsidR="00EA5E41" w:rsidRPr="00A655A1" w:rsidRDefault="00EA5E41" w:rsidP="00913FBD">
            <w:pPr>
              <w:keepNext/>
              <w:widowControl w:val="0"/>
              <w:ind w:left="4320" w:hanging="432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$12,094.71</w:t>
            </w:r>
          </w:p>
        </w:tc>
        <w:tc>
          <w:tcPr>
            <w:tcW w:w="3797" w:type="dxa"/>
          </w:tcPr>
          <w:p w:rsidR="00EA5E41" w:rsidRPr="00A655A1" w:rsidRDefault="00EA5E41" w:rsidP="00913FBD">
            <w:pPr>
              <w:keepNext/>
              <w:widowControl w:val="0"/>
              <w:ind w:left="4320" w:hanging="432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L + (6 x E)</w:t>
            </w:r>
          </w:p>
        </w:tc>
      </w:tr>
      <w:tr w:rsidR="00EA5E41" w:rsidRPr="00A655A1" w:rsidTr="00E74E69">
        <w:tc>
          <w:tcPr>
            <w:tcW w:w="597" w:type="dxa"/>
          </w:tcPr>
          <w:p w:rsidR="00EA5E41" w:rsidRPr="00A655A1" w:rsidRDefault="00EA5E41" w:rsidP="00913FBD">
            <w:pPr>
              <w:keepNext/>
              <w:widowControl w:val="0"/>
              <w:ind w:left="4320" w:hanging="4320"/>
              <w:jc w:val="center"/>
              <w:rPr>
                <w:rFonts w:ascii="Arial Narrow" w:eastAsiaTheme="majorEastAsia" w:hAnsi="Arial Narrow" w:cs="Angsana New"/>
                <w:b/>
                <w:iCs/>
                <w:sz w:val="20"/>
                <w:lang w:bidi="th-TH"/>
              </w:rPr>
            </w:pPr>
            <w:r w:rsidRPr="00A655A1">
              <w:rPr>
                <w:rFonts w:ascii="Arial Narrow" w:eastAsiaTheme="majorEastAsia" w:hAnsi="Arial Narrow" w:cs="Angsana New"/>
                <w:b/>
                <w:iCs/>
                <w:sz w:val="20"/>
                <w:lang w:bidi="th-TH"/>
              </w:rPr>
              <w:t>P</w:t>
            </w:r>
          </w:p>
        </w:tc>
        <w:tc>
          <w:tcPr>
            <w:tcW w:w="3038" w:type="dxa"/>
            <w:vAlign w:val="center"/>
          </w:tcPr>
          <w:p w:rsidR="00EA5E41" w:rsidRPr="00A655A1" w:rsidRDefault="00EA5E41" w:rsidP="00913FBD">
            <w:pPr>
              <w:keepNext/>
              <w:widowControl w:val="0"/>
              <w:ind w:left="4320" w:hanging="4320"/>
              <w:jc w:val="left"/>
              <w:rPr>
                <w:rFonts w:ascii="Arial Narrow" w:eastAsiaTheme="majorEastAsia" w:hAnsi="Arial Narrow" w:cs="Angsana New"/>
                <w:b/>
                <w:iCs/>
                <w:sz w:val="20"/>
                <w:lang w:bidi="th-TH"/>
              </w:rPr>
            </w:pPr>
            <w:r w:rsidRPr="00A655A1">
              <w:rPr>
                <w:rFonts w:ascii="Arial Narrow" w:eastAsiaTheme="majorEastAsia" w:hAnsi="Arial Narrow" w:cs="Angsana New"/>
                <w:b/>
                <w:iCs/>
                <w:sz w:val="20"/>
                <w:lang w:bidi="th-TH"/>
              </w:rPr>
              <w:t>Total Cost of Cd</w:t>
            </w:r>
          </w:p>
        </w:tc>
        <w:tc>
          <w:tcPr>
            <w:tcW w:w="1585" w:type="dxa"/>
            <w:vAlign w:val="center"/>
          </w:tcPr>
          <w:p w:rsidR="00EA5E41" w:rsidRPr="00A655A1" w:rsidRDefault="00EA5E41" w:rsidP="00913FBD">
            <w:pPr>
              <w:keepNext/>
              <w:widowControl w:val="0"/>
              <w:ind w:left="4320" w:hanging="4320"/>
              <w:jc w:val="left"/>
              <w:rPr>
                <w:rFonts w:ascii="Arial Narrow" w:eastAsiaTheme="majorEastAsia" w:hAnsi="Arial Narrow" w:cs="Angsana New"/>
                <w:b/>
                <w:iCs/>
                <w:sz w:val="20"/>
                <w:lang w:bidi="th-TH"/>
              </w:rPr>
            </w:pPr>
            <w:r w:rsidRPr="00A655A1">
              <w:rPr>
                <w:rFonts w:ascii="Arial Narrow" w:eastAsiaTheme="majorEastAsia" w:hAnsi="Arial Narrow" w:cs="Angsana New"/>
                <w:b/>
                <w:iCs/>
                <w:sz w:val="20"/>
                <w:lang w:bidi="th-TH"/>
              </w:rPr>
              <w:t>$118,572.99</w:t>
            </w:r>
          </w:p>
        </w:tc>
        <w:tc>
          <w:tcPr>
            <w:tcW w:w="3797" w:type="dxa"/>
          </w:tcPr>
          <w:p w:rsidR="00EA5E41" w:rsidRPr="00A655A1" w:rsidRDefault="00EA5E41" w:rsidP="00913FBD">
            <w:pPr>
              <w:keepNext/>
              <w:widowControl w:val="0"/>
              <w:ind w:left="4320" w:hanging="4320"/>
              <w:jc w:val="left"/>
              <w:rPr>
                <w:rFonts w:ascii="Arial Narrow" w:eastAsiaTheme="majorEastAsia" w:hAnsi="Arial Narrow" w:cs="Angsana New"/>
                <w:b/>
                <w:iCs/>
                <w:sz w:val="20"/>
                <w:lang w:bidi="th-TH"/>
              </w:rPr>
            </w:pPr>
            <w:r w:rsidRPr="00A655A1">
              <w:rPr>
                <w:rFonts w:ascii="Arial Narrow" w:eastAsiaTheme="majorEastAsia" w:hAnsi="Arial Narrow" w:cs="Angsana New"/>
                <w:b/>
                <w:iCs/>
                <w:sz w:val="20"/>
                <w:lang w:bidi="th-TH"/>
              </w:rPr>
              <w:t xml:space="preserve">N + [(M-1) x O)] </w:t>
            </w:r>
          </w:p>
        </w:tc>
      </w:tr>
    </w:tbl>
    <w:p w:rsidR="00EA5E41" w:rsidRPr="00A655A1" w:rsidRDefault="00EA5E41" w:rsidP="00EA5E41">
      <w:pPr>
        <w:pStyle w:val="TableFigureFooter"/>
        <w:widowControl w:val="0"/>
        <w:rPr>
          <w:szCs w:val="18"/>
        </w:rPr>
      </w:pPr>
      <w:r w:rsidRPr="00A655A1">
        <w:t xml:space="preserve">Source: </w:t>
      </w:r>
      <w:r w:rsidRPr="00A655A1">
        <w:rPr>
          <w:szCs w:val="18"/>
        </w:rPr>
        <w:t>using results in Excel workbook PBAC_March 2021_XPOVIO Selinexor_RRMM_XVd_Section 3 CMA vs Kd_Final</w:t>
      </w:r>
    </w:p>
    <w:p w:rsidR="00EA5E41" w:rsidRPr="00A655A1" w:rsidRDefault="00EA5E41" w:rsidP="00EA5E41">
      <w:pPr>
        <w:pStyle w:val="TableFigureFooter"/>
        <w:widowControl w:val="0"/>
      </w:pPr>
      <w:r w:rsidRPr="00A655A1">
        <w:rPr>
          <w:szCs w:val="18"/>
        </w:rPr>
        <w:t xml:space="preserve">AEMP = approved ex-manufacturer price; Cd = carfilzomib + dexamethasone; DI = dose intensity; </w:t>
      </w:r>
      <w:r w:rsidRPr="00A655A1">
        <w:t>MBS = Medicare Benefits Scheme; PBS = Pharmaceutical Benefits Scheme</w:t>
      </w:r>
    </w:p>
    <w:p w:rsidR="00EA5E41" w:rsidRPr="00A655A1" w:rsidRDefault="00865474" w:rsidP="00EA5E41">
      <w:pPr>
        <w:pStyle w:val="TableFigureFooter"/>
        <w:widowControl w:val="0"/>
        <w:rPr>
          <w:iCs/>
        </w:rPr>
      </w:pPr>
      <w:r w:rsidRPr="00A655A1">
        <w:rPr>
          <w:iCs/>
        </w:rPr>
        <w:t xml:space="preserve">a. </w:t>
      </w:r>
      <w:r w:rsidR="00EA5E41" w:rsidRPr="00A655A1">
        <w:rPr>
          <w:iCs/>
        </w:rPr>
        <w:t xml:space="preserve">This could not be verified based on the reference provided in the submission. </w:t>
      </w:r>
    </w:p>
    <w:p w:rsidR="00EA5E41" w:rsidRPr="00A655A1" w:rsidRDefault="00865474" w:rsidP="00EA5E41">
      <w:pPr>
        <w:pStyle w:val="TableFigureFooter"/>
        <w:widowControl w:val="0"/>
        <w:rPr>
          <w:iCs/>
        </w:rPr>
      </w:pPr>
      <w:r w:rsidRPr="00A655A1">
        <w:rPr>
          <w:iCs/>
        </w:rPr>
        <w:t xml:space="preserve">b. </w:t>
      </w:r>
      <w:r w:rsidR="00EA5E41" w:rsidRPr="00A655A1">
        <w:rPr>
          <w:iCs/>
        </w:rPr>
        <w:t>Calculated by the submission as the actual dose (20 mg x 90.6%) ÷ 4 mg tablets x $</w:t>
      </w:r>
      <w:r w:rsidR="00145440">
        <w:rPr>
          <w:iCs/>
          <w:noProof/>
          <w:color w:val="000000"/>
          <w:highlight w:val="black"/>
        </w:rPr>
        <w:t>''''''''''</w:t>
      </w:r>
      <w:r w:rsidR="00EA5E41" w:rsidRPr="00A655A1">
        <w:rPr>
          <w:iCs/>
        </w:rPr>
        <w:t xml:space="preserve"> per tablet. </w:t>
      </w:r>
    </w:p>
    <w:p w:rsidR="00EA5E41" w:rsidRPr="00A655A1" w:rsidRDefault="00865474" w:rsidP="00EA5E41">
      <w:pPr>
        <w:pStyle w:val="TableFigureFooter"/>
        <w:widowControl w:val="0"/>
        <w:rPr>
          <w:iCs/>
        </w:rPr>
      </w:pPr>
      <w:r w:rsidRPr="00A655A1">
        <w:rPr>
          <w:iCs/>
        </w:rPr>
        <w:t xml:space="preserve">c. </w:t>
      </w:r>
      <w:r w:rsidR="00EA5E41" w:rsidRPr="00A655A1">
        <w:rPr>
          <w:iCs/>
        </w:rPr>
        <w:t xml:space="preserve">The duration of treatment with SBd was made equivalent to that of Cd (279.4 days = 7.98 SBd cycles and 9.98 Cd cycles) in the CMA. </w:t>
      </w:r>
    </w:p>
    <w:p w:rsidR="00EA5E41" w:rsidRPr="00A655A1" w:rsidRDefault="00EA5E41" w:rsidP="00EA5E41">
      <w:pPr>
        <w:pStyle w:val="3-BodyText"/>
        <w:rPr>
          <w:color w:val="0066FF"/>
        </w:rPr>
      </w:pPr>
      <w:r w:rsidRPr="00A655A1">
        <w:t xml:space="preserve">Based on the estimated costs of Cd, the AEMP of selinexor </w:t>
      </w:r>
      <w:r w:rsidR="00334134" w:rsidRPr="00A655A1">
        <w:t xml:space="preserve">20 mg x 20 tablets </w:t>
      </w:r>
      <w:r w:rsidRPr="00A655A1">
        <w:t>was $</w:t>
      </w:r>
      <w:r w:rsidR="007004AE">
        <w:rPr>
          <w:noProof/>
          <w:color w:val="000000"/>
          <w:highlight w:val="black"/>
        </w:rPr>
        <w:t>''''''''''''''''''''</w:t>
      </w:r>
      <w:r w:rsidRPr="00A655A1">
        <w:t>.</w:t>
      </w:r>
    </w:p>
    <w:p w:rsidR="00C2787E" w:rsidRDefault="00C2787E">
      <w:pPr>
        <w:jc w:val="left"/>
        <w:rPr>
          <w:rFonts w:ascii="Arial Narrow" w:eastAsiaTheme="majorEastAsia" w:hAnsi="Arial Narrow" w:cstheme="majorBidi"/>
          <w:b/>
          <w:bCs/>
          <w:sz w:val="20"/>
        </w:rPr>
      </w:pPr>
      <w:bookmarkStart w:id="40" w:name="_Ref69392149"/>
      <w:r>
        <w:br w:type="page"/>
      </w:r>
    </w:p>
    <w:p w:rsidR="003218E2" w:rsidRPr="00A655A1" w:rsidRDefault="005431C0" w:rsidP="003218E2">
      <w:pPr>
        <w:pStyle w:val="TableFigureHeading"/>
        <w:keepNext w:val="0"/>
        <w:widowControl w:val="0"/>
      </w:pPr>
      <w:r w:rsidRPr="00A655A1">
        <w:t xml:space="preserve">Table </w:t>
      </w:r>
      <w:bookmarkEnd w:id="40"/>
      <w:r w:rsidR="00AB56E2" w:rsidRPr="00A655A1">
        <w:t>21</w:t>
      </w:r>
      <w:r w:rsidR="00544078" w:rsidRPr="00A655A1">
        <w:t xml:space="preserve">: </w:t>
      </w:r>
      <w:r w:rsidR="003218E2" w:rsidRPr="00A655A1">
        <w:t>Results of the cost-minimisation analysis (SBd)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530"/>
        <w:gridCol w:w="1347"/>
        <w:gridCol w:w="3299"/>
      </w:tblGrid>
      <w:tr w:rsidR="00EA5E41" w:rsidRPr="00A655A1" w:rsidTr="00E74E69">
        <w:tc>
          <w:tcPr>
            <w:tcW w:w="841" w:type="dxa"/>
            <w:shd w:val="clear" w:color="auto" w:fill="auto"/>
          </w:tcPr>
          <w:p w:rsidR="00EA5E41" w:rsidRPr="00A655A1" w:rsidRDefault="00EA5E41" w:rsidP="00E74E69">
            <w:pPr>
              <w:widowControl w:val="0"/>
              <w:jc w:val="left"/>
              <w:rPr>
                <w:rFonts w:ascii="Arial Narrow" w:eastAsiaTheme="majorEastAsia" w:hAnsi="Arial Narrow" w:cs="Times New Roman"/>
                <w:b/>
                <w:iCs/>
                <w:sz w:val="20"/>
              </w:rPr>
            </w:pPr>
            <w:r w:rsidRPr="00A655A1">
              <w:rPr>
                <w:rFonts w:ascii="Arial Narrow" w:eastAsiaTheme="majorEastAsia" w:hAnsi="Arial Narrow" w:cs="Times New Roman"/>
                <w:b/>
                <w:iCs/>
                <w:sz w:val="20"/>
              </w:rPr>
              <w:t>Row</w:t>
            </w:r>
          </w:p>
        </w:tc>
        <w:tc>
          <w:tcPr>
            <w:tcW w:w="3530" w:type="dxa"/>
            <w:shd w:val="clear" w:color="auto" w:fill="auto"/>
          </w:tcPr>
          <w:p w:rsidR="00EA5E41" w:rsidRPr="00A655A1" w:rsidRDefault="00EA5E41" w:rsidP="00E74E69">
            <w:pPr>
              <w:widowControl w:val="0"/>
              <w:jc w:val="left"/>
              <w:rPr>
                <w:rFonts w:ascii="Arial Narrow" w:eastAsiaTheme="majorEastAsia" w:hAnsi="Arial Narrow" w:cs="Times New Roman"/>
                <w:b/>
                <w:iCs/>
                <w:sz w:val="20"/>
              </w:rPr>
            </w:pPr>
            <w:r w:rsidRPr="00A655A1">
              <w:rPr>
                <w:rFonts w:ascii="Arial Narrow" w:eastAsiaTheme="majorEastAsia" w:hAnsi="Arial Narrow" w:cs="Times New Roman"/>
                <w:b/>
                <w:iCs/>
                <w:sz w:val="20"/>
              </w:rPr>
              <w:t>Parameter</w:t>
            </w:r>
          </w:p>
        </w:tc>
        <w:tc>
          <w:tcPr>
            <w:tcW w:w="1347" w:type="dxa"/>
            <w:shd w:val="clear" w:color="auto" w:fill="auto"/>
          </w:tcPr>
          <w:p w:rsidR="00EA5E41" w:rsidRPr="00A655A1" w:rsidRDefault="00EA5E41" w:rsidP="00E74E69">
            <w:pPr>
              <w:widowControl w:val="0"/>
              <w:jc w:val="center"/>
              <w:rPr>
                <w:rFonts w:ascii="Arial Narrow" w:eastAsiaTheme="majorEastAsia" w:hAnsi="Arial Narrow" w:cs="Times New Roman"/>
                <w:b/>
                <w:iCs/>
                <w:sz w:val="20"/>
              </w:rPr>
            </w:pPr>
            <w:r w:rsidRPr="00A655A1">
              <w:rPr>
                <w:rFonts w:ascii="Arial Narrow" w:eastAsiaTheme="majorEastAsia" w:hAnsi="Arial Narrow" w:cs="Times New Roman"/>
                <w:b/>
                <w:iCs/>
                <w:sz w:val="20"/>
              </w:rPr>
              <w:t>Input</w:t>
            </w:r>
          </w:p>
        </w:tc>
        <w:tc>
          <w:tcPr>
            <w:tcW w:w="3299" w:type="dxa"/>
            <w:shd w:val="clear" w:color="auto" w:fill="auto"/>
          </w:tcPr>
          <w:p w:rsidR="00EA5E41" w:rsidRPr="00A655A1" w:rsidRDefault="00EA5E41" w:rsidP="00E74E69">
            <w:pPr>
              <w:widowControl w:val="0"/>
              <w:jc w:val="center"/>
              <w:rPr>
                <w:rFonts w:ascii="Arial Narrow" w:eastAsiaTheme="majorEastAsia" w:hAnsi="Arial Narrow" w:cs="Times New Roman"/>
                <w:b/>
                <w:iCs/>
                <w:sz w:val="20"/>
              </w:rPr>
            </w:pPr>
            <w:r w:rsidRPr="00A655A1">
              <w:rPr>
                <w:rFonts w:ascii="Arial Narrow" w:eastAsiaTheme="majorEastAsia" w:hAnsi="Arial Narrow" w:cs="Times New Roman"/>
                <w:b/>
                <w:iCs/>
                <w:sz w:val="20"/>
              </w:rPr>
              <w:t xml:space="preserve">Source/calculation </w:t>
            </w:r>
          </w:p>
        </w:tc>
      </w:tr>
      <w:tr w:rsidR="00EA5E41" w:rsidRPr="00A655A1" w:rsidTr="00E74E69">
        <w:tc>
          <w:tcPr>
            <w:tcW w:w="9017" w:type="dxa"/>
            <w:gridSpan w:val="4"/>
            <w:shd w:val="clear" w:color="auto" w:fill="auto"/>
          </w:tcPr>
          <w:p w:rsidR="00EA5E41" w:rsidRPr="00A655A1" w:rsidRDefault="00EA5E41" w:rsidP="00E74E69">
            <w:pPr>
              <w:widowControl w:val="0"/>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 xml:space="preserve">Bortezomib </w:t>
            </w: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A</w:t>
            </w:r>
          </w:p>
        </w:tc>
        <w:tc>
          <w:tcPr>
            <w:tcW w:w="3530"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 xml:space="preserve">AEMP </w:t>
            </w:r>
          </w:p>
        </w:tc>
        <w:tc>
          <w:tcPr>
            <w:tcW w:w="1347"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$691.62</w:t>
            </w:r>
          </w:p>
        </w:tc>
        <w:tc>
          <w:tcPr>
            <w:tcW w:w="3299" w:type="dxa"/>
            <w:shd w:val="clear" w:color="auto" w:fill="auto"/>
          </w:tcPr>
          <w:p w:rsidR="00EA5E41" w:rsidRPr="00A655A1" w:rsidRDefault="00EA5E41" w:rsidP="00E74E69">
            <w:pPr>
              <w:pStyle w:val="TableText0"/>
              <w:rPr>
                <w:rFonts w:cs="Angsana New"/>
                <w:iCs/>
                <w:vertAlign w:val="superscript"/>
                <w:lang w:bidi="th-TH"/>
              </w:rPr>
            </w:pPr>
            <w:r w:rsidRPr="00A655A1">
              <w:rPr>
                <w:iCs/>
              </w:rPr>
              <w:t>PBS item 12219D, 12227M</w:t>
            </w: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B</w:t>
            </w:r>
          </w:p>
        </w:tc>
        <w:tc>
          <w:tcPr>
            <w:tcW w:w="3530"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DI, %</w:t>
            </w:r>
          </w:p>
        </w:tc>
        <w:tc>
          <w:tcPr>
            <w:tcW w:w="1347"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89.6%</w:t>
            </w:r>
          </w:p>
        </w:tc>
        <w:tc>
          <w:tcPr>
            <w:tcW w:w="3299" w:type="dxa"/>
            <w:shd w:val="clear" w:color="auto" w:fill="auto"/>
          </w:tcPr>
          <w:p w:rsidR="00EA5E41" w:rsidRPr="00A655A1" w:rsidRDefault="00EA5E41" w:rsidP="00E74E69">
            <w:pPr>
              <w:widowControl w:val="0"/>
              <w:jc w:val="left"/>
              <w:rPr>
                <w:rFonts w:ascii="Arial Narrow" w:eastAsiaTheme="majorEastAsia" w:hAnsi="Arial Narrow" w:cs="Angsana New"/>
                <w:bCs/>
                <w:iCs/>
                <w:sz w:val="20"/>
                <w:vertAlign w:val="superscript"/>
                <w:lang w:bidi="th-TH"/>
              </w:rPr>
            </w:pPr>
            <w:r w:rsidRPr="00A655A1">
              <w:rPr>
                <w:rFonts w:ascii="Arial Narrow" w:eastAsiaTheme="majorEastAsia" w:hAnsi="Arial Narrow" w:cs="Angsana New"/>
                <w:bCs/>
                <w:iCs/>
                <w:sz w:val="20"/>
                <w:lang w:bidi="th-TH"/>
              </w:rPr>
              <w:t xml:space="preserve">BOSTON trial </w:t>
            </w:r>
            <w:r w:rsidRPr="00A655A1">
              <w:rPr>
                <w:rFonts w:ascii="Arial Narrow" w:eastAsiaTheme="majorEastAsia" w:hAnsi="Arial Narrow" w:cs="Angsana New"/>
                <w:bCs/>
                <w:iCs/>
                <w:sz w:val="20"/>
                <w:vertAlign w:val="superscript"/>
                <w:lang w:bidi="th-TH"/>
              </w:rPr>
              <w:t>a</w:t>
            </w: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C</w:t>
            </w:r>
          </w:p>
        </w:tc>
        <w:tc>
          <w:tcPr>
            <w:tcW w:w="3530"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Cost/dose</w:t>
            </w:r>
          </w:p>
        </w:tc>
        <w:tc>
          <w:tcPr>
            <w:tcW w:w="1347"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$691.62</w:t>
            </w:r>
          </w:p>
        </w:tc>
        <w:tc>
          <w:tcPr>
            <w:tcW w:w="3299" w:type="dxa"/>
            <w:shd w:val="clear" w:color="auto" w:fill="auto"/>
          </w:tcPr>
          <w:p w:rsidR="00EA5E41" w:rsidRPr="00A655A1" w:rsidRDefault="00EA5E41" w:rsidP="00E74E69">
            <w:pPr>
              <w:widowControl w:val="0"/>
              <w:jc w:val="left"/>
              <w:rPr>
                <w:rFonts w:ascii="Arial Narrow" w:eastAsiaTheme="majorEastAsia" w:hAnsi="Arial Narrow" w:cs="Angsana New"/>
                <w:bCs/>
                <w:iCs/>
                <w:sz w:val="20"/>
                <w:vertAlign w:val="superscript"/>
                <w:lang w:bidi="th-TH"/>
              </w:rPr>
            </w:pPr>
            <w:r w:rsidRPr="00A655A1">
              <w:rPr>
                <w:rFonts w:ascii="Arial Narrow" w:eastAsiaTheme="majorEastAsia" w:hAnsi="Arial Narrow" w:cs="Angsana New"/>
                <w:bCs/>
                <w:iCs/>
                <w:sz w:val="20"/>
                <w:lang w:bidi="th-TH"/>
              </w:rPr>
              <w:t xml:space="preserve">Calculated </w:t>
            </w: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D</w:t>
            </w:r>
          </w:p>
        </w:tc>
        <w:tc>
          <w:tcPr>
            <w:tcW w:w="3530"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Doses per cycle</w:t>
            </w:r>
          </w:p>
        </w:tc>
        <w:tc>
          <w:tcPr>
            <w:tcW w:w="1347"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4</w:t>
            </w:r>
          </w:p>
        </w:tc>
        <w:tc>
          <w:tcPr>
            <w:tcW w:w="3299" w:type="dxa"/>
            <w:shd w:val="clear" w:color="auto" w:fill="auto"/>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 xml:space="preserve">BOSTON trial </w:t>
            </w:r>
          </w:p>
        </w:tc>
      </w:tr>
      <w:tr w:rsidR="00EA5E41" w:rsidRPr="00A655A1" w:rsidTr="00E74E69">
        <w:tc>
          <w:tcPr>
            <w:tcW w:w="9017" w:type="dxa"/>
            <w:gridSpan w:val="4"/>
            <w:shd w:val="clear" w:color="auto" w:fill="auto"/>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Dexamethasone</w:t>
            </w: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E</w:t>
            </w:r>
          </w:p>
        </w:tc>
        <w:tc>
          <w:tcPr>
            <w:tcW w:w="3530"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AEMP</w:t>
            </w:r>
          </w:p>
        </w:tc>
        <w:tc>
          <w:tcPr>
            <w:tcW w:w="1347"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$4.84</w:t>
            </w:r>
          </w:p>
        </w:tc>
        <w:tc>
          <w:tcPr>
            <w:tcW w:w="3299" w:type="dxa"/>
            <w:shd w:val="clear" w:color="auto" w:fill="auto"/>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PBS item 2507Y</w:t>
            </w: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F</w:t>
            </w:r>
          </w:p>
        </w:tc>
        <w:tc>
          <w:tcPr>
            <w:tcW w:w="3530"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DI, %</w:t>
            </w:r>
          </w:p>
        </w:tc>
        <w:tc>
          <w:tcPr>
            <w:tcW w:w="1347"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90.6%</w:t>
            </w:r>
          </w:p>
        </w:tc>
        <w:tc>
          <w:tcPr>
            <w:tcW w:w="3299" w:type="dxa"/>
            <w:shd w:val="clear" w:color="auto" w:fill="auto"/>
          </w:tcPr>
          <w:p w:rsidR="00EA5E41" w:rsidRPr="00A655A1" w:rsidRDefault="00EA5E41" w:rsidP="00E74E69">
            <w:pPr>
              <w:widowControl w:val="0"/>
              <w:jc w:val="left"/>
              <w:rPr>
                <w:rFonts w:ascii="Arial Narrow" w:eastAsiaTheme="majorEastAsia" w:hAnsi="Arial Narrow" w:cs="Angsana New"/>
                <w:bCs/>
                <w:iCs/>
                <w:sz w:val="20"/>
                <w:vertAlign w:val="superscript"/>
                <w:lang w:bidi="th-TH"/>
              </w:rPr>
            </w:pPr>
            <w:r w:rsidRPr="00A655A1">
              <w:rPr>
                <w:rFonts w:ascii="Arial Narrow" w:eastAsiaTheme="majorEastAsia" w:hAnsi="Arial Narrow" w:cs="Angsana New"/>
                <w:bCs/>
                <w:iCs/>
                <w:sz w:val="20"/>
                <w:lang w:bidi="th-TH"/>
              </w:rPr>
              <w:t xml:space="preserve">BOSTON trial </w:t>
            </w:r>
            <w:r w:rsidRPr="00A655A1">
              <w:rPr>
                <w:rFonts w:ascii="Arial Narrow" w:eastAsiaTheme="majorEastAsia" w:hAnsi="Arial Narrow" w:cs="Angsana New"/>
                <w:bCs/>
                <w:iCs/>
                <w:sz w:val="20"/>
                <w:vertAlign w:val="superscript"/>
                <w:lang w:bidi="th-TH"/>
              </w:rPr>
              <w:t>a</w:t>
            </w: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G</w:t>
            </w:r>
          </w:p>
        </w:tc>
        <w:tc>
          <w:tcPr>
            <w:tcW w:w="3530"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Cost/dose</w:t>
            </w:r>
          </w:p>
        </w:tc>
        <w:tc>
          <w:tcPr>
            <w:tcW w:w="1347"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$0.73</w:t>
            </w:r>
          </w:p>
        </w:tc>
        <w:tc>
          <w:tcPr>
            <w:tcW w:w="3299" w:type="dxa"/>
            <w:shd w:val="clear" w:color="auto" w:fill="auto"/>
          </w:tcPr>
          <w:p w:rsidR="00EA5E41" w:rsidRPr="00A655A1" w:rsidRDefault="00EA5E41" w:rsidP="00E74E69">
            <w:pPr>
              <w:widowControl w:val="0"/>
              <w:jc w:val="left"/>
              <w:rPr>
                <w:rFonts w:ascii="Arial Narrow" w:eastAsiaTheme="majorEastAsia" w:hAnsi="Arial Narrow" w:cs="Angsana New"/>
                <w:bCs/>
                <w:iCs/>
                <w:sz w:val="20"/>
                <w:vertAlign w:val="superscript"/>
                <w:lang w:bidi="th-TH"/>
              </w:rPr>
            </w:pPr>
            <w:r w:rsidRPr="00A655A1">
              <w:rPr>
                <w:rFonts w:ascii="Arial Narrow" w:eastAsiaTheme="majorEastAsia" w:hAnsi="Arial Narrow" w:cs="Angsana New"/>
                <w:bCs/>
                <w:iCs/>
                <w:sz w:val="20"/>
                <w:lang w:bidi="th-TH"/>
              </w:rPr>
              <w:t xml:space="preserve">Calculated </w:t>
            </w:r>
            <w:r w:rsidRPr="00A655A1">
              <w:rPr>
                <w:rFonts w:ascii="Arial Narrow" w:eastAsiaTheme="majorEastAsia" w:hAnsi="Arial Narrow" w:cs="Angsana New"/>
                <w:bCs/>
                <w:iCs/>
                <w:sz w:val="20"/>
                <w:vertAlign w:val="superscript"/>
                <w:lang w:bidi="th-TH"/>
              </w:rPr>
              <w:t>b</w:t>
            </w: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H</w:t>
            </w:r>
          </w:p>
        </w:tc>
        <w:tc>
          <w:tcPr>
            <w:tcW w:w="3530"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Doses per cycle</w:t>
            </w:r>
          </w:p>
        </w:tc>
        <w:tc>
          <w:tcPr>
            <w:tcW w:w="1347"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10</w:t>
            </w:r>
          </w:p>
        </w:tc>
        <w:tc>
          <w:tcPr>
            <w:tcW w:w="3299" w:type="dxa"/>
            <w:shd w:val="clear" w:color="auto" w:fill="auto"/>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 xml:space="preserve">BOSTON trial </w:t>
            </w:r>
          </w:p>
        </w:tc>
      </w:tr>
      <w:tr w:rsidR="00EA5E41" w:rsidRPr="00A655A1" w:rsidTr="00E74E69">
        <w:tc>
          <w:tcPr>
            <w:tcW w:w="9017" w:type="dxa"/>
            <w:gridSpan w:val="4"/>
            <w:shd w:val="clear" w:color="auto" w:fill="auto"/>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Selinexor</w:t>
            </w: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I</w:t>
            </w:r>
          </w:p>
        </w:tc>
        <w:tc>
          <w:tcPr>
            <w:tcW w:w="3530" w:type="dxa"/>
            <w:shd w:val="clear" w:color="auto" w:fill="auto"/>
            <w:vAlign w:val="center"/>
          </w:tcPr>
          <w:p w:rsidR="00EA5E41" w:rsidRPr="00A655A1" w:rsidRDefault="00EA5E41" w:rsidP="00E74E69">
            <w:pPr>
              <w:widowControl w:val="0"/>
              <w:jc w:val="left"/>
              <w:rPr>
                <w:rFonts w:ascii="Arial Narrow" w:eastAsiaTheme="majorEastAsia" w:hAnsi="Arial Narrow" w:cs="Angsana New"/>
                <w:b/>
                <w:iCs/>
                <w:sz w:val="20"/>
                <w:lang w:bidi="th-TH"/>
              </w:rPr>
            </w:pPr>
            <w:r w:rsidRPr="00A655A1">
              <w:rPr>
                <w:rFonts w:ascii="Arial Narrow" w:eastAsiaTheme="majorEastAsia" w:hAnsi="Arial Narrow" w:cs="Angsana New"/>
                <w:bCs/>
                <w:iCs/>
                <w:sz w:val="20"/>
                <w:lang w:bidi="th-TH"/>
              </w:rPr>
              <w:t>AEMP</w:t>
            </w:r>
          </w:p>
        </w:tc>
        <w:tc>
          <w:tcPr>
            <w:tcW w:w="1347" w:type="dxa"/>
            <w:shd w:val="clear" w:color="auto" w:fill="auto"/>
            <w:vAlign w:val="center"/>
          </w:tcPr>
          <w:p w:rsidR="00EA5E41" w:rsidRPr="00A655A1" w:rsidRDefault="00EA5E41" w:rsidP="00E74E69">
            <w:pPr>
              <w:widowControl w:val="0"/>
              <w:jc w:val="left"/>
              <w:rPr>
                <w:rFonts w:ascii="Arial Narrow" w:eastAsiaTheme="majorEastAsia" w:hAnsi="Arial Narrow" w:cs="Angsana New"/>
                <w:b/>
                <w:iCs/>
                <w:sz w:val="20"/>
                <w:lang w:bidi="th-TH"/>
              </w:rPr>
            </w:pPr>
            <w:r w:rsidRPr="00A655A1">
              <w:rPr>
                <w:rFonts w:ascii="Arial Narrow" w:eastAsiaTheme="majorEastAsia" w:hAnsi="Arial Narrow" w:cs="Angsana New"/>
                <w:bCs/>
                <w:iCs/>
                <w:sz w:val="20"/>
                <w:lang w:bidi="th-TH"/>
              </w:rPr>
              <w:t>$</w:t>
            </w:r>
            <w:r w:rsidR="007004AE">
              <w:rPr>
                <w:rFonts w:ascii="Arial Narrow" w:eastAsiaTheme="majorEastAsia" w:hAnsi="Arial Narrow" w:cs="Angsana New"/>
                <w:bCs/>
                <w:iCs/>
                <w:noProof/>
                <w:color w:val="000000"/>
                <w:sz w:val="20"/>
                <w:highlight w:val="black"/>
                <w:lang w:bidi="th-TH"/>
              </w:rPr>
              <w:t>''''''''''''''''''''''''</w:t>
            </w:r>
          </w:p>
        </w:tc>
        <w:tc>
          <w:tcPr>
            <w:tcW w:w="3299" w:type="dxa"/>
            <w:shd w:val="clear" w:color="auto" w:fill="auto"/>
          </w:tcPr>
          <w:p w:rsidR="00EA5E41" w:rsidRPr="00A655A1" w:rsidRDefault="00EA5E41" w:rsidP="00E74E69">
            <w:pPr>
              <w:widowControl w:val="0"/>
              <w:jc w:val="left"/>
              <w:rPr>
                <w:rFonts w:ascii="Arial Narrow" w:eastAsiaTheme="majorEastAsia" w:hAnsi="Arial Narrow" w:cs="Angsana New"/>
                <w:bCs/>
                <w:iCs/>
                <w:sz w:val="20"/>
                <w:lang w:bidi="th-TH"/>
              </w:rPr>
            </w:pP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J</w:t>
            </w:r>
          </w:p>
        </w:tc>
        <w:tc>
          <w:tcPr>
            <w:tcW w:w="3530" w:type="dxa"/>
            <w:tcBorders>
              <w:bottom w:val="single" w:sz="4" w:space="0" w:color="auto"/>
            </w:tcBorders>
            <w:shd w:val="clear" w:color="auto" w:fill="auto"/>
            <w:vAlign w:val="center"/>
          </w:tcPr>
          <w:p w:rsidR="00EA5E41" w:rsidRPr="00A655A1" w:rsidRDefault="00EA5E41" w:rsidP="00E74E69">
            <w:pPr>
              <w:widowControl w:val="0"/>
              <w:jc w:val="left"/>
              <w:rPr>
                <w:rFonts w:ascii="Arial Narrow" w:eastAsiaTheme="majorEastAsia" w:hAnsi="Arial Narrow" w:cs="Angsana New"/>
                <w:b/>
                <w:iCs/>
                <w:sz w:val="20"/>
                <w:lang w:bidi="th-TH"/>
              </w:rPr>
            </w:pPr>
            <w:r w:rsidRPr="00A655A1">
              <w:rPr>
                <w:rFonts w:ascii="Arial Narrow" w:eastAsiaTheme="majorEastAsia" w:hAnsi="Arial Narrow" w:cs="Angsana New"/>
                <w:bCs/>
                <w:iCs/>
                <w:sz w:val="20"/>
                <w:lang w:bidi="th-TH"/>
              </w:rPr>
              <w:t>DI, %</w:t>
            </w:r>
          </w:p>
        </w:tc>
        <w:tc>
          <w:tcPr>
            <w:tcW w:w="1347" w:type="dxa"/>
            <w:tcBorders>
              <w:bottom w:val="single" w:sz="4" w:space="0" w:color="auto"/>
            </w:tcBorders>
            <w:shd w:val="clear" w:color="auto" w:fill="auto"/>
            <w:vAlign w:val="center"/>
          </w:tcPr>
          <w:p w:rsidR="00EA5E41" w:rsidRPr="00A655A1" w:rsidRDefault="00EA5E41" w:rsidP="00E74E69">
            <w:pPr>
              <w:widowControl w:val="0"/>
              <w:jc w:val="left"/>
              <w:rPr>
                <w:rFonts w:ascii="Arial Narrow" w:eastAsiaTheme="majorEastAsia" w:hAnsi="Arial Narrow" w:cs="Angsana New"/>
                <w:b/>
                <w:iCs/>
                <w:sz w:val="20"/>
                <w:lang w:bidi="th-TH"/>
              </w:rPr>
            </w:pPr>
            <w:r w:rsidRPr="00A655A1">
              <w:rPr>
                <w:rFonts w:ascii="Arial Narrow" w:eastAsiaTheme="majorEastAsia" w:hAnsi="Arial Narrow" w:cs="Angsana New"/>
                <w:bCs/>
                <w:iCs/>
                <w:sz w:val="20"/>
                <w:lang w:bidi="th-TH"/>
              </w:rPr>
              <w:t>80.0%</w:t>
            </w:r>
          </w:p>
        </w:tc>
        <w:tc>
          <w:tcPr>
            <w:tcW w:w="3299" w:type="dxa"/>
            <w:tcBorders>
              <w:bottom w:val="single" w:sz="4" w:space="0" w:color="auto"/>
            </w:tcBorders>
            <w:shd w:val="clear" w:color="auto" w:fill="auto"/>
          </w:tcPr>
          <w:p w:rsidR="00EA5E41" w:rsidRPr="00A655A1" w:rsidRDefault="00EA5E41" w:rsidP="00E74E69">
            <w:pPr>
              <w:widowControl w:val="0"/>
              <w:jc w:val="left"/>
              <w:rPr>
                <w:rFonts w:ascii="Arial Narrow" w:eastAsiaTheme="majorEastAsia" w:hAnsi="Arial Narrow" w:cs="Angsana New"/>
                <w:b/>
                <w:iCs/>
                <w:sz w:val="20"/>
                <w:vertAlign w:val="superscript"/>
                <w:lang w:bidi="th-TH"/>
              </w:rPr>
            </w:pPr>
            <w:r w:rsidRPr="00A655A1">
              <w:rPr>
                <w:rFonts w:ascii="Arial Narrow" w:eastAsiaTheme="majorEastAsia" w:hAnsi="Arial Narrow" w:cs="Angsana New"/>
                <w:bCs/>
                <w:iCs/>
                <w:sz w:val="20"/>
                <w:lang w:bidi="th-TH"/>
              </w:rPr>
              <w:t xml:space="preserve">BOSTON trial </w:t>
            </w:r>
            <w:r w:rsidRPr="00A655A1">
              <w:rPr>
                <w:rFonts w:ascii="Arial Narrow" w:eastAsiaTheme="majorEastAsia" w:hAnsi="Arial Narrow" w:cs="Angsana New"/>
                <w:bCs/>
                <w:iCs/>
                <w:sz w:val="20"/>
                <w:vertAlign w:val="superscript"/>
                <w:lang w:bidi="th-TH"/>
              </w:rPr>
              <w:t>a</w:t>
            </w: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K</w:t>
            </w:r>
          </w:p>
        </w:tc>
        <w:tc>
          <w:tcPr>
            <w:tcW w:w="3530" w:type="dxa"/>
            <w:tcBorders>
              <w:bottom w:val="single" w:sz="4" w:space="0" w:color="auto"/>
            </w:tcBorders>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Cost/dose</w:t>
            </w:r>
          </w:p>
        </w:tc>
        <w:tc>
          <w:tcPr>
            <w:tcW w:w="1347" w:type="dxa"/>
            <w:tcBorders>
              <w:bottom w:val="single" w:sz="4" w:space="0" w:color="auto"/>
            </w:tcBorders>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w:t>
            </w:r>
            <w:r w:rsidR="007004AE">
              <w:rPr>
                <w:rFonts w:ascii="Arial Narrow" w:eastAsiaTheme="majorEastAsia" w:hAnsi="Arial Narrow" w:cs="Angsana New"/>
                <w:bCs/>
                <w:iCs/>
                <w:noProof/>
                <w:color w:val="000000"/>
                <w:sz w:val="20"/>
                <w:highlight w:val="black"/>
                <w:lang w:bidi="th-TH"/>
              </w:rPr>
              <w:t>'''''''''''''''''''''</w:t>
            </w:r>
          </w:p>
        </w:tc>
        <w:tc>
          <w:tcPr>
            <w:tcW w:w="3299" w:type="dxa"/>
            <w:tcBorders>
              <w:bottom w:val="single" w:sz="4" w:space="0" w:color="auto"/>
            </w:tcBorders>
            <w:shd w:val="clear" w:color="auto" w:fill="auto"/>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 xml:space="preserve">Calculated </w:t>
            </w:r>
            <w:r w:rsidRPr="00A655A1">
              <w:rPr>
                <w:rFonts w:ascii="Arial Narrow" w:eastAsiaTheme="majorEastAsia" w:hAnsi="Arial Narrow" w:cs="Angsana New"/>
                <w:bCs/>
                <w:iCs/>
                <w:sz w:val="20"/>
                <w:vertAlign w:val="superscript"/>
                <w:lang w:bidi="th-TH"/>
              </w:rPr>
              <w:t>c</w:t>
            </w: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L</w:t>
            </w:r>
          </w:p>
        </w:tc>
        <w:tc>
          <w:tcPr>
            <w:tcW w:w="3530" w:type="dxa"/>
            <w:tcBorders>
              <w:bottom w:val="single" w:sz="4" w:space="0" w:color="auto"/>
            </w:tcBorders>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Doses per cycle</w:t>
            </w:r>
          </w:p>
        </w:tc>
        <w:tc>
          <w:tcPr>
            <w:tcW w:w="1347" w:type="dxa"/>
            <w:tcBorders>
              <w:bottom w:val="single" w:sz="4" w:space="0" w:color="auto"/>
            </w:tcBorders>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6B25BE">
              <w:rPr>
                <w:rFonts w:ascii="Arial Narrow" w:eastAsiaTheme="majorEastAsia" w:hAnsi="Arial Narrow" w:cs="Angsana New"/>
                <w:bCs/>
                <w:iCs/>
                <w:sz w:val="20"/>
                <w:lang w:bidi="th-TH"/>
              </w:rPr>
              <w:t>5</w:t>
            </w:r>
          </w:p>
        </w:tc>
        <w:tc>
          <w:tcPr>
            <w:tcW w:w="3299" w:type="dxa"/>
            <w:tcBorders>
              <w:bottom w:val="single" w:sz="4" w:space="0" w:color="auto"/>
            </w:tcBorders>
            <w:shd w:val="clear" w:color="auto" w:fill="auto"/>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 xml:space="preserve">BOSTON trial </w:t>
            </w:r>
          </w:p>
        </w:tc>
      </w:tr>
      <w:tr w:rsidR="00EA5E41" w:rsidRPr="00A655A1" w:rsidTr="00E74E69">
        <w:tc>
          <w:tcPr>
            <w:tcW w:w="9017" w:type="dxa"/>
            <w:gridSpan w:val="4"/>
            <w:shd w:val="clear" w:color="auto" w:fill="auto"/>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SBd – drug acquisition cost</w:t>
            </w: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J</w:t>
            </w:r>
          </w:p>
        </w:tc>
        <w:tc>
          <w:tcPr>
            <w:tcW w:w="3530"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 xml:space="preserve">Total cost per cycle </w:t>
            </w:r>
          </w:p>
        </w:tc>
        <w:tc>
          <w:tcPr>
            <w:tcW w:w="1347"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w:t>
            </w:r>
            <w:r w:rsidR="007004AE">
              <w:rPr>
                <w:rFonts w:ascii="Arial Narrow" w:eastAsiaTheme="majorEastAsia" w:hAnsi="Arial Narrow" w:cs="Angsana New"/>
                <w:bCs/>
                <w:iCs/>
                <w:noProof/>
                <w:color w:val="000000"/>
                <w:sz w:val="20"/>
                <w:highlight w:val="black"/>
                <w:lang w:bidi="th-TH"/>
              </w:rPr>
              <w:t>'''''''''''''''''''''''''</w:t>
            </w:r>
          </w:p>
        </w:tc>
        <w:tc>
          <w:tcPr>
            <w:tcW w:w="3299" w:type="dxa"/>
            <w:shd w:val="clear" w:color="auto" w:fill="auto"/>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(C x D) + (G x H) + (K X L)</w:t>
            </w: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K</w:t>
            </w:r>
          </w:p>
        </w:tc>
        <w:tc>
          <w:tcPr>
            <w:tcW w:w="3530"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 xml:space="preserve">Median duration of therapy, cycles </w:t>
            </w:r>
          </w:p>
        </w:tc>
        <w:tc>
          <w:tcPr>
            <w:tcW w:w="1347"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7.98</w:t>
            </w:r>
          </w:p>
        </w:tc>
        <w:tc>
          <w:tcPr>
            <w:tcW w:w="3299" w:type="dxa"/>
            <w:shd w:val="clear" w:color="auto" w:fill="auto"/>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Cs/>
                <w:iCs/>
                <w:sz w:val="20"/>
                <w:lang w:bidi="th-TH"/>
              </w:rPr>
              <w:t xml:space="preserve">As per submission </w:t>
            </w:r>
            <w:r w:rsidRPr="00A655A1">
              <w:rPr>
                <w:rFonts w:ascii="Arial Narrow" w:eastAsiaTheme="majorEastAsia" w:hAnsi="Arial Narrow" w:cs="Angsana New"/>
                <w:bCs/>
                <w:iCs/>
                <w:sz w:val="20"/>
                <w:vertAlign w:val="superscript"/>
                <w:lang w:bidi="th-TH"/>
              </w:rPr>
              <w:t>d</w:t>
            </w:r>
          </w:p>
        </w:tc>
      </w:tr>
      <w:tr w:rsidR="00EA5E41" w:rsidRPr="00A655A1" w:rsidTr="00E74E69">
        <w:tc>
          <w:tcPr>
            <w:tcW w:w="841" w:type="dxa"/>
            <w:shd w:val="clear" w:color="auto" w:fill="auto"/>
          </w:tcPr>
          <w:p w:rsidR="00EA5E41" w:rsidRPr="00A655A1" w:rsidRDefault="00EA5E41" w:rsidP="00E74E69">
            <w:pPr>
              <w:widowControl w:val="0"/>
              <w:jc w:val="center"/>
              <w:rPr>
                <w:rFonts w:ascii="Arial Narrow" w:eastAsiaTheme="majorEastAsia" w:hAnsi="Arial Narrow" w:cs="Angsana New"/>
                <w:b/>
                <w:iCs/>
                <w:sz w:val="20"/>
                <w:lang w:bidi="th-TH"/>
              </w:rPr>
            </w:pPr>
            <w:r w:rsidRPr="00A655A1">
              <w:rPr>
                <w:rFonts w:ascii="Arial Narrow" w:eastAsiaTheme="majorEastAsia" w:hAnsi="Arial Narrow" w:cs="Angsana New"/>
                <w:b/>
                <w:iCs/>
                <w:sz w:val="20"/>
                <w:lang w:bidi="th-TH"/>
              </w:rPr>
              <w:t>L</w:t>
            </w:r>
          </w:p>
        </w:tc>
        <w:tc>
          <w:tcPr>
            <w:tcW w:w="3530" w:type="dxa"/>
            <w:shd w:val="clear" w:color="auto" w:fill="auto"/>
            <w:vAlign w:val="center"/>
          </w:tcPr>
          <w:p w:rsidR="00EA5E41" w:rsidRPr="00A655A1" w:rsidRDefault="00EA5E41" w:rsidP="00E74E69">
            <w:pPr>
              <w:widowControl w:val="0"/>
              <w:jc w:val="left"/>
              <w:rPr>
                <w:rFonts w:ascii="Arial Narrow" w:eastAsiaTheme="majorEastAsia" w:hAnsi="Arial Narrow" w:cs="Angsana New"/>
                <w:bCs/>
                <w:iCs/>
                <w:sz w:val="20"/>
                <w:lang w:bidi="th-TH"/>
              </w:rPr>
            </w:pPr>
            <w:r w:rsidRPr="00A655A1">
              <w:rPr>
                <w:rFonts w:ascii="Arial Narrow" w:eastAsiaTheme="majorEastAsia" w:hAnsi="Arial Narrow" w:cs="Angsana New"/>
                <w:b/>
                <w:iCs/>
                <w:sz w:val="20"/>
                <w:lang w:bidi="th-TH"/>
              </w:rPr>
              <w:t>Total Cost of SBd</w:t>
            </w:r>
          </w:p>
        </w:tc>
        <w:tc>
          <w:tcPr>
            <w:tcW w:w="1347" w:type="dxa"/>
            <w:shd w:val="clear" w:color="auto" w:fill="auto"/>
            <w:vAlign w:val="center"/>
          </w:tcPr>
          <w:p w:rsidR="00EA5E41" w:rsidRPr="00A655A1" w:rsidRDefault="00EA5E41" w:rsidP="00E74E69">
            <w:pPr>
              <w:widowControl w:val="0"/>
              <w:jc w:val="left"/>
              <w:rPr>
                <w:rFonts w:ascii="Arial Narrow" w:eastAsiaTheme="majorEastAsia" w:hAnsi="Arial Narrow" w:cs="Angsana New"/>
                <w:b/>
                <w:iCs/>
                <w:sz w:val="20"/>
                <w:lang w:bidi="th-TH"/>
              </w:rPr>
            </w:pPr>
            <w:r w:rsidRPr="00A655A1">
              <w:rPr>
                <w:rFonts w:ascii="Arial Narrow" w:eastAsiaTheme="majorEastAsia" w:hAnsi="Arial Narrow" w:cs="Angsana New"/>
                <w:b/>
                <w:iCs/>
                <w:sz w:val="20"/>
                <w:lang w:bidi="th-TH"/>
              </w:rPr>
              <w:t>$</w:t>
            </w:r>
            <w:r w:rsidR="007004AE">
              <w:rPr>
                <w:rFonts w:ascii="Arial Narrow" w:eastAsiaTheme="majorEastAsia" w:hAnsi="Arial Narrow" w:cs="Angsana New"/>
                <w:b/>
                <w:iCs/>
                <w:noProof/>
                <w:color w:val="000000"/>
                <w:sz w:val="20"/>
                <w:highlight w:val="black"/>
                <w:lang w:bidi="th-TH"/>
              </w:rPr>
              <w:t>''''''''''''''''''''''</w:t>
            </w:r>
          </w:p>
        </w:tc>
        <w:tc>
          <w:tcPr>
            <w:tcW w:w="3299" w:type="dxa"/>
            <w:shd w:val="clear" w:color="auto" w:fill="auto"/>
          </w:tcPr>
          <w:p w:rsidR="00EA5E41" w:rsidRPr="00A655A1" w:rsidRDefault="00EA5E41" w:rsidP="007B3AB4">
            <w:pPr>
              <w:widowControl w:val="0"/>
              <w:jc w:val="left"/>
              <w:rPr>
                <w:rFonts w:ascii="Arial Narrow" w:eastAsiaTheme="majorEastAsia" w:hAnsi="Arial Narrow" w:cs="Angsana New"/>
                <w:b/>
                <w:iCs/>
                <w:sz w:val="20"/>
                <w:lang w:bidi="th-TH"/>
              </w:rPr>
            </w:pPr>
            <w:r w:rsidRPr="00A655A1">
              <w:rPr>
                <w:rFonts w:ascii="Arial Narrow" w:eastAsiaTheme="majorEastAsia" w:hAnsi="Arial Narrow" w:cs="Angsana New"/>
                <w:b/>
                <w:iCs/>
                <w:sz w:val="20"/>
                <w:lang w:bidi="th-TH"/>
              </w:rPr>
              <w:t xml:space="preserve">J x K; Row P </w:t>
            </w:r>
            <w:r w:rsidRPr="00A655A1">
              <w:rPr>
                <w:rStyle w:val="TableTextChar0"/>
                <w:b/>
                <w:bCs w:val="0"/>
                <w:iCs/>
                <w:sz w:val="20"/>
                <w:szCs w:val="20"/>
              </w:rPr>
              <w:t xml:space="preserve">of </w:t>
            </w:r>
            <w:r w:rsidR="007B3AB4">
              <w:rPr>
                <w:rStyle w:val="TableTextChar0"/>
                <w:b/>
                <w:bCs w:val="0"/>
                <w:iCs/>
                <w:sz w:val="20"/>
                <w:szCs w:val="20"/>
              </w:rPr>
              <w:t>Table 20</w:t>
            </w:r>
          </w:p>
        </w:tc>
      </w:tr>
    </w:tbl>
    <w:p w:rsidR="00EA5E41" w:rsidRPr="00A655A1" w:rsidRDefault="00EA5E41" w:rsidP="00EA5E41">
      <w:pPr>
        <w:pStyle w:val="TableFigureFooter"/>
        <w:widowControl w:val="0"/>
        <w:rPr>
          <w:szCs w:val="18"/>
        </w:rPr>
      </w:pPr>
      <w:r w:rsidRPr="00A655A1">
        <w:t xml:space="preserve">Source: </w:t>
      </w:r>
      <w:r w:rsidRPr="00A655A1">
        <w:rPr>
          <w:iCs/>
        </w:rPr>
        <w:t>developed during the evaluation</w:t>
      </w:r>
      <w:r w:rsidRPr="00A655A1">
        <w:t xml:space="preserve">, </w:t>
      </w:r>
      <w:r w:rsidRPr="00A655A1">
        <w:rPr>
          <w:szCs w:val="18"/>
        </w:rPr>
        <w:t>using results in Excel workbook PBAC_March 2021_XPOVIO Selinexor_RRMM_XVd_Section 3 CMA vs Kd_Final</w:t>
      </w:r>
    </w:p>
    <w:p w:rsidR="00EA5E41" w:rsidRPr="00A655A1" w:rsidRDefault="00EA5E41" w:rsidP="00EA5E41">
      <w:pPr>
        <w:pStyle w:val="TableFigureFooter"/>
        <w:widowControl w:val="0"/>
      </w:pPr>
      <w:r w:rsidRPr="00A655A1">
        <w:rPr>
          <w:szCs w:val="18"/>
        </w:rPr>
        <w:t>AEMP = approved ex-manufacturer price; DI = dose intensity</w:t>
      </w:r>
      <w:r w:rsidRPr="00A655A1">
        <w:t>; PBS = Pharmaceutical Benefits Scheme; SBd = selinexor + bortezomib + dexamethasone</w:t>
      </w:r>
    </w:p>
    <w:p w:rsidR="00EA5E41" w:rsidRPr="00A655A1" w:rsidRDefault="00865474" w:rsidP="00EA5E41">
      <w:pPr>
        <w:pStyle w:val="TableFigureFooter"/>
        <w:rPr>
          <w:iCs/>
        </w:rPr>
      </w:pPr>
      <w:r w:rsidRPr="00A655A1">
        <w:rPr>
          <w:iCs/>
        </w:rPr>
        <w:t xml:space="preserve">a. </w:t>
      </w:r>
      <w:r w:rsidR="00EA5E41" w:rsidRPr="00A655A1">
        <w:rPr>
          <w:iCs/>
        </w:rPr>
        <w:t xml:space="preserve">See section 3A.6 for the discussion of BOSTON dose intensity </w:t>
      </w:r>
    </w:p>
    <w:p w:rsidR="00EA5E41" w:rsidRPr="00A655A1" w:rsidRDefault="00865474" w:rsidP="00EA5E41">
      <w:pPr>
        <w:pStyle w:val="TableFigureFooter"/>
        <w:rPr>
          <w:iCs/>
        </w:rPr>
      </w:pPr>
      <w:r w:rsidRPr="00A655A1">
        <w:rPr>
          <w:iCs/>
        </w:rPr>
        <w:t xml:space="preserve">b. </w:t>
      </w:r>
      <w:r w:rsidR="00EA5E41" w:rsidRPr="00A655A1">
        <w:rPr>
          <w:iCs/>
        </w:rPr>
        <w:t>Calculated by the submission as the actual dose (20 mg x 90.6%) ÷ 4 mg tablets x $</w:t>
      </w:r>
      <w:r w:rsidR="007004AE">
        <w:rPr>
          <w:iCs/>
          <w:noProof/>
          <w:color w:val="000000"/>
          <w:highlight w:val="black"/>
        </w:rPr>
        <w:t>''''''''''</w:t>
      </w:r>
      <w:r w:rsidR="00EA5E41" w:rsidRPr="00A655A1">
        <w:rPr>
          <w:iCs/>
        </w:rPr>
        <w:t xml:space="preserve"> per tablet. </w:t>
      </w:r>
    </w:p>
    <w:p w:rsidR="00EA5E41" w:rsidRPr="00A655A1" w:rsidRDefault="00865474" w:rsidP="00EA5E41">
      <w:pPr>
        <w:pStyle w:val="TableFigureFooter"/>
        <w:rPr>
          <w:iCs/>
        </w:rPr>
      </w:pPr>
      <w:r w:rsidRPr="00A655A1">
        <w:rPr>
          <w:iCs/>
        </w:rPr>
        <w:t xml:space="preserve">c. </w:t>
      </w:r>
      <w:r w:rsidR="00EA5E41" w:rsidRPr="00A655A1">
        <w:rPr>
          <w:iCs/>
        </w:rPr>
        <w:t>Calculated by the submission as the actual dose (100 mg x 80.0%) ÷ 20 mg tablets x $</w:t>
      </w:r>
      <w:r w:rsidR="007004AE">
        <w:rPr>
          <w:iCs/>
          <w:noProof/>
          <w:color w:val="000000"/>
          <w:highlight w:val="black"/>
        </w:rPr>
        <w:t>''''''''''''''''</w:t>
      </w:r>
      <w:r w:rsidR="00EA5E41" w:rsidRPr="00A655A1">
        <w:rPr>
          <w:iCs/>
        </w:rPr>
        <w:t xml:space="preserve"> per tablet.</w:t>
      </w:r>
    </w:p>
    <w:p w:rsidR="005431C0" w:rsidRPr="00A655A1" w:rsidRDefault="00865474" w:rsidP="00844DF9">
      <w:pPr>
        <w:pStyle w:val="TableFigureFooter"/>
        <w:rPr>
          <w:iCs/>
        </w:rPr>
      </w:pPr>
      <w:r w:rsidRPr="00A655A1">
        <w:rPr>
          <w:iCs/>
        </w:rPr>
        <w:t>d.</w:t>
      </w:r>
      <w:r w:rsidRPr="00A655A1">
        <w:rPr>
          <w:iCs/>
          <w:vertAlign w:val="superscript"/>
        </w:rPr>
        <w:t xml:space="preserve"> </w:t>
      </w:r>
      <w:r w:rsidR="00EA5E41" w:rsidRPr="00A655A1">
        <w:rPr>
          <w:iCs/>
        </w:rPr>
        <w:t>The duration of treatment with SBd was made equivalent to that of Cd (279.4 days = 7.98 SBd cycles and 9.98 Cd cycles) within the CMA.</w:t>
      </w:r>
    </w:p>
    <w:p w:rsidR="0049426C" w:rsidRPr="00A655A1" w:rsidRDefault="0049426C" w:rsidP="0049426C">
      <w:pPr>
        <w:pStyle w:val="3-BodyText"/>
      </w:pPr>
      <w:r w:rsidRPr="00A655A1">
        <w:t>The results of the key sensitivity analyses are summarised in</w:t>
      </w:r>
      <w:r w:rsidR="00B304BF" w:rsidRPr="00A655A1">
        <w:t xml:space="preserve"> </w:t>
      </w:r>
      <w:r w:rsidR="002569EF">
        <w:t>Table 22</w:t>
      </w:r>
      <w:r w:rsidR="00B304BF" w:rsidRPr="00A655A1">
        <w:t>.</w:t>
      </w:r>
      <w:r w:rsidR="00FF0BC2" w:rsidRPr="00A655A1">
        <w:rPr>
          <w:i/>
          <w:iCs/>
        </w:rPr>
        <w:t xml:space="preserve"> </w:t>
      </w:r>
      <w:r w:rsidR="00FF0BC2" w:rsidRPr="00A655A1">
        <w:rPr>
          <w:iCs/>
        </w:rPr>
        <w:t xml:space="preserve">The </w:t>
      </w:r>
      <w:r w:rsidR="00E33D58" w:rsidRPr="00A655A1">
        <w:rPr>
          <w:iCs/>
        </w:rPr>
        <w:t xml:space="preserve">ESC noted that the </w:t>
      </w:r>
      <w:r w:rsidR="00FF0BC2" w:rsidRPr="00A655A1">
        <w:rPr>
          <w:iCs/>
        </w:rPr>
        <w:t xml:space="preserve">selinexor AEMP was sensitive to </w:t>
      </w:r>
      <w:r w:rsidR="00FF0BC2" w:rsidRPr="00A655A1">
        <w:rPr>
          <w:rFonts w:eastAsiaTheme="minorEastAsia" w:cs="Calibri"/>
          <w:iCs/>
          <w:lang w:eastAsia="en-US"/>
        </w:rPr>
        <w:t>weekly Cd use</w:t>
      </w:r>
      <w:r w:rsidR="00FF0BC2" w:rsidRPr="00A655A1">
        <w:rPr>
          <w:iCs/>
        </w:rPr>
        <w:t xml:space="preserve"> and the dose intensity of selinexor.</w:t>
      </w:r>
    </w:p>
    <w:p w:rsidR="00B304BF" w:rsidRPr="00A655A1" w:rsidRDefault="00B304BF" w:rsidP="003D1070">
      <w:pPr>
        <w:pStyle w:val="TableFigureHeading"/>
        <w:widowControl w:val="0"/>
      </w:pPr>
      <w:bookmarkStart w:id="41" w:name="_Ref69392877"/>
      <w:r w:rsidRPr="00A655A1">
        <w:t xml:space="preserve">Table </w:t>
      </w:r>
      <w:bookmarkEnd w:id="41"/>
      <w:r w:rsidR="00AB56E2" w:rsidRPr="00A655A1">
        <w:t>22</w:t>
      </w:r>
      <w:r w:rsidRPr="00A655A1">
        <w:t>: Sensitivity analyses selinexor AEMP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firstRow="1" w:lastRow="0" w:firstColumn="1" w:lastColumn="0" w:noHBand="0" w:noVBand="1"/>
      </w:tblPr>
      <w:tblGrid>
        <w:gridCol w:w="1114"/>
        <w:gridCol w:w="1858"/>
        <w:gridCol w:w="1825"/>
        <w:gridCol w:w="1055"/>
        <w:gridCol w:w="1055"/>
        <w:gridCol w:w="1055"/>
        <w:gridCol w:w="1055"/>
      </w:tblGrid>
      <w:tr w:rsidR="004B6D46" w:rsidRPr="00A655A1" w:rsidTr="00AB56E2">
        <w:trPr>
          <w:tblHeader/>
        </w:trPr>
        <w:tc>
          <w:tcPr>
            <w:tcW w:w="618" w:type="pct"/>
            <w:vAlign w:val="center"/>
          </w:tcPr>
          <w:p w:rsidR="004B6D46" w:rsidRPr="00A655A1" w:rsidRDefault="004B6D46" w:rsidP="00A8065C">
            <w:pPr>
              <w:widowControl w:val="0"/>
              <w:ind w:right="-100" w:hanging="47"/>
              <w:jc w:val="center"/>
              <w:rPr>
                <w:rFonts w:ascii="Arial Narrow" w:eastAsiaTheme="majorEastAsia" w:hAnsi="Arial Narrow" w:cs="Times New Roman"/>
                <w:b/>
                <w:iCs/>
                <w:sz w:val="20"/>
              </w:rPr>
            </w:pPr>
          </w:p>
        </w:tc>
        <w:tc>
          <w:tcPr>
            <w:tcW w:w="1030" w:type="pct"/>
            <w:vAlign w:val="center"/>
          </w:tcPr>
          <w:p w:rsidR="004B6D46" w:rsidRPr="00A655A1" w:rsidRDefault="004B6D46" w:rsidP="00A8065C">
            <w:pPr>
              <w:widowControl w:val="0"/>
              <w:ind w:right="-100" w:hanging="47"/>
              <w:jc w:val="center"/>
              <w:rPr>
                <w:rFonts w:ascii="Arial Narrow" w:eastAsiaTheme="majorEastAsia" w:hAnsi="Arial Narrow" w:cs="Times New Roman"/>
                <w:b/>
                <w:iCs/>
                <w:sz w:val="20"/>
              </w:rPr>
            </w:pPr>
            <w:r w:rsidRPr="00A655A1">
              <w:rPr>
                <w:rFonts w:ascii="Arial Narrow" w:eastAsiaTheme="majorEastAsia" w:hAnsi="Arial Narrow" w:cs="Times New Roman"/>
                <w:b/>
                <w:iCs/>
                <w:sz w:val="20"/>
              </w:rPr>
              <w:t xml:space="preserve">Base case value </w:t>
            </w:r>
          </w:p>
        </w:tc>
        <w:tc>
          <w:tcPr>
            <w:tcW w:w="1012" w:type="pct"/>
            <w:vAlign w:val="center"/>
          </w:tcPr>
          <w:p w:rsidR="004B6D46" w:rsidRPr="00A655A1" w:rsidRDefault="00744901" w:rsidP="00A8065C">
            <w:pPr>
              <w:pStyle w:val="TableText0"/>
              <w:keepNext w:val="0"/>
              <w:widowControl w:val="0"/>
              <w:rPr>
                <w:rFonts w:cs="Times New Roman"/>
                <w:b/>
                <w:bCs w:val="0"/>
                <w:iCs/>
              </w:rPr>
            </w:pPr>
            <w:r w:rsidRPr="00A655A1">
              <w:rPr>
                <w:b/>
                <w:bCs w:val="0"/>
              </w:rPr>
              <w:t>Scenario analysis value</w:t>
            </w:r>
          </w:p>
        </w:tc>
        <w:tc>
          <w:tcPr>
            <w:tcW w:w="585" w:type="pct"/>
            <w:vAlign w:val="center"/>
          </w:tcPr>
          <w:p w:rsidR="004B6D46" w:rsidRPr="00A655A1" w:rsidRDefault="004B6D46" w:rsidP="00A8065C">
            <w:pPr>
              <w:widowControl w:val="0"/>
              <w:ind w:right="-100" w:hanging="47"/>
              <w:jc w:val="center"/>
              <w:rPr>
                <w:rFonts w:ascii="Arial Narrow" w:eastAsiaTheme="majorEastAsia" w:hAnsi="Arial Narrow" w:cs="Times New Roman"/>
                <w:b/>
                <w:iCs/>
                <w:sz w:val="20"/>
              </w:rPr>
            </w:pPr>
            <w:r w:rsidRPr="00A655A1">
              <w:rPr>
                <w:rFonts w:ascii="Arial Narrow" w:eastAsiaTheme="majorEastAsia" w:hAnsi="Arial Narrow" w:cs="Times New Roman"/>
                <w:b/>
                <w:iCs/>
                <w:sz w:val="20"/>
              </w:rPr>
              <w:t xml:space="preserve">Total cost of Cd </w:t>
            </w:r>
          </w:p>
        </w:tc>
        <w:tc>
          <w:tcPr>
            <w:tcW w:w="585" w:type="pct"/>
            <w:vAlign w:val="center"/>
          </w:tcPr>
          <w:p w:rsidR="004B6D46" w:rsidRPr="00A655A1" w:rsidRDefault="004B6D46" w:rsidP="00A8065C">
            <w:pPr>
              <w:widowControl w:val="0"/>
              <w:ind w:right="-100" w:hanging="47"/>
              <w:jc w:val="center"/>
              <w:rPr>
                <w:rFonts w:ascii="Arial Narrow" w:eastAsiaTheme="majorEastAsia" w:hAnsi="Arial Narrow" w:cs="Times New Roman"/>
                <w:b/>
                <w:iCs/>
                <w:sz w:val="20"/>
              </w:rPr>
            </w:pPr>
            <w:r w:rsidRPr="00A655A1">
              <w:rPr>
                <w:rFonts w:ascii="Arial Narrow" w:eastAsiaTheme="majorEastAsia" w:hAnsi="Arial Narrow" w:cs="Times New Roman"/>
                <w:b/>
                <w:iCs/>
                <w:sz w:val="20"/>
              </w:rPr>
              <w:t xml:space="preserve">Total cost of Bd </w:t>
            </w:r>
            <w:r w:rsidRPr="00A655A1">
              <w:rPr>
                <w:rFonts w:ascii="Arial Narrow" w:eastAsiaTheme="majorEastAsia" w:hAnsi="Arial Narrow" w:cs="Times New Roman"/>
                <w:b/>
                <w:iCs/>
                <w:sz w:val="20"/>
                <w:vertAlign w:val="superscript"/>
              </w:rPr>
              <w:t>a</w:t>
            </w:r>
          </w:p>
        </w:tc>
        <w:tc>
          <w:tcPr>
            <w:tcW w:w="585" w:type="pct"/>
            <w:vAlign w:val="center"/>
          </w:tcPr>
          <w:p w:rsidR="004B6D46" w:rsidRPr="00A655A1" w:rsidRDefault="004B6D46" w:rsidP="00A8065C">
            <w:pPr>
              <w:widowControl w:val="0"/>
              <w:ind w:right="-100" w:hanging="47"/>
              <w:jc w:val="center"/>
              <w:rPr>
                <w:rFonts w:ascii="Arial Narrow" w:eastAsiaTheme="majorEastAsia" w:hAnsi="Arial Narrow" w:cs="Times New Roman"/>
                <w:b/>
                <w:iCs/>
                <w:sz w:val="20"/>
              </w:rPr>
            </w:pPr>
            <w:r w:rsidRPr="00A655A1">
              <w:rPr>
                <w:rFonts w:ascii="Arial Narrow" w:eastAsiaTheme="majorEastAsia" w:hAnsi="Arial Narrow" w:cs="Times New Roman"/>
                <w:b/>
                <w:iCs/>
                <w:sz w:val="20"/>
              </w:rPr>
              <w:t xml:space="preserve">Total cost of selinexor </w:t>
            </w:r>
            <w:r w:rsidRPr="00A655A1">
              <w:rPr>
                <w:rFonts w:ascii="Arial Narrow" w:eastAsiaTheme="majorEastAsia" w:hAnsi="Arial Narrow" w:cs="Times New Roman"/>
                <w:b/>
                <w:bCs/>
                <w:iCs/>
                <w:sz w:val="20"/>
                <w:vertAlign w:val="superscript"/>
              </w:rPr>
              <w:t>b</w:t>
            </w:r>
          </w:p>
        </w:tc>
        <w:tc>
          <w:tcPr>
            <w:tcW w:w="585" w:type="pct"/>
            <w:vAlign w:val="center"/>
          </w:tcPr>
          <w:p w:rsidR="004B6D46" w:rsidRPr="00A655A1" w:rsidRDefault="004B6D46" w:rsidP="00A8065C">
            <w:pPr>
              <w:widowControl w:val="0"/>
              <w:ind w:right="-100" w:hanging="47"/>
              <w:jc w:val="center"/>
              <w:rPr>
                <w:rFonts w:ascii="Arial Narrow" w:eastAsiaTheme="majorEastAsia" w:hAnsi="Arial Narrow" w:cs="Times New Roman"/>
                <w:b/>
                <w:iCs/>
                <w:sz w:val="20"/>
              </w:rPr>
            </w:pPr>
            <w:r w:rsidRPr="00A655A1">
              <w:rPr>
                <w:rFonts w:ascii="Arial Narrow" w:eastAsiaTheme="majorEastAsia" w:hAnsi="Arial Narrow" w:cs="Times New Roman"/>
                <w:b/>
                <w:iCs/>
                <w:sz w:val="20"/>
              </w:rPr>
              <w:t xml:space="preserve">Selinexor AEMP estimation </w:t>
            </w:r>
          </w:p>
        </w:tc>
      </w:tr>
      <w:tr w:rsidR="00744901" w:rsidRPr="00A655A1" w:rsidTr="007347EF">
        <w:tc>
          <w:tcPr>
            <w:tcW w:w="2660" w:type="pct"/>
            <w:gridSpan w:val="3"/>
            <w:vAlign w:val="center"/>
          </w:tcPr>
          <w:p w:rsidR="00744901" w:rsidRPr="00A655A1" w:rsidRDefault="00744901" w:rsidP="00A8065C">
            <w:pPr>
              <w:widowControl w:val="0"/>
              <w:ind w:right="-100" w:hanging="47"/>
              <w:jc w:val="left"/>
              <w:rPr>
                <w:rFonts w:ascii="Arial Narrow" w:eastAsiaTheme="majorEastAsia" w:hAnsi="Arial Narrow" w:cs="Times New Roman"/>
                <w:b/>
                <w:bCs/>
                <w:sz w:val="20"/>
              </w:rPr>
            </w:pPr>
            <w:r w:rsidRPr="00A655A1">
              <w:rPr>
                <w:rFonts w:ascii="Arial Narrow" w:eastAsiaTheme="majorEastAsia" w:hAnsi="Arial Narrow" w:cs="Times New Roman"/>
                <w:b/>
                <w:bCs/>
                <w:sz w:val="20"/>
              </w:rPr>
              <w:t>Base case</w:t>
            </w:r>
          </w:p>
        </w:tc>
        <w:tc>
          <w:tcPr>
            <w:tcW w:w="585" w:type="pct"/>
            <w:vAlign w:val="center"/>
          </w:tcPr>
          <w:p w:rsidR="00744901" w:rsidRPr="00A655A1" w:rsidRDefault="00744901" w:rsidP="00A8065C">
            <w:pPr>
              <w:widowControl w:val="0"/>
              <w:ind w:right="-100" w:hanging="47"/>
              <w:jc w:val="center"/>
              <w:rPr>
                <w:rFonts w:ascii="Arial Narrow" w:eastAsiaTheme="majorEastAsia" w:hAnsi="Arial Narrow" w:cs="Times New Roman"/>
                <w:b/>
                <w:bCs/>
                <w:sz w:val="20"/>
              </w:rPr>
            </w:pPr>
            <w:r w:rsidRPr="00A655A1">
              <w:rPr>
                <w:rFonts w:ascii="Arial Narrow" w:eastAsiaTheme="majorEastAsia" w:hAnsi="Arial Narrow" w:cs="Times New Roman"/>
                <w:b/>
                <w:bCs/>
                <w:sz w:val="20"/>
              </w:rPr>
              <w:t>$</w:t>
            </w:r>
            <w:r w:rsidRPr="00047EC3">
              <w:rPr>
                <w:rFonts w:ascii="Arial Narrow" w:eastAsiaTheme="majorEastAsia" w:hAnsi="Arial Narrow" w:cs="Times New Roman"/>
                <w:b/>
                <w:bCs/>
                <w:sz w:val="20"/>
              </w:rPr>
              <w:t>118,572.99</w:t>
            </w:r>
          </w:p>
        </w:tc>
        <w:tc>
          <w:tcPr>
            <w:tcW w:w="585" w:type="pct"/>
            <w:vAlign w:val="center"/>
          </w:tcPr>
          <w:p w:rsidR="00744901" w:rsidRPr="00A655A1" w:rsidRDefault="00744901" w:rsidP="00A8065C">
            <w:pPr>
              <w:widowControl w:val="0"/>
              <w:ind w:right="-100" w:hanging="47"/>
              <w:jc w:val="center"/>
              <w:rPr>
                <w:rFonts w:ascii="Arial Narrow" w:eastAsiaTheme="majorEastAsia" w:hAnsi="Arial Narrow" w:cs="Times New Roman"/>
                <w:b/>
                <w:bCs/>
                <w:iCs/>
                <w:sz w:val="20"/>
              </w:rPr>
            </w:pPr>
            <w:r w:rsidRPr="00A655A1">
              <w:rPr>
                <w:rFonts w:ascii="Arial Narrow" w:eastAsiaTheme="majorEastAsia" w:hAnsi="Arial Narrow" w:cs="Times New Roman"/>
                <w:b/>
                <w:bCs/>
                <w:iCs/>
                <w:sz w:val="20"/>
              </w:rPr>
              <w:t>$</w:t>
            </w:r>
            <w:r w:rsidRPr="00E707FD">
              <w:rPr>
                <w:rFonts w:ascii="Arial Narrow" w:eastAsiaTheme="majorEastAsia" w:hAnsi="Arial Narrow" w:cs="Times New Roman"/>
                <w:b/>
                <w:bCs/>
                <w:iCs/>
                <w:sz w:val="20"/>
              </w:rPr>
              <w:t>22,142.76</w:t>
            </w:r>
          </w:p>
        </w:tc>
        <w:tc>
          <w:tcPr>
            <w:tcW w:w="585" w:type="pct"/>
            <w:vAlign w:val="center"/>
          </w:tcPr>
          <w:p w:rsidR="00744901" w:rsidRPr="00A655A1" w:rsidRDefault="00744901" w:rsidP="00A8065C">
            <w:pPr>
              <w:widowControl w:val="0"/>
              <w:ind w:right="-100" w:hanging="47"/>
              <w:jc w:val="center"/>
              <w:rPr>
                <w:rFonts w:ascii="Arial Narrow" w:eastAsiaTheme="majorEastAsia" w:hAnsi="Arial Narrow" w:cs="Times New Roman"/>
                <w:b/>
                <w:bCs/>
                <w:iCs/>
                <w:sz w:val="20"/>
              </w:rPr>
            </w:pPr>
            <w:r w:rsidRPr="00A655A1">
              <w:rPr>
                <w:rFonts w:ascii="Arial Narrow" w:eastAsiaTheme="majorEastAsia" w:hAnsi="Arial Narrow" w:cs="Times New Roman"/>
                <w:b/>
                <w:bCs/>
                <w:iCs/>
                <w:sz w:val="20"/>
              </w:rPr>
              <w:t>$</w:t>
            </w:r>
            <w:r w:rsidR="007004AE">
              <w:rPr>
                <w:rFonts w:ascii="Arial Narrow" w:eastAsiaTheme="majorEastAsia" w:hAnsi="Arial Narrow" w:cs="Times New Roman"/>
                <w:b/>
                <w:bCs/>
                <w:iCs/>
                <w:noProof/>
                <w:color w:val="000000"/>
                <w:sz w:val="20"/>
                <w:highlight w:val="black"/>
              </w:rPr>
              <w:t>'''''''''''''''''''''</w:t>
            </w:r>
          </w:p>
        </w:tc>
        <w:tc>
          <w:tcPr>
            <w:tcW w:w="585" w:type="pct"/>
            <w:vAlign w:val="center"/>
          </w:tcPr>
          <w:p w:rsidR="00744901" w:rsidRPr="00A655A1" w:rsidRDefault="00744901" w:rsidP="00A8065C">
            <w:pPr>
              <w:widowControl w:val="0"/>
              <w:ind w:right="-100" w:hanging="47"/>
              <w:jc w:val="center"/>
              <w:rPr>
                <w:rFonts w:ascii="Arial Narrow" w:eastAsiaTheme="majorEastAsia" w:hAnsi="Arial Narrow" w:cs="Times New Roman"/>
                <w:b/>
                <w:bCs/>
                <w:sz w:val="20"/>
              </w:rPr>
            </w:pPr>
            <w:r w:rsidRPr="00A655A1">
              <w:rPr>
                <w:rFonts w:ascii="Arial Narrow" w:eastAsiaTheme="majorEastAsia" w:hAnsi="Arial Narrow" w:cs="Times New Roman"/>
                <w:b/>
                <w:bCs/>
                <w:sz w:val="20"/>
              </w:rPr>
              <w:t>$</w:t>
            </w:r>
            <w:r w:rsidR="007004AE">
              <w:rPr>
                <w:rFonts w:ascii="Arial Narrow" w:eastAsiaTheme="majorEastAsia" w:hAnsi="Arial Narrow" w:cs="Times New Roman"/>
                <w:b/>
                <w:bCs/>
                <w:noProof/>
                <w:color w:val="000000"/>
                <w:sz w:val="20"/>
                <w:highlight w:val="black"/>
              </w:rPr>
              <w:t>'''''''''''''''''''''</w:t>
            </w:r>
          </w:p>
        </w:tc>
      </w:tr>
      <w:tr w:rsidR="002E185B" w:rsidRPr="00A655A1" w:rsidTr="00AB56E2">
        <w:tc>
          <w:tcPr>
            <w:tcW w:w="618" w:type="pct"/>
            <w:vAlign w:val="center"/>
          </w:tcPr>
          <w:p w:rsidR="002E185B" w:rsidRPr="00A655A1" w:rsidRDefault="002E185B" w:rsidP="00A8065C">
            <w:pPr>
              <w:widowControl w:val="0"/>
              <w:ind w:right="-100" w:hanging="47"/>
              <w:jc w:val="left"/>
              <w:rPr>
                <w:rFonts w:ascii="Arial Narrow" w:eastAsiaTheme="majorEastAsia" w:hAnsi="Arial Narrow" w:cs="Times New Roman"/>
                <w:sz w:val="20"/>
              </w:rPr>
            </w:pPr>
            <w:r w:rsidRPr="00A655A1">
              <w:rPr>
                <w:rFonts w:ascii="Arial Narrow" w:eastAsiaTheme="majorEastAsia" w:hAnsi="Arial Narrow" w:cs="Times New Roman"/>
                <w:sz w:val="20"/>
              </w:rPr>
              <w:t>Cd utilisation</w:t>
            </w:r>
          </w:p>
        </w:tc>
        <w:tc>
          <w:tcPr>
            <w:tcW w:w="1030" w:type="pct"/>
            <w:vAlign w:val="center"/>
          </w:tcPr>
          <w:p w:rsidR="002E185B" w:rsidRPr="00A655A1" w:rsidRDefault="002E185B" w:rsidP="00A8065C">
            <w:pPr>
              <w:widowControl w:val="0"/>
              <w:ind w:right="-100" w:hanging="47"/>
              <w:jc w:val="left"/>
              <w:rPr>
                <w:rFonts w:ascii="Arial Narrow" w:eastAsiaTheme="majorEastAsia" w:hAnsi="Arial Narrow" w:cs="Times New Roman"/>
                <w:sz w:val="20"/>
              </w:rPr>
            </w:pPr>
            <w:r w:rsidRPr="00A655A1">
              <w:rPr>
                <w:rFonts w:ascii="Arial Narrow" w:eastAsiaTheme="majorEastAsia" w:hAnsi="Arial Narrow" w:cs="Times New Roman"/>
                <w:sz w:val="20"/>
              </w:rPr>
              <w:t>100% Cd twice weekly</w:t>
            </w:r>
          </w:p>
        </w:tc>
        <w:tc>
          <w:tcPr>
            <w:tcW w:w="1012" w:type="pct"/>
            <w:vAlign w:val="center"/>
          </w:tcPr>
          <w:p w:rsidR="002E185B" w:rsidRPr="00A655A1" w:rsidRDefault="00F501F2" w:rsidP="00A8065C">
            <w:pPr>
              <w:widowControl w:val="0"/>
              <w:ind w:right="-100"/>
              <w:jc w:val="left"/>
              <w:rPr>
                <w:rFonts w:ascii="Arial Narrow" w:eastAsiaTheme="majorEastAsia" w:hAnsi="Arial Narrow" w:cs="Times New Roman"/>
                <w:sz w:val="20"/>
              </w:rPr>
            </w:pPr>
            <w:r w:rsidRPr="00A655A1">
              <w:rPr>
                <w:rFonts w:ascii="Arial Narrow" w:eastAsiaTheme="majorEastAsia" w:hAnsi="Arial Narrow" w:cs="Times New Roman"/>
                <w:sz w:val="20"/>
              </w:rPr>
              <w:t>10</w:t>
            </w:r>
            <w:r w:rsidR="002E185B" w:rsidRPr="00A655A1">
              <w:rPr>
                <w:rFonts w:ascii="Arial Narrow" w:eastAsiaTheme="majorEastAsia" w:hAnsi="Arial Narrow" w:cs="Times New Roman"/>
                <w:sz w:val="20"/>
              </w:rPr>
              <w:t>0% Cd weekly</w:t>
            </w:r>
          </w:p>
        </w:tc>
        <w:tc>
          <w:tcPr>
            <w:tcW w:w="585" w:type="pct"/>
            <w:vAlign w:val="center"/>
          </w:tcPr>
          <w:p w:rsidR="002E185B" w:rsidRPr="00A655A1" w:rsidRDefault="002E185B" w:rsidP="00A8065C">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00C7158D" w:rsidRPr="00047EC3">
              <w:rPr>
                <w:rFonts w:ascii="Arial Narrow" w:eastAsiaTheme="majorEastAsia" w:hAnsi="Arial Narrow" w:cs="Times New Roman"/>
                <w:iCs/>
                <w:sz w:val="20"/>
              </w:rPr>
              <w:t>77,673.08</w:t>
            </w:r>
          </w:p>
        </w:tc>
        <w:tc>
          <w:tcPr>
            <w:tcW w:w="585" w:type="pct"/>
            <w:vAlign w:val="center"/>
          </w:tcPr>
          <w:p w:rsidR="002E185B" w:rsidRPr="00A655A1" w:rsidRDefault="002E185B" w:rsidP="00A8065C">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Pr="00E707FD">
              <w:rPr>
                <w:rFonts w:ascii="Arial Narrow" w:eastAsiaTheme="majorEastAsia" w:hAnsi="Arial Narrow" w:cs="Times New Roman"/>
                <w:iCs/>
                <w:sz w:val="20"/>
              </w:rPr>
              <w:t>22,142.76</w:t>
            </w:r>
          </w:p>
        </w:tc>
        <w:tc>
          <w:tcPr>
            <w:tcW w:w="585" w:type="pct"/>
            <w:vAlign w:val="center"/>
          </w:tcPr>
          <w:p w:rsidR="002E185B" w:rsidRPr="00A655A1" w:rsidRDefault="002E185B" w:rsidP="00A8065C">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007004AE">
              <w:rPr>
                <w:rFonts w:ascii="Arial Narrow" w:eastAsiaTheme="majorEastAsia" w:hAnsi="Arial Narrow" w:cs="Times New Roman"/>
                <w:iCs/>
                <w:noProof/>
                <w:color w:val="000000"/>
                <w:sz w:val="20"/>
                <w:highlight w:val="black"/>
              </w:rPr>
              <w:t>'''''''''''''''''''''''''</w:t>
            </w:r>
          </w:p>
        </w:tc>
        <w:tc>
          <w:tcPr>
            <w:tcW w:w="585" w:type="pct"/>
            <w:vAlign w:val="center"/>
          </w:tcPr>
          <w:p w:rsidR="002E185B" w:rsidRPr="007004AE" w:rsidRDefault="002E185B" w:rsidP="00A8065C">
            <w:pPr>
              <w:widowControl w:val="0"/>
              <w:ind w:right="-100" w:hanging="47"/>
              <w:jc w:val="center"/>
              <w:rPr>
                <w:rFonts w:ascii="Arial Narrow" w:eastAsiaTheme="majorEastAsia" w:hAnsi="Arial Narrow" w:cs="Times New Roman"/>
                <w:iCs/>
                <w:sz w:val="20"/>
              </w:rPr>
            </w:pPr>
            <w:r w:rsidRPr="001B0094">
              <w:rPr>
                <w:rFonts w:ascii="Arial Narrow" w:eastAsiaTheme="majorEastAsia" w:hAnsi="Arial Narrow" w:cs="Times New Roman"/>
                <w:iCs/>
                <w:sz w:val="20"/>
              </w:rPr>
              <w:t>$</w:t>
            </w:r>
            <w:r w:rsidR="007004AE">
              <w:rPr>
                <w:rFonts w:ascii="Arial Narrow" w:eastAsiaTheme="majorEastAsia" w:hAnsi="Arial Narrow" w:cs="Times New Roman"/>
                <w:iCs/>
                <w:noProof/>
                <w:color w:val="000000"/>
                <w:sz w:val="20"/>
                <w:highlight w:val="black"/>
              </w:rPr>
              <w:t>'''''''''''''''''''''</w:t>
            </w:r>
          </w:p>
        </w:tc>
      </w:tr>
      <w:tr w:rsidR="00C5168D" w:rsidRPr="00A655A1" w:rsidTr="00AB56E2">
        <w:tc>
          <w:tcPr>
            <w:tcW w:w="618" w:type="pct"/>
            <w:vMerge w:val="restart"/>
            <w:vAlign w:val="center"/>
          </w:tcPr>
          <w:p w:rsidR="00C5168D" w:rsidRPr="00A655A1" w:rsidRDefault="00C5168D" w:rsidP="00C5168D">
            <w:pPr>
              <w:widowControl w:val="0"/>
              <w:ind w:right="-100" w:hanging="47"/>
              <w:jc w:val="left"/>
              <w:rPr>
                <w:rFonts w:ascii="Arial Narrow" w:eastAsiaTheme="majorEastAsia" w:hAnsi="Arial Narrow" w:cs="Times New Roman"/>
                <w:iCs/>
                <w:sz w:val="20"/>
              </w:rPr>
            </w:pPr>
            <w:r w:rsidRPr="00A655A1">
              <w:rPr>
                <w:rFonts w:ascii="Arial Narrow" w:eastAsiaTheme="majorEastAsia" w:hAnsi="Arial Narrow" w:cs="Times New Roman"/>
                <w:iCs/>
                <w:sz w:val="20"/>
              </w:rPr>
              <w:t>DI and median DOT</w:t>
            </w:r>
          </w:p>
        </w:tc>
        <w:tc>
          <w:tcPr>
            <w:tcW w:w="1030" w:type="pct"/>
            <w:vAlign w:val="center"/>
          </w:tcPr>
          <w:p w:rsidR="00C5168D" w:rsidRPr="00A655A1" w:rsidRDefault="00C5168D" w:rsidP="00C5168D">
            <w:pPr>
              <w:widowControl w:val="0"/>
              <w:ind w:right="-100" w:hanging="47"/>
              <w:jc w:val="left"/>
              <w:rPr>
                <w:rFonts w:ascii="Arial Narrow" w:eastAsiaTheme="majorEastAsia" w:hAnsi="Arial Narrow" w:cs="Times New Roman"/>
                <w:iCs/>
                <w:sz w:val="20"/>
              </w:rPr>
            </w:pPr>
            <w:r w:rsidRPr="00A655A1">
              <w:rPr>
                <w:rFonts w:ascii="Arial Narrow" w:eastAsiaTheme="majorEastAsia" w:hAnsi="Arial Narrow" w:cs="Times New Roman"/>
                <w:iCs/>
                <w:sz w:val="20"/>
              </w:rPr>
              <w:t>DI</w:t>
            </w:r>
            <w:r w:rsidR="00AB56E2" w:rsidRPr="00A655A1">
              <w:rPr>
                <w:rFonts w:ascii="Arial Narrow" w:eastAsiaTheme="majorEastAsia" w:hAnsi="Arial Narrow" w:cs="Times New Roman"/>
                <w:iCs/>
                <w:sz w:val="20"/>
              </w:rPr>
              <w:t>:</w:t>
            </w:r>
            <w:r w:rsidRPr="00A655A1">
              <w:rPr>
                <w:rFonts w:ascii="Arial Narrow" w:eastAsiaTheme="majorEastAsia" w:hAnsi="Arial Narrow" w:cs="Times New Roman"/>
                <w:iCs/>
                <w:sz w:val="20"/>
              </w:rPr>
              <w:t xml:space="preserve"> C </w:t>
            </w:r>
            <w:r w:rsidR="00AB56E2" w:rsidRPr="00A655A1">
              <w:rPr>
                <w:rFonts w:ascii="Arial Narrow" w:eastAsiaTheme="majorEastAsia" w:hAnsi="Arial Narrow" w:cs="Times New Roman"/>
                <w:iCs/>
                <w:sz w:val="20"/>
              </w:rPr>
              <w:t xml:space="preserve">= </w:t>
            </w:r>
            <w:r w:rsidRPr="00A655A1">
              <w:rPr>
                <w:rFonts w:ascii="Arial Narrow" w:eastAsiaTheme="majorEastAsia" w:hAnsi="Arial Narrow" w:cs="Times New Roman"/>
                <w:iCs/>
                <w:sz w:val="20"/>
              </w:rPr>
              <w:t>87.0%</w:t>
            </w:r>
            <w:r w:rsidR="00AB56E2" w:rsidRPr="00A655A1">
              <w:rPr>
                <w:rFonts w:ascii="Arial Narrow" w:eastAsiaTheme="majorEastAsia" w:hAnsi="Arial Narrow" w:cs="Times New Roman"/>
                <w:iCs/>
                <w:sz w:val="20"/>
              </w:rPr>
              <w:t>,</w:t>
            </w:r>
            <w:r w:rsidRPr="00A655A1">
              <w:rPr>
                <w:rFonts w:ascii="Arial Narrow" w:eastAsiaTheme="majorEastAsia" w:hAnsi="Arial Narrow" w:cs="Times New Roman"/>
                <w:iCs/>
                <w:sz w:val="20"/>
              </w:rPr>
              <w:t xml:space="preserve"> d </w:t>
            </w:r>
            <w:r w:rsidR="00AB56E2" w:rsidRPr="00A655A1">
              <w:rPr>
                <w:rFonts w:ascii="Arial Narrow" w:eastAsiaTheme="majorEastAsia" w:hAnsi="Arial Narrow" w:cs="Times New Roman"/>
                <w:iCs/>
                <w:sz w:val="20"/>
              </w:rPr>
              <w:t xml:space="preserve">= </w:t>
            </w:r>
            <w:r w:rsidRPr="00A655A1">
              <w:rPr>
                <w:rFonts w:ascii="Arial Narrow" w:eastAsiaTheme="majorEastAsia" w:hAnsi="Arial Narrow" w:cs="Times New Roman"/>
                <w:iCs/>
                <w:sz w:val="20"/>
              </w:rPr>
              <w:t>90.6%</w:t>
            </w:r>
          </w:p>
          <w:p w:rsidR="00C5168D" w:rsidRPr="00A655A1" w:rsidRDefault="00C5168D" w:rsidP="00AB56E2">
            <w:pPr>
              <w:widowControl w:val="0"/>
              <w:ind w:right="-100" w:hanging="47"/>
              <w:jc w:val="left"/>
              <w:rPr>
                <w:rFonts w:ascii="Arial Narrow" w:eastAsiaTheme="majorEastAsia" w:hAnsi="Arial Narrow" w:cs="Times New Roman"/>
                <w:iCs/>
                <w:sz w:val="20"/>
              </w:rPr>
            </w:pPr>
            <w:r w:rsidRPr="00A655A1">
              <w:rPr>
                <w:rFonts w:ascii="Arial Narrow" w:eastAsiaTheme="majorEastAsia" w:hAnsi="Arial Narrow" w:cs="Times New Roman"/>
                <w:iCs/>
                <w:sz w:val="20"/>
              </w:rPr>
              <w:t>DOT</w:t>
            </w:r>
            <w:r w:rsidR="00AB56E2" w:rsidRPr="00A655A1">
              <w:rPr>
                <w:rFonts w:ascii="Arial Narrow" w:eastAsiaTheme="majorEastAsia" w:hAnsi="Arial Narrow" w:cs="Times New Roman"/>
                <w:iCs/>
                <w:sz w:val="20"/>
              </w:rPr>
              <w:t>:</w:t>
            </w:r>
            <w:r w:rsidRPr="00A655A1">
              <w:rPr>
                <w:rFonts w:ascii="Arial Narrow" w:eastAsiaTheme="majorEastAsia" w:hAnsi="Arial Narrow" w:cs="Times New Roman"/>
                <w:iCs/>
                <w:sz w:val="20"/>
              </w:rPr>
              <w:t xml:space="preserve"> </w:t>
            </w:r>
            <w:r w:rsidR="00AB56E2" w:rsidRPr="00A655A1">
              <w:rPr>
                <w:rFonts w:ascii="Arial Narrow" w:eastAsiaTheme="majorEastAsia" w:hAnsi="Arial Narrow" w:cs="Times New Roman"/>
                <w:iCs/>
                <w:sz w:val="20"/>
              </w:rPr>
              <w:t xml:space="preserve">Cd = </w:t>
            </w:r>
            <w:r w:rsidRPr="00A655A1">
              <w:rPr>
                <w:rFonts w:ascii="Arial Narrow" w:eastAsiaTheme="majorEastAsia" w:hAnsi="Arial Narrow" w:cs="Times New Roman"/>
                <w:iCs/>
                <w:sz w:val="20"/>
              </w:rPr>
              <w:t>9.</w:t>
            </w:r>
            <w:r w:rsidR="000503F2" w:rsidRPr="00A655A1">
              <w:rPr>
                <w:rFonts w:ascii="Arial Narrow" w:eastAsiaTheme="majorEastAsia" w:hAnsi="Arial Narrow" w:cs="Times New Roman"/>
                <w:iCs/>
                <w:sz w:val="20"/>
              </w:rPr>
              <w:t>1</w:t>
            </w:r>
            <w:r w:rsidRPr="00A655A1">
              <w:rPr>
                <w:rFonts w:ascii="Arial Narrow" w:eastAsiaTheme="majorEastAsia" w:hAnsi="Arial Narrow" w:cs="Times New Roman"/>
                <w:iCs/>
                <w:sz w:val="20"/>
              </w:rPr>
              <w:t xml:space="preserve">8 months </w:t>
            </w:r>
          </w:p>
        </w:tc>
        <w:tc>
          <w:tcPr>
            <w:tcW w:w="1012" w:type="pct"/>
            <w:vAlign w:val="center"/>
          </w:tcPr>
          <w:p w:rsidR="00AB56E2" w:rsidRPr="00A655A1" w:rsidRDefault="00C5168D" w:rsidP="00AB56E2">
            <w:pPr>
              <w:widowControl w:val="0"/>
              <w:ind w:right="-100" w:hanging="47"/>
              <w:jc w:val="left"/>
              <w:rPr>
                <w:rFonts w:ascii="Arial Narrow" w:eastAsiaTheme="majorEastAsia" w:hAnsi="Arial Narrow" w:cs="Times New Roman"/>
                <w:iCs/>
                <w:sz w:val="20"/>
              </w:rPr>
            </w:pPr>
            <w:r w:rsidRPr="00A655A1">
              <w:rPr>
                <w:rFonts w:ascii="Arial Narrow" w:eastAsiaTheme="majorEastAsia" w:hAnsi="Arial Narrow" w:cs="Times New Roman"/>
                <w:iCs/>
                <w:sz w:val="20"/>
              </w:rPr>
              <w:t>D</w:t>
            </w:r>
            <w:r w:rsidR="00AB56E2" w:rsidRPr="00A655A1">
              <w:rPr>
                <w:rFonts w:ascii="Arial Narrow" w:eastAsiaTheme="majorEastAsia" w:hAnsi="Arial Narrow" w:cs="Times New Roman"/>
                <w:iCs/>
                <w:sz w:val="20"/>
              </w:rPr>
              <w:t>I:</w:t>
            </w:r>
            <w:r w:rsidRPr="00A655A1">
              <w:rPr>
                <w:rFonts w:ascii="Arial Narrow" w:eastAsiaTheme="majorEastAsia" w:hAnsi="Arial Narrow" w:cs="Times New Roman"/>
                <w:iCs/>
                <w:sz w:val="20"/>
              </w:rPr>
              <w:t xml:space="preserve"> Cd </w:t>
            </w:r>
            <w:r w:rsidR="00AB56E2" w:rsidRPr="00A655A1">
              <w:rPr>
                <w:rFonts w:ascii="Arial Narrow" w:eastAsiaTheme="majorEastAsia" w:hAnsi="Arial Narrow" w:cs="Times New Roman"/>
                <w:iCs/>
                <w:sz w:val="20"/>
              </w:rPr>
              <w:t xml:space="preserve">= </w:t>
            </w:r>
            <w:r w:rsidRPr="00A655A1">
              <w:rPr>
                <w:rFonts w:ascii="Arial Narrow" w:eastAsiaTheme="majorEastAsia" w:hAnsi="Arial Narrow" w:cs="Times New Roman"/>
                <w:iCs/>
                <w:sz w:val="20"/>
              </w:rPr>
              <w:t xml:space="preserve">91.0% </w:t>
            </w:r>
          </w:p>
          <w:p w:rsidR="00C5168D" w:rsidRPr="00A655A1" w:rsidRDefault="00AB56E2" w:rsidP="00AB56E2">
            <w:pPr>
              <w:widowControl w:val="0"/>
              <w:ind w:right="-100" w:hanging="47"/>
              <w:jc w:val="left"/>
              <w:rPr>
                <w:rFonts w:ascii="Arial Narrow" w:eastAsiaTheme="majorEastAsia" w:hAnsi="Arial Narrow" w:cs="Times New Roman"/>
                <w:iCs/>
                <w:sz w:val="20"/>
                <w:vertAlign w:val="superscript"/>
              </w:rPr>
            </w:pPr>
            <w:r w:rsidRPr="00A655A1">
              <w:rPr>
                <w:rFonts w:ascii="Arial Narrow" w:eastAsiaTheme="majorEastAsia" w:hAnsi="Arial Narrow" w:cs="Times New Roman"/>
                <w:iCs/>
                <w:sz w:val="20"/>
              </w:rPr>
              <w:t xml:space="preserve">DOT: Cd = </w:t>
            </w:r>
            <w:r w:rsidR="00C5168D" w:rsidRPr="00A655A1">
              <w:rPr>
                <w:rFonts w:ascii="Arial Narrow" w:eastAsiaTheme="majorEastAsia" w:hAnsi="Arial Narrow" w:cs="Times New Roman"/>
                <w:iCs/>
                <w:sz w:val="20"/>
              </w:rPr>
              <w:t>48.0 weeks</w:t>
            </w:r>
            <w:r w:rsidRPr="00A655A1">
              <w:rPr>
                <w:rFonts w:ascii="Arial Narrow" w:eastAsiaTheme="majorEastAsia" w:hAnsi="Arial Narrow" w:cs="Times New Roman"/>
                <w:iCs/>
                <w:sz w:val="20"/>
              </w:rPr>
              <w:t xml:space="preserve">/ </w:t>
            </w:r>
            <w:r w:rsidR="00C5168D" w:rsidRPr="00A655A1">
              <w:rPr>
                <w:rFonts w:ascii="Arial Narrow" w:eastAsiaTheme="majorEastAsia" w:hAnsi="Arial Narrow" w:cs="Times New Roman"/>
                <w:iCs/>
                <w:sz w:val="20"/>
              </w:rPr>
              <w:t>12 cycles</w:t>
            </w:r>
            <w:r w:rsidR="00750484" w:rsidRPr="00A655A1">
              <w:rPr>
                <w:rFonts w:ascii="Arial Narrow" w:eastAsiaTheme="majorEastAsia" w:hAnsi="Arial Narrow" w:cs="Times New Roman"/>
                <w:iCs/>
                <w:sz w:val="20"/>
              </w:rPr>
              <w:t xml:space="preserve"> </w:t>
            </w:r>
            <w:r w:rsidR="00750484" w:rsidRPr="00A655A1">
              <w:rPr>
                <w:rFonts w:ascii="Arial Narrow" w:eastAsiaTheme="majorEastAsia" w:hAnsi="Arial Narrow" w:cs="Times New Roman"/>
                <w:iCs/>
                <w:sz w:val="20"/>
                <w:vertAlign w:val="superscript"/>
              </w:rPr>
              <w:t>c</w:t>
            </w:r>
          </w:p>
        </w:tc>
        <w:tc>
          <w:tcPr>
            <w:tcW w:w="585" w:type="pct"/>
            <w:vAlign w:val="center"/>
          </w:tcPr>
          <w:p w:rsidR="00C5168D" w:rsidRPr="00A655A1" w:rsidRDefault="00C5168D" w:rsidP="00C5168D">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Pr="00047EC3">
              <w:rPr>
                <w:rFonts w:ascii="Arial Narrow" w:eastAsiaTheme="majorEastAsia" w:hAnsi="Arial Narrow" w:cs="Times New Roman"/>
                <w:iCs/>
                <w:sz w:val="20"/>
              </w:rPr>
              <w:t>143,021.89</w:t>
            </w:r>
          </w:p>
        </w:tc>
        <w:tc>
          <w:tcPr>
            <w:tcW w:w="585" w:type="pct"/>
            <w:vAlign w:val="center"/>
          </w:tcPr>
          <w:p w:rsidR="00C5168D" w:rsidRPr="00A655A1" w:rsidRDefault="00C5168D" w:rsidP="00C5168D">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Pr="00E707FD">
              <w:rPr>
                <w:rFonts w:ascii="Arial Narrow" w:eastAsiaTheme="majorEastAsia" w:hAnsi="Arial Narrow" w:cs="Times New Roman"/>
                <w:iCs/>
                <w:sz w:val="20"/>
              </w:rPr>
              <w:t>22,142.76</w:t>
            </w:r>
          </w:p>
        </w:tc>
        <w:tc>
          <w:tcPr>
            <w:tcW w:w="585" w:type="pct"/>
            <w:vAlign w:val="center"/>
          </w:tcPr>
          <w:p w:rsidR="00C5168D" w:rsidRPr="00A655A1" w:rsidRDefault="00C5168D" w:rsidP="00C5168D">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007004AE">
              <w:rPr>
                <w:rFonts w:ascii="Arial Narrow" w:eastAsiaTheme="majorEastAsia" w:hAnsi="Arial Narrow" w:cs="Times New Roman"/>
                <w:iCs/>
                <w:noProof/>
                <w:color w:val="000000"/>
                <w:sz w:val="20"/>
                <w:highlight w:val="black"/>
              </w:rPr>
              <w:t>''''''''''''''''''''''''''</w:t>
            </w:r>
          </w:p>
        </w:tc>
        <w:tc>
          <w:tcPr>
            <w:tcW w:w="585" w:type="pct"/>
            <w:vAlign w:val="center"/>
          </w:tcPr>
          <w:p w:rsidR="00C5168D" w:rsidRPr="00A655A1" w:rsidRDefault="00C5168D" w:rsidP="00C5168D">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007004AE">
              <w:rPr>
                <w:rFonts w:ascii="Arial Narrow" w:eastAsiaTheme="majorEastAsia" w:hAnsi="Arial Narrow" w:cs="Times New Roman"/>
                <w:iCs/>
                <w:noProof/>
                <w:color w:val="000000"/>
                <w:sz w:val="20"/>
                <w:highlight w:val="black"/>
              </w:rPr>
              <w:t>'''''''''''''''''''''</w:t>
            </w:r>
          </w:p>
        </w:tc>
      </w:tr>
      <w:tr w:rsidR="00EF70A5" w:rsidRPr="00A655A1" w:rsidTr="00AB56E2">
        <w:tc>
          <w:tcPr>
            <w:tcW w:w="618" w:type="pct"/>
            <w:vMerge/>
            <w:vAlign w:val="center"/>
          </w:tcPr>
          <w:p w:rsidR="00EF70A5" w:rsidRPr="00A655A1" w:rsidRDefault="00EF70A5" w:rsidP="00C5168D">
            <w:pPr>
              <w:widowControl w:val="0"/>
              <w:ind w:right="-100" w:hanging="47"/>
              <w:jc w:val="left"/>
              <w:rPr>
                <w:rFonts w:ascii="Arial Narrow" w:eastAsiaTheme="majorEastAsia" w:hAnsi="Arial Narrow" w:cs="Times New Roman"/>
                <w:iCs/>
                <w:sz w:val="20"/>
              </w:rPr>
            </w:pPr>
          </w:p>
        </w:tc>
        <w:tc>
          <w:tcPr>
            <w:tcW w:w="1030" w:type="pct"/>
            <w:vMerge w:val="restart"/>
            <w:vAlign w:val="center"/>
          </w:tcPr>
          <w:p w:rsidR="00EF70A5" w:rsidRPr="00A655A1" w:rsidRDefault="00EF70A5" w:rsidP="00A8065C">
            <w:pPr>
              <w:widowControl w:val="0"/>
              <w:ind w:right="-100" w:hanging="47"/>
              <w:jc w:val="left"/>
              <w:rPr>
                <w:rFonts w:ascii="Arial Narrow" w:eastAsiaTheme="majorEastAsia" w:hAnsi="Arial Narrow" w:cs="Times New Roman"/>
                <w:iCs/>
                <w:sz w:val="20"/>
              </w:rPr>
            </w:pPr>
            <w:r w:rsidRPr="00A655A1">
              <w:rPr>
                <w:rFonts w:ascii="Arial Narrow" w:eastAsiaTheme="majorEastAsia" w:hAnsi="Arial Narrow" w:cs="Times New Roman"/>
                <w:iCs/>
                <w:sz w:val="20"/>
              </w:rPr>
              <w:t>D</w:t>
            </w:r>
            <w:r w:rsidR="00AB56E2" w:rsidRPr="00A655A1">
              <w:rPr>
                <w:rFonts w:ascii="Arial Narrow" w:eastAsiaTheme="majorEastAsia" w:hAnsi="Arial Narrow" w:cs="Times New Roman"/>
                <w:iCs/>
                <w:sz w:val="20"/>
              </w:rPr>
              <w:t>I:</w:t>
            </w:r>
            <w:r w:rsidRPr="00A655A1">
              <w:rPr>
                <w:rFonts w:ascii="Arial Narrow" w:eastAsiaTheme="majorEastAsia" w:hAnsi="Arial Narrow" w:cs="Times New Roman"/>
                <w:iCs/>
                <w:sz w:val="20"/>
              </w:rPr>
              <w:t xml:space="preserve"> S </w:t>
            </w:r>
            <w:r w:rsidR="00AB56E2" w:rsidRPr="00A655A1">
              <w:rPr>
                <w:rFonts w:ascii="Arial Narrow" w:eastAsiaTheme="majorEastAsia" w:hAnsi="Arial Narrow" w:cs="Times New Roman"/>
                <w:iCs/>
                <w:sz w:val="20"/>
              </w:rPr>
              <w:t xml:space="preserve">= </w:t>
            </w:r>
            <w:r w:rsidRPr="00A655A1">
              <w:rPr>
                <w:rFonts w:ascii="Arial Narrow" w:eastAsiaTheme="majorEastAsia" w:hAnsi="Arial Narrow" w:cs="Times New Roman"/>
                <w:iCs/>
                <w:sz w:val="20"/>
              </w:rPr>
              <w:t>80%</w:t>
            </w:r>
          </w:p>
          <w:p w:rsidR="00EF70A5" w:rsidRPr="00A655A1" w:rsidRDefault="00EF70A5" w:rsidP="00AB56E2">
            <w:pPr>
              <w:widowControl w:val="0"/>
              <w:ind w:right="-100" w:hanging="47"/>
              <w:jc w:val="left"/>
              <w:rPr>
                <w:rFonts w:ascii="Arial Narrow" w:eastAsiaTheme="majorEastAsia" w:hAnsi="Arial Narrow" w:cs="Times New Roman"/>
                <w:iCs/>
                <w:sz w:val="20"/>
              </w:rPr>
            </w:pPr>
            <w:r w:rsidRPr="00A655A1">
              <w:rPr>
                <w:rFonts w:ascii="Arial Narrow" w:eastAsiaTheme="majorEastAsia" w:hAnsi="Arial Narrow" w:cs="Times New Roman"/>
                <w:iCs/>
                <w:sz w:val="20"/>
              </w:rPr>
              <w:t>DOT</w:t>
            </w:r>
            <w:r w:rsidR="00AB56E2" w:rsidRPr="00A655A1">
              <w:rPr>
                <w:rFonts w:ascii="Arial Narrow" w:eastAsiaTheme="majorEastAsia" w:hAnsi="Arial Narrow" w:cs="Times New Roman"/>
                <w:iCs/>
                <w:sz w:val="20"/>
              </w:rPr>
              <w:t>:</w:t>
            </w:r>
            <w:r w:rsidRPr="00A655A1">
              <w:rPr>
                <w:rFonts w:ascii="Arial Narrow" w:eastAsiaTheme="majorEastAsia" w:hAnsi="Arial Narrow" w:cs="Times New Roman"/>
                <w:iCs/>
                <w:sz w:val="20"/>
              </w:rPr>
              <w:t xml:space="preserve"> </w:t>
            </w:r>
            <w:r w:rsidR="00AB56E2" w:rsidRPr="00A655A1">
              <w:rPr>
                <w:rFonts w:ascii="Arial Narrow" w:eastAsiaTheme="majorEastAsia" w:hAnsi="Arial Narrow" w:cs="Times New Roman"/>
                <w:iCs/>
                <w:sz w:val="20"/>
              </w:rPr>
              <w:t xml:space="preserve">SBd = </w:t>
            </w:r>
            <w:r w:rsidRPr="00A655A1">
              <w:rPr>
                <w:rFonts w:ascii="Arial Narrow" w:eastAsiaTheme="majorEastAsia" w:hAnsi="Arial Narrow" w:cs="Times New Roman"/>
                <w:iCs/>
                <w:sz w:val="20"/>
              </w:rPr>
              <w:t>9.</w:t>
            </w:r>
            <w:r w:rsidR="000503F2" w:rsidRPr="00A655A1">
              <w:rPr>
                <w:rFonts w:ascii="Arial Narrow" w:eastAsiaTheme="majorEastAsia" w:hAnsi="Arial Narrow" w:cs="Times New Roman"/>
                <w:iCs/>
                <w:sz w:val="20"/>
              </w:rPr>
              <w:t>1</w:t>
            </w:r>
            <w:r w:rsidRPr="00A655A1">
              <w:rPr>
                <w:rFonts w:ascii="Arial Narrow" w:eastAsiaTheme="majorEastAsia" w:hAnsi="Arial Narrow" w:cs="Times New Roman"/>
                <w:iCs/>
                <w:sz w:val="20"/>
              </w:rPr>
              <w:t xml:space="preserve">8 months </w:t>
            </w:r>
          </w:p>
        </w:tc>
        <w:tc>
          <w:tcPr>
            <w:tcW w:w="1012" w:type="pct"/>
            <w:vAlign w:val="center"/>
          </w:tcPr>
          <w:p w:rsidR="00EF70A5" w:rsidRPr="00A655A1" w:rsidRDefault="00EF70A5" w:rsidP="00AB56E2">
            <w:pPr>
              <w:widowControl w:val="0"/>
              <w:ind w:right="-100" w:hanging="47"/>
              <w:jc w:val="left"/>
              <w:rPr>
                <w:rFonts w:ascii="Arial Narrow" w:eastAsiaTheme="majorEastAsia" w:hAnsi="Arial Narrow" w:cs="Times New Roman"/>
                <w:iCs/>
                <w:sz w:val="20"/>
                <w:vertAlign w:val="superscript"/>
              </w:rPr>
            </w:pPr>
            <w:r w:rsidRPr="00A655A1">
              <w:rPr>
                <w:rFonts w:ascii="Arial Narrow" w:eastAsiaTheme="majorEastAsia" w:hAnsi="Arial Narrow" w:cs="Times New Roman"/>
                <w:iCs/>
                <w:sz w:val="20"/>
              </w:rPr>
              <w:t>D</w:t>
            </w:r>
            <w:r w:rsidR="00AB56E2" w:rsidRPr="00A655A1">
              <w:rPr>
                <w:rFonts w:ascii="Arial Narrow" w:eastAsiaTheme="majorEastAsia" w:hAnsi="Arial Narrow" w:cs="Times New Roman"/>
                <w:iCs/>
                <w:sz w:val="20"/>
              </w:rPr>
              <w:t xml:space="preserve">OT: </w:t>
            </w:r>
            <w:r w:rsidRPr="00A655A1">
              <w:rPr>
                <w:rFonts w:ascii="Arial Narrow" w:eastAsiaTheme="majorEastAsia" w:hAnsi="Arial Narrow" w:cs="Times New Roman"/>
                <w:iCs/>
                <w:sz w:val="20"/>
              </w:rPr>
              <w:t>SBd</w:t>
            </w:r>
            <w:r w:rsidR="00AB56E2" w:rsidRPr="00A655A1">
              <w:rPr>
                <w:rFonts w:ascii="Arial Narrow" w:eastAsiaTheme="majorEastAsia" w:hAnsi="Arial Narrow" w:cs="Times New Roman"/>
                <w:iCs/>
                <w:sz w:val="20"/>
              </w:rPr>
              <w:t xml:space="preserve"> = 12.73 months/</w:t>
            </w:r>
            <w:r w:rsidR="00BC24BF" w:rsidRPr="00A655A1">
              <w:rPr>
                <w:rFonts w:ascii="Arial Narrow" w:eastAsiaTheme="majorEastAsia" w:hAnsi="Arial Narrow" w:cs="Times New Roman"/>
                <w:iCs/>
                <w:sz w:val="20"/>
              </w:rPr>
              <w:t>11.07 cycles</w:t>
            </w:r>
            <w:r w:rsidR="004B6716" w:rsidRPr="00A655A1">
              <w:rPr>
                <w:rFonts w:ascii="Arial Narrow" w:eastAsiaTheme="majorEastAsia" w:hAnsi="Arial Narrow" w:cs="Times New Roman"/>
                <w:iCs/>
                <w:sz w:val="20"/>
              </w:rPr>
              <w:t xml:space="preserve"> </w:t>
            </w:r>
            <w:r w:rsidR="004B6716" w:rsidRPr="00A655A1">
              <w:rPr>
                <w:rFonts w:ascii="Arial Narrow" w:eastAsiaTheme="majorEastAsia" w:hAnsi="Arial Narrow" w:cs="Times New Roman"/>
                <w:iCs/>
                <w:sz w:val="20"/>
                <w:vertAlign w:val="superscript"/>
              </w:rPr>
              <w:t>d</w:t>
            </w:r>
          </w:p>
        </w:tc>
        <w:tc>
          <w:tcPr>
            <w:tcW w:w="585" w:type="pct"/>
            <w:vAlign w:val="center"/>
          </w:tcPr>
          <w:p w:rsidR="00EF70A5" w:rsidRPr="00A655A1" w:rsidRDefault="00EF70A5" w:rsidP="00C5168D">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Pr="00047EC3">
              <w:rPr>
                <w:rFonts w:ascii="Arial Narrow" w:eastAsiaTheme="majorEastAsia" w:hAnsi="Arial Narrow" w:cs="Times New Roman"/>
                <w:iCs/>
                <w:sz w:val="20"/>
              </w:rPr>
              <w:t>118,572.99</w:t>
            </w:r>
          </w:p>
        </w:tc>
        <w:tc>
          <w:tcPr>
            <w:tcW w:w="585" w:type="pct"/>
            <w:vAlign w:val="center"/>
          </w:tcPr>
          <w:p w:rsidR="00EF70A5" w:rsidRPr="00A655A1" w:rsidRDefault="00EF70A5" w:rsidP="00C5168D">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Pr="00E707FD">
              <w:rPr>
                <w:rFonts w:ascii="Arial Narrow" w:eastAsiaTheme="majorEastAsia" w:hAnsi="Arial Narrow" w:cs="Times New Roman"/>
                <w:iCs/>
                <w:sz w:val="20"/>
              </w:rPr>
              <w:t>30,705.84</w:t>
            </w:r>
          </w:p>
        </w:tc>
        <w:tc>
          <w:tcPr>
            <w:tcW w:w="585" w:type="pct"/>
            <w:vAlign w:val="center"/>
          </w:tcPr>
          <w:p w:rsidR="00EF70A5" w:rsidRPr="00A655A1" w:rsidRDefault="00EF70A5" w:rsidP="00C5168D">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007004AE">
              <w:rPr>
                <w:rFonts w:ascii="Arial Narrow" w:eastAsiaTheme="majorEastAsia" w:hAnsi="Arial Narrow" w:cs="Times New Roman"/>
                <w:iCs/>
                <w:noProof/>
                <w:color w:val="000000"/>
                <w:sz w:val="20"/>
                <w:highlight w:val="black"/>
              </w:rPr>
              <w:t>''''''''''''''''''''''</w:t>
            </w:r>
          </w:p>
        </w:tc>
        <w:tc>
          <w:tcPr>
            <w:tcW w:w="585" w:type="pct"/>
            <w:vAlign w:val="center"/>
          </w:tcPr>
          <w:p w:rsidR="00EF70A5" w:rsidRPr="00A655A1" w:rsidRDefault="00EF70A5" w:rsidP="00C5168D">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007004AE">
              <w:rPr>
                <w:rFonts w:ascii="Arial Narrow" w:eastAsiaTheme="majorEastAsia" w:hAnsi="Arial Narrow" w:cs="Times New Roman"/>
                <w:iCs/>
                <w:noProof/>
                <w:color w:val="000000"/>
                <w:sz w:val="20"/>
                <w:highlight w:val="black"/>
              </w:rPr>
              <w:t>'''''''''''''''''''''''</w:t>
            </w:r>
          </w:p>
        </w:tc>
      </w:tr>
      <w:tr w:rsidR="00EF70A5" w:rsidRPr="00A655A1" w:rsidTr="00AB56E2">
        <w:tc>
          <w:tcPr>
            <w:tcW w:w="618" w:type="pct"/>
            <w:vMerge/>
            <w:vAlign w:val="center"/>
          </w:tcPr>
          <w:p w:rsidR="00EF70A5" w:rsidRPr="00A655A1" w:rsidRDefault="00EF70A5" w:rsidP="00A8065C">
            <w:pPr>
              <w:widowControl w:val="0"/>
              <w:ind w:right="-100" w:hanging="47"/>
              <w:jc w:val="left"/>
              <w:rPr>
                <w:rFonts w:ascii="Arial Narrow" w:eastAsiaTheme="majorEastAsia" w:hAnsi="Arial Narrow" w:cs="Times New Roman"/>
                <w:iCs/>
                <w:sz w:val="20"/>
              </w:rPr>
            </w:pPr>
          </w:p>
        </w:tc>
        <w:tc>
          <w:tcPr>
            <w:tcW w:w="1030" w:type="pct"/>
            <w:vMerge/>
            <w:vAlign w:val="center"/>
          </w:tcPr>
          <w:p w:rsidR="00EF70A5" w:rsidRPr="00A655A1" w:rsidRDefault="00EF70A5" w:rsidP="00A8065C">
            <w:pPr>
              <w:widowControl w:val="0"/>
              <w:ind w:right="-100" w:hanging="47"/>
              <w:jc w:val="left"/>
              <w:rPr>
                <w:rFonts w:ascii="Arial Narrow" w:eastAsiaTheme="majorEastAsia" w:hAnsi="Arial Narrow" w:cs="Times New Roman"/>
                <w:iCs/>
                <w:sz w:val="20"/>
              </w:rPr>
            </w:pPr>
          </w:p>
        </w:tc>
        <w:tc>
          <w:tcPr>
            <w:tcW w:w="1012" w:type="pct"/>
            <w:vAlign w:val="center"/>
          </w:tcPr>
          <w:p w:rsidR="00EF70A5" w:rsidRPr="00A655A1" w:rsidRDefault="00AB56E2" w:rsidP="00AB56E2">
            <w:pPr>
              <w:widowControl w:val="0"/>
              <w:ind w:right="-100" w:hanging="47"/>
              <w:jc w:val="left"/>
              <w:rPr>
                <w:rFonts w:ascii="Arial Narrow" w:eastAsiaTheme="majorEastAsia" w:hAnsi="Arial Narrow" w:cs="Times New Roman"/>
                <w:iCs/>
                <w:sz w:val="20"/>
              </w:rPr>
            </w:pPr>
            <w:r w:rsidRPr="00A655A1">
              <w:rPr>
                <w:rFonts w:ascii="Arial Narrow" w:eastAsiaTheme="majorEastAsia" w:hAnsi="Arial Narrow" w:cs="Times New Roman"/>
                <w:iCs/>
                <w:sz w:val="20"/>
              </w:rPr>
              <w:t xml:space="preserve">DI: S = </w:t>
            </w:r>
            <w:r w:rsidR="00EF70A5" w:rsidRPr="00A655A1">
              <w:rPr>
                <w:rFonts w:ascii="Arial Narrow" w:eastAsiaTheme="majorEastAsia" w:hAnsi="Arial Narrow" w:cs="Times New Roman"/>
                <w:iCs/>
                <w:sz w:val="20"/>
              </w:rPr>
              <w:t xml:space="preserve">100% </w:t>
            </w:r>
          </w:p>
        </w:tc>
        <w:tc>
          <w:tcPr>
            <w:tcW w:w="585" w:type="pct"/>
            <w:vAlign w:val="center"/>
          </w:tcPr>
          <w:p w:rsidR="00EF70A5" w:rsidRPr="00A655A1" w:rsidRDefault="00EF70A5" w:rsidP="00A8065C">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Pr="00047EC3">
              <w:rPr>
                <w:rFonts w:ascii="Arial Narrow" w:eastAsiaTheme="majorEastAsia" w:hAnsi="Arial Narrow" w:cs="Times New Roman"/>
                <w:iCs/>
                <w:sz w:val="20"/>
              </w:rPr>
              <w:t>118,572.99</w:t>
            </w:r>
          </w:p>
        </w:tc>
        <w:tc>
          <w:tcPr>
            <w:tcW w:w="585" w:type="pct"/>
            <w:vAlign w:val="center"/>
          </w:tcPr>
          <w:p w:rsidR="00EF70A5" w:rsidRPr="00A655A1" w:rsidRDefault="00EF70A5" w:rsidP="00A8065C">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Pr="00E707FD">
              <w:rPr>
                <w:rFonts w:ascii="Arial Narrow" w:eastAsiaTheme="majorEastAsia" w:hAnsi="Arial Narrow" w:cs="Times New Roman"/>
                <w:iCs/>
                <w:sz w:val="20"/>
              </w:rPr>
              <w:t>22,142.76</w:t>
            </w:r>
          </w:p>
        </w:tc>
        <w:tc>
          <w:tcPr>
            <w:tcW w:w="585" w:type="pct"/>
            <w:vAlign w:val="center"/>
          </w:tcPr>
          <w:p w:rsidR="00EF70A5" w:rsidRPr="00A655A1" w:rsidRDefault="00EF70A5" w:rsidP="00A8065C">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007004AE">
              <w:rPr>
                <w:rFonts w:ascii="Arial Narrow" w:eastAsiaTheme="majorEastAsia" w:hAnsi="Arial Narrow" w:cs="Times New Roman"/>
                <w:iCs/>
                <w:noProof/>
                <w:color w:val="000000"/>
                <w:sz w:val="20"/>
                <w:highlight w:val="black"/>
              </w:rPr>
              <w:t>'''''''''''''''''''''</w:t>
            </w:r>
          </w:p>
        </w:tc>
        <w:tc>
          <w:tcPr>
            <w:tcW w:w="585" w:type="pct"/>
            <w:vAlign w:val="center"/>
          </w:tcPr>
          <w:p w:rsidR="00EF70A5" w:rsidRPr="00A655A1" w:rsidRDefault="00EF70A5" w:rsidP="00A8065C">
            <w:pPr>
              <w:widowControl w:val="0"/>
              <w:ind w:right="-100" w:hanging="47"/>
              <w:jc w:val="center"/>
              <w:rPr>
                <w:rFonts w:ascii="Arial Narrow" w:eastAsiaTheme="majorEastAsia" w:hAnsi="Arial Narrow" w:cs="Times New Roman"/>
                <w:iCs/>
                <w:sz w:val="20"/>
              </w:rPr>
            </w:pPr>
            <w:r w:rsidRPr="00A655A1">
              <w:rPr>
                <w:rFonts w:ascii="Arial Narrow" w:eastAsiaTheme="majorEastAsia" w:hAnsi="Arial Narrow" w:cs="Times New Roman"/>
                <w:iCs/>
                <w:sz w:val="20"/>
              </w:rPr>
              <w:t>$</w:t>
            </w:r>
            <w:r w:rsidR="007004AE">
              <w:rPr>
                <w:rFonts w:ascii="Arial Narrow" w:eastAsiaTheme="majorEastAsia" w:hAnsi="Arial Narrow" w:cs="Times New Roman"/>
                <w:iCs/>
                <w:noProof/>
                <w:color w:val="000000"/>
                <w:sz w:val="20"/>
                <w:highlight w:val="black"/>
              </w:rPr>
              <w:t>'''''''''''''''''''''''</w:t>
            </w:r>
          </w:p>
        </w:tc>
      </w:tr>
    </w:tbl>
    <w:p w:rsidR="002A46E6" w:rsidRPr="00A655A1" w:rsidRDefault="002A46E6" w:rsidP="00A8065C">
      <w:pPr>
        <w:pStyle w:val="TableFigureFooter"/>
        <w:widowControl w:val="0"/>
      </w:pPr>
      <w:r w:rsidRPr="00A655A1">
        <w:t xml:space="preserve">Source: calculated during evaluation, Table 3-36 of the submission </w:t>
      </w:r>
    </w:p>
    <w:p w:rsidR="002A46E6" w:rsidRPr="00A655A1" w:rsidRDefault="002A46E6" w:rsidP="00A8065C">
      <w:pPr>
        <w:pStyle w:val="TableFigureFooter"/>
        <w:widowControl w:val="0"/>
        <w:rPr>
          <w:iCs/>
        </w:rPr>
      </w:pPr>
      <w:r w:rsidRPr="00A655A1">
        <w:rPr>
          <w:iCs/>
        </w:rPr>
        <w:t xml:space="preserve">AEMP = approved ex-manufacturer price; Bd = bortezomib + dexamethasone; </w:t>
      </w:r>
      <w:r w:rsidR="001B5D1B" w:rsidRPr="00A655A1">
        <w:rPr>
          <w:iCs/>
        </w:rPr>
        <w:t xml:space="preserve">C = carfilzomib; </w:t>
      </w:r>
      <w:r w:rsidRPr="00A655A1">
        <w:rPr>
          <w:iCs/>
        </w:rPr>
        <w:t>Cd = carfilzomib + dexamethasone</w:t>
      </w:r>
      <w:r w:rsidR="001B5D1B" w:rsidRPr="00A655A1">
        <w:rPr>
          <w:iCs/>
        </w:rPr>
        <w:t xml:space="preserve">; d = dexamethasone; </w:t>
      </w:r>
      <w:r w:rsidR="00E61CC2" w:rsidRPr="00A655A1">
        <w:rPr>
          <w:iCs/>
        </w:rPr>
        <w:t xml:space="preserve">DI = dose intensity; </w:t>
      </w:r>
      <w:r w:rsidR="007347EF" w:rsidRPr="00A655A1">
        <w:rPr>
          <w:iCs/>
        </w:rPr>
        <w:t xml:space="preserve">DOT = duration of treatment; </w:t>
      </w:r>
      <w:r w:rsidR="001B5D1B" w:rsidRPr="00A655A1">
        <w:rPr>
          <w:iCs/>
        </w:rPr>
        <w:t xml:space="preserve">S = selinexor </w:t>
      </w:r>
    </w:p>
    <w:p w:rsidR="002A46E6" w:rsidRPr="00A655A1" w:rsidRDefault="00865474" w:rsidP="00A8065C">
      <w:pPr>
        <w:pStyle w:val="TableFigureFooter"/>
        <w:widowControl w:val="0"/>
        <w:rPr>
          <w:iCs/>
          <w:szCs w:val="18"/>
        </w:rPr>
      </w:pPr>
      <w:r w:rsidRPr="00A655A1">
        <w:rPr>
          <w:iCs/>
          <w:szCs w:val="18"/>
        </w:rPr>
        <w:t xml:space="preserve">a. </w:t>
      </w:r>
      <w:r w:rsidR="002A46E6" w:rsidRPr="00A655A1">
        <w:rPr>
          <w:iCs/>
          <w:szCs w:val="18"/>
        </w:rPr>
        <w:t>As part of SBd backbone</w:t>
      </w:r>
    </w:p>
    <w:p w:rsidR="002A46E6" w:rsidRPr="00A655A1" w:rsidRDefault="00865474" w:rsidP="00A8065C">
      <w:pPr>
        <w:pStyle w:val="TableFigureFooter"/>
        <w:widowControl w:val="0"/>
        <w:rPr>
          <w:iCs/>
          <w:szCs w:val="18"/>
        </w:rPr>
      </w:pPr>
      <w:r w:rsidRPr="00A655A1">
        <w:rPr>
          <w:iCs/>
          <w:szCs w:val="18"/>
        </w:rPr>
        <w:t xml:space="preserve">b. </w:t>
      </w:r>
      <w:r w:rsidR="002A46E6" w:rsidRPr="00A655A1">
        <w:rPr>
          <w:iCs/>
          <w:szCs w:val="18"/>
        </w:rPr>
        <w:t xml:space="preserve">Calculated as the </w:t>
      </w:r>
      <w:r w:rsidR="002A46E6" w:rsidRPr="00172DE3">
        <w:rPr>
          <w:iCs/>
          <w:szCs w:val="18"/>
        </w:rPr>
        <w:t>total cost of Cd minus the total cost of Bd</w:t>
      </w:r>
      <w:r w:rsidR="002A46E6" w:rsidRPr="00A655A1">
        <w:rPr>
          <w:iCs/>
          <w:szCs w:val="18"/>
        </w:rPr>
        <w:t>.</w:t>
      </w:r>
    </w:p>
    <w:p w:rsidR="00750484" w:rsidRPr="00A655A1" w:rsidRDefault="00865474" w:rsidP="00C7220E">
      <w:pPr>
        <w:pStyle w:val="TableFigureFooter"/>
        <w:widowControl w:val="0"/>
        <w:rPr>
          <w:iCs/>
        </w:rPr>
      </w:pPr>
      <w:r w:rsidRPr="00A655A1">
        <w:rPr>
          <w:iCs/>
        </w:rPr>
        <w:t xml:space="preserve">c. </w:t>
      </w:r>
      <w:r w:rsidR="00314E9F" w:rsidRPr="00A655A1">
        <w:rPr>
          <w:iCs/>
        </w:rPr>
        <w:t>Consistent with the ENDEAVOR</w:t>
      </w:r>
      <w:r w:rsidR="00326686" w:rsidRPr="00A655A1">
        <w:rPr>
          <w:iCs/>
        </w:rPr>
        <w:t xml:space="preserve"> evidence </w:t>
      </w:r>
      <w:r w:rsidR="00D46C66" w:rsidRPr="00A655A1">
        <w:rPr>
          <w:iCs/>
        </w:rPr>
        <w:t>presented</w:t>
      </w:r>
      <w:r w:rsidR="00691B90" w:rsidRPr="00A655A1">
        <w:rPr>
          <w:iCs/>
        </w:rPr>
        <w:t xml:space="preserve"> in the </w:t>
      </w:r>
      <w:r w:rsidR="00326686" w:rsidRPr="00A655A1">
        <w:rPr>
          <w:iCs/>
        </w:rPr>
        <w:t xml:space="preserve">CMA </w:t>
      </w:r>
      <w:r w:rsidR="00691B90" w:rsidRPr="00A655A1">
        <w:rPr>
          <w:iCs/>
        </w:rPr>
        <w:t xml:space="preserve">submission for ixazomib and elotuzumab considered at the November 2020 PBAC </w:t>
      </w:r>
      <w:r w:rsidR="00D46C66" w:rsidRPr="00A655A1">
        <w:rPr>
          <w:iCs/>
        </w:rPr>
        <w:t>Meeting (paragraph 6.41; Elotuzumab PSD, November 2020; and paragraph 6.48; Ixazomib PSD, November 2020)</w:t>
      </w:r>
    </w:p>
    <w:p w:rsidR="004B6716" w:rsidRPr="00A655A1" w:rsidRDefault="00865474" w:rsidP="00C7220E">
      <w:pPr>
        <w:pStyle w:val="TableFigureFooter"/>
        <w:widowControl w:val="0"/>
        <w:rPr>
          <w:iCs/>
        </w:rPr>
      </w:pPr>
      <w:r w:rsidRPr="00A655A1">
        <w:rPr>
          <w:iCs/>
        </w:rPr>
        <w:t xml:space="preserve">d. </w:t>
      </w:r>
      <w:r w:rsidR="00093FF3" w:rsidRPr="00A655A1">
        <w:rPr>
          <w:iCs/>
        </w:rPr>
        <w:t>Consistent</w:t>
      </w:r>
      <w:r w:rsidR="00D46CF4" w:rsidRPr="00A655A1">
        <w:rPr>
          <w:iCs/>
        </w:rPr>
        <w:t xml:space="preserve"> </w:t>
      </w:r>
      <w:r w:rsidR="00093FF3" w:rsidRPr="00A655A1">
        <w:rPr>
          <w:iCs/>
        </w:rPr>
        <w:t>with the</w:t>
      </w:r>
      <w:r w:rsidR="00D46CF4" w:rsidRPr="00A655A1">
        <w:rPr>
          <w:iCs/>
        </w:rPr>
        <w:t xml:space="preserve"> duration of therapy for </w:t>
      </w:r>
      <w:r w:rsidR="005306B0" w:rsidRPr="00A655A1">
        <w:rPr>
          <w:iCs/>
        </w:rPr>
        <w:t>SBd presented</w:t>
      </w:r>
      <w:r w:rsidR="002F2E3A" w:rsidRPr="00A655A1">
        <w:rPr>
          <w:iCs/>
        </w:rPr>
        <w:t xml:space="preserve"> in the CUA</w:t>
      </w:r>
      <w:r w:rsidR="00A37BC4" w:rsidRPr="00A655A1">
        <w:rPr>
          <w:iCs/>
        </w:rPr>
        <w:t xml:space="preserve">. </w:t>
      </w:r>
    </w:p>
    <w:p w:rsidR="000015AB" w:rsidRPr="00A655A1" w:rsidRDefault="00C53F5C" w:rsidP="0076360B">
      <w:pPr>
        <w:pStyle w:val="3-BodyText"/>
        <w:rPr>
          <w:color w:val="0066FF"/>
        </w:rPr>
      </w:pPr>
      <w:r w:rsidRPr="00A655A1">
        <w:t>Should the PBAC accept the clinical claim of overall non-inferior effectiveness and safety, the cost-minimisation approach must establish that the cost per patient for treatment with SBd would be no more than the cost per patient of Cd. The cost per patient takes into account the mean equi-effective doses of the new intervention and the alternative therapy, and also accounts for any difference in the mean duration of treatment. Where these cost per patient calculations are uncertain, the guiding principle is that the Australian Government should not bear the financial risk of this uncertainty because the Australian population already has access to therapy that is at least as effective and safe.</w:t>
      </w:r>
    </w:p>
    <w:p w:rsidR="0050205F" w:rsidRPr="00A655A1" w:rsidRDefault="0050205F" w:rsidP="0050205F">
      <w:pPr>
        <w:pStyle w:val="3-BodyText"/>
        <w:numPr>
          <w:ilvl w:val="0"/>
          <w:numId w:val="0"/>
        </w:numPr>
        <w:rPr>
          <w:color w:val="0066FF"/>
          <w:u w:val="single"/>
        </w:rPr>
      </w:pPr>
      <w:r w:rsidRPr="00A655A1">
        <w:rPr>
          <w:u w:val="single"/>
        </w:rPr>
        <w:t xml:space="preserve">Economic </w:t>
      </w:r>
      <w:r w:rsidR="00BC24BF" w:rsidRPr="00A655A1">
        <w:rPr>
          <w:u w:val="single"/>
        </w:rPr>
        <w:t>E</w:t>
      </w:r>
      <w:r w:rsidRPr="00A655A1">
        <w:rPr>
          <w:u w:val="single"/>
        </w:rPr>
        <w:t xml:space="preserve">valuation Summary </w:t>
      </w:r>
    </w:p>
    <w:p w:rsidR="00C536AB" w:rsidRPr="00A655A1" w:rsidRDefault="00C536AB" w:rsidP="00AF5A24">
      <w:pPr>
        <w:pStyle w:val="3-BodyText"/>
        <w:rPr>
          <w:color w:val="0066FF"/>
        </w:rPr>
      </w:pPr>
      <w:r w:rsidRPr="00A655A1">
        <w:t>The submission presented the requested AEMP</w:t>
      </w:r>
      <w:r w:rsidR="0086393D" w:rsidRPr="00A655A1">
        <w:t>s</w:t>
      </w:r>
      <w:r w:rsidRPr="00A655A1">
        <w:t xml:space="preserve"> for selinexor 20 x 20 mg and 16 x 20 mg based on a weighted price</w:t>
      </w:r>
      <w:r w:rsidR="00B61C58" w:rsidRPr="00A655A1">
        <w:t>, combining the price applied in the CUA with that resulting from the CMA</w:t>
      </w:r>
      <w:r w:rsidRPr="00A655A1">
        <w:t xml:space="preserve">. </w:t>
      </w:r>
      <w:r w:rsidRPr="00A655A1">
        <w:rPr>
          <w:iCs/>
        </w:rPr>
        <w:t xml:space="preserve">The </w:t>
      </w:r>
      <w:r w:rsidR="00B61C58" w:rsidRPr="00A655A1">
        <w:rPr>
          <w:iCs/>
        </w:rPr>
        <w:t xml:space="preserve">weights were derived from the </w:t>
      </w:r>
      <w:r w:rsidRPr="00A655A1">
        <w:rPr>
          <w:iCs/>
        </w:rPr>
        <w:t>relative replacement of patients on Bd (64.28%) or Cd (35.72%) as derived from the financial estimates</w:t>
      </w:r>
      <w:r w:rsidR="00FF1F1B" w:rsidRPr="00A655A1">
        <w:rPr>
          <w:iCs/>
        </w:rPr>
        <w:t xml:space="preserve"> </w:t>
      </w:r>
      <w:r w:rsidR="00E1525D" w:rsidRPr="00A655A1">
        <w:rPr>
          <w:iCs/>
        </w:rPr>
        <w:t>wh</w:t>
      </w:r>
      <w:r w:rsidR="0086393D" w:rsidRPr="00A655A1">
        <w:rPr>
          <w:iCs/>
        </w:rPr>
        <w:t xml:space="preserve">ich were </w:t>
      </w:r>
      <w:r w:rsidR="00E1525D" w:rsidRPr="00A655A1">
        <w:rPr>
          <w:iCs/>
        </w:rPr>
        <w:t>not sufficiently justified</w:t>
      </w:r>
      <w:r w:rsidR="001C4C2A" w:rsidRPr="00A655A1">
        <w:rPr>
          <w:iCs/>
        </w:rPr>
        <w:t xml:space="preserve">. </w:t>
      </w:r>
      <w:r w:rsidR="001C4C2A" w:rsidRPr="00A655A1">
        <w:t>The results of the weighted AEMP calculations are presented in</w:t>
      </w:r>
      <w:r w:rsidR="0021789A" w:rsidRPr="00A655A1">
        <w:t xml:space="preserve"> </w:t>
      </w:r>
      <w:r w:rsidR="0049430C">
        <w:t>Table 23</w:t>
      </w:r>
      <w:r w:rsidR="00E8186B" w:rsidRPr="00A655A1">
        <w:t>.</w:t>
      </w:r>
    </w:p>
    <w:p w:rsidR="00C536AB" w:rsidRPr="00A655A1" w:rsidRDefault="0021789A" w:rsidP="0021789A">
      <w:pPr>
        <w:pStyle w:val="TableFigureHeading"/>
      </w:pPr>
      <w:bookmarkStart w:id="42" w:name="_Ref69395313"/>
      <w:r w:rsidRPr="00A655A1">
        <w:t xml:space="preserve">Table </w:t>
      </w:r>
      <w:bookmarkEnd w:id="42"/>
      <w:r w:rsidR="0086393D" w:rsidRPr="00A655A1">
        <w:t>23</w:t>
      </w:r>
      <w:r w:rsidRPr="00A655A1">
        <w:t>: Calculation of weighted cost-effective ex-manufacturer price of selinexor</w:t>
      </w:r>
    </w:p>
    <w:tbl>
      <w:tblPr>
        <w:tblStyle w:val="TableGrid"/>
        <w:tblW w:w="0" w:type="auto"/>
        <w:shd w:val="clear" w:color="auto" w:fill="FFFFFF" w:themeFill="background1"/>
        <w:tblLook w:val="04A0" w:firstRow="1" w:lastRow="0" w:firstColumn="1" w:lastColumn="0" w:noHBand="0" w:noVBand="1"/>
        <w:tblCaption w:val="Table 23: Calculation of weighted cost-effective ex-manufacturer price of selinexor"/>
      </w:tblPr>
      <w:tblGrid>
        <w:gridCol w:w="1249"/>
        <w:gridCol w:w="3135"/>
        <w:gridCol w:w="1764"/>
        <w:gridCol w:w="2869"/>
      </w:tblGrid>
      <w:tr w:rsidR="0021789A" w:rsidRPr="00A655A1" w:rsidTr="00185816">
        <w:trPr>
          <w:tblHeader/>
        </w:trPr>
        <w:tc>
          <w:tcPr>
            <w:tcW w:w="1249" w:type="dxa"/>
            <w:shd w:val="clear" w:color="auto" w:fill="FFFFFF" w:themeFill="background1"/>
            <w:vAlign w:val="center"/>
          </w:tcPr>
          <w:p w:rsidR="0021789A" w:rsidRPr="00A655A1" w:rsidRDefault="0086393D" w:rsidP="00E74E69">
            <w:pPr>
              <w:pStyle w:val="TableText0"/>
              <w:jc w:val="center"/>
              <w:rPr>
                <w:b/>
                <w:bCs w:val="0"/>
              </w:rPr>
            </w:pPr>
            <w:r w:rsidRPr="00A655A1">
              <w:rPr>
                <w:b/>
                <w:bCs w:val="0"/>
              </w:rPr>
              <w:t>Analysis/ comparator</w:t>
            </w:r>
          </w:p>
        </w:tc>
        <w:tc>
          <w:tcPr>
            <w:tcW w:w="3135" w:type="dxa"/>
            <w:shd w:val="clear" w:color="auto" w:fill="FFFFFF" w:themeFill="background1"/>
            <w:vAlign w:val="center"/>
          </w:tcPr>
          <w:p w:rsidR="0021789A" w:rsidRPr="00A655A1" w:rsidRDefault="0021789A" w:rsidP="00E74E69">
            <w:pPr>
              <w:pStyle w:val="TableText0"/>
              <w:jc w:val="center"/>
              <w:rPr>
                <w:b/>
                <w:bCs w:val="0"/>
              </w:rPr>
            </w:pPr>
            <w:r w:rsidRPr="00A655A1">
              <w:rPr>
                <w:b/>
                <w:bCs w:val="0"/>
              </w:rPr>
              <w:t>Presentation</w:t>
            </w:r>
          </w:p>
        </w:tc>
        <w:tc>
          <w:tcPr>
            <w:tcW w:w="1764" w:type="dxa"/>
            <w:shd w:val="clear" w:color="auto" w:fill="FFFFFF" w:themeFill="background1"/>
            <w:vAlign w:val="center"/>
          </w:tcPr>
          <w:p w:rsidR="0021789A" w:rsidRPr="00A655A1" w:rsidRDefault="0021789A" w:rsidP="00E74E69">
            <w:pPr>
              <w:pStyle w:val="TableText0"/>
              <w:jc w:val="center"/>
              <w:rPr>
                <w:b/>
                <w:bCs w:val="0"/>
              </w:rPr>
            </w:pPr>
            <w:r w:rsidRPr="00A655A1">
              <w:rPr>
                <w:b/>
                <w:bCs w:val="0"/>
              </w:rPr>
              <w:t>AEMP</w:t>
            </w:r>
          </w:p>
        </w:tc>
        <w:tc>
          <w:tcPr>
            <w:tcW w:w="2869" w:type="dxa"/>
            <w:shd w:val="clear" w:color="auto" w:fill="FFFFFF" w:themeFill="background1"/>
            <w:vAlign w:val="center"/>
          </w:tcPr>
          <w:p w:rsidR="0021789A" w:rsidRPr="00A655A1" w:rsidRDefault="0021789A" w:rsidP="00E74E69">
            <w:pPr>
              <w:pStyle w:val="TableText0"/>
              <w:jc w:val="center"/>
              <w:rPr>
                <w:b/>
                <w:bCs w:val="0"/>
              </w:rPr>
            </w:pPr>
            <w:r w:rsidRPr="00A655A1">
              <w:rPr>
                <w:b/>
                <w:bCs w:val="0"/>
              </w:rPr>
              <w:t>Relative estimated replacement of comparator</w:t>
            </w:r>
          </w:p>
        </w:tc>
      </w:tr>
      <w:tr w:rsidR="0021789A" w:rsidRPr="00A655A1" w:rsidTr="00E74E69">
        <w:tc>
          <w:tcPr>
            <w:tcW w:w="1249" w:type="dxa"/>
            <w:shd w:val="clear" w:color="auto" w:fill="FFFFFF" w:themeFill="background1"/>
          </w:tcPr>
          <w:p w:rsidR="0021789A" w:rsidRPr="00A655A1" w:rsidRDefault="0086393D" w:rsidP="00E74E69">
            <w:pPr>
              <w:pStyle w:val="TableText0"/>
              <w:jc w:val="center"/>
            </w:pPr>
            <w:r w:rsidRPr="00A655A1">
              <w:t xml:space="preserve">CUA: </w:t>
            </w:r>
            <w:r w:rsidR="0021789A" w:rsidRPr="00A655A1">
              <w:t>Bd</w:t>
            </w:r>
          </w:p>
        </w:tc>
        <w:tc>
          <w:tcPr>
            <w:tcW w:w="3135" w:type="dxa"/>
            <w:shd w:val="clear" w:color="auto" w:fill="FFFFFF" w:themeFill="background1"/>
          </w:tcPr>
          <w:p w:rsidR="0021789A" w:rsidRPr="00A655A1" w:rsidRDefault="0086393D" w:rsidP="00E74E69">
            <w:pPr>
              <w:pStyle w:val="TableText0"/>
              <w:jc w:val="center"/>
            </w:pPr>
            <w:r w:rsidRPr="00A655A1">
              <w:t>S</w:t>
            </w:r>
            <w:r w:rsidR="0021789A" w:rsidRPr="00A655A1">
              <w:t>elinexor 20 x 20 mg tablets</w:t>
            </w:r>
          </w:p>
        </w:tc>
        <w:tc>
          <w:tcPr>
            <w:tcW w:w="1764" w:type="dxa"/>
            <w:shd w:val="clear" w:color="auto" w:fill="FFFFFF" w:themeFill="background1"/>
          </w:tcPr>
          <w:p w:rsidR="0021789A" w:rsidRPr="00A655A1" w:rsidRDefault="0021789A" w:rsidP="00E74E69">
            <w:pPr>
              <w:pStyle w:val="TableText0"/>
              <w:jc w:val="center"/>
            </w:pPr>
            <w:r w:rsidRPr="00A655A1">
              <w:t>$</w:t>
            </w:r>
            <w:r w:rsidR="007004AE">
              <w:rPr>
                <w:noProof/>
                <w:color w:val="000000"/>
                <w:highlight w:val="black"/>
              </w:rPr>
              <w:t>'''''''''''''''''''''</w:t>
            </w:r>
          </w:p>
        </w:tc>
        <w:tc>
          <w:tcPr>
            <w:tcW w:w="2869" w:type="dxa"/>
            <w:shd w:val="clear" w:color="auto" w:fill="FFFFFF" w:themeFill="background1"/>
          </w:tcPr>
          <w:p w:rsidR="0021789A" w:rsidRPr="00A655A1" w:rsidRDefault="0021789A" w:rsidP="00E74E69">
            <w:pPr>
              <w:pStyle w:val="TableText0"/>
              <w:jc w:val="center"/>
            </w:pPr>
            <w:r w:rsidRPr="00A655A1">
              <w:t>64.28%</w:t>
            </w:r>
          </w:p>
        </w:tc>
      </w:tr>
      <w:tr w:rsidR="0021789A" w:rsidRPr="00A655A1" w:rsidTr="00E74E69">
        <w:tc>
          <w:tcPr>
            <w:tcW w:w="1249" w:type="dxa"/>
            <w:shd w:val="clear" w:color="auto" w:fill="FFFFFF" w:themeFill="background1"/>
          </w:tcPr>
          <w:p w:rsidR="0021789A" w:rsidRPr="00A655A1" w:rsidRDefault="0086393D" w:rsidP="00E74E69">
            <w:pPr>
              <w:pStyle w:val="TableText0"/>
              <w:jc w:val="center"/>
            </w:pPr>
            <w:r w:rsidRPr="00A655A1">
              <w:t xml:space="preserve">CMA: </w:t>
            </w:r>
            <w:r w:rsidR="0021789A" w:rsidRPr="00A655A1">
              <w:t>Cd</w:t>
            </w:r>
          </w:p>
        </w:tc>
        <w:tc>
          <w:tcPr>
            <w:tcW w:w="3135" w:type="dxa"/>
            <w:shd w:val="clear" w:color="auto" w:fill="FFFFFF" w:themeFill="background1"/>
          </w:tcPr>
          <w:p w:rsidR="0021789A" w:rsidRPr="00A655A1" w:rsidRDefault="0086393D" w:rsidP="00E74E69">
            <w:pPr>
              <w:pStyle w:val="TableText0"/>
              <w:jc w:val="center"/>
            </w:pPr>
            <w:r w:rsidRPr="00A655A1">
              <w:t>S</w:t>
            </w:r>
            <w:r w:rsidR="0021789A" w:rsidRPr="00A655A1">
              <w:t>elinexor 20 x 20 mg tablets</w:t>
            </w:r>
          </w:p>
        </w:tc>
        <w:tc>
          <w:tcPr>
            <w:tcW w:w="1764" w:type="dxa"/>
            <w:shd w:val="clear" w:color="auto" w:fill="FFFFFF" w:themeFill="background1"/>
          </w:tcPr>
          <w:p w:rsidR="0021789A" w:rsidRPr="00A655A1" w:rsidRDefault="0021789A" w:rsidP="00E74E69">
            <w:pPr>
              <w:pStyle w:val="TableText0"/>
              <w:jc w:val="center"/>
            </w:pPr>
            <w:r w:rsidRPr="00A655A1">
              <w:t>$</w:t>
            </w:r>
            <w:r w:rsidR="007004AE">
              <w:rPr>
                <w:noProof/>
                <w:color w:val="000000"/>
                <w:highlight w:val="black"/>
              </w:rPr>
              <w:t>'''''''''''''''''''''''</w:t>
            </w:r>
          </w:p>
        </w:tc>
        <w:tc>
          <w:tcPr>
            <w:tcW w:w="2869" w:type="dxa"/>
            <w:shd w:val="clear" w:color="auto" w:fill="FFFFFF" w:themeFill="background1"/>
          </w:tcPr>
          <w:p w:rsidR="0021789A" w:rsidRPr="00A655A1" w:rsidRDefault="0021789A" w:rsidP="00E74E69">
            <w:pPr>
              <w:pStyle w:val="TableText0"/>
              <w:jc w:val="center"/>
            </w:pPr>
            <w:r w:rsidRPr="00A655A1">
              <w:t>35.72%</w:t>
            </w:r>
          </w:p>
        </w:tc>
      </w:tr>
      <w:tr w:rsidR="0021789A" w:rsidRPr="00A655A1" w:rsidTr="00E74E69">
        <w:tc>
          <w:tcPr>
            <w:tcW w:w="1249" w:type="dxa"/>
            <w:shd w:val="clear" w:color="auto" w:fill="FFFFFF" w:themeFill="background1"/>
          </w:tcPr>
          <w:p w:rsidR="0021789A" w:rsidRPr="00A655A1" w:rsidRDefault="0086393D" w:rsidP="00E74E69">
            <w:pPr>
              <w:pStyle w:val="TableText0"/>
              <w:jc w:val="center"/>
            </w:pPr>
            <w:r w:rsidRPr="00A655A1">
              <w:t xml:space="preserve">CUA: </w:t>
            </w:r>
            <w:r w:rsidR="0021789A" w:rsidRPr="00A655A1">
              <w:t>Bd</w:t>
            </w:r>
          </w:p>
        </w:tc>
        <w:tc>
          <w:tcPr>
            <w:tcW w:w="3135" w:type="dxa"/>
            <w:shd w:val="clear" w:color="auto" w:fill="FFFFFF" w:themeFill="background1"/>
          </w:tcPr>
          <w:p w:rsidR="0021789A" w:rsidRPr="00A655A1" w:rsidRDefault="0086393D" w:rsidP="00E74E69">
            <w:pPr>
              <w:pStyle w:val="TableText0"/>
              <w:jc w:val="center"/>
            </w:pPr>
            <w:r w:rsidRPr="00A655A1">
              <w:t>S</w:t>
            </w:r>
            <w:r w:rsidR="0021789A" w:rsidRPr="00A655A1">
              <w:t>elinexor 16 x 20 mg tablets</w:t>
            </w:r>
          </w:p>
        </w:tc>
        <w:tc>
          <w:tcPr>
            <w:tcW w:w="1764" w:type="dxa"/>
            <w:shd w:val="clear" w:color="auto" w:fill="FFFFFF" w:themeFill="background1"/>
          </w:tcPr>
          <w:p w:rsidR="0021789A" w:rsidRPr="00A655A1" w:rsidRDefault="0021789A" w:rsidP="00E74E69">
            <w:pPr>
              <w:pStyle w:val="TableText0"/>
              <w:jc w:val="center"/>
            </w:pPr>
            <w:r w:rsidRPr="00A655A1">
              <w:t>$</w:t>
            </w:r>
            <w:r w:rsidR="007004AE">
              <w:rPr>
                <w:noProof/>
                <w:color w:val="000000"/>
                <w:highlight w:val="black"/>
              </w:rPr>
              <w:t>'''''''''''''''''''</w:t>
            </w:r>
          </w:p>
        </w:tc>
        <w:tc>
          <w:tcPr>
            <w:tcW w:w="2869" w:type="dxa"/>
            <w:shd w:val="clear" w:color="auto" w:fill="FFFFFF" w:themeFill="background1"/>
          </w:tcPr>
          <w:p w:rsidR="0021789A" w:rsidRPr="00A655A1" w:rsidRDefault="00E84809" w:rsidP="00E74E69">
            <w:pPr>
              <w:pStyle w:val="TableText0"/>
              <w:jc w:val="center"/>
            </w:pPr>
            <w:r w:rsidRPr="00A655A1">
              <w:t>64.28%</w:t>
            </w:r>
          </w:p>
        </w:tc>
      </w:tr>
      <w:tr w:rsidR="0021789A" w:rsidRPr="00A655A1" w:rsidTr="00E74E69">
        <w:tc>
          <w:tcPr>
            <w:tcW w:w="1249" w:type="dxa"/>
            <w:shd w:val="clear" w:color="auto" w:fill="FFFFFF" w:themeFill="background1"/>
          </w:tcPr>
          <w:p w:rsidR="0021789A" w:rsidRPr="00A655A1" w:rsidRDefault="0086393D" w:rsidP="00E74E69">
            <w:pPr>
              <w:pStyle w:val="TableText0"/>
              <w:jc w:val="center"/>
            </w:pPr>
            <w:r w:rsidRPr="00A655A1">
              <w:t xml:space="preserve">CMA: </w:t>
            </w:r>
            <w:r w:rsidR="0021789A" w:rsidRPr="00A655A1">
              <w:t>Cd</w:t>
            </w:r>
          </w:p>
        </w:tc>
        <w:tc>
          <w:tcPr>
            <w:tcW w:w="3135" w:type="dxa"/>
            <w:shd w:val="clear" w:color="auto" w:fill="FFFFFF" w:themeFill="background1"/>
          </w:tcPr>
          <w:p w:rsidR="0021789A" w:rsidRPr="00A655A1" w:rsidRDefault="0086393D" w:rsidP="00E74E69">
            <w:pPr>
              <w:pStyle w:val="TableText0"/>
              <w:jc w:val="center"/>
            </w:pPr>
            <w:r w:rsidRPr="00A655A1">
              <w:t>S</w:t>
            </w:r>
            <w:r w:rsidR="0021789A" w:rsidRPr="00A655A1">
              <w:t>elinexor 16 x 20 mg tablets</w:t>
            </w:r>
          </w:p>
        </w:tc>
        <w:tc>
          <w:tcPr>
            <w:tcW w:w="1764" w:type="dxa"/>
            <w:shd w:val="clear" w:color="auto" w:fill="FFFFFF" w:themeFill="background1"/>
          </w:tcPr>
          <w:p w:rsidR="0021789A" w:rsidRPr="00A655A1" w:rsidRDefault="0021789A" w:rsidP="00E74E69">
            <w:pPr>
              <w:pStyle w:val="TableText0"/>
              <w:jc w:val="center"/>
            </w:pPr>
            <w:r w:rsidRPr="00A655A1">
              <w:t>$</w:t>
            </w:r>
            <w:r w:rsidR="007004AE">
              <w:rPr>
                <w:noProof/>
                <w:color w:val="000000"/>
                <w:highlight w:val="black"/>
              </w:rPr>
              <w:t>'''''''''''''''''''</w:t>
            </w:r>
          </w:p>
        </w:tc>
        <w:tc>
          <w:tcPr>
            <w:tcW w:w="2869" w:type="dxa"/>
            <w:shd w:val="clear" w:color="auto" w:fill="FFFFFF" w:themeFill="background1"/>
          </w:tcPr>
          <w:p w:rsidR="0021789A" w:rsidRPr="00A655A1" w:rsidRDefault="00E84809" w:rsidP="00E74E69">
            <w:pPr>
              <w:pStyle w:val="TableText0"/>
              <w:jc w:val="center"/>
            </w:pPr>
            <w:r w:rsidRPr="00A655A1">
              <w:t>35.72%</w:t>
            </w:r>
          </w:p>
        </w:tc>
      </w:tr>
      <w:tr w:rsidR="0021789A" w:rsidRPr="00A655A1" w:rsidTr="00E74E69">
        <w:tc>
          <w:tcPr>
            <w:tcW w:w="9017" w:type="dxa"/>
            <w:gridSpan w:val="4"/>
            <w:shd w:val="clear" w:color="auto" w:fill="FFFFFF" w:themeFill="background1"/>
            <w:vAlign w:val="bottom"/>
          </w:tcPr>
          <w:p w:rsidR="0021789A" w:rsidRPr="00A655A1" w:rsidRDefault="0021789A" w:rsidP="00E74E69">
            <w:pPr>
              <w:pStyle w:val="TableText0"/>
              <w:rPr>
                <w:b/>
                <w:bCs w:val="0"/>
              </w:rPr>
            </w:pPr>
            <w:r w:rsidRPr="00A655A1">
              <w:rPr>
                <w:b/>
                <w:bCs w:val="0"/>
              </w:rPr>
              <w:t>Weighted cost-effective price (AEMP)</w:t>
            </w:r>
          </w:p>
        </w:tc>
      </w:tr>
      <w:tr w:rsidR="0021789A" w:rsidRPr="00A655A1" w:rsidTr="00E74E69">
        <w:tc>
          <w:tcPr>
            <w:tcW w:w="1249" w:type="dxa"/>
            <w:shd w:val="clear" w:color="auto" w:fill="FFFFFF" w:themeFill="background1"/>
            <w:vAlign w:val="bottom"/>
          </w:tcPr>
          <w:p w:rsidR="0021789A" w:rsidRPr="00A655A1" w:rsidRDefault="0021789A" w:rsidP="00E74E69">
            <w:pPr>
              <w:pStyle w:val="TableText0"/>
            </w:pPr>
          </w:p>
        </w:tc>
        <w:tc>
          <w:tcPr>
            <w:tcW w:w="3135" w:type="dxa"/>
            <w:shd w:val="clear" w:color="auto" w:fill="FFFFFF" w:themeFill="background1"/>
            <w:vAlign w:val="bottom"/>
          </w:tcPr>
          <w:p w:rsidR="0021789A" w:rsidRPr="00A655A1" w:rsidRDefault="0086393D" w:rsidP="00E74E69">
            <w:pPr>
              <w:pStyle w:val="TableText0"/>
              <w:jc w:val="center"/>
            </w:pPr>
            <w:r w:rsidRPr="00A655A1">
              <w:t>S</w:t>
            </w:r>
            <w:r w:rsidR="0021789A" w:rsidRPr="00A655A1">
              <w:t>elinexor 20 x 20 mg tablets</w:t>
            </w:r>
          </w:p>
        </w:tc>
        <w:tc>
          <w:tcPr>
            <w:tcW w:w="1764" w:type="dxa"/>
            <w:shd w:val="clear" w:color="auto" w:fill="FFFFFF" w:themeFill="background1"/>
            <w:vAlign w:val="bottom"/>
          </w:tcPr>
          <w:p w:rsidR="0021789A" w:rsidRPr="00A655A1" w:rsidRDefault="0021789A" w:rsidP="00E74E69">
            <w:pPr>
              <w:pStyle w:val="TableText0"/>
              <w:jc w:val="center"/>
              <w:rPr>
                <w:b/>
                <w:bCs w:val="0"/>
              </w:rPr>
            </w:pPr>
            <w:r w:rsidRPr="00A655A1">
              <w:rPr>
                <w:b/>
                <w:bCs w:val="0"/>
                <w:color w:val="3F3F3F"/>
              </w:rPr>
              <w:t>$</w:t>
            </w:r>
            <w:r w:rsidR="007004AE">
              <w:rPr>
                <w:b/>
                <w:bCs w:val="0"/>
                <w:noProof/>
                <w:color w:val="000000"/>
                <w:highlight w:val="black"/>
              </w:rPr>
              <w:t>''''''''''''''''</w:t>
            </w:r>
          </w:p>
        </w:tc>
        <w:tc>
          <w:tcPr>
            <w:tcW w:w="2869" w:type="dxa"/>
            <w:shd w:val="clear" w:color="auto" w:fill="FFFFFF" w:themeFill="background1"/>
          </w:tcPr>
          <w:p w:rsidR="0021789A" w:rsidRPr="00A655A1" w:rsidRDefault="0021789A" w:rsidP="00E74E69">
            <w:pPr>
              <w:pStyle w:val="TableText0"/>
            </w:pPr>
          </w:p>
        </w:tc>
      </w:tr>
      <w:tr w:rsidR="0021789A" w:rsidRPr="00A655A1" w:rsidTr="00E74E69">
        <w:trPr>
          <w:trHeight w:val="110"/>
        </w:trPr>
        <w:tc>
          <w:tcPr>
            <w:tcW w:w="1249" w:type="dxa"/>
            <w:shd w:val="clear" w:color="auto" w:fill="FFFFFF" w:themeFill="background1"/>
            <w:vAlign w:val="bottom"/>
          </w:tcPr>
          <w:p w:rsidR="0021789A" w:rsidRPr="00A655A1" w:rsidRDefault="0021789A" w:rsidP="00E74E69">
            <w:pPr>
              <w:pStyle w:val="TableText0"/>
            </w:pPr>
          </w:p>
        </w:tc>
        <w:tc>
          <w:tcPr>
            <w:tcW w:w="3135" w:type="dxa"/>
            <w:shd w:val="clear" w:color="auto" w:fill="FFFFFF" w:themeFill="background1"/>
            <w:vAlign w:val="bottom"/>
          </w:tcPr>
          <w:p w:rsidR="0021789A" w:rsidRPr="00A655A1" w:rsidRDefault="0086393D" w:rsidP="00E74E69">
            <w:pPr>
              <w:pStyle w:val="TableText0"/>
              <w:jc w:val="center"/>
            </w:pPr>
            <w:r w:rsidRPr="00A655A1">
              <w:t>S</w:t>
            </w:r>
            <w:r w:rsidR="0021789A" w:rsidRPr="00A655A1">
              <w:t>elinexor 16 x 20 mg tablets</w:t>
            </w:r>
          </w:p>
        </w:tc>
        <w:tc>
          <w:tcPr>
            <w:tcW w:w="1764" w:type="dxa"/>
            <w:shd w:val="clear" w:color="auto" w:fill="FFFFFF" w:themeFill="background1"/>
            <w:vAlign w:val="bottom"/>
          </w:tcPr>
          <w:p w:rsidR="0021789A" w:rsidRPr="00A655A1" w:rsidRDefault="0021789A" w:rsidP="00E74E69">
            <w:pPr>
              <w:pStyle w:val="TableText0"/>
              <w:jc w:val="center"/>
              <w:rPr>
                <w:b/>
                <w:bCs w:val="0"/>
              </w:rPr>
            </w:pPr>
            <w:r w:rsidRPr="00A655A1">
              <w:rPr>
                <w:b/>
                <w:bCs w:val="0"/>
                <w:color w:val="3F3F3F"/>
              </w:rPr>
              <w:t>$</w:t>
            </w:r>
            <w:r w:rsidR="007004AE">
              <w:rPr>
                <w:b/>
                <w:bCs w:val="0"/>
                <w:noProof/>
                <w:color w:val="000000"/>
                <w:highlight w:val="black"/>
              </w:rPr>
              <w:t>'''''''''''''''''</w:t>
            </w:r>
          </w:p>
        </w:tc>
        <w:tc>
          <w:tcPr>
            <w:tcW w:w="2869" w:type="dxa"/>
            <w:shd w:val="clear" w:color="auto" w:fill="FFFFFF" w:themeFill="background1"/>
          </w:tcPr>
          <w:p w:rsidR="0021789A" w:rsidRPr="00A655A1" w:rsidRDefault="0021789A" w:rsidP="00E74E69">
            <w:pPr>
              <w:pStyle w:val="TableText0"/>
            </w:pPr>
          </w:p>
        </w:tc>
      </w:tr>
    </w:tbl>
    <w:p w:rsidR="0021789A" w:rsidRPr="00A655A1" w:rsidRDefault="0021789A" w:rsidP="0021789A">
      <w:pPr>
        <w:pStyle w:val="TableFigureFooter"/>
      </w:pPr>
      <w:r w:rsidRPr="00A655A1">
        <w:t xml:space="preserve">Source: Table 3-38, 191 of the submission </w:t>
      </w:r>
    </w:p>
    <w:p w:rsidR="0021789A" w:rsidRPr="00A655A1" w:rsidRDefault="0021789A" w:rsidP="0021789A">
      <w:pPr>
        <w:pStyle w:val="TableFigureFooter"/>
      </w:pPr>
      <w:r w:rsidRPr="00A655A1">
        <w:t>AEMP = approved ex-manufacturer price; Bd = bortezomib + dexamethasone; Cd = carfilzomib + dexamethasone</w:t>
      </w:r>
    </w:p>
    <w:p w:rsidR="00A402D7" w:rsidRPr="00A655A1" w:rsidRDefault="00CE571C" w:rsidP="00F17B44">
      <w:pPr>
        <w:pStyle w:val="3-BodyText"/>
        <w:rPr>
          <w:iCs/>
          <w:color w:val="000000" w:themeColor="text1"/>
        </w:rPr>
      </w:pPr>
      <w:r w:rsidRPr="00A655A1">
        <w:rPr>
          <w:color w:val="000000" w:themeColor="text1"/>
        </w:rPr>
        <w:t xml:space="preserve">The </w:t>
      </w:r>
      <w:r w:rsidR="00BB0E5B" w:rsidRPr="00A655A1">
        <w:rPr>
          <w:color w:val="000000" w:themeColor="text1"/>
        </w:rPr>
        <w:t>ESC noted that</w:t>
      </w:r>
      <w:r w:rsidR="00BB0E5B" w:rsidRPr="00A655A1">
        <w:rPr>
          <w:iCs/>
          <w:color w:val="000000" w:themeColor="text1"/>
        </w:rPr>
        <w:t xml:space="preserve"> the </w:t>
      </w:r>
      <w:r w:rsidRPr="00A655A1">
        <w:rPr>
          <w:iCs/>
          <w:color w:val="000000" w:themeColor="text1"/>
        </w:rPr>
        <w:t xml:space="preserve">incremental benefits of SBd vs Bd should be </w:t>
      </w:r>
      <w:r w:rsidR="00CD5A1A" w:rsidRPr="00A655A1">
        <w:rPr>
          <w:iCs/>
          <w:color w:val="000000" w:themeColor="text1"/>
        </w:rPr>
        <w:t>comparable</w:t>
      </w:r>
      <w:r w:rsidRPr="00A655A1">
        <w:rPr>
          <w:iCs/>
          <w:color w:val="000000" w:themeColor="text1"/>
        </w:rPr>
        <w:t xml:space="preserve"> </w:t>
      </w:r>
      <w:r w:rsidR="004503DE" w:rsidRPr="00A655A1">
        <w:rPr>
          <w:iCs/>
          <w:color w:val="000000" w:themeColor="text1"/>
        </w:rPr>
        <w:t>to that of Cd vs Bd b</w:t>
      </w:r>
      <w:r w:rsidR="00C711A9" w:rsidRPr="00A655A1">
        <w:rPr>
          <w:iCs/>
          <w:color w:val="000000" w:themeColor="text1"/>
        </w:rPr>
        <w:t xml:space="preserve">ased on the </w:t>
      </w:r>
      <w:r w:rsidR="00CD5A1A" w:rsidRPr="00A655A1">
        <w:rPr>
          <w:iCs/>
          <w:color w:val="000000" w:themeColor="text1"/>
        </w:rPr>
        <w:t>non-inferiority claim</w:t>
      </w:r>
      <w:r w:rsidR="0072582E" w:rsidRPr="00A655A1">
        <w:rPr>
          <w:iCs/>
          <w:color w:val="000000" w:themeColor="text1"/>
        </w:rPr>
        <w:t xml:space="preserve"> of </w:t>
      </w:r>
      <w:r w:rsidR="009C2758" w:rsidRPr="00A655A1">
        <w:rPr>
          <w:iCs/>
        </w:rPr>
        <w:t>SBd with Cd</w:t>
      </w:r>
      <w:r w:rsidR="00761673" w:rsidRPr="00A655A1">
        <w:rPr>
          <w:iCs/>
        </w:rPr>
        <w:t xml:space="preserve">, and </w:t>
      </w:r>
      <w:r w:rsidR="0086393D" w:rsidRPr="00A655A1">
        <w:rPr>
          <w:iCs/>
        </w:rPr>
        <w:t>as</w:t>
      </w:r>
      <w:r w:rsidR="00761673" w:rsidRPr="00A655A1">
        <w:rPr>
          <w:iCs/>
        </w:rPr>
        <w:t xml:space="preserve"> Cd was listed on the basis of a CUA </w:t>
      </w:r>
      <w:r w:rsidR="00207A8A" w:rsidRPr="00A655A1">
        <w:rPr>
          <w:iCs/>
        </w:rPr>
        <w:t>comparing Cd with Bd</w:t>
      </w:r>
      <w:r w:rsidR="00796DDF" w:rsidRPr="00A655A1">
        <w:rPr>
          <w:iCs/>
        </w:rPr>
        <w:t xml:space="preserve"> (</w:t>
      </w:r>
      <w:r w:rsidR="004633A8" w:rsidRPr="00A655A1">
        <w:rPr>
          <w:iCs/>
        </w:rPr>
        <w:t xml:space="preserve">Table </w:t>
      </w:r>
      <w:r w:rsidR="00382307" w:rsidRPr="00A655A1">
        <w:rPr>
          <w:iCs/>
        </w:rPr>
        <w:t xml:space="preserve">11, </w:t>
      </w:r>
      <w:r w:rsidR="00CE6708" w:rsidRPr="00A655A1">
        <w:rPr>
          <w:iCs/>
        </w:rPr>
        <w:t xml:space="preserve">carfilzomib, PSD, </w:t>
      </w:r>
      <w:r w:rsidR="009D067B" w:rsidRPr="00A655A1">
        <w:rPr>
          <w:iCs/>
        </w:rPr>
        <w:t>July 2017</w:t>
      </w:r>
      <w:r w:rsidR="00382307" w:rsidRPr="00A655A1">
        <w:rPr>
          <w:iCs/>
        </w:rPr>
        <w:t>)</w:t>
      </w:r>
      <w:r w:rsidR="004503DE" w:rsidRPr="00A655A1">
        <w:rPr>
          <w:iCs/>
        </w:rPr>
        <w:t xml:space="preserve">. </w:t>
      </w:r>
      <w:r w:rsidR="009760CE" w:rsidRPr="00A655A1">
        <w:rPr>
          <w:iCs/>
        </w:rPr>
        <w:t xml:space="preserve">Therefore, </w:t>
      </w:r>
      <w:r w:rsidR="00CC6640" w:rsidRPr="00A655A1">
        <w:rPr>
          <w:iCs/>
        </w:rPr>
        <w:t xml:space="preserve">prior to the price reduction of Bd </w:t>
      </w:r>
      <w:r w:rsidR="0086393D" w:rsidRPr="00A655A1">
        <w:rPr>
          <w:iCs/>
        </w:rPr>
        <w:t xml:space="preserve">(in January 2021) </w:t>
      </w:r>
      <w:r w:rsidR="00CC6640" w:rsidRPr="00A655A1">
        <w:rPr>
          <w:iCs/>
        </w:rPr>
        <w:t xml:space="preserve">the cost of </w:t>
      </w:r>
      <w:r w:rsidR="00AE7914" w:rsidRPr="00A655A1">
        <w:rPr>
          <w:iCs/>
        </w:rPr>
        <w:t xml:space="preserve">SBd based </w:t>
      </w:r>
      <w:bookmarkStart w:id="43" w:name="_GoBack"/>
      <w:bookmarkEnd w:id="43"/>
      <w:r w:rsidR="00AE7914" w:rsidRPr="00A655A1">
        <w:rPr>
          <w:iCs/>
        </w:rPr>
        <w:t xml:space="preserve">on </w:t>
      </w:r>
      <w:r w:rsidR="0086393D" w:rsidRPr="00A655A1">
        <w:rPr>
          <w:iCs/>
        </w:rPr>
        <w:t xml:space="preserve">the </w:t>
      </w:r>
      <w:r w:rsidR="00AE7914" w:rsidRPr="00A655A1">
        <w:rPr>
          <w:iCs/>
        </w:rPr>
        <w:t xml:space="preserve">CUA and CMA </w:t>
      </w:r>
      <w:r w:rsidR="0086393D" w:rsidRPr="00A655A1">
        <w:rPr>
          <w:iCs/>
        </w:rPr>
        <w:t>sh</w:t>
      </w:r>
      <w:r w:rsidR="00AE7914" w:rsidRPr="00A655A1">
        <w:rPr>
          <w:iCs/>
        </w:rPr>
        <w:t xml:space="preserve">ould have </w:t>
      </w:r>
      <w:r w:rsidR="00C2705B" w:rsidRPr="00A655A1">
        <w:rPr>
          <w:iCs/>
        </w:rPr>
        <w:t>been similar</w:t>
      </w:r>
      <w:r w:rsidR="005F4E17" w:rsidRPr="00A655A1">
        <w:rPr>
          <w:iCs/>
        </w:rPr>
        <w:t xml:space="preserve">, and the price reduction </w:t>
      </w:r>
      <w:r w:rsidR="00DB5969" w:rsidRPr="00A655A1">
        <w:rPr>
          <w:iCs/>
        </w:rPr>
        <w:t xml:space="preserve">of Bd </w:t>
      </w:r>
      <w:r w:rsidR="0086393D" w:rsidRPr="00A655A1">
        <w:rPr>
          <w:iCs/>
        </w:rPr>
        <w:t>sh</w:t>
      </w:r>
      <w:r w:rsidR="00BD7157" w:rsidRPr="00A655A1">
        <w:rPr>
          <w:iCs/>
        </w:rPr>
        <w:t xml:space="preserve">ould have </w:t>
      </w:r>
      <w:r w:rsidR="00E84809" w:rsidRPr="00A655A1">
        <w:rPr>
          <w:iCs/>
        </w:rPr>
        <w:t xml:space="preserve">resulted in a </w:t>
      </w:r>
      <w:r w:rsidR="00BD7157" w:rsidRPr="00A655A1">
        <w:rPr>
          <w:iCs/>
        </w:rPr>
        <w:t xml:space="preserve">lower price based on CUA. However, </w:t>
      </w:r>
      <w:r w:rsidR="003B480E" w:rsidRPr="00A655A1">
        <w:rPr>
          <w:iCs/>
        </w:rPr>
        <w:t>the selinexor AEMP</w:t>
      </w:r>
      <w:r w:rsidR="00E84809" w:rsidRPr="00A655A1">
        <w:rPr>
          <w:iCs/>
        </w:rPr>
        <w:t>s</w:t>
      </w:r>
      <w:r w:rsidR="003B480E" w:rsidRPr="00A655A1">
        <w:rPr>
          <w:iCs/>
        </w:rPr>
        <w:t xml:space="preserve"> </w:t>
      </w:r>
      <w:r w:rsidR="00A536C0" w:rsidRPr="00A655A1">
        <w:rPr>
          <w:iCs/>
        </w:rPr>
        <w:t>based on the C</w:t>
      </w:r>
      <w:r w:rsidR="00E84809" w:rsidRPr="00A655A1">
        <w:rPr>
          <w:iCs/>
        </w:rPr>
        <w:t>MA were more than double those based on the C</w:t>
      </w:r>
      <w:r w:rsidR="00A536C0" w:rsidRPr="00A655A1">
        <w:rPr>
          <w:iCs/>
        </w:rPr>
        <w:t>UA</w:t>
      </w:r>
      <w:r w:rsidR="00E84809" w:rsidRPr="00A655A1">
        <w:rPr>
          <w:iCs/>
        </w:rPr>
        <w:t>. This</w:t>
      </w:r>
      <w:r w:rsidR="00830A1C" w:rsidRPr="00A655A1">
        <w:rPr>
          <w:iCs/>
        </w:rPr>
        <w:t xml:space="preserve"> </w:t>
      </w:r>
      <w:r w:rsidR="00E84809" w:rsidRPr="00A655A1">
        <w:rPr>
          <w:iCs/>
        </w:rPr>
        <w:t>wa</w:t>
      </w:r>
      <w:r w:rsidR="00830A1C" w:rsidRPr="00A655A1">
        <w:rPr>
          <w:iCs/>
        </w:rPr>
        <w:t xml:space="preserve">s only partly explained by the </w:t>
      </w:r>
      <w:r w:rsidR="003058CE" w:rsidRPr="00A655A1">
        <w:rPr>
          <w:iCs/>
        </w:rPr>
        <w:t xml:space="preserve">longer </w:t>
      </w:r>
      <w:r w:rsidR="00EE78BF" w:rsidRPr="00A655A1">
        <w:rPr>
          <w:iCs/>
        </w:rPr>
        <w:t xml:space="preserve">survival advantage claimed in the </w:t>
      </w:r>
      <w:r w:rsidR="006D62AC" w:rsidRPr="00A655A1">
        <w:rPr>
          <w:iCs/>
        </w:rPr>
        <w:t xml:space="preserve">SBd CUA </w:t>
      </w:r>
      <w:r w:rsidR="00480CCE" w:rsidRPr="00A655A1">
        <w:rPr>
          <w:iCs/>
        </w:rPr>
        <w:t xml:space="preserve">(and thus a lower price) </w:t>
      </w:r>
      <w:r w:rsidR="006D62AC" w:rsidRPr="00A655A1">
        <w:rPr>
          <w:iCs/>
        </w:rPr>
        <w:t xml:space="preserve">compared to </w:t>
      </w:r>
      <w:r w:rsidR="001C5E35" w:rsidRPr="00A655A1">
        <w:rPr>
          <w:iCs/>
        </w:rPr>
        <w:t>the economic analysis for Cd</w:t>
      </w:r>
      <w:r w:rsidR="00A536C0" w:rsidRPr="00A655A1">
        <w:rPr>
          <w:iCs/>
        </w:rPr>
        <w:t xml:space="preserve">. </w:t>
      </w:r>
      <w:r w:rsidR="009C7636" w:rsidRPr="00A655A1">
        <w:rPr>
          <w:iCs/>
        </w:rPr>
        <w:t xml:space="preserve">Furthermore, </w:t>
      </w:r>
      <w:r w:rsidR="00642920" w:rsidRPr="00A655A1">
        <w:rPr>
          <w:iCs/>
        </w:rPr>
        <w:t xml:space="preserve">in the absence of </w:t>
      </w:r>
      <w:r w:rsidR="00780DB1" w:rsidRPr="00A655A1">
        <w:rPr>
          <w:iCs/>
        </w:rPr>
        <w:t xml:space="preserve">a </w:t>
      </w:r>
      <w:r w:rsidR="00642920" w:rsidRPr="00A655A1">
        <w:rPr>
          <w:iCs/>
        </w:rPr>
        <w:t xml:space="preserve">defined patient population receiving </w:t>
      </w:r>
      <w:r w:rsidR="00902167" w:rsidRPr="00A655A1">
        <w:rPr>
          <w:iCs/>
        </w:rPr>
        <w:t>either comparator (i</w:t>
      </w:r>
      <w:r w:rsidR="0086393D" w:rsidRPr="00A655A1">
        <w:rPr>
          <w:iCs/>
        </w:rPr>
        <w:t>.</w:t>
      </w:r>
      <w:r w:rsidR="00902167" w:rsidRPr="00A655A1">
        <w:rPr>
          <w:iCs/>
        </w:rPr>
        <w:t>e. Bd or Cd)</w:t>
      </w:r>
      <w:r w:rsidR="00207B0A" w:rsidRPr="00A655A1">
        <w:rPr>
          <w:iCs/>
        </w:rPr>
        <w:t>,</w:t>
      </w:r>
      <w:r w:rsidR="00902167" w:rsidRPr="00A655A1">
        <w:rPr>
          <w:iCs/>
        </w:rPr>
        <w:t xml:space="preserve"> </w:t>
      </w:r>
      <w:r w:rsidR="00760ACE" w:rsidRPr="00A655A1">
        <w:rPr>
          <w:iCs/>
        </w:rPr>
        <w:t>a weighted comparator may not be justi</w:t>
      </w:r>
      <w:r w:rsidR="002A4FE7" w:rsidRPr="00A655A1">
        <w:rPr>
          <w:iCs/>
        </w:rPr>
        <w:t xml:space="preserve">fied. </w:t>
      </w:r>
    </w:p>
    <w:p w:rsidR="00E53385" w:rsidRPr="00A655A1" w:rsidRDefault="00E53385" w:rsidP="00E53385">
      <w:pPr>
        <w:pStyle w:val="4-SubsectionHeading"/>
      </w:pPr>
      <w:bookmarkStart w:id="44" w:name="_Toc22897646"/>
      <w:bookmarkStart w:id="45" w:name="_Toc69197085"/>
      <w:bookmarkStart w:id="46" w:name="_Toc72314265"/>
      <w:r w:rsidRPr="00A655A1">
        <w:t>Drug cost/patient/cours</w:t>
      </w:r>
      <w:bookmarkEnd w:id="44"/>
      <w:bookmarkEnd w:id="45"/>
      <w:r w:rsidR="005F6B2B" w:rsidRPr="00A655A1">
        <w:t>e</w:t>
      </w:r>
      <w:bookmarkEnd w:id="46"/>
    </w:p>
    <w:p w:rsidR="009C5C3F" w:rsidRPr="00A655A1" w:rsidRDefault="001D6117" w:rsidP="00AB11DB">
      <w:pPr>
        <w:pStyle w:val="3-BodyText"/>
        <w:rPr>
          <w:rFonts w:ascii="Calibri" w:hAnsi="Calibri"/>
          <w:b/>
          <w:sz w:val="18"/>
          <w:szCs w:val="18"/>
        </w:rPr>
      </w:pPr>
      <w:r w:rsidRPr="00A655A1">
        <w:t>Table 24 presents a</w:t>
      </w:r>
      <w:r w:rsidR="0019688A" w:rsidRPr="00A655A1">
        <w:t xml:space="preserve"> summary of the drug cost per patient for SBd and its comparators Bd and Cd</w:t>
      </w:r>
      <w:r w:rsidR="009F6E86" w:rsidRPr="00A655A1">
        <w:t>.</w:t>
      </w:r>
      <w:bookmarkStart w:id="47" w:name="_Ref69467211"/>
      <w:r w:rsidR="00476E0E" w:rsidRPr="00A655A1">
        <w:t xml:space="preserve"> The average time on </w:t>
      </w:r>
      <w:r w:rsidR="004368DB" w:rsidRPr="00A655A1">
        <w:t xml:space="preserve">SBd </w:t>
      </w:r>
      <w:r w:rsidR="00476E0E" w:rsidRPr="00A655A1">
        <w:t xml:space="preserve">treatment </w:t>
      </w:r>
      <w:r w:rsidR="004368DB" w:rsidRPr="00A655A1">
        <w:t xml:space="preserve">based on the CMA and the CUA were different (7.98 cycles and 11.07 cycles respectively). </w:t>
      </w:r>
      <w:r w:rsidR="008B19A9" w:rsidRPr="00A655A1">
        <w:t>Th</w:t>
      </w:r>
      <w:r w:rsidR="00E41E16" w:rsidRPr="00A655A1">
        <w:t>ese</w:t>
      </w:r>
      <w:r w:rsidR="008B19A9" w:rsidRPr="00A655A1">
        <w:t xml:space="preserve"> results in a drug/cost/patient/course for SBd of $</w:t>
      </w:r>
      <w:r w:rsidR="007004AE">
        <w:rPr>
          <w:noProof/>
          <w:color w:val="000000"/>
          <w:highlight w:val="black"/>
        </w:rPr>
        <w:t xml:space="preserve">''''''''''''' </w:t>
      </w:r>
      <w:r w:rsidR="008F70B9" w:rsidRPr="00A655A1">
        <w:t>based on the CMA and $</w:t>
      </w:r>
      <w:r w:rsidR="007004AE">
        <w:rPr>
          <w:noProof/>
          <w:color w:val="000000"/>
          <w:highlight w:val="black"/>
        </w:rPr>
        <w:t>''''''''''''''''</w:t>
      </w:r>
      <w:r w:rsidR="008F70B9" w:rsidRPr="00A655A1">
        <w:t xml:space="preserve"> based on the CUA. </w:t>
      </w:r>
      <w:r w:rsidR="003A5092" w:rsidRPr="00A655A1">
        <w:t xml:space="preserve">Furthermore, the duration of therapy based on BOSTON </w:t>
      </w:r>
      <w:r w:rsidR="00B61C58" w:rsidRPr="00A655A1">
        <w:t xml:space="preserve">was </w:t>
      </w:r>
      <w:r w:rsidR="003A5092" w:rsidRPr="00A655A1">
        <w:t>lower for both SBd and Bd arms compared to the economic and financial estimates.</w:t>
      </w:r>
    </w:p>
    <w:p w:rsidR="00E53385" w:rsidRPr="00A655A1" w:rsidRDefault="0019688A" w:rsidP="00FC1FD3">
      <w:pPr>
        <w:pStyle w:val="3-BodyText"/>
        <w:keepNext/>
        <w:numPr>
          <w:ilvl w:val="0"/>
          <w:numId w:val="0"/>
        </w:numPr>
        <w:spacing w:after="0"/>
        <w:rPr>
          <w:rStyle w:val="CommentReference"/>
          <w:rFonts w:ascii="Calibri" w:hAnsi="Calibri"/>
          <w:b w:val="0"/>
          <w:sz w:val="18"/>
          <w:szCs w:val="18"/>
        </w:rPr>
      </w:pPr>
      <w:r w:rsidRPr="00A655A1">
        <w:rPr>
          <w:rStyle w:val="TableFigureHeadingChar"/>
          <w:sz w:val="20"/>
          <w:szCs w:val="20"/>
        </w:rPr>
        <w:t xml:space="preserve">Table </w:t>
      </w:r>
      <w:bookmarkEnd w:id="47"/>
      <w:r w:rsidR="0086393D" w:rsidRPr="00A655A1">
        <w:rPr>
          <w:rStyle w:val="TableFigureHeadingChar"/>
          <w:sz w:val="20"/>
          <w:szCs w:val="20"/>
        </w:rPr>
        <w:t>24</w:t>
      </w:r>
      <w:r w:rsidR="009F6E86" w:rsidRPr="00A655A1">
        <w:rPr>
          <w:rStyle w:val="TableFigureHeadingChar"/>
          <w:sz w:val="20"/>
          <w:szCs w:val="20"/>
        </w:rPr>
        <w:t xml:space="preserve">: </w:t>
      </w:r>
      <w:r w:rsidR="00E53385" w:rsidRPr="00A655A1">
        <w:rPr>
          <w:rStyle w:val="CommentReference"/>
          <w:szCs w:val="24"/>
        </w:rPr>
        <w:t>Drug cost per</w:t>
      </w:r>
      <w:r w:rsidR="00E53385" w:rsidRPr="00A655A1">
        <w:rPr>
          <w:rStyle w:val="CommentReference"/>
          <w:szCs w:val="20"/>
        </w:rPr>
        <w:t xml:space="preserve"> patient</w:t>
      </w:r>
      <w:r w:rsidR="00E53385" w:rsidRPr="00A655A1">
        <w:rPr>
          <w:rStyle w:val="CommentReference"/>
          <w:szCs w:val="24"/>
        </w:rPr>
        <w:t xml:space="preserve"> for proposed and comparator drugs</w:t>
      </w:r>
      <w:r w:rsidR="00240CC5" w:rsidRPr="00A655A1">
        <w:rPr>
          <w:rStyle w:val="CommentReference"/>
          <w:szCs w:val="24"/>
        </w:rPr>
        <w:t xml:space="preserve"> (AEMP)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892"/>
        <w:gridCol w:w="901"/>
        <w:gridCol w:w="903"/>
        <w:gridCol w:w="904"/>
        <w:gridCol w:w="904"/>
        <w:gridCol w:w="902"/>
        <w:gridCol w:w="905"/>
        <w:gridCol w:w="904"/>
        <w:gridCol w:w="904"/>
        <w:gridCol w:w="898"/>
      </w:tblGrid>
      <w:tr w:rsidR="00C1127F" w:rsidRPr="00A655A1" w:rsidTr="00ED3E4F">
        <w:trPr>
          <w:cantSplit/>
          <w:tblHeader/>
          <w:jc w:val="center"/>
        </w:trPr>
        <w:tc>
          <w:tcPr>
            <w:tcW w:w="495" w:type="pct"/>
            <w:shd w:val="clear" w:color="auto" w:fill="auto"/>
            <w:vAlign w:val="center"/>
          </w:tcPr>
          <w:p w:rsidR="00C1127F" w:rsidRPr="00A655A1" w:rsidRDefault="00C1127F" w:rsidP="00493A65">
            <w:pPr>
              <w:pStyle w:val="In-tableHeading"/>
              <w:widowControl w:val="0"/>
              <w:jc w:val="center"/>
              <w:rPr>
                <w:lang w:val="en-AU"/>
              </w:rPr>
            </w:pPr>
          </w:p>
        </w:tc>
        <w:tc>
          <w:tcPr>
            <w:tcW w:w="1502" w:type="pct"/>
            <w:gridSpan w:val="3"/>
            <w:shd w:val="clear" w:color="auto" w:fill="auto"/>
            <w:vAlign w:val="center"/>
          </w:tcPr>
          <w:p w:rsidR="00C1127F" w:rsidRPr="00A655A1" w:rsidRDefault="00C1127F" w:rsidP="00493A65">
            <w:pPr>
              <w:pStyle w:val="In-tableHeading"/>
              <w:widowControl w:val="0"/>
              <w:jc w:val="center"/>
              <w:rPr>
                <w:lang w:val="en-AU"/>
              </w:rPr>
            </w:pPr>
            <w:r w:rsidRPr="00A655A1">
              <w:rPr>
                <w:lang w:val="en-AU"/>
              </w:rPr>
              <w:t>SBd</w:t>
            </w:r>
          </w:p>
        </w:tc>
        <w:tc>
          <w:tcPr>
            <w:tcW w:w="1503" w:type="pct"/>
            <w:gridSpan w:val="3"/>
            <w:shd w:val="clear" w:color="auto" w:fill="auto"/>
            <w:vAlign w:val="center"/>
          </w:tcPr>
          <w:p w:rsidR="00C1127F" w:rsidRPr="00A655A1" w:rsidRDefault="00C1127F" w:rsidP="00493A65">
            <w:pPr>
              <w:pStyle w:val="In-tableHeading"/>
              <w:widowControl w:val="0"/>
              <w:jc w:val="center"/>
              <w:rPr>
                <w:lang w:val="en-AU"/>
              </w:rPr>
            </w:pPr>
            <w:r w:rsidRPr="00A655A1">
              <w:rPr>
                <w:lang w:val="en-AU"/>
              </w:rPr>
              <w:t>Bd</w:t>
            </w:r>
          </w:p>
        </w:tc>
        <w:tc>
          <w:tcPr>
            <w:tcW w:w="1500" w:type="pct"/>
            <w:gridSpan w:val="3"/>
            <w:vAlign w:val="center"/>
          </w:tcPr>
          <w:p w:rsidR="00C1127F" w:rsidRPr="00A655A1" w:rsidRDefault="00C1127F" w:rsidP="00493A65">
            <w:pPr>
              <w:pStyle w:val="In-tableHeading"/>
              <w:widowControl w:val="0"/>
              <w:jc w:val="center"/>
              <w:rPr>
                <w:vertAlign w:val="superscript"/>
                <w:lang w:val="en-AU"/>
              </w:rPr>
            </w:pPr>
            <w:r w:rsidRPr="00A655A1">
              <w:rPr>
                <w:lang w:val="en-AU"/>
              </w:rPr>
              <w:t>Cd</w:t>
            </w:r>
            <w:r w:rsidR="00340F43" w:rsidRPr="00A655A1">
              <w:rPr>
                <w:lang w:val="en-AU"/>
              </w:rPr>
              <w:t xml:space="preserve"> (twice weekly regimen) </w:t>
            </w:r>
            <w:r w:rsidR="00340F43" w:rsidRPr="00A655A1">
              <w:rPr>
                <w:vertAlign w:val="superscript"/>
                <w:lang w:val="en-AU"/>
              </w:rPr>
              <w:t>a</w:t>
            </w:r>
          </w:p>
        </w:tc>
      </w:tr>
      <w:tr w:rsidR="00C1127F" w:rsidRPr="00A655A1" w:rsidTr="00ED3E4F">
        <w:trPr>
          <w:cantSplit/>
          <w:tblHeader/>
          <w:jc w:val="center"/>
        </w:trPr>
        <w:tc>
          <w:tcPr>
            <w:tcW w:w="495" w:type="pct"/>
            <w:shd w:val="clear" w:color="auto" w:fill="auto"/>
            <w:vAlign w:val="center"/>
          </w:tcPr>
          <w:p w:rsidR="00C1127F" w:rsidRPr="00A655A1" w:rsidRDefault="00C1127F" w:rsidP="00493A65">
            <w:pPr>
              <w:pStyle w:val="In-tableHeading"/>
              <w:widowControl w:val="0"/>
              <w:jc w:val="center"/>
              <w:rPr>
                <w:lang w:val="en-AU"/>
              </w:rPr>
            </w:pPr>
          </w:p>
        </w:tc>
        <w:tc>
          <w:tcPr>
            <w:tcW w:w="500" w:type="pct"/>
            <w:shd w:val="clear" w:color="auto" w:fill="auto"/>
            <w:vAlign w:val="center"/>
          </w:tcPr>
          <w:p w:rsidR="00C1127F" w:rsidRPr="00A655A1" w:rsidRDefault="00C1127F" w:rsidP="00493A65">
            <w:pPr>
              <w:pStyle w:val="In-tableHeading"/>
              <w:widowControl w:val="0"/>
              <w:jc w:val="center"/>
              <w:rPr>
                <w:lang w:val="en-AU"/>
              </w:rPr>
            </w:pPr>
            <w:r w:rsidRPr="00A655A1">
              <w:rPr>
                <w:lang w:val="en-AU"/>
              </w:rPr>
              <w:t>Trial dose and duration</w:t>
            </w:r>
          </w:p>
        </w:tc>
        <w:tc>
          <w:tcPr>
            <w:tcW w:w="501" w:type="pct"/>
            <w:shd w:val="clear" w:color="auto" w:fill="auto"/>
            <w:vAlign w:val="center"/>
          </w:tcPr>
          <w:p w:rsidR="00C1127F" w:rsidRPr="00A655A1" w:rsidRDefault="00804F69" w:rsidP="00493A65">
            <w:pPr>
              <w:pStyle w:val="In-tableHeading"/>
              <w:widowControl w:val="0"/>
              <w:jc w:val="center"/>
              <w:rPr>
                <w:lang w:val="en-AU"/>
              </w:rPr>
            </w:pPr>
            <w:r w:rsidRPr="00A655A1">
              <w:rPr>
                <w:lang w:val="en-AU"/>
              </w:rPr>
              <w:t>CUA/CMA</w:t>
            </w:r>
          </w:p>
        </w:tc>
        <w:tc>
          <w:tcPr>
            <w:tcW w:w="501" w:type="pct"/>
            <w:shd w:val="clear" w:color="auto" w:fill="auto"/>
            <w:vAlign w:val="center"/>
          </w:tcPr>
          <w:p w:rsidR="00C1127F" w:rsidRPr="00A655A1" w:rsidRDefault="00C1127F" w:rsidP="00493A65">
            <w:pPr>
              <w:pStyle w:val="In-tableHeading"/>
              <w:widowControl w:val="0"/>
              <w:jc w:val="center"/>
              <w:rPr>
                <w:lang w:val="en-AU"/>
              </w:rPr>
            </w:pPr>
            <w:r w:rsidRPr="00A655A1">
              <w:rPr>
                <w:lang w:val="en-AU"/>
              </w:rPr>
              <w:t xml:space="preserve">Financial estimates </w:t>
            </w:r>
          </w:p>
        </w:tc>
        <w:tc>
          <w:tcPr>
            <w:tcW w:w="501" w:type="pct"/>
            <w:shd w:val="clear" w:color="auto" w:fill="auto"/>
            <w:vAlign w:val="center"/>
          </w:tcPr>
          <w:p w:rsidR="00C1127F" w:rsidRPr="00A655A1" w:rsidRDefault="00C1127F" w:rsidP="00493A65">
            <w:pPr>
              <w:pStyle w:val="In-tableHeading"/>
              <w:widowControl w:val="0"/>
              <w:jc w:val="center"/>
              <w:rPr>
                <w:lang w:val="en-AU"/>
              </w:rPr>
            </w:pPr>
            <w:r w:rsidRPr="00A655A1">
              <w:rPr>
                <w:lang w:val="en-AU"/>
              </w:rPr>
              <w:t>Trial dose and duration</w:t>
            </w:r>
          </w:p>
        </w:tc>
        <w:tc>
          <w:tcPr>
            <w:tcW w:w="500" w:type="pct"/>
            <w:shd w:val="clear" w:color="auto" w:fill="auto"/>
            <w:vAlign w:val="center"/>
          </w:tcPr>
          <w:p w:rsidR="00C1127F" w:rsidRPr="00A655A1" w:rsidRDefault="00C1127F" w:rsidP="00493A65">
            <w:pPr>
              <w:pStyle w:val="In-tableHeading"/>
              <w:widowControl w:val="0"/>
              <w:jc w:val="center"/>
              <w:rPr>
                <w:lang w:val="en-AU"/>
              </w:rPr>
            </w:pPr>
            <w:r w:rsidRPr="00A655A1">
              <w:rPr>
                <w:lang w:val="en-AU"/>
              </w:rPr>
              <w:t>CUA</w:t>
            </w:r>
          </w:p>
        </w:tc>
        <w:tc>
          <w:tcPr>
            <w:tcW w:w="502" w:type="pct"/>
            <w:vAlign w:val="center"/>
          </w:tcPr>
          <w:p w:rsidR="00C1127F" w:rsidRPr="00A655A1" w:rsidRDefault="00C1127F" w:rsidP="00493A65">
            <w:pPr>
              <w:pStyle w:val="In-tableHeading"/>
              <w:widowControl w:val="0"/>
              <w:jc w:val="center"/>
              <w:rPr>
                <w:lang w:val="en-AU"/>
              </w:rPr>
            </w:pPr>
            <w:r w:rsidRPr="00A655A1">
              <w:rPr>
                <w:lang w:val="en-AU"/>
              </w:rPr>
              <w:t>Financial estimates</w:t>
            </w:r>
          </w:p>
        </w:tc>
        <w:tc>
          <w:tcPr>
            <w:tcW w:w="501" w:type="pct"/>
            <w:vAlign w:val="center"/>
          </w:tcPr>
          <w:p w:rsidR="00C1127F" w:rsidRPr="00A655A1" w:rsidRDefault="00C1127F" w:rsidP="00493A65">
            <w:pPr>
              <w:pStyle w:val="In-tableHeading"/>
              <w:widowControl w:val="0"/>
              <w:jc w:val="center"/>
              <w:rPr>
                <w:lang w:val="en-AU"/>
              </w:rPr>
            </w:pPr>
            <w:r w:rsidRPr="00A655A1">
              <w:rPr>
                <w:lang w:val="en-AU"/>
              </w:rPr>
              <w:t>Trial dose and duration</w:t>
            </w:r>
          </w:p>
        </w:tc>
        <w:tc>
          <w:tcPr>
            <w:tcW w:w="501" w:type="pct"/>
            <w:vAlign w:val="center"/>
          </w:tcPr>
          <w:p w:rsidR="00C1127F" w:rsidRPr="00A655A1" w:rsidRDefault="00C1127F" w:rsidP="00493A65">
            <w:pPr>
              <w:pStyle w:val="In-tableHeading"/>
              <w:widowControl w:val="0"/>
              <w:jc w:val="center"/>
              <w:rPr>
                <w:lang w:val="en-AU"/>
              </w:rPr>
            </w:pPr>
            <w:r w:rsidRPr="00A655A1">
              <w:rPr>
                <w:lang w:val="en-AU"/>
              </w:rPr>
              <w:t>CMA</w:t>
            </w:r>
          </w:p>
        </w:tc>
        <w:tc>
          <w:tcPr>
            <w:tcW w:w="498" w:type="pct"/>
            <w:vAlign w:val="center"/>
          </w:tcPr>
          <w:p w:rsidR="00C1127F" w:rsidRPr="00A655A1" w:rsidRDefault="00C1127F" w:rsidP="00493A65">
            <w:pPr>
              <w:pStyle w:val="In-tableHeading"/>
              <w:widowControl w:val="0"/>
              <w:jc w:val="center"/>
              <w:rPr>
                <w:lang w:val="en-AU"/>
              </w:rPr>
            </w:pPr>
            <w:r w:rsidRPr="00A655A1">
              <w:rPr>
                <w:lang w:val="en-AU"/>
              </w:rPr>
              <w:t>Financial estimates</w:t>
            </w:r>
          </w:p>
        </w:tc>
      </w:tr>
      <w:tr w:rsidR="00C347A7" w:rsidRPr="00A655A1" w:rsidTr="00ED3E4F">
        <w:trPr>
          <w:cantSplit/>
          <w:jc w:val="center"/>
        </w:trPr>
        <w:tc>
          <w:tcPr>
            <w:tcW w:w="495" w:type="pct"/>
            <w:shd w:val="clear" w:color="auto" w:fill="auto"/>
            <w:vAlign w:val="center"/>
          </w:tcPr>
          <w:p w:rsidR="00C347A7" w:rsidRPr="00A655A1" w:rsidRDefault="00C347A7" w:rsidP="00493A65">
            <w:pPr>
              <w:pStyle w:val="TableText0"/>
              <w:widowControl w:val="0"/>
              <w:rPr>
                <w:vertAlign w:val="superscript"/>
              </w:rPr>
            </w:pPr>
            <w:r w:rsidRPr="00A655A1">
              <w:t xml:space="preserve">Frequency/cycle </w:t>
            </w:r>
            <w:r w:rsidR="001C2FBB" w:rsidRPr="00A655A1">
              <w:rPr>
                <w:vertAlign w:val="superscript"/>
              </w:rPr>
              <w:t>c</w:t>
            </w:r>
          </w:p>
        </w:tc>
        <w:tc>
          <w:tcPr>
            <w:tcW w:w="1502" w:type="pct"/>
            <w:gridSpan w:val="3"/>
            <w:shd w:val="clear" w:color="auto" w:fill="auto"/>
            <w:vAlign w:val="center"/>
          </w:tcPr>
          <w:p w:rsidR="00913FBD" w:rsidRPr="00A655A1" w:rsidRDefault="00983C38" w:rsidP="00493A65">
            <w:pPr>
              <w:pStyle w:val="TableText0"/>
              <w:widowControl w:val="0"/>
            </w:pPr>
            <w:r w:rsidRPr="00A655A1">
              <w:t>Cycle 1+ (</w:t>
            </w:r>
            <w:r w:rsidR="00913FBD" w:rsidRPr="00A655A1">
              <w:t>35 day cycles</w:t>
            </w:r>
            <w:r w:rsidRPr="00A655A1">
              <w:t>)</w:t>
            </w:r>
            <w:r w:rsidR="00913FBD" w:rsidRPr="00A655A1">
              <w:t>:</w:t>
            </w:r>
          </w:p>
          <w:p w:rsidR="004703D5" w:rsidRPr="00A655A1" w:rsidRDefault="004703D5" w:rsidP="00493A65">
            <w:pPr>
              <w:pStyle w:val="TableText0"/>
              <w:widowControl w:val="0"/>
            </w:pPr>
            <w:r w:rsidRPr="00A655A1">
              <w:t xml:space="preserve">Sel: 100 mg </w:t>
            </w:r>
            <w:r w:rsidR="001D624D" w:rsidRPr="00A655A1">
              <w:t>PO</w:t>
            </w:r>
            <w:r w:rsidRPr="00A655A1">
              <w:t xml:space="preserve"> </w:t>
            </w:r>
            <w:r w:rsidR="00003A41" w:rsidRPr="00A655A1">
              <w:t>(D</w:t>
            </w:r>
            <w:r w:rsidRPr="00A655A1">
              <w:t>ays 1,8,15,22,29</w:t>
            </w:r>
            <w:r w:rsidR="00003A41" w:rsidRPr="00A655A1">
              <w:t>)</w:t>
            </w:r>
          </w:p>
          <w:p w:rsidR="004703D5" w:rsidRPr="00A655A1" w:rsidRDefault="004703D5" w:rsidP="00493A65">
            <w:pPr>
              <w:pStyle w:val="TableText0"/>
              <w:widowControl w:val="0"/>
            </w:pPr>
            <w:r w:rsidRPr="00A655A1">
              <w:t>Bort</w:t>
            </w:r>
            <w:r w:rsidR="00003A41" w:rsidRPr="00A655A1">
              <w:t>:</w:t>
            </w:r>
            <w:r w:rsidRPr="00A655A1">
              <w:t xml:space="preserve"> 1.3 mg/m</w:t>
            </w:r>
            <w:r w:rsidRPr="00A655A1">
              <w:rPr>
                <w:vertAlign w:val="superscript"/>
              </w:rPr>
              <w:t>2</w:t>
            </w:r>
            <w:r w:rsidRPr="00A655A1">
              <w:t xml:space="preserve"> SC </w:t>
            </w:r>
            <w:r w:rsidR="00003A41" w:rsidRPr="00A655A1">
              <w:t>(D</w:t>
            </w:r>
            <w:r w:rsidRPr="00A655A1">
              <w:t>ays 1,8,15, 22</w:t>
            </w:r>
            <w:r w:rsidR="00003A41" w:rsidRPr="00A655A1">
              <w:t>)</w:t>
            </w:r>
          </w:p>
          <w:p w:rsidR="00913FBD" w:rsidRPr="00A655A1" w:rsidRDefault="004703D5" w:rsidP="00493A65">
            <w:pPr>
              <w:pStyle w:val="TableText0"/>
              <w:widowControl w:val="0"/>
            </w:pPr>
            <w:r w:rsidRPr="00A655A1">
              <w:t>Dex</w:t>
            </w:r>
            <w:r w:rsidR="00003A41" w:rsidRPr="00A655A1">
              <w:t>:</w:t>
            </w:r>
            <w:r w:rsidRPr="00A655A1">
              <w:t xml:space="preserve"> 20 mg </w:t>
            </w:r>
            <w:r w:rsidR="00913FBD" w:rsidRPr="00A655A1">
              <w:t>PO</w:t>
            </w:r>
            <w:r w:rsidR="00003A41" w:rsidRPr="00A655A1">
              <w:t xml:space="preserve"> (D</w:t>
            </w:r>
            <w:r w:rsidRPr="00A655A1">
              <w:t>ays 1,2,8,9,15,16,22,23,29,30</w:t>
            </w:r>
            <w:r w:rsidR="00003A41" w:rsidRPr="00A655A1">
              <w:t xml:space="preserve">) </w:t>
            </w:r>
          </w:p>
          <w:p w:rsidR="00C347A7" w:rsidRPr="00A655A1" w:rsidRDefault="00C347A7" w:rsidP="00493A65">
            <w:pPr>
              <w:pStyle w:val="TableText0"/>
              <w:widowControl w:val="0"/>
              <w:rPr>
                <w:bCs w:val="0"/>
                <w:iCs/>
              </w:rPr>
            </w:pPr>
          </w:p>
        </w:tc>
        <w:tc>
          <w:tcPr>
            <w:tcW w:w="1503" w:type="pct"/>
            <w:gridSpan w:val="3"/>
            <w:shd w:val="clear" w:color="auto" w:fill="auto"/>
            <w:vAlign w:val="center"/>
          </w:tcPr>
          <w:p w:rsidR="00913FBD" w:rsidRPr="00A655A1" w:rsidRDefault="00913FBD" w:rsidP="00493A65">
            <w:pPr>
              <w:pStyle w:val="TableText0"/>
              <w:widowControl w:val="0"/>
            </w:pPr>
            <w:r w:rsidRPr="00A655A1">
              <w:t>Cycles 1 – 8 (21 day cycles):</w:t>
            </w:r>
          </w:p>
          <w:p w:rsidR="00494F0B" w:rsidRPr="00A655A1" w:rsidRDefault="00494F0B" w:rsidP="00493A65">
            <w:pPr>
              <w:pStyle w:val="TableText0"/>
              <w:widowControl w:val="0"/>
            </w:pPr>
            <w:r w:rsidRPr="00A655A1">
              <w:t>Bort: 1.3 mg/m</w:t>
            </w:r>
            <w:r w:rsidRPr="00A655A1">
              <w:rPr>
                <w:vertAlign w:val="superscript"/>
              </w:rPr>
              <w:t>2</w:t>
            </w:r>
            <w:r w:rsidRPr="00A655A1">
              <w:t xml:space="preserve"> SC (Days 1,4,8,11)</w:t>
            </w:r>
          </w:p>
          <w:p w:rsidR="00913FBD" w:rsidRPr="00A655A1" w:rsidRDefault="00494F0B" w:rsidP="00493A65">
            <w:pPr>
              <w:pStyle w:val="TableText0"/>
              <w:widowControl w:val="0"/>
              <w:spacing w:after="80"/>
            </w:pPr>
            <w:r w:rsidRPr="00A655A1">
              <w:t xml:space="preserve">Dex: 20 mg </w:t>
            </w:r>
            <w:r w:rsidR="001D624D" w:rsidRPr="00A655A1">
              <w:t xml:space="preserve">PO </w:t>
            </w:r>
            <w:r w:rsidRPr="00A655A1">
              <w:t>(Days 1,2,</w:t>
            </w:r>
            <w:r w:rsidR="006341B9" w:rsidRPr="00A655A1">
              <w:t>4</w:t>
            </w:r>
            <w:r w:rsidRPr="00A655A1">
              <w:t>,</w:t>
            </w:r>
            <w:r w:rsidR="006341B9" w:rsidRPr="00A655A1">
              <w:t>5</w:t>
            </w:r>
            <w:r w:rsidRPr="00A655A1">
              <w:t>,</w:t>
            </w:r>
            <w:r w:rsidR="006341B9" w:rsidRPr="00A655A1">
              <w:t>8</w:t>
            </w:r>
            <w:r w:rsidRPr="00A655A1">
              <w:t>,</w:t>
            </w:r>
            <w:r w:rsidR="006341B9" w:rsidRPr="00A655A1">
              <w:t>9</w:t>
            </w:r>
            <w:r w:rsidRPr="00A655A1">
              <w:t>,</w:t>
            </w:r>
            <w:r w:rsidR="00913FBD" w:rsidRPr="00A655A1">
              <w:t xml:space="preserve"> </w:t>
            </w:r>
            <w:r w:rsidR="006341B9" w:rsidRPr="00A655A1">
              <w:t>11</w:t>
            </w:r>
            <w:r w:rsidRPr="00A655A1">
              <w:t>,</w:t>
            </w:r>
            <w:r w:rsidR="006341B9" w:rsidRPr="00A655A1">
              <w:t>12</w:t>
            </w:r>
            <w:r w:rsidRPr="00A655A1">
              <w:t xml:space="preserve">) </w:t>
            </w:r>
          </w:p>
          <w:p w:rsidR="00913FBD" w:rsidRPr="00A655A1" w:rsidRDefault="00913FBD" w:rsidP="00493A65">
            <w:pPr>
              <w:pStyle w:val="TableText0"/>
              <w:widowControl w:val="0"/>
            </w:pPr>
            <w:r w:rsidRPr="00A655A1">
              <w:t>Cycles 9+ (35 day cycles):</w:t>
            </w:r>
          </w:p>
          <w:p w:rsidR="00622B2B" w:rsidRPr="00A655A1" w:rsidRDefault="00622B2B" w:rsidP="00493A65">
            <w:pPr>
              <w:pStyle w:val="TableText0"/>
              <w:widowControl w:val="0"/>
            </w:pPr>
            <w:r w:rsidRPr="00A655A1">
              <w:t>Bort: 1.3 mg/m</w:t>
            </w:r>
            <w:r w:rsidRPr="00A655A1">
              <w:rPr>
                <w:vertAlign w:val="superscript"/>
              </w:rPr>
              <w:t>2</w:t>
            </w:r>
            <w:r w:rsidRPr="00A655A1">
              <w:t xml:space="preserve"> SC (Days 1,</w:t>
            </w:r>
            <w:r w:rsidR="00247DD3" w:rsidRPr="00A655A1">
              <w:t>8</w:t>
            </w:r>
            <w:r w:rsidRPr="00A655A1">
              <w:t>,</w:t>
            </w:r>
            <w:r w:rsidR="00247DD3" w:rsidRPr="00A655A1">
              <w:t>15</w:t>
            </w:r>
            <w:r w:rsidR="00913FBD" w:rsidRPr="00A655A1">
              <w:t>,</w:t>
            </w:r>
            <w:r w:rsidR="00247DD3" w:rsidRPr="00A655A1">
              <w:t>22</w:t>
            </w:r>
            <w:r w:rsidRPr="00A655A1">
              <w:t>)</w:t>
            </w:r>
          </w:p>
          <w:p w:rsidR="00622B2B" w:rsidRPr="00A655A1" w:rsidRDefault="00622B2B" w:rsidP="00493A65">
            <w:pPr>
              <w:pStyle w:val="TableText0"/>
              <w:widowControl w:val="0"/>
            </w:pPr>
            <w:r w:rsidRPr="00A655A1">
              <w:t xml:space="preserve">Dex: 20 mg </w:t>
            </w:r>
            <w:r w:rsidR="001D624D" w:rsidRPr="00A655A1">
              <w:t xml:space="preserve">PO </w:t>
            </w:r>
            <w:r w:rsidRPr="00A655A1">
              <w:t>(Days 1,2,</w:t>
            </w:r>
            <w:r w:rsidR="00AD255D" w:rsidRPr="00A655A1">
              <w:t>8,</w:t>
            </w:r>
            <w:r w:rsidRPr="00A655A1">
              <w:t>9,1</w:t>
            </w:r>
            <w:r w:rsidR="00AD255D" w:rsidRPr="00A655A1">
              <w:t>5</w:t>
            </w:r>
            <w:r w:rsidRPr="00A655A1">
              <w:t>,</w:t>
            </w:r>
            <w:r w:rsidR="00AD255D" w:rsidRPr="00A655A1">
              <w:t>16,</w:t>
            </w:r>
            <w:r w:rsidR="00913FBD" w:rsidRPr="00A655A1">
              <w:t xml:space="preserve"> </w:t>
            </w:r>
            <w:r w:rsidR="00AD255D" w:rsidRPr="00A655A1">
              <w:t>22,23,29</w:t>
            </w:r>
            <w:r w:rsidR="00913FBD" w:rsidRPr="00A655A1">
              <w:t>,</w:t>
            </w:r>
            <w:r w:rsidR="00AD255D" w:rsidRPr="00A655A1">
              <w:t>30</w:t>
            </w:r>
            <w:r w:rsidRPr="00A655A1">
              <w:t xml:space="preserve">) </w:t>
            </w:r>
          </w:p>
        </w:tc>
        <w:tc>
          <w:tcPr>
            <w:tcW w:w="1500" w:type="pct"/>
            <w:gridSpan w:val="3"/>
            <w:vAlign w:val="center"/>
          </w:tcPr>
          <w:p w:rsidR="00913FBD" w:rsidRPr="00A655A1" w:rsidRDefault="00913FBD" w:rsidP="00493A65">
            <w:pPr>
              <w:pStyle w:val="TableText0"/>
              <w:widowControl w:val="0"/>
              <w:rPr>
                <w:bCs w:val="0"/>
              </w:rPr>
            </w:pPr>
            <w:r w:rsidRPr="00A655A1">
              <w:rPr>
                <w:bCs w:val="0"/>
              </w:rPr>
              <w:t>Cycle 1 (28 day cycle):</w:t>
            </w:r>
          </w:p>
          <w:p w:rsidR="0098325F" w:rsidRPr="00A655A1" w:rsidRDefault="000A7FC1" w:rsidP="00493A65">
            <w:pPr>
              <w:pStyle w:val="TableText0"/>
              <w:widowControl w:val="0"/>
            </w:pPr>
            <w:r w:rsidRPr="00A655A1">
              <w:rPr>
                <w:bCs w:val="0"/>
              </w:rPr>
              <w:t xml:space="preserve">Carf: </w:t>
            </w:r>
            <w:r w:rsidR="00A7245E" w:rsidRPr="00A655A1">
              <w:t>20 mg/m</w:t>
            </w:r>
            <w:r w:rsidR="00A7245E" w:rsidRPr="00A655A1">
              <w:rPr>
                <w:vertAlign w:val="superscript"/>
              </w:rPr>
              <w:t>2</w:t>
            </w:r>
            <w:r w:rsidR="00A7245E" w:rsidRPr="00A655A1">
              <w:t xml:space="preserve"> </w:t>
            </w:r>
            <w:r w:rsidR="0098325F" w:rsidRPr="00A655A1">
              <w:t>(</w:t>
            </w:r>
            <w:r w:rsidR="00A7245E" w:rsidRPr="00A655A1">
              <w:t>D</w:t>
            </w:r>
            <w:r w:rsidR="0098325F" w:rsidRPr="00A655A1">
              <w:t xml:space="preserve">ays </w:t>
            </w:r>
            <w:r w:rsidR="00A7245E" w:rsidRPr="00A655A1">
              <w:t>1</w:t>
            </w:r>
            <w:r w:rsidR="00913FBD" w:rsidRPr="00A655A1">
              <w:t>,</w:t>
            </w:r>
            <w:r w:rsidR="00A7245E" w:rsidRPr="00A655A1">
              <w:t>2</w:t>
            </w:r>
            <w:r w:rsidR="0098325F" w:rsidRPr="00A655A1">
              <w:t>)</w:t>
            </w:r>
            <w:r w:rsidR="00983C38" w:rsidRPr="00A655A1">
              <w:t>;</w:t>
            </w:r>
            <w:r w:rsidR="00A7245E" w:rsidRPr="00A655A1">
              <w:t xml:space="preserve"> 56 mg/m</w:t>
            </w:r>
            <w:r w:rsidR="00A7245E" w:rsidRPr="00A655A1">
              <w:rPr>
                <w:vertAlign w:val="superscript"/>
              </w:rPr>
              <w:t xml:space="preserve">2 </w:t>
            </w:r>
            <w:r w:rsidR="00A7245E" w:rsidRPr="00A655A1">
              <w:t xml:space="preserve">IV </w:t>
            </w:r>
            <w:r w:rsidR="00C267AE" w:rsidRPr="00A655A1">
              <w:t>(</w:t>
            </w:r>
            <w:r w:rsidR="00A7245E" w:rsidRPr="00A655A1">
              <w:t>D</w:t>
            </w:r>
            <w:r w:rsidR="00C267AE" w:rsidRPr="00A655A1">
              <w:t xml:space="preserve">ays </w:t>
            </w:r>
            <w:r w:rsidR="00A7245E" w:rsidRPr="00A655A1">
              <w:t>,9,15,16</w:t>
            </w:r>
            <w:r w:rsidR="0098325F" w:rsidRPr="00A655A1">
              <w:t>)</w:t>
            </w:r>
          </w:p>
          <w:p w:rsidR="00B536C4" w:rsidRPr="00A655A1" w:rsidRDefault="0098325F" w:rsidP="00493A65">
            <w:pPr>
              <w:pStyle w:val="TableText0"/>
              <w:widowControl w:val="0"/>
              <w:spacing w:after="80"/>
            </w:pPr>
            <w:r w:rsidRPr="00A655A1">
              <w:t>D</w:t>
            </w:r>
            <w:r w:rsidR="00A7245E" w:rsidRPr="00A655A1">
              <w:t>ex</w:t>
            </w:r>
            <w:r w:rsidR="00983C38" w:rsidRPr="00A655A1">
              <w:t>:</w:t>
            </w:r>
            <w:r w:rsidR="00A7245E" w:rsidRPr="00A655A1">
              <w:t xml:space="preserve"> 20 mg </w:t>
            </w:r>
            <w:r w:rsidR="001D624D" w:rsidRPr="00A655A1">
              <w:t xml:space="preserve">PO/IV </w:t>
            </w:r>
            <w:r w:rsidRPr="00A655A1">
              <w:t>(</w:t>
            </w:r>
            <w:r w:rsidR="00A7245E" w:rsidRPr="00A655A1">
              <w:t>D</w:t>
            </w:r>
            <w:r w:rsidRPr="00A655A1">
              <w:t xml:space="preserve">ays </w:t>
            </w:r>
            <w:r w:rsidR="00A7245E" w:rsidRPr="00A655A1">
              <w:t>1,2,8,9,15,16,22</w:t>
            </w:r>
            <w:r w:rsidRPr="00A655A1">
              <w:t xml:space="preserve"> </w:t>
            </w:r>
            <w:r w:rsidR="00983C38" w:rsidRPr="00A655A1">
              <w:t>,</w:t>
            </w:r>
            <w:r w:rsidR="00A7245E" w:rsidRPr="00A655A1">
              <w:t>23</w:t>
            </w:r>
            <w:r w:rsidRPr="00A655A1">
              <w:t xml:space="preserve">) </w:t>
            </w:r>
          </w:p>
          <w:p w:rsidR="00983C38" w:rsidRPr="00A655A1" w:rsidRDefault="00983C38" w:rsidP="00493A65">
            <w:pPr>
              <w:pStyle w:val="TableText0"/>
              <w:widowControl w:val="0"/>
            </w:pPr>
            <w:r w:rsidRPr="00A655A1">
              <w:t>Cycle 2+ (28 day cycles):</w:t>
            </w:r>
          </w:p>
          <w:p w:rsidR="00B536C4" w:rsidRPr="00A655A1" w:rsidRDefault="00B536C4" w:rsidP="00493A65">
            <w:pPr>
              <w:pStyle w:val="TableText0"/>
              <w:widowControl w:val="0"/>
            </w:pPr>
            <w:r w:rsidRPr="00A655A1">
              <w:rPr>
                <w:bCs w:val="0"/>
              </w:rPr>
              <w:t xml:space="preserve">Carf: </w:t>
            </w:r>
            <w:r w:rsidRPr="00A655A1">
              <w:t>56 mg/m</w:t>
            </w:r>
            <w:r w:rsidRPr="00A655A1">
              <w:rPr>
                <w:vertAlign w:val="superscript"/>
              </w:rPr>
              <w:t xml:space="preserve">2 </w:t>
            </w:r>
            <w:r w:rsidRPr="00A655A1">
              <w:t>IV (Days</w:t>
            </w:r>
            <w:r w:rsidR="008A2759" w:rsidRPr="00A655A1">
              <w:t xml:space="preserve"> 1,2,8</w:t>
            </w:r>
            <w:r w:rsidRPr="00A655A1">
              <w:t>,9,15,</w:t>
            </w:r>
            <w:r w:rsidR="00983C38" w:rsidRPr="00A655A1">
              <w:t xml:space="preserve"> </w:t>
            </w:r>
            <w:r w:rsidRPr="00A655A1">
              <w:t>16)</w:t>
            </w:r>
          </w:p>
          <w:p w:rsidR="0098325F" w:rsidRPr="00A655A1" w:rsidRDefault="00B536C4" w:rsidP="00493A65">
            <w:pPr>
              <w:pStyle w:val="TableText0"/>
              <w:widowControl w:val="0"/>
              <w:spacing w:after="80"/>
            </w:pPr>
            <w:r w:rsidRPr="00A655A1">
              <w:t>De</w:t>
            </w:r>
            <w:r w:rsidR="00983C38" w:rsidRPr="00A655A1">
              <w:t>x:</w:t>
            </w:r>
            <w:r w:rsidRPr="00A655A1">
              <w:t xml:space="preserve"> 20 mg PO/IV (Days 1,2,8,9,15,16,22</w:t>
            </w:r>
            <w:r w:rsidR="00983C38" w:rsidRPr="00A655A1">
              <w:t>,</w:t>
            </w:r>
            <w:r w:rsidRPr="00A655A1">
              <w:t>23)</w:t>
            </w:r>
          </w:p>
        </w:tc>
      </w:tr>
      <w:tr w:rsidR="00ED3E4F" w:rsidRPr="00A655A1" w:rsidTr="00ED3E4F">
        <w:trPr>
          <w:cantSplit/>
          <w:jc w:val="center"/>
        </w:trPr>
        <w:tc>
          <w:tcPr>
            <w:tcW w:w="495" w:type="pct"/>
            <w:shd w:val="clear" w:color="auto" w:fill="auto"/>
            <w:vAlign w:val="center"/>
          </w:tcPr>
          <w:p w:rsidR="00C1127F" w:rsidRPr="00A655A1" w:rsidRDefault="00B90BB3" w:rsidP="00493A65">
            <w:pPr>
              <w:pStyle w:val="TableText0"/>
              <w:widowControl w:val="0"/>
            </w:pPr>
            <w:r w:rsidRPr="00A655A1">
              <w:t>Dose intensity</w:t>
            </w:r>
          </w:p>
        </w:tc>
        <w:tc>
          <w:tcPr>
            <w:tcW w:w="500" w:type="pct"/>
            <w:shd w:val="clear" w:color="auto" w:fill="auto"/>
            <w:vAlign w:val="center"/>
          </w:tcPr>
          <w:p w:rsidR="00C1127F" w:rsidRPr="00A655A1" w:rsidRDefault="00153590" w:rsidP="00493A65">
            <w:pPr>
              <w:pStyle w:val="TableText0"/>
              <w:widowControl w:val="0"/>
              <w:rPr>
                <w:bCs w:val="0"/>
                <w:iCs/>
              </w:rPr>
            </w:pPr>
            <w:r w:rsidRPr="00A655A1">
              <w:rPr>
                <w:bCs w:val="0"/>
                <w:iCs/>
              </w:rPr>
              <w:t>S</w:t>
            </w:r>
            <w:r w:rsidR="001A1466" w:rsidRPr="00A655A1">
              <w:rPr>
                <w:bCs w:val="0"/>
                <w:iCs/>
              </w:rPr>
              <w:t>:</w:t>
            </w:r>
            <w:r w:rsidR="00DE1F5A" w:rsidRPr="00A655A1">
              <w:rPr>
                <w:bCs w:val="0"/>
                <w:iCs/>
              </w:rPr>
              <w:t xml:space="preserve"> 80.0%</w:t>
            </w:r>
          </w:p>
          <w:p w:rsidR="00153590" w:rsidRPr="00A655A1" w:rsidRDefault="00153590" w:rsidP="00493A65">
            <w:pPr>
              <w:pStyle w:val="TableText0"/>
              <w:widowControl w:val="0"/>
              <w:rPr>
                <w:bCs w:val="0"/>
                <w:iCs/>
              </w:rPr>
            </w:pPr>
            <w:r w:rsidRPr="00A655A1">
              <w:rPr>
                <w:bCs w:val="0"/>
                <w:iCs/>
              </w:rPr>
              <w:t>B</w:t>
            </w:r>
            <w:r w:rsidR="001A1466" w:rsidRPr="00A655A1">
              <w:rPr>
                <w:bCs w:val="0"/>
                <w:iCs/>
              </w:rPr>
              <w:t>:</w:t>
            </w:r>
            <w:r w:rsidR="00DE1F5A" w:rsidRPr="00A655A1">
              <w:rPr>
                <w:bCs w:val="0"/>
                <w:iCs/>
              </w:rPr>
              <w:t xml:space="preserve"> 89.4%</w:t>
            </w:r>
          </w:p>
          <w:p w:rsidR="00153590" w:rsidRPr="00A655A1" w:rsidRDefault="001A1466" w:rsidP="00493A65">
            <w:pPr>
              <w:pStyle w:val="TableText0"/>
              <w:widowControl w:val="0"/>
              <w:rPr>
                <w:iCs/>
              </w:rPr>
            </w:pPr>
            <w:r w:rsidRPr="00A655A1">
              <w:rPr>
                <w:iCs/>
              </w:rPr>
              <w:t>d:</w:t>
            </w:r>
            <w:r w:rsidR="00DE1F5A" w:rsidRPr="00A655A1">
              <w:rPr>
                <w:iCs/>
              </w:rPr>
              <w:t xml:space="preserve"> 90.6%</w:t>
            </w:r>
          </w:p>
        </w:tc>
        <w:tc>
          <w:tcPr>
            <w:tcW w:w="501" w:type="pct"/>
            <w:shd w:val="clear" w:color="auto" w:fill="auto"/>
            <w:vAlign w:val="center"/>
          </w:tcPr>
          <w:p w:rsidR="001A1466" w:rsidRPr="00A655A1" w:rsidRDefault="001A1466" w:rsidP="00493A65">
            <w:pPr>
              <w:pStyle w:val="TableText0"/>
              <w:widowControl w:val="0"/>
              <w:rPr>
                <w:bCs w:val="0"/>
                <w:iCs/>
              </w:rPr>
            </w:pPr>
            <w:r w:rsidRPr="00A655A1">
              <w:rPr>
                <w:bCs w:val="0"/>
                <w:iCs/>
              </w:rPr>
              <w:t>S:</w:t>
            </w:r>
            <w:r w:rsidR="00DE1F5A" w:rsidRPr="00A655A1">
              <w:rPr>
                <w:bCs w:val="0"/>
                <w:iCs/>
              </w:rPr>
              <w:t xml:space="preserve"> 80.0%</w:t>
            </w:r>
          </w:p>
          <w:p w:rsidR="001A1466" w:rsidRPr="00A655A1" w:rsidRDefault="001A1466" w:rsidP="00493A65">
            <w:pPr>
              <w:pStyle w:val="TableText0"/>
              <w:widowControl w:val="0"/>
              <w:rPr>
                <w:bCs w:val="0"/>
                <w:iCs/>
              </w:rPr>
            </w:pPr>
            <w:r w:rsidRPr="00A655A1">
              <w:rPr>
                <w:bCs w:val="0"/>
                <w:iCs/>
              </w:rPr>
              <w:t>B:</w:t>
            </w:r>
            <w:r w:rsidR="00DE1F5A" w:rsidRPr="00A655A1">
              <w:rPr>
                <w:bCs w:val="0"/>
                <w:iCs/>
              </w:rPr>
              <w:t xml:space="preserve"> 8</w:t>
            </w:r>
            <w:r w:rsidR="00950830" w:rsidRPr="00A655A1">
              <w:rPr>
                <w:bCs w:val="0"/>
                <w:iCs/>
              </w:rPr>
              <w:t>9</w:t>
            </w:r>
            <w:r w:rsidR="00DE1F5A" w:rsidRPr="00A655A1">
              <w:rPr>
                <w:bCs w:val="0"/>
                <w:iCs/>
              </w:rPr>
              <w:t>.6%</w:t>
            </w:r>
          </w:p>
          <w:p w:rsidR="00C1127F" w:rsidRPr="00A655A1" w:rsidRDefault="001A1466" w:rsidP="00493A65">
            <w:pPr>
              <w:pStyle w:val="TableText0"/>
              <w:widowControl w:val="0"/>
              <w:rPr>
                <w:b/>
                <w:iCs/>
              </w:rPr>
            </w:pPr>
            <w:r w:rsidRPr="00A655A1">
              <w:rPr>
                <w:iCs/>
              </w:rPr>
              <w:t>d:</w:t>
            </w:r>
            <w:r w:rsidR="00DE1F5A" w:rsidRPr="00A655A1">
              <w:rPr>
                <w:iCs/>
              </w:rPr>
              <w:t xml:space="preserve"> 90.6%</w:t>
            </w:r>
          </w:p>
        </w:tc>
        <w:tc>
          <w:tcPr>
            <w:tcW w:w="501" w:type="pct"/>
            <w:shd w:val="clear" w:color="auto" w:fill="auto"/>
            <w:vAlign w:val="center"/>
          </w:tcPr>
          <w:p w:rsidR="001A1466" w:rsidRPr="00A655A1" w:rsidRDefault="001A1466" w:rsidP="00493A65">
            <w:pPr>
              <w:pStyle w:val="TableText0"/>
              <w:widowControl w:val="0"/>
              <w:rPr>
                <w:bCs w:val="0"/>
                <w:iCs/>
              </w:rPr>
            </w:pPr>
            <w:r w:rsidRPr="00A655A1">
              <w:rPr>
                <w:bCs w:val="0"/>
                <w:iCs/>
              </w:rPr>
              <w:t>S:</w:t>
            </w:r>
            <w:r w:rsidR="00DE1F5A" w:rsidRPr="00A655A1">
              <w:rPr>
                <w:bCs w:val="0"/>
                <w:iCs/>
              </w:rPr>
              <w:t xml:space="preserve"> 80.0%</w:t>
            </w:r>
          </w:p>
          <w:p w:rsidR="001A1466" w:rsidRPr="00A655A1" w:rsidRDefault="001A1466" w:rsidP="00493A65">
            <w:pPr>
              <w:pStyle w:val="TableText0"/>
              <w:widowControl w:val="0"/>
              <w:rPr>
                <w:bCs w:val="0"/>
                <w:iCs/>
              </w:rPr>
            </w:pPr>
            <w:r w:rsidRPr="00A655A1">
              <w:rPr>
                <w:bCs w:val="0"/>
                <w:iCs/>
              </w:rPr>
              <w:t>B:</w:t>
            </w:r>
            <w:r w:rsidR="00813D36" w:rsidRPr="00A655A1">
              <w:rPr>
                <w:bCs w:val="0"/>
                <w:iCs/>
              </w:rPr>
              <w:t xml:space="preserve"> 89.6%</w:t>
            </w:r>
          </w:p>
          <w:p w:rsidR="00C1127F" w:rsidRPr="00A655A1" w:rsidRDefault="001A1466" w:rsidP="00493A65">
            <w:pPr>
              <w:pStyle w:val="TableText0"/>
              <w:widowControl w:val="0"/>
              <w:rPr>
                <w:b/>
                <w:iCs/>
              </w:rPr>
            </w:pPr>
            <w:r w:rsidRPr="00A655A1">
              <w:rPr>
                <w:iCs/>
              </w:rPr>
              <w:t>d:</w:t>
            </w:r>
            <w:r w:rsidR="00813D36" w:rsidRPr="00A655A1">
              <w:rPr>
                <w:iCs/>
              </w:rPr>
              <w:t xml:space="preserve"> 90.6%</w:t>
            </w:r>
          </w:p>
        </w:tc>
        <w:tc>
          <w:tcPr>
            <w:tcW w:w="501" w:type="pct"/>
            <w:shd w:val="clear" w:color="auto" w:fill="auto"/>
            <w:vAlign w:val="center"/>
          </w:tcPr>
          <w:p w:rsidR="00C1127F" w:rsidRPr="00A655A1" w:rsidRDefault="006E0556" w:rsidP="00493A65">
            <w:pPr>
              <w:pStyle w:val="TableText0"/>
              <w:widowControl w:val="0"/>
              <w:rPr>
                <w:bCs w:val="0"/>
                <w:iCs/>
                <w:vertAlign w:val="superscript"/>
              </w:rPr>
            </w:pPr>
            <w:r w:rsidRPr="00A655A1">
              <w:rPr>
                <w:bCs w:val="0"/>
                <w:iCs/>
              </w:rPr>
              <w:t>B:</w:t>
            </w:r>
            <w:r w:rsidR="00813D36" w:rsidRPr="00A655A1">
              <w:rPr>
                <w:bCs w:val="0"/>
                <w:iCs/>
              </w:rPr>
              <w:t xml:space="preserve"> 99.0%</w:t>
            </w:r>
            <w:r w:rsidR="003C1EAD" w:rsidRPr="00A655A1">
              <w:rPr>
                <w:bCs w:val="0"/>
                <w:iCs/>
              </w:rPr>
              <w:t xml:space="preserve"> </w:t>
            </w:r>
            <w:r w:rsidR="003C1EAD" w:rsidRPr="00A655A1">
              <w:rPr>
                <w:bCs w:val="0"/>
                <w:iCs/>
                <w:vertAlign w:val="superscript"/>
              </w:rPr>
              <w:t>b</w:t>
            </w:r>
          </w:p>
          <w:p w:rsidR="006E0556" w:rsidRPr="00A655A1" w:rsidRDefault="006E0556" w:rsidP="00493A65">
            <w:pPr>
              <w:pStyle w:val="TableText0"/>
              <w:widowControl w:val="0"/>
              <w:rPr>
                <w:b/>
                <w:iCs/>
                <w:vertAlign w:val="superscript"/>
              </w:rPr>
            </w:pPr>
            <w:r w:rsidRPr="00A655A1">
              <w:rPr>
                <w:bCs w:val="0"/>
                <w:iCs/>
              </w:rPr>
              <w:t>d:</w:t>
            </w:r>
            <w:r w:rsidR="00813D36" w:rsidRPr="00A655A1">
              <w:rPr>
                <w:bCs w:val="0"/>
                <w:iCs/>
              </w:rPr>
              <w:t xml:space="preserve"> 94.5%</w:t>
            </w:r>
            <w:r w:rsidR="003C1EAD" w:rsidRPr="00A655A1">
              <w:rPr>
                <w:bCs w:val="0"/>
                <w:iCs/>
              </w:rPr>
              <w:t xml:space="preserve"> </w:t>
            </w:r>
            <w:r w:rsidR="003C1EAD" w:rsidRPr="00A655A1">
              <w:rPr>
                <w:bCs w:val="0"/>
                <w:iCs/>
                <w:vertAlign w:val="superscript"/>
              </w:rPr>
              <w:t>b</w:t>
            </w:r>
          </w:p>
        </w:tc>
        <w:tc>
          <w:tcPr>
            <w:tcW w:w="500" w:type="pct"/>
            <w:shd w:val="clear" w:color="auto" w:fill="auto"/>
            <w:vAlign w:val="center"/>
          </w:tcPr>
          <w:p w:rsidR="006E0556" w:rsidRPr="00A655A1" w:rsidRDefault="006E0556" w:rsidP="00493A65">
            <w:pPr>
              <w:pStyle w:val="TableText0"/>
              <w:widowControl w:val="0"/>
              <w:rPr>
                <w:bCs w:val="0"/>
                <w:iCs/>
              </w:rPr>
            </w:pPr>
            <w:r w:rsidRPr="00A655A1">
              <w:rPr>
                <w:bCs w:val="0"/>
                <w:iCs/>
              </w:rPr>
              <w:t>B:</w:t>
            </w:r>
            <w:r w:rsidR="00813D36" w:rsidRPr="00A655A1">
              <w:rPr>
                <w:bCs w:val="0"/>
                <w:iCs/>
              </w:rPr>
              <w:t xml:space="preserve"> 99.0%</w:t>
            </w:r>
          </w:p>
          <w:p w:rsidR="00C1127F" w:rsidRPr="00A655A1" w:rsidRDefault="006E0556" w:rsidP="00493A65">
            <w:pPr>
              <w:pStyle w:val="TableText0"/>
              <w:widowControl w:val="0"/>
              <w:rPr>
                <w:b/>
                <w:iCs/>
              </w:rPr>
            </w:pPr>
            <w:r w:rsidRPr="00A655A1">
              <w:rPr>
                <w:bCs w:val="0"/>
                <w:iCs/>
              </w:rPr>
              <w:t>d:</w:t>
            </w:r>
            <w:r w:rsidR="00813D36" w:rsidRPr="00A655A1">
              <w:rPr>
                <w:bCs w:val="0"/>
                <w:iCs/>
              </w:rPr>
              <w:t xml:space="preserve"> 94.5%</w:t>
            </w:r>
          </w:p>
        </w:tc>
        <w:tc>
          <w:tcPr>
            <w:tcW w:w="502" w:type="pct"/>
            <w:vAlign w:val="center"/>
          </w:tcPr>
          <w:p w:rsidR="006E0556" w:rsidRPr="00A655A1" w:rsidRDefault="006E0556" w:rsidP="00493A65">
            <w:pPr>
              <w:pStyle w:val="TableText0"/>
              <w:widowControl w:val="0"/>
              <w:rPr>
                <w:bCs w:val="0"/>
                <w:iCs/>
              </w:rPr>
            </w:pPr>
            <w:r w:rsidRPr="00A655A1">
              <w:rPr>
                <w:bCs w:val="0"/>
                <w:iCs/>
              </w:rPr>
              <w:t>B:</w:t>
            </w:r>
            <w:r w:rsidR="00813D36" w:rsidRPr="00A655A1">
              <w:rPr>
                <w:bCs w:val="0"/>
                <w:iCs/>
              </w:rPr>
              <w:t xml:space="preserve"> 99.0%</w:t>
            </w:r>
          </w:p>
          <w:p w:rsidR="00C1127F" w:rsidRPr="00A655A1" w:rsidRDefault="006E0556" w:rsidP="00493A65">
            <w:pPr>
              <w:pStyle w:val="TableText0"/>
              <w:widowControl w:val="0"/>
              <w:rPr>
                <w:b/>
                <w:iCs/>
              </w:rPr>
            </w:pPr>
            <w:r w:rsidRPr="00A655A1">
              <w:rPr>
                <w:bCs w:val="0"/>
                <w:iCs/>
              </w:rPr>
              <w:t>d:</w:t>
            </w:r>
            <w:r w:rsidR="00813D36" w:rsidRPr="00A655A1">
              <w:rPr>
                <w:bCs w:val="0"/>
                <w:iCs/>
              </w:rPr>
              <w:t xml:space="preserve"> 90.6%</w:t>
            </w:r>
          </w:p>
        </w:tc>
        <w:tc>
          <w:tcPr>
            <w:tcW w:w="501" w:type="pct"/>
            <w:vAlign w:val="center"/>
          </w:tcPr>
          <w:p w:rsidR="00C1127F" w:rsidRPr="00A655A1" w:rsidRDefault="006E0556" w:rsidP="00493A65">
            <w:pPr>
              <w:pStyle w:val="TableText0"/>
              <w:widowControl w:val="0"/>
              <w:rPr>
                <w:bCs w:val="0"/>
                <w:iCs/>
                <w:vertAlign w:val="superscript"/>
              </w:rPr>
            </w:pPr>
            <w:r w:rsidRPr="00A655A1">
              <w:rPr>
                <w:bCs w:val="0"/>
                <w:iCs/>
              </w:rPr>
              <w:t>C:</w:t>
            </w:r>
            <w:r w:rsidR="00813D36" w:rsidRPr="00A655A1">
              <w:rPr>
                <w:bCs w:val="0"/>
                <w:iCs/>
              </w:rPr>
              <w:t xml:space="preserve"> 87.0%</w:t>
            </w:r>
            <w:r w:rsidR="00225746" w:rsidRPr="00A655A1">
              <w:rPr>
                <w:bCs w:val="0"/>
                <w:iCs/>
              </w:rPr>
              <w:t xml:space="preserve"> </w:t>
            </w:r>
            <w:r w:rsidR="00225746" w:rsidRPr="00A655A1">
              <w:rPr>
                <w:bCs w:val="0"/>
                <w:iCs/>
                <w:vertAlign w:val="superscript"/>
              </w:rPr>
              <w:t>e,f</w:t>
            </w:r>
          </w:p>
          <w:p w:rsidR="006E0556" w:rsidRPr="00A655A1" w:rsidRDefault="006E0556" w:rsidP="00493A65">
            <w:pPr>
              <w:pStyle w:val="TableText0"/>
              <w:widowControl w:val="0"/>
              <w:rPr>
                <w:b/>
                <w:iCs/>
                <w:vertAlign w:val="superscript"/>
              </w:rPr>
            </w:pPr>
            <w:r w:rsidRPr="00A655A1">
              <w:rPr>
                <w:bCs w:val="0"/>
                <w:iCs/>
              </w:rPr>
              <w:t>d:</w:t>
            </w:r>
            <w:r w:rsidR="00813D36" w:rsidRPr="00A655A1">
              <w:rPr>
                <w:bCs w:val="0"/>
                <w:iCs/>
              </w:rPr>
              <w:t xml:space="preserve"> </w:t>
            </w:r>
            <w:r w:rsidR="00983C38" w:rsidRPr="00A655A1">
              <w:rPr>
                <w:bCs w:val="0"/>
                <w:iCs/>
              </w:rPr>
              <w:t>NR</w:t>
            </w:r>
            <w:r w:rsidR="00225746" w:rsidRPr="00A655A1">
              <w:rPr>
                <w:bCs w:val="0"/>
                <w:iCs/>
              </w:rPr>
              <w:t xml:space="preserve"> </w:t>
            </w:r>
            <w:r w:rsidR="00225746" w:rsidRPr="00A655A1">
              <w:rPr>
                <w:bCs w:val="0"/>
                <w:iCs/>
                <w:vertAlign w:val="superscript"/>
              </w:rPr>
              <w:t>e</w:t>
            </w:r>
          </w:p>
        </w:tc>
        <w:tc>
          <w:tcPr>
            <w:tcW w:w="501" w:type="pct"/>
            <w:vAlign w:val="center"/>
          </w:tcPr>
          <w:p w:rsidR="006E0556" w:rsidRPr="00A655A1" w:rsidRDefault="006E0556" w:rsidP="00493A65">
            <w:pPr>
              <w:pStyle w:val="TableText0"/>
              <w:widowControl w:val="0"/>
              <w:rPr>
                <w:bCs w:val="0"/>
                <w:iCs/>
              </w:rPr>
            </w:pPr>
            <w:r w:rsidRPr="00A655A1">
              <w:rPr>
                <w:bCs w:val="0"/>
                <w:iCs/>
              </w:rPr>
              <w:t>C:</w:t>
            </w:r>
            <w:r w:rsidR="00813D36" w:rsidRPr="00A655A1">
              <w:rPr>
                <w:bCs w:val="0"/>
                <w:iCs/>
              </w:rPr>
              <w:t xml:space="preserve"> 87.0%</w:t>
            </w:r>
          </w:p>
          <w:p w:rsidR="00C1127F" w:rsidRPr="00A655A1" w:rsidRDefault="006E0556" w:rsidP="00493A65">
            <w:pPr>
              <w:pStyle w:val="TableText0"/>
              <w:widowControl w:val="0"/>
              <w:rPr>
                <w:b/>
                <w:iCs/>
              </w:rPr>
            </w:pPr>
            <w:r w:rsidRPr="00A655A1">
              <w:rPr>
                <w:bCs w:val="0"/>
                <w:iCs/>
              </w:rPr>
              <w:t>d:</w:t>
            </w:r>
            <w:r w:rsidR="00813D36" w:rsidRPr="00A655A1">
              <w:rPr>
                <w:bCs w:val="0"/>
                <w:iCs/>
              </w:rPr>
              <w:t xml:space="preserve"> 90.6%</w:t>
            </w:r>
          </w:p>
        </w:tc>
        <w:tc>
          <w:tcPr>
            <w:tcW w:w="498" w:type="pct"/>
            <w:vAlign w:val="center"/>
          </w:tcPr>
          <w:p w:rsidR="006E0556" w:rsidRPr="00A655A1" w:rsidRDefault="006E0556" w:rsidP="00493A65">
            <w:pPr>
              <w:pStyle w:val="TableText0"/>
              <w:widowControl w:val="0"/>
              <w:rPr>
                <w:bCs w:val="0"/>
                <w:iCs/>
              </w:rPr>
            </w:pPr>
            <w:r w:rsidRPr="00A655A1">
              <w:rPr>
                <w:bCs w:val="0"/>
                <w:iCs/>
              </w:rPr>
              <w:t>C:</w:t>
            </w:r>
            <w:r w:rsidR="00813D36" w:rsidRPr="00A655A1">
              <w:rPr>
                <w:bCs w:val="0"/>
                <w:iCs/>
              </w:rPr>
              <w:t xml:space="preserve"> 87.0%</w:t>
            </w:r>
          </w:p>
          <w:p w:rsidR="00C1127F" w:rsidRPr="00A655A1" w:rsidRDefault="006E0556" w:rsidP="00493A65">
            <w:pPr>
              <w:pStyle w:val="TableText0"/>
              <w:widowControl w:val="0"/>
              <w:rPr>
                <w:b/>
                <w:iCs/>
              </w:rPr>
            </w:pPr>
            <w:r w:rsidRPr="00A655A1">
              <w:rPr>
                <w:bCs w:val="0"/>
                <w:iCs/>
              </w:rPr>
              <w:t>d:</w:t>
            </w:r>
            <w:r w:rsidR="00813D36" w:rsidRPr="00A655A1">
              <w:rPr>
                <w:bCs w:val="0"/>
                <w:iCs/>
              </w:rPr>
              <w:t xml:space="preserve"> 90.6%</w:t>
            </w:r>
          </w:p>
        </w:tc>
      </w:tr>
      <w:tr w:rsidR="00C1127F" w:rsidRPr="00A655A1" w:rsidTr="0086393D">
        <w:trPr>
          <w:cantSplit/>
          <w:jc w:val="center"/>
        </w:trPr>
        <w:tc>
          <w:tcPr>
            <w:tcW w:w="495" w:type="pct"/>
            <w:shd w:val="clear" w:color="auto" w:fill="auto"/>
            <w:vAlign w:val="center"/>
          </w:tcPr>
          <w:p w:rsidR="00C1127F" w:rsidRPr="00A655A1" w:rsidRDefault="00DA5BAA" w:rsidP="00493A65">
            <w:pPr>
              <w:pStyle w:val="TableText0"/>
              <w:widowControl w:val="0"/>
            </w:pPr>
            <w:r w:rsidRPr="00A655A1">
              <w:t>D</w:t>
            </w:r>
            <w:r w:rsidR="00B90BB3" w:rsidRPr="00A655A1">
              <w:t xml:space="preserve">uration of therapy </w:t>
            </w:r>
            <w:r w:rsidR="0064511A" w:rsidRPr="00A655A1">
              <w:t>(cycles)</w:t>
            </w:r>
          </w:p>
        </w:tc>
        <w:tc>
          <w:tcPr>
            <w:tcW w:w="500" w:type="pct"/>
            <w:shd w:val="clear" w:color="auto" w:fill="auto"/>
            <w:vAlign w:val="center"/>
          </w:tcPr>
          <w:p w:rsidR="00C1127F" w:rsidRPr="00A655A1" w:rsidRDefault="00A05C31" w:rsidP="00493A65">
            <w:pPr>
              <w:pStyle w:val="TableText0"/>
              <w:widowControl w:val="0"/>
              <w:jc w:val="center"/>
              <w:rPr>
                <w:bCs w:val="0"/>
                <w:iCs/>
                <w:vertAlign w:val="superscript"/>
              </w:rPr>
            </w:pPr>
            <w:r w:rsidRPr="00A655A1">
              <w:rPr>
                <w:bCs w:val="0"/>
                <w:iCs/>
              </w:rPr>
              <w:t>6.</w:t>
            </w:r>
            <w:r w:rsidR="00C657F6" w:rsidRPr="00A655A1">
              <w:rPr>
                <w:bCs w:val="0"/>
                <w:iCs/>
              </w:rPr>
              <w:t>67</w:t>
            </w:r>
            <w:r w:rsidR="00472814" w:rsidRPr="00A655A1">
              <w:rPr>
                <w:bCs w:val="0"/>
                <w:iCs/>
              </w:rPr>
              <w:t xml:space="preserve"> </w:t>
            </w:r>
            <w:r w:rsidR="00472814" w:rsidRPr="00A655A1">
              <w:rPr>
                <w:bCs w:val="0"/>
                <w:iCs/>
                <w:vertAlign w:val="superscript"/>
              </w:rPr>
              <w:t>g</w:t>
            </w:r>
          </w:p>
        </w:tc>
        <w:tc>
          <w:tcPr>
            <w:tcW w:w="501" w:type="pct"/>
            <w:shd w:val="clear" w:color="auto" w:fill="auto"/>
            <w:vAlign w:val="center"/>
          </w:tcPr>
          <w:p w:rsidR="00C1127F" w:rsidRPr="00A655A1" w:rsidRDefault="00983C38" w:rsidP="00493A65">
            <w:pPr>
              <w:pStyle w:val="TableText0"/>
              <w:widowControl w:val="0"/>
              <w:jc w:val="center"/>
              <w:rPr>
                <w:bCs w:val="0"/>
                <w:iCs/>
              </w:rPr>
            </w:pPr>
            <w:r w:rsidRPr="00A655A1">
              <w:rPr>
                <w:bCs w:val="0"/>
                <w:iCs/>
              </w:rPr>
              <w:t xml:space="preserve">CMA: </w:t>
            </w:r>
            <w:r w:rsidR="00A05C31" w:rsidRPr="00A655A1">
              <w:rPr>
                <w:bCs w:val="0"/>
                <w:iCs/>
              </w:rPr>
              <w:t>7.98</w:t>
            </w:r>
          </w:p>
          <w:p w:rsidR="00F74601" w:rsidRPr="00A655A1" w:rsidRDefault="00983C38" w:rsidP="00493A65">
            <w:pPr>
              <w:pStyle w:val="TableText0"/>
              <w:widowControl w:val="0"/>
              <w:jc w:val="center"/>
              <w:rPr>
                <w:bCs w:val="0"/>
                <w:iCs/>
              </w:rPr>
            </w:pPr>
            <w:r w:rsidRPr="00A655A1">
              <w:rPr>
                <w:bCs w:val="0"/>
                <w:iCs/>
              </w:rPr>
              <w:t>CUA: 1</w:t>
            </w:r>
            <w:r w:rsidR="00F74601" w:rsidRPr="00A655A1">
              <w:rPr>
                <w:bCs w:val="0"/>
                <w:iCs/>
              </w:rPr>
              <w:t xml:space="preserve">1.07 </w:t>
            </w:r>
          </w:p>
        </w:tc>
        <w:tc>
          <w:tcPr>
            <w:tcW w:w="501" w:type="pct"/>
            <w:shd w:val="clear" w:color="auto" w:fill="auto"/>
            <w:vAlign w:val="center"/>
          </w:tcPr>
          <w:p w:rsidR="00C1127F" w:rsidRPr="00A655A1" w:rsidRDefault="00A05C31" w:rsidP="00493A65">
            <w:pPr>
              <w:pStyle w:val="TableText0"/>
              <w:widowControl w:val="0"/>
              <w:jc w:val="center"/>
              <w:rPr>
                <w:bCs w:val="0"/>
                <w:iCs/>
                <w:vertAlign w:val="superscript"/>
              </w:rPr>
            </w:pPr>
            <w:r w:rsidRPr="00A655A1">
              <w:rPr>
                <w:bCs w:val="0"/>
                <w:iCs/>
              </w:rPr>
              <w:t>11.07</w:t>
            </w:r>
            <w:r w:rsidR="00EA4EC0" w:rsidRPr="00A655A1">
              <w:rPr>
                <w:bCs w:val="0"/>
                <w:iCs/>
              </w:rPr>
              <w:t xml:space="preserve"> </w:t>
            </w:r>
            <w:r w:rsidR="00EA4EC0" w:rsidRPr="00A655A1">
              <w:rPr>
                <w:bCs w:val="0"/>
                <w:iCs/>
                <w:vertAlign w:val="superscript"/>
              </w:rPr>
              <w:t>h</w:t>
            </w:r>
          </w:p>
        </w:tc>
        <w:tc>
          <w:tcPr>
            <w:tcW w:w="501" w:type="pct"/>
            <w:shd w:val="clear" w:color="auto" w:fill="auto"/>
            <w:vAlign w:val="center"/>
          </w:tcPr>
          <w:p w:rsidR="00C1127F" w:rsidRPr="00A655A1" w:rsidRDefault="002E1198" w:rsidP="00493A65">
            <w:pPr>
              <w:pStyle w:val="TableText0"/>
              <w:widowControl w:val="0"/>
              <w:jc w:val="center"/>
              <w:rPr>
                <w:bCs w:val="0"/>
                <w:iCs/>
                <w:vertAlign w:val="superscript"/>
              </w:rPr>
            </w:pPr>
            <w:r w:rsidRPr="00A655A1">
              <w:rPr>
                <w:bCs w:val="0"/>
                <w:iCs/>
              </w:rPr>
              <w:t>1</w:t>
            </w:r>
            <w:r w:rsidR="00943627" w:rsidRPr="00A655A1">
              <w:rPr>
                <w:bCs w:val="0"/>
                <w:iCs/>
              </w:rPr>
              <w:t>0</w:t>
            </w:r>
            <w:r w:rsidRPr="00A655A1">
              <w:rPr>
                <w:bCs w:val="0"/>
                <w:iCs/>
              </w:rPr>
              <w:t>.</w:t>
            </w:r>
            <w:r w:rsidR="00943627" w:rsidRPr="00A655A1">
              <w:rPr>
                <w:bCs w:val="0"/>
                <w:iCs/>
              </w:rPr>
              <w:t>86</w:t>
            </w:r>
            <w:r w:rsidR="00472814" w:rsidRPr="00A655A1">
              <w:rPr>
                <w:bCs w:val="0"/>
                <w:iCs/>
              </w:rPr>
              <w:t xml:space="preserve"> </w:t>
            </w:r>
            <w:r w:rsidR="00472814" w:rsidRPr="00A655A1">
              <w:rPr>
                <w:bCs w:val="0"/>
                <w:iCs/>
                <w:vertAlign w:val="superscript"/>
              </w:rPr>
              <w:t>g</w:t>
            </w:r>
          </w:p>
        </w:tc>
        <w:tc>
          <w:tcPr>
            <w:tcW w:w="500" w:type="pct"/>
            <w:shd w:val="clear" w:color="auto" w:fill="auto"/>
            <w:vAlign w:val="center"/>
          </w:tcPr>
          <w:p w:rsidR="00C1127F" w:rsidRPr="00A655A1" w:rsidRDefault="000E2B52" w:rsidP="00493A65">
            <w:pPr>
              <w:pStyle w:val="TableText0"/>
              <w:widowControl w:val="0"/>
              <w:jc w:val="center"/>
              <w:rPr>
                <w:bCs w:val="0"/>
                <w:iCs/>
              </w:rPr>
            </w:pPr>
            <w:r w:rsidRPr="00A655A1">
              <w:rPr>
                <w:bCs w:val="0"/>
                <w:iCs/>
              </w:rPr>
              <w:t>15.7</w:t>
            </w:r>
          </w:p>
        </w:tc>
        <w:tc>
          <w:tcPr>
            <w:tcW w:w="502" w:type="pct"/>
            <w:vAlign w:val="center"/>
          </w:tcPr>
          <w:p w:rsidR="00C1127F" w:rsidRPr="00A655A1" w:rsidRDefault="000E2B52" w:rsidP="00493A65">
            <w:pPr>
              <w:pStyle w:val="TableText0"/>
              <w:widowControl w:val="0"/>
              <w:jc w:val="center"/>
              <w:rPr>
                <w:bCs w:val="0"/>
                <w:iCs/>
                <w:vertAlign w:val="superscript"/>
              </w:rPr>
            </w:pPr>
            <w:r w:rsidRPr="00A655A1">
              <w:rPr>
                <w:bCs w:val="0"/>
                <w:iCs/>
              </w:rPr>
              <w:t>15.7</w:t>
            </w:r>
            <w:r w:rsidR="00DF650D" w:rsidRPr="00A655A1">
              <w:rPr>
                <w:bCs w:val="0"/>
                <w:iCs/>
              </w:rPr>
              <w:t xml:space="preserve"> </w:t>
            </w:r>
            <w:r w:rsidR="00DF650D" w:rsidRPr="00A655A1">
              <w:rPr>
                <w:bCs w:val="0"/>
                <w:iCs/>
                <w:vertAlign w:val="superscript"/>
              </w:rPr>
              <w:t>i</w:t>
            </w:r>
          </w:p>
        </w:tc>
        <w:tc>
          <w:tcPr>
            <w:tcW w:w="501" w:type="pct"/>
            <w:vAlign w:val="center"/>
          </w:tcPr>
          <w:p w:rsidR="00C1127F" w:rsidRPr="00A655A1" w:rsidRDefault="00E40152" w:rsidP="00493A65">
            <w:pPr>
              <w:pStyle w:val="TableText0"/>
              <w:widowControl w:val="0"/>
              <w:jc w:val="center"/>
              <w:rPr>
                <w:bCs w:val="0"/>
                <w:iCs/>
                <w:vertAlign w:val="superscript"/>
              </w:rPr>
            </w:pPr>
            <w:r w:rsidRPr="00A655A1">
              <w:rPr>
                <w:bCs w:val="0"/>
                <w:iCs/>
              </w:rPr>
              <w:t>9.18</w:t>
            </w:r>
            <w:r w:rsidR="00DC2B98" w:rsidRPr="00A655A1">
              <w:rPr>
                <w:bCs w:val="0"/>
                <w:iCs/>
              </w:rPr>
              <w:t xml:space="preserve"> </w:t>
            </w:r>
            <w:r w:rsidR="00DC2B98" w:rsidRPr="00A655A1">
              <w:rPr>
                <w:bCs w:val="0"/>
                <w:iCs/>
                <w:vertAlign w:val="superscript"/>
              </w:rPr>
              <w:t>e</w:t>
            </w:r>
          </w:p>
        </w:tc>
        <w:tc>
          <w:tcPr>
            <w:tcW w:w="501" w:type="pct"/>
            <w:vAlign w:val="center"/>
          </w:tcPr>
          <w:p w:rsidR="00C1127F" w:rsidRPr="00A655A1" w:rsidRDefault="00E40152" w:rsidP="00493A65">
            <w:pPr>
              <w:pStyle w:val="TableText0"/>
              <w:widowControl w:val="0"/>
              <w:jc w:val="center"/>
              <w:rPr>
                <w:bCs w:val="0"/>
                <w:iCs/>
              </w:rPr>
            </w:pPr>
            <w:r w:rsidRPr="00A655A1">
              <w:rPr>
                <w:bCs w:val="0"/>
                <w:iCs/>
              </w:rPr>
              <w:t>9.98</w:t>
            </w:r>
          </w:p>
        </w:tc>
        <w:tc>
          <w:tcPr>
            <w:tcW w:w="498" w:type="pct"/>
            <w:vAlign w:val="center"/>
          </w:tcPr>
          <w:p w:rsidR="00C1127F" w:rsidRPr="00A655A1" w:rsidRDefault="00E40152" w:rsidP="00493A65">
            <w:pPr>
              <w:pStyle w:val="TableText0"/>
              <w:widowControl w:val="0"/>
              <w:jc w:val="center"/>
              <w:rPr>
                <w:bCs w:val="0"/>
                <w:iCs/>
              </w:rPr>
            </w:pPr>
            <w:r w:rsidRPr="00A655A1">
              <w:rPr>
                <w:bCs w:val="0"/>
                <w:iCs/>
              </w:rPr>
              <w:t>9.18</w:t>
            </w:r>
          </w:p>
        </w:tc>
      </w:tr>
      <w:tr w:rsidR="006E0556" w:rsidRPr="00A655A1" w:rsidTr="0086393D">
        <w:trPr>
          <w:cantSplit/>
          <w:trHeight w:val="730"/>
          <w:jc w:val="center"/>
        </w:trPr>
        <w:tc>
          <w:tcPr>
            <w:tcW w:w="495" w:type="pct"/>
            <w:shd w:val="clear" w:color="auto" w:fill="auto"/>
            <w:vAlign w:val="center"/>
          </w:tcPr>
          <w:p w:rsidR="006E0556" w:rsidRPr="00A655A1" w:rsidRDefault="006E0556" w:rsidP="00493A65">
            <w:pPr>
              <w:pStyle w:val="TableText0"/>
              <w:widowControl w:val="0"/>
              <w:rPr>
                <w:vertAlign w:val="superscript"/>
              </w:rPr>
            </w:pPr>
            <w:r w:rsidRPr="00A655A1">
              <w:t>Average cost per patient</w:t>
            </w:r>
            <w:r w:rsidR="00A47E7C" w:rsidRPr="00A655A1">
              <w:t xml:space="preserve"> </w:t>
            </w:r>
            <w:r w:rsidR="00D07719" w:rsidRPr="00A655A1">
              <w:rPr>
                <w:vertAlign w:val="superscript"/>
              </w:rPr>
              <w:t>c,</w:t>
            </w:r>
            <w:r w:rsidR="00A47E7C" w:rsidRPr="00A655A1">
              <w:rPr>
                <w:vertAlign w:val="superscript"/>
              </w:rPr>
              <w:t>d</w:t>
            </w:r>
          </w:p>
        </w:tc>
        <w:tc>
          <w:tcPr>
            <w:tcW w:w="500" w:type="pct"/>
            <w:shd w:val="clear" w:color="auto" w:fill="auto"/>
            <w:vAlign w:val="center"/>
          </w:tcPr>
          <w:p w:rsidR="006E0556" w:rsidRPr="00A655A1" w:rsidRDefault="006E0556" w:rsidP="00493A65">
            <w:pPr>
              <w:pStyle w:val="TableText0"/>
              <w:widowControl w:val="0"/>
              <w:spacing w:after="80"/>
              <w:rPr>
                <w:bCs w:val="0"/>
                <w:iCs/>
              </w:rPr>
            </w:pPr>
            <w:r w:rsidRPr="00A655A1">
              <w:rPr>
                <w:bCs w:val="0"/>
                <w:iCs/>
              </w:rPr>
              <w:t xml:space="preserve">Total: </w:t>
            </w:r>
            <w:r w:rsidR="00147C26" w:rsidRPr="00A655A1">
              <w:rPr>
                <w:bCs w:val="0"/>
                <w:iCs/>
              </w:rPr>
              <w:t>$</w:t>
            </w:r>
            <w:r w:rsidR="007004AE">
              <w:rPr>
                <w:bCs w:val="0"/>
                <w:iCs/>
                <w:noProof/>
                <w:color w:val="000000"/>
                <w:highlight w:val="black"/>
              </w:rPr>
              <w:t>'''''''''''''''''</w:t>
            </w:r>
          </w:p>
          <w:p w:rsidR="006E0556" w:rsidRPr="00A655A1" w:rsidRDefault="006E0556" w:rsidP="00493A65">
            <w:pPr>
              <w:pStyle w:val="TableText0"/>
              <w:widowControl w:val="0"/>
              <w:rPr>
                <w:bCs w:val="0"/>
                <w:iCs/>
              </w:rPr>
            </w:pPr>
            <w:r w:rsidRPr="00A655A1">
              <w:rPr>
                <w:bCs w:val="0"/>
                <w:iCs/>
              </w:rPr>
              <w:t>S:</w:t>
            </w:r>
            <w:r w:rsidR="00147C26" w:rsidRPr="00A655A1">
              <w:rPr>
                <w:bCs w:val="0"/>
                <w:iCs/>
              </w:rPr>
              <w:t xml:space="preserve"> $</w:t>
            </w:r>
            <w:r w:rsidR="007004AE">
              <w:rPr>
                <w:bCs w:val="0"/>
                <w:iCs/>
                <w:noProof/>
                <w:color w:val="000000"/>
                <w:highlight w:val="black"/>
              </w:rPr>
              <w:t>'''''''''''''''</w:t>
            </w:r>
          </w:p>
          <w:p w:rsidR="006E0556" w:rsidRPr="00A655A1" w:rsidRDefault="006E0556" w:rsidP="00493A65">
            <w:pPr>
              <w:pStyle w:val="TableText0"/>
              <w:widowControl w:val="0"/>
              <w:rPr>
                <w:bCs w:val="0"/>
                <w:iCs/>
              </w:rPr>
            </w:pPr>
            <w:r w:rsidRPr="00A655A1">
              <w:rPr>
                <w:bCs w:val="0"/>
                <w:iCs/>
              </w:rPr>
              <w:t>B:</w:t>
            </w:r>
            <w:r w:rsidR="00147C26" w:rsidRPr="00A655A1">
              <w:rPr>
                <w:bCs w:val="0"/>
                <w:iCs/>
              </w:rPr>
              <w:t xml:space="preserve"> $1</w:t>
            </w:r>
            <w:r w:rsidR="00087B97" w:rsidRPr="00A655A1">
              <w:rPr>
                <w:bCs w:val="0"/>
                <w:iCs/>
              </w:rPr>
              <w:t>3</w:t>
            </w:r>
            <w:r w:rsidR="00147C26" w:rsidRPr="00A655A1">
              <w:rPr>
                <w:bCs w:val="0"/>
                <w:iCs/>
              </w:rPr>
              <w:t>,</w:t>
            </w:r>
            <w:r w:rsidR="00087B97" w:rsidRPr="00A655A1">
              <w:rPr>
                <w:bCs w:val="0"/>
                <w:iCs/>
              </w:rPr>
              <w:t>082</w:t>
            </w:r>
          </w:p>
          <w:p w:rsidR="006E0556" w:rsidRPr="00A655A1" w:rsidRDefault="006E0556" w:rsidP="00493A65">
            <w:pPr>
              <w:pStyle w:val="TableText0"/>
              <w:widowControl w:val="0"/>
              <w:rPr>
                <w:iCs/>
              </w:rPr>
            </w:pPr>
            <w:r w:rsidRPr="00A655A1">
              <w:rPr>
                <w:iCs/>
              </w:rPr>
              <w:t>d:</w:t>
            </w:r>
            <w:r w:rsidR="00147C26" w:rsidRPr="00A655A1">
              <w:rPr>
                <w:iCs/>
              </w:rPr>
              <w:t xml:space="preserve"> $4</w:t>
            </w:r>
            <w:r w:rsidR="00087B97" w:rsidRPr="00A655A1">
              <w:rPr>
                <w:iCs/>
              </w:rPr>
              <w:t>9</w:t>
            </w:r>
          </w:p>
        </w:tc>
        <w:tc>
          <w:tcPr>
            <w:tcW w:w="501" w:type="pct"/>
            <w:shd w:val="clear" w:color="auto" w:fill="auto"/>
            <w:vAlign w:val="center"/>
          </w:tcPr>
          <w:p w:rsidR="00AF1070" w:rsidRPr="00A655A1" w:rsidRDefault="00AF1070" w:rsidP="00493A65">
            <w:pPr>
              <w:pStyle w:val="TableText0"/>
              <w:widowControl w:val="0"/>
              <w:rPr>
                <w:bCs w:val="0"/>
                <w:iCs/>
                <w:u w:val="single"/>
              </w:rPr>
            </w:pPr>
            <w:r w:rsidRPr="00A655A1">
              <w:rPr>
                <w:bCs w:val="0"/>
                <w:iCs/>
                <w:u w:val="single"/>
              </w:rPr>
              <w:t>CMA</w:t>
            </w:r>
          </w:p>
          <w:p w:rsidR="002A0480" w:rsidRPr="00A655A1" w:rsidRDefault="006E0556" w:rsidP="00493A65">
            <w:pPr>
              <w:pStyle w:val="TableText0"/>
              <w:widowControl w:val="0"/>
              <w:spacing w:after="80"/>
              <w:rPr>
                <w:bCs w:val="0"/>
                <w:iCs/>
              </w:rPr>
            </w:pPr>
            <w:r w:rsidRPr="00A655A1">
              <w:rPr>
                <w:bCs w:val="0"/>
                <w:iCs/>
              </w:rPr>
              <w:t>Total</w:t>
            </w:r>
            <w:r w:rsidR="002A0480" w:rsidRPr="00A655A1">
              <w:rPr>
                <w:bCs w:val="0"/>
                <w:iCs/>
              </w:rPr>
              <w:t>:</w:t>
            </w:r>
            <w:r w:rsidR="00AF1070" w:rsidRPr="00A655A1">
              <w:rPr>
                <w:bCs w:val="0"/>
                <w:iCs/>
              </w:rPr>
              <w:t xml:space="preserve"> </w:t>
            </w:r>
            <w:r w:rsidR="00721FEF" w:rsidRPr="00A655A1">
              <w:rPr>
                <w:bCs w:val="0"/>
                <w:iCs/>
              </w:rPr>
              <w:t>$</w:t>
            </w:r>
            <w:r w:rsidR="007004AE">
              <w:rPr>
                <w:bCs w:val="0"/>
                <w:iCs/>
                <w:noProof/>
                <w:color w:val="000000"/>
                <w:highlight w:val="black"/>
              </w:rPr>
              <w:t>'''''''''''''''</w:t>
            </w:r>
          </w:p>
          <w:p w:rsidR="006E0556" w:rsidRPr="00A655A1" w:rsidRDefault="006E0556" w:rsidP="00493A65">
            <w:pPr>
              <w:pStyle w:val="TableText0"/>
              <w:widowControl w:val="0"/>
              <w:rPr>
                <w:bCs w:val="0"/>
                <w:iCs/>
              </w:rPr>
            </w:pPr>
            <w:r w:rsidRPr="00A655A1">
              <w:rPr>
                <w:bCs w:val="0"/>
                <w:iCs/>
              </w:rPr>
              <w:t>S:</w:t>
            </w:r>
            <w:r w:rsidR="00721FEF" w:rsidRPr="00A655A1">
              <w:rPr>
                <w:bCs w:val="0"/>
                <w:iCs/>
              </w:rPr>
              <w:t xml:space="preserve"> $</w:t>
            </w:r>
            <w:r w:rsidR="007004AE">
              <w:rPr>
                <w:bCs w:val="0"/>
                <w:iCs/>
                <w:noProof/>
                <w:color w:val="000000"/>
                <w:highlight w:val="black"/>
              </w:rPr>
              <w:t>''''''''''''''''</w:t>
            </w:r>
          </w:p>
          <w:p w:rsidR="006E0556" w:rsidRPr="00A655A1" w:rsidRDefault="006E0556" w:rsidP="00493A65">
            <w:pPr>
              <w:pStyle w:val="TableText0"/>
              <w:widowControl w:val="0"/>
              <w:rPr>
                <w:bCs w:val="0"/>
                <w:iCs/>
              </w:rPr>
            </w:pPr>
            <w:r w:rsidRPr="00A655A1">
              <w:rPr>
                <w:bCs w:val="0"/>
                <w:iCs/>
              </w:rPr>
              <w:t>B:</w:t>
            </w:r>
            <w:r w:rsidR="00721FEF" w:rsidRPr="00A655A1">
              <w:rPr>
                <w:bCs w:val="0"/>
                <w:iCs/>
              </w:rPr>
              <w:t xml:space="preserve"> $15,686</w:t>
            </w:r>
          </w:p>
          <w:p w:rsidR="00983C38" w:rsidRPr="00A655A1" w:rsidRDefault="006E0556" w:rsidP="00493A65">
            <w:pPr>
              <w:pStyle w:val="TableText0"/>
              <w:widowControl w:val="0"/>
              <w:spacing w:after="80"/>
              <w:rPr>
                <w:iCs/>
              </w:rPr>
            </w:pPr>
            <w:r w:rsidRPr="00A655A1">
              <w:rPr>
                <w:iCs/>
              </w:rPr>
              <w:t>d:</w:t>
            </w:r>
            <w:r w:rsidR="00721FEF" w:rsidRPr="00A655A1">
              <w:rPr>
                <w:iCs/>
              </w:rPr>
              <w:t xml:space="preserve"> $58</w:t>
            </w:r>
          </w:p>
          <w:p w:rsidR="002A0480" w:rsidRPr="00A655A1" w:rsidRDefault="002A0480" w:rsidP="00493A65">
            <w:pPr>
              <w:pStyle w:val="TableText0"/>
              <w:widowControl w:val="0"/>
              <w:rPr>
                <w:iCs/>
              </w:rPr>
            </w:pPr>
            <w:r w:rsidRPr="00A655A1">
              <w:rPr>
                <w:iCs/>
                <w:u w:val="single"/>
              </w:rPr>
              <w:t>CUA</w:t>
            </w:r>
          </w:p>
          <w:p w:rsidR="00AF1070" w:rsidRPr="00A655A1" w:rsidRDefault="00AF1070" w:rsidP="00493A65">
            <w:pPr>
              <w:pStyle w:val="TableText0"/>
              <w:widowControl w:val="0"/>
              <w:spacing w:after="80"/>
              <w:rPr>
                <w:bCs w:val="0"/>
                <w:iCs/>
              </w:rPr>
            </w:pPr>
            <w:r w:rsidRPr="00A655A1">
              <w:rPr>
                <w:bCs w:val="0"/>
                <w:iCs/>
              </w:rPr>
              <w:t>Total:</w:t>
            </w:r>
            <w:r w:rsidR="00721FEF" w:rsidRPr="00A655A1">
              <w:rPr>
                <w:bCs w:val="0"/>
                <w:iCs/>
              </w:rPr>
              <w:t xml:space="preserve"> $</w:t>
            </w:r>
            <w:r w:rsidR="007004AE">
              <w:rPr>
                <w:bCs w:val="0"/>
                <w:iCs/>
                <w:noProof/>
                <w:color w:val="000000"/>
                <w:highlight w:val="black"/>
              </w:rPr>
              <w:t>'''''''''''''''''''''</w:t>
            </w:r>
          </w:p>
          <w:p w:rsidR="002A0480" w:rsidRPr="00A655A1" w:rsidRDefault="002A0480" w:rsidP="00493A65">
            <w:pPr>
              <w:pStyle w:val="TableText0"/>
              <w:widowControl w:val="0"/>
              <w:rPr>
                <w:bCs w:val="0"/>
                <w:iCs/>
              </w:rPr>
            </w:pPr>
            <w:r w:rsidRPr="00A655A1">
              <w:rPr>
                <w:bCs w:val="0"/>
                <w:iCs/>
              </w:rPr>
              <w:t>S:</w:t>
            </w:r>
            <w:r w:rsidR="00721FEF" w:rsidRPr="00A655A1">
              <w:rPr>
                <w:bCs w:val="0"/>
                <w:iCs/>
              </w:rPr>
              <w:t xml:space="preserve"> $</w:t>
            </w:r>
            <w:r w:rsidR="007004AE">
              <w:rPr>
                <w:bCs w:val="0"/>
                <w:iCs/>
                <w:noProof/>
                <w:color w:val="000000"/>
                <w:highlight w:val="black"/>
              </w:rPr>
              <w:t>'''''''''''''''''</w:t>
            </w:r>
          </w:p>
          <w:p w:rsidR="002A0480" w:rsidRPr="00A655A1" w:rsidRDefault="002A0480" w:rsidP="00493A65">
            <w:pPr>
              <w:pStyle w:val="TableText0"/>
              <w:widowControl w:val="0"/>
              <w:rPr>
                <w:bCs w:val="0"/>
                <w:iCs/>
              </w:rPr>
            </w:pPr>
            <w:r w:rsidRPr="00A655A1">
              <w:rPr>
                <w:bCs w:val="0"/>
                <w:iCs/>
              </w:rPr>
              <w:t>B:</w:t>
            </w:r>
            <w:r w:rsidR="0012509D" w:rsidRPr="00A655A1">
              <w:rPr>
                <w:bCs w:val="0"/>
                <w:iCs/>
              </w:rPr>
              <w:t xml:space="preserve"> $21,760</w:t>
            </w:r>
          </w:p>
          <w:p w:rsidR="002A0480" w:rsidRPr="00A655A1" w:rsidRDefault="002A0480" w:rsidP="00493A65">
            <w:pPr>
              <w:pStyle w:val="TableText0"/>
              <w:widowControl w:val="0"/>
              <w:rPr>
                <w:iCs/>
              </w:rPr>
            </w:pPr>
            <w:r w:rsidRPr="00A655A1">
              <w:rPr>
                <w:iCs/>
              </w:rPr>
              <w:t>d:</w:t>
            </w:r>
            <w:r w:rsidR="0012509D" w:rsidRPr="00A655A1">
              <w:rPr>
                <w:iCs/>
              </w:rPr>
              <w:t xml:space="preserve"> $81</w:t>
            </w:r>
          </w:p>
        </w:tc>
        <w:tc>
          <w:tcPr>
            <w:tcW w:w="501" w:type="pct"/>
            <w:shd w:val="clear" w:color="auto" w:fill="auto"/>
            <w:vAlign w:val="center"/>
          </w:tcPr>
          <w:p w:rsidR="004732A3" w:rsidRPr="00A655A1" w:rsidRDefault="004732A3" w:rsidP="00493A65">
            <w:pPr>
              <w:pStyle w:val="TableText0"/>
              <w:widowControl w:val="0"/>
              <w:spacing w:after="80"/>
              <w:rPr>
                <w:bCs w:val="0"/>
                <w:iCs/>
              </w:rPr>
            </w:pPr>
            <w:r w:rsidRPr="00A655A1">
              <w:rPr>
                <w:bCs w:val="0"/>
                <w:iCs/>
              </w:rPr>
              <w:t>Total: $</w:t>
            </w:r>
            <w:r w:rsidR="007004AE">
              <w:rPr>
                <w:bCs w:val="0"/>
                <w:iCs/>
                <w:noProof/>
                <w:color w:val="000000"/>
                <w:highlight w:val="black"/>
              </w:rPr>
              <w:t>''''''''''''''''''''</w:t>
            </w:r>
          </w:p>
          <w:p w:rsidR="004732A3" w:rsidRPr="00A655A1" w:rsidRDefault="004732A3" w:rsidP="00493A65">
            <w:pPr>
              <w:pStyle w:val="TableText0"/>
              <w:widowControl w:val="0"/>
              <w:rPr>
                <w:bCs w:val="0"/>
                <w:iCs/>
              </w:rPr>
            </w:pPr>
            <w:r w:rsidRPr="00A655A1">
              <w:rPr>
                <w:bCs w:val="0"/>
                <w:iCs/>
              </w:rPr>
              <w:t>S: $</w:t>
            </w:r>
            <w:r w:rsidR="007004AE">
              <w:rPr>
                <w:bCs w:val="0"/>
                <w:iCs/>
                <w:noProof/>
                <w:color w:val="000000"/>
                <w:highlight w:val="black"/>
              </w:rPr>
              <w:t>''''''''''''''''</w:t>
            </w:r>
          </w:p>
          <w:p w:rsidR="004732A3" w:rsidRPr="00A655A1" w:rsidRDefault="004732A3" w:rsidP="00493A65">
            <w:pPr>
              <w:pStyle w:val="TableText0"/>
              <w:widowControl w:val="0"/>
              <w:rPr>
                <w:bCs w:val="0"/>
                <w:iCs/>
              </w:rPr>
            </w:pPr>
            <w:r w:rsidRPr="00A655A1">
              <w:rPr>
                <w:bCs w:val="0"/>
                <w:iCs/>
              </w:rPr>
              <w:t>B: $21,760</w:t>
            </w:r>
          </w:p>
          <w:p w:rsidR="006E0556" w:rsidRPr="00A655A1" w:rsidRDefault="004732A3" w:rsidP="00493A65">
            <w:pPr>
              <w:pStyle w:val="TableText0"/>
              <w:widowControl w:val="0"/>
              <w:rPr>
                <w:iCs/>
              </w:rPr>
            </w:pPr>
            <w:r w:rsidRPr="00A655A1">
              <w:rPr>
                <w:iCs/>
              </w:rPr>
              <w:t>d: $81</w:t>
            </w:r>
          </w:p>
        </w:tc>
        <w:tc>
          <w:tcPr>
            <w:tcW w:w="501" w:type="pct"/>
            <w:shd w:val="clear" w:color="auto" w:fill="auto"/>
            <w:vAlign w:val="center"/>
          </w:tcPr>
          <w:p w:rsidR="006E0556" w:rsidRPr="007004AE" w:rsidRDefault="006E0556" w:rsidP="00493A65">
            <w:pPr>
              <w:pStyle w:val="TableText0"/>
              <w:widowControl w:val="0"/>
              <w:spacing w:after="80"/>
              <w:rPr>
                <w:bCs w:val="0"/>
                <w:iCs/>
              </w:rPr>
            </w:pPr>
            <w:r w:rsidRPr="00A655A1">
              <w:rPr>
                <w:bCs w:val="0"/>
                <w:iCs/>
              </w:rPr>
              <w:t>Total:</w:t>
            </w:r>
            <w:r w:rsidR="00C05EAC" w:rsidRPr="00A655A1">
              <w:rPr>
                <w:bCs w:val="0"/>
                <w:iCs/>
              </w:rPr>
              <w:t xml:space="preserve"> $</w:t>
            </w:r>
            <w:r w:rsidR="001F6150" w:rsidRPr="00A655A1">
              <w:rPr>
                <w:bCs w:val="0"/>
                <w:iCs/>
              </w:rPr>
              <w:t>23</w:t>
            </w:r>
            <w:r w:rsidR="00C05EAC" w:rsidRPr="00A655A1">
              <w:rPr>
                <w:bCs w:val="0"/>
                <w:iCs/>
              </w:rPr>
              <w:t>,</w:t>
            </w:r>
            <w:r w:rsidR="001F6150" w:rsidRPr="00A655A1">
              <w:rPr>
                <w:bCs w:val="0"/>
                <w:iCs/>
              </w:rPr>
              <w:t>653</w:t>
            </w:r>
          </w:p>
          <w:p w:rsidR="006E0556" w:rsidRPr="00A655A1" w:rsidRDefault="006E0556" w:rsidP="00493A65">
            <w:pPr>
              <w:pStyle w:val="TableText0"/>
              <w:widowControl w:val="0"/>
              <w:rPr>
                <w:bCs w:val="0"/>
                <w:iCs/>
              </w:rPr>
            </w:pPr>
            <w:r w:rsidRPr="00A655A1">
              <w:rPr>
                <w:bCs w:val="0"/>
                <w:iCs/>
              </w:rPr>
              <w:t>B:</w:t>
            </w:r>
            <w:r w:rsidR="00C05EAC" w:rsidRPr="00A655A1">
              <w:rPr>
                <w:bCs w:val="0"/>
                <w:iCs/>
              </w:rPr>
              <w:t xml:space="preserve"> $2</w:t>
            </w:r>
            <w:r w:rsidR="001F6150" w:rsidRPr="00A655A1">
              <w:rPr>
                <w:bCs w:val="0"/>
                <w:iCs/>
              </w:rPr>
              <w:t>3</w:t>
            </w:r>
            <w:r w:rsidR="00C05EAC" w:rsidRPr="00A655A1">
              <w:rPr>
                <w:bCs w:val="0"/>
                <w:iCs/>
              </w:rPr>
              <w:t>,</w:t>
            </w:r>
            <w:r w:rsidR="001F6150" w:rsidRPr="00A655A1">
              <w:rPr>
                <w:bCs w:val="0"/>
                <w:iCs/>
              </w:rPr>
              <w:t>587</w:t>
            </w:r>
          </w:p>
          <w:p w:rsidR="006E0556" w:rsidRPr="00A655A1" w:rsidRDefault="006E0556" w:rsidP="00493A65">
            <w:pPr>
              <w:pStyle w:val="TableText0"/>
              <w:widowControl w:val="0"/>
              <w:rPr>
                <w:iCs/>
              </w:rPr>
            </w:pPr>
            <w:r w:rsidRPr="00A655A1">
              <w:rPr>
                <w:bCs w:val="0"/>
                <w:iCs/>
              </w:rPr>
              <w:t>d:</w:t>
            </w:r>
            <w:r w:rsidR="00C05EAC" w:rsidRPr="00A655A1">
              <w:rPr>
                <w:bCs w:val="0"/>
                <w:iCs/>
              </w:rPr>
              <w:t xml:space="preserve"> $</w:t>
            </w:r>
            <w:r w:rsidR="001F6150" w:rsidRPr="00A655A1">
              <w:rPr>
                <w:bCs w:val="0"/>
                <w:iCs/>
              </w:rPr>
              <w:t>66</w:t>
            </w:r>
          </w:p>
        </w:tc>
        <w:tc>
          <w:tcPr>
            <w:tcW w:w="500" w:type="pct"/>
            <w:shd w:val="clear" w:color="auto" w:fill="auto"/>
            <w:vAlign w:val="center"/>
          </w:tcPr>
          <w:p w:rsidR="006E0556" w:rsidRPr="00A655A1" w:rsidRDefault="006E0556" w:rsidP="00493A65">
            <w:pPr>
              <w:pStyle w:val="TableText0"/>
              <w:widowControl w:val="0"/>
              <w:spacing w:after="80"/>
              <w:rPr>
                <w:bCs w:val="0"/>
                <w:iCs/>
              </w:rPr>
            </w:pPr>
            <w:r w:rsidRPr="00A655A1">
              <w:rPr>
                <w:bCs w:val="0"/>
                <w:iCs/>
              </w:rPr>
              <w:t>Total:</w:t>
            </w:r>
            <w:r w:rsidR="00C05EAC" w:rsidRPr="00A655A1">
              <w:rPr>
                <w:bCs w:val="0"/>
                <w:iCs/>
              </w:rPr>
              <w:t xml:space="preserve"> $3</w:t>
            </w:r>
            <w:r w:rsidR="00AC651B" w:rsidRPr="00A655A1">
              <w:rPr>
                <w:bCs w:val="0"/>
                <w:iCs/>
              </w:rPr>
              <w:t>4</w:t>
            </w:r>
            <w:r w:rsidR="00C05EAC" w:rsidRPr="00A655A1">
              <w:rPr>
                <w:bCs w:val="0"/>
                <w:iCs/>
              </w:rPr>
              <w:t>,</w:t>
            </w:r>
            <w:r w:rsidR="00AC651B" w:rsidRPr="00A655A1">
              <w:rPr>
                <w:bCs w:val="0"/>
                <w:iCs/>
              </w:rPr>
              <w:t>194</w:t>
            </w:r>
          </w:p>
          <w:p w:rsidR="006E0556" w:rsidRPr="00A655A1" w:rsidRDefault="006E0556" w:rsidP="00493A65">
            <w:pPr>
              <w:pStyle w:val="TableText0"/>
              <w:widowControl w:val="0"/>
              <w:rPr>
                <w:bCs w:val="0"/>
                <w:iCs/>
              </w:rPr>
            </w:pPr>
            <w:r w:rsidRPr="00A655A1">
              <w:rPr>
                <w:bCs w:val="0"/>
                <w:iCs/>
              </w:rPr>
              <w:t>B:</w:t>
            </w:r>
            <w:r w:rsidR="00C05EAC" w:rsidRPr="00A655A1">
              <w:rPr>
                <w:bCs w:val="0"/>
                <w:iCs/>
              </w:rPr>
              <w:t xml:space="preserve"> $</w:t>
            </w:r>
            <w:r w:rsidR="00AC651B" w:rsidRPr="00A655A1">
              <w:rPr>
                <w:bCs w:val="0"/>
                <w:iCs/>
              </w:rPr>
              <w:t>34</w:t>
            </w:r>
            <w:r w:rsidR="00C05EAC" w:rsidRPr="00A655A1">
              <w:rPr>
                <w:bCs w:val="0"/>
                <w:iCs/>
              </w:rPr>
              <w:t>,</w:t>
            </w:r>
            <w:r w:rsidR="00AC651B" w:rsidRPr="00A655A1">
              <w:rPr>
                <w:bCs w:val="0"/>
                <w:iCs/>
              </w:rPr>
              <w:t>099</w:t>
            </w:r>
          </w:p>
          <w:p w:rsidR="006E0556" w:rsidRPr="00A655A1" w:rsidRDefault="006E0556" w:rsidP="00493A65">
            <w:pPr>
              <w:pStyle w:val="TableText0"/>
              <w:widowControl w:val="0"/>
              <w:rPr>
                <w:iCs/>
              </w:rPr>
            </w:pPr>
            <w:r w:rsidRPr="00A655A1">
              <w:rPr>
                <w:bCs w:val="0"/>
                <w:iCs/>
              </w:rPr>
              <w:t>d:</w:t>
            </w:r>
            <w:r w:rsidR="00C05EAC" w:rsidRPr="00A655A1">
              <w:rPr>
                <w:bCs w:val="0"/>
                <w:iCs/>
              </w:rPr>
              <w:t xml:space="preserve"> $</w:t>
            </w:r>
            <w:r w:rsidR="00AC651B" w:rsidRPr="00A655A1">
              <w:rPr>
                <w:bCs w:val="0"/>
                <w:iCs/>
              </w:rPr>
              <w:t>96</w:t>
            </w:r>
          </w:p>
        </w:tc>
        <w:tc>
          <w:tcPr>
            <w:tcW w:w="502" w:type="pct"/>
            <w:vAlign w:val="center"/>
          </w:tcPr>
          <w:p w:rsidR="006E0556" w:rsidRPr="00A655A1" w:rsidRDefault="006E0556" w:rsidP="00493A65">
            <w:pPr>
              <w:pStyle w:val="TableText0"/>
              <w:widowControl w:val="0"/>
              <w:spacing w:after="80"/>
              <w:rPr>
                <w:bCs w:val="0"/>
                <w:iCs/>
              </w:rPr>
            </w:pPr>
            <w:r w:rsidRPr="00A655A1">
              <w:rPr>
                <w:bCs w:val="0"/>
                <w:iCs/>
              </w:rPr>
              <w:t>Total:</w:t>
            </w:r>
            <w:r w:rsidR="00C05EAC" w:rsidRPr="00A655A1">
              <w:rPr>
                <w:bCs w:val="0"/>
                <w:iCs/>
              </w:rPr>
              <w:t xml:space="preserve"> $3</w:t>
            </w:r>
            <w:r w:rsidR="00AC651B" w:rsidRPr="00A655A1">
              <w:rPr>
                <w:bCs w:val="0"/>
                <w:iCs/>
              </w:rPr>
              <w:t>4</w:t>
            </w:r>
            <w:r w:rsidR="00C05EAC" w:rsidRPr="00A655A1">
              <w:rPr>
                <w:bCs w:val="0"/>
                <w:iCs/>
              </w:rPr>
              <w:t>,</w:t>
            </w:r>
            <w:r w:rsidR="00AC651B" w:rsidRPr="00A655A1">
              <w:rPr>
                <w:bCs w:val="0"/>
                <w:iCs/>
              </w:rPr>
              <w:t>190</w:t>
            </w:r>
          </w:p>
          <w:p w:rsidR="006E0556" w:rsidRPr="00A655A1" w:rsidRDefault="006E0556" w:rsidP="00493A65">
            <w:pPr>
              <w:pStyle w:val="TableText0"/>
              <w:widowControl w:val="0"/>
              <w:rPr>
                <w:bCs w:val="0"/>
                <w:iCs/>
              </w:rPr>
            </w:pPr>
            <w:r w:rsidRPr="00A655A1">
              <w:rPr>
                <w:bCs w:val="0"/>
                <w:iCs/>
              </w:rPr>
              <w:t>B:</w:t>
            </w:r>
            <w:r w:rsidR="00C05EAC" w:rsidRPr="00A655A1">
              <w:rPr>
                <w:bCs w:val="0"/>
                <w:iCs/>
              </w:rPr>
              <w:t xml:space="preserve"> $3</w:t>
            </w:r>
            <w:r w:rsidR="00AC651B" w:rsidRPr="00A655A1">
              <w:rPr>
                <w:bCs w:val="0"/>
                <w:iCs/>
              </w:rPr>
              <w:t>4</w:t>
            </w:r>
            <w:r w:rsidR="00C05EAC" w:rsidRPr="00A655A1">
              <w:rPr>
                <w:bCs w:val="0"/>
                <w:iCs/>
              </w:rPr>
              <w:t>,</w:t>
            </w:r>
            <w:r w:rsidR="00AC651B" w:rsidRPr="00A655A1">
              <w:rPr>
                <w:bCs w:val="0"/>
                <w:iCs/>
              </w:rPr>
              <w:t>099</w:t>
            </w:r>
          </w:p>
          <w:p w:rsidR="006E0556" w:rsidRPr="00A655A1" w:rsidRDefault="006E0556" w:rsidP="00493A65">
            <w:pPr>
              <w:pStyle w:val="TableText0"/>
              <w:widowControl w:val="0"/>
              <w:rPr>
                <w:iCs/>
              </w:rPr>
            </w:pPr>
            <w:r w:rsidRPr="00A655A1">
              <w:rPr>
                <w:bCs w:val="0"/>
                <w:iCs/>
              </w:rPr>
              <w:t>d:</w:t>
            </w:r>
            <w:r w:rsidR="00C05EAC" w:rsidRPr="00A655A1">
              <w:rPr>
                <w:bCs w:val="0"/>
                <w:iCs/>
              </w:rPr>
              <w:t xml:space="preserve"> $</w:t>
            </w:r>
            <w:r w:rsidR="00AC651B" w:rsidRPr="00A655A1">
              <w:rPr>
                <w:bCs w:val="0"/>
                <w:iCs/>
              </w:rPr>
              <w:t>92</w:t>
            </w:r>
          </w:p>
        </w:tc>
        <w:tc>
          <w:tcPr>
            <w:tcW w:w="501" w:type="pct"/>
            <w:vAlign w:val="center"/>
          </w:tcPr>
          <w:p w:rsidR="006E0556" w:rsidRPr="00A655A1" w:rsidRDefault="006E0556" w:rsidP="00493A65">
            <w:pPr>
              <w:pStyle w:val="TableText0"/>
              <w:widowControl w:val="0"/>
              <w:spacing w:after="80"/>
              <w:rPr>
                <w:bCs w:val="0"/>
                <w:iCs/>
              </w:rPr>
            </w:pPr>
            <w:r w:rsidRPr="00A655A1">
              <w:rPr>
                <w:bCs w:val="0"/>
                <w:iCs/>
              </w:rPr>
              <w:t>Total:</w:t>
            </w:r>
            <w:r w:rsidR="00C05EAC" w:rsidRPr="00A655A1">
              <w:rPr>
                <w:bCs w:val="0"/>
                <w:iCs/>
              </w:rPr>
              <w:t xml:space="preserve"> $103,912</w:t>
            </w:r>
            <w:r w:rsidRPr="00A655A1">
              <w:rPr>
                <w:bCs w:val="0"/>
                <w:iCs/>
              </w:rPr>
              <w:t xml:space="preserve"> </w:t>
            </w:r>
          </w:p>
          <w:p w:rsidR="006E0556" w:rsidRPr="00A655A1" w:rsidRDefault="006E0556" w:rsidP="00493A65">
            <w:pPr>
              <w:pStyle w:val="TableText0"/>
              <w:widowControl w:val="0"/>
              <w:ind w:left="-36" w:right="-24"/>
              <w:rPr>
                <w:bCs w:val="0"/>
                <w:iCs/>
              </w:rPr>
            </w:pPr>
            <w:r w:rsidRPr="00A655A1">
              <w:rPr>
                <w:bCs w:val="0"/>
                <w:iCs/>
              </w:rPr>
              <w:t>C:</w:t>
            </w:r>
            <w:r w:rsidR="00C05EAC" w:rsidRPr="00A655A1">
              <w:rPr>
                <w:bCs w:val="0"/>
                <w:iCs/>
              </w:rPr>
              <w:t xml:space="preserve"> $103,859</w:t>
            </w:r>
          </w:p>
          <w:p w:rsidR="006E0556" w:rsidRPr="00A655A1" w:rsidRDefault="006E0556" w:rsidP="00493A65">
            <w:pPr>
              <w:pStyle w:val="TableText0"/>
              <w:widowControl w:val="0"/>
              <w:rPr>
                <w:iCs/>
              </w:rPr>
            </w:pPr>
            <w:r w:rsidRPr="00A655A1">
              <w:rPr>
                <w:bCs w:val="0"/>
                <w:iCs/>
              </w:rPr>
              <w:t>d:</w:t>
            </w:r>
            <w:r w:rsidR="00C05EAC" w:rsidRPr="00A655A1">
              <w:rPr>
                <w:bCs w:val="0"/>
                <w:iCs/>
              </w:rPr>
              <w:t xml:space="preserve"> $54</w:t>
            </w:r>
          </w:p>
        </w:tc>
        <w:tc>
          <w:tcPr>
            <w:tcW w:w="501" w:type="pct"/>
            <w:vAlign w:val="center"/>
          </w:tcPr>
          <w:p w:rsidR="006E0556" w:rsidRPr="00A655A1" w:rsidRDefault="006E0556" w:rsidP="00493A65">
            <w:pPr>
              <w:pStyle w:val="TableText0"/>
              <w:widowControl w:val="0"/>
              <w:spacing w:after="80"/>
              <w:rPr>
                <w:bCs w:val="0"/>
                <w:iCs/>
              </w:rPr>
            </w:pPr>
            <w:r w:rsidRPr="00A655A1">
              <w:rPr>
                <w:bCs w:val="0"/>
                <w:iCs/>
              </w:rPr>
              <w:t>Total:</w:t>
            </w:r>
            <w:r w:rsidR="00C05EAC" w:rsidRPr="00A655A1">
              <w:rPr>
                <w:bCs w:val="0"/>
                <w:iCs/>
              </w:rPr>
              <w:t xml:space="preserve"> $112,968</w:t>
            </w:r>
            <w:r w:rsidRPr="00A655A1">
              <w:rPr>
                <w:bCs w:val="0"/>
                <w:iCs/>
              </w:rPr>
              <w:t xml:space="preserve"> </w:t>
            </w:r>
          </w:p>
          <w:p w:rsidR="006E0556" w:rsidRPr="00A655A1" w:rsidRDefault="006E0556" w:rsidP="00493A65">
            <w:pPr>
              <w:pStyle w:val="TableText0"/>
              <w:widowControl w:val="0"/>
              <w:ind w:left="-27" w:right="-47"/>
              <w:rPr>
                <w:bCs w:val="0"/>
                <w:iCs/>
              </w:rPr>
            </w:pPr>
            <w:r w:rsidRPr="00A655A1">
              <w:rPr>
                <w:bCs w:val="0"/>
                <w:iCs/>
              </w:rPr>
              <w:t>C:</w:t>
            </w:r>
            <w:r w:rsidR="00C05EAC" w:rsidRPr="00A655A1">
              <w:rPr>
                <w:bCs w:val="0"/>
                <w:iCs/>
              </w:rPr>
              <w:t xml:space="preserve"> $112,909</w:t>
            </w:r>
          </w:p>
          <w:p w:rsidR="006E0556" w:rsidRPr="00A655A1" w:rsidRDefault="006E0556" w:rsidP="00493A65">
            <w:pPr>
              <w:pStyle w:val="TableText0"/>
              <w:widowControl w:val="0"/>
              <w:ind w:left="-27" w:right="-47"/>
              <w:rPr>
                <w:iCs/>
              </w:rPr>
            </w:pPr>
            <w:r w:rsidRPr="00A655A1">
              <w:rPr>
                <w:bCs w:val="0"/>
                <w:iCs/>
              </w:rPr>
              <w:t>d:</w:t>
            </w:r>
            <w:r w:rsidR="00C05EAC" w:rsidRPr="00A655A1">
              <w:rPr>
                <w:bCs w:val="0"/>
                <w:iCs/>
              </w:rPr>
              <w:t xml:space="preserve"> $58</w:t>
            </w:r>
          </w:p>
        </w:tc>
        <w:tc>
          <w:tcPr>
            <w:tcW w:w="498" w:type="pct"/>
            <w:vAlign w:val="center"/>
          </w:tcPr>
          <w:p w:rsidR="00340F43" w:rsidRPr="00A655A1" w:rsidRDefault="00340F43" w:rsidP="00493A65">
            <w:pPr>
              <w:pStyle w:val="TableText0"/>
              <w:widowControl w:val="0"/>
              <w:spacing w:after="80"/>
              <w:rPr>
                <w:bCs w:val="0"/>
                <w:iCs/>
              </w:rPr>
            </w:pPr>
            <w:r w:rsidRPr="00A655A1">
              <w:rPr>
                <w:bCs w:val="0"/>
                <w:iCs/>
              </w:rPr>
              <w:t>Total: $38,372</w:t>
            </w:r>
          </w:p>
          <w:p w:rsidR="00340F43" w:rsidRPr="00A655A1" w:rsidRDefault="00340F43" w:rsidP="00493A65">
            <w:pPr>
              <w:pStyle w:val="TableText0"/>
              <w:widowControl w:val="0"/>
              <w:rPr>
                <w:bCs w:val="0"/>
                <w:iCs/>
              </w:rPr>
            </w:pPr>
            <w:r w:rsidRPr="00A655A1">
              <w:rPr>
                <w:bCs w:val="0"/>
                <w:iCs/>
              </w:rPr>
              <w:t>B: $38,269</w:t>
            </w:r>
          </w:p>
          <w:p w:rsidR="006E0556" w:rsidRPr="00A655A1" w:rsidRDefault="00340F43" w:rsidP="00493A65">
            <w:pPr>
              <w:pStyle w:val="TableText0"/>
              <w:widowControl w:val="0"/>
              <w:rPr>
                <w:iCs/>
              </w:rPr>
            </w:pPr>
            <w:r w:rsidRPr="00A655A1">
              <w:rPr>
                <w:bCs w:val="0"/>
                <w:iCs/>
              </w:rPr>
              <w:t>d: $103</w:t>
            </w:r>
          </w:p>
        </w:tc>
      </w:tr>
    </w:tbl>
    <w:p w:rsidR="00340F43" w:rsidRPr="00A655A1" w:rsidRDefault="00E53385" w:rsidP="004703D5">
      <w:pPr>
        <w:pStyle w:val="TableFigureFooter"/>
        <w:widowControl w:val="0"/>
      </w:pPr>
      <w:r w:rsidRPr="00A655A1">
        <w:t xml:space="preserve">Source: </w:t>
      </w:r>
      <w:r w:rsidR="004C3752" w:rsidRPr="00A655A1">
        <w:t xml:space="preserve">Developed during the evaluation from </w:t>
      </w:r>
      <w:r w:rsidR="000659E8" w:rsidRPr="00A655A1">
        <w:t xml:space="preserve">using results in Excel workbook PBAC_March 2021_XPOVIO Selinexor_RRMM_XVd_Section 3 CUA Workbook_Final.xlsm; Excel workbook PBAC_March 2021_XPOVIO Selinexor_RRMM_XVd_Section 3 CMA vs Kd_Final; </w:t>
      </w:r>
      <w:r w:rsidR="00716D57" w:rsidRPr="00A655A1">
        <w:t>PBAC_March 2021_XPOVIO Selinexor_RRMM_XVd_Section 4 Workbook_Final; p</w:t>
      </w:r>
      <w:r w:rsidR="009406ED" w:rsidRPr="00A655A1">
        <w:t>105 BOSTON CSR</w:t>
      </w:r>
    </w:p>
    <w:p w:rsidR="00340F43" w:rsidRPr="00A655A1" w:rsidRDefault="001754F9" w:rsidP="004703D5">
      <w:pPr>
        <w:pStyle w:val="TableFigureFooter"/>
        <w:widowControl w:val="0"/>
      </w:pPr>
      <w:r w:rsidRPr="00A655A1">
        <w:t xml:space="preserve">B or </w:t>
      </w:r>
      <w:r w:rsidR="00042061" w:rsidRPr="00A655A1">
        <w:t>B</w:t>
      </w:r>
      <w:r w:rsidRPr="00A655A1">
        <w:t>ort</w:t>
      </w:r>
      <w:r w:rsidR="00042061" w:rsidRPr="00A655A1">
        <w:t xml:space="preserve"> = bortezomib; </w:t>
      </w:r>
      <w:r w:rsidR="008E497C" w:rsidRPr="00A655A1">
        <w:t xml:space="preserve">Bd = bortezomib + dexamethasone; </w:t>
      </w:r>
      <w:r w:rsidRPr="00A655A1">
        <w:t xml:space="preserve">C or Carf = carfilzomib; </w:t>
      </w:r>
      <w:r w:rsidR="008E497C" w:rsidRPr="00A655A1">
        <w:t xml:space="preserve">Cd = carfilzomib + dexamethasone; </w:t>
      </w:r>
      <w:r w:rsidR="008A2759" w:rsidRPr="00A655A1">
        <w:t>CMA = cost minimisation analysis;</w:t>
      </w:r>
      <w:r w:rsidR="00340F43" w:rsidRPr="00A655A1">
        <w:t xml:space="preserve"> </w:t>
      </w:r>
      <w:r w:rsidR="008A2759" w:rsidRPr="00A655A1">
        <w:t>CUA = cost utility analysis;</w:t>
      </w:r>
      <w:r w:rsidRPr="00A655A1">
        <w:t xml:space="preserve"> d</w:t>
      </w:r>
      <w:r w:rsidR="00824CCC" w:rsidRPr="00A655A1">
        <w:t xml:space="preserve"> or Dex</w:t>
      </w:r>
      <w:r w:rsidR="00042061" w:rsidRPr="00A655A1">
        <w:t>= dexamethasone;</w:t>
      </w:r>
      <w:r w:rsidR="008A2759" w:rsidRPr="00A655A1">
        <w:t xml:space="preserve"> </w:t>
      </w:r>
      <w:r w:rsidR="005E2294" w:rsidRPr="00A655A1">
        <w:t xml:space="preserve">IV = intravenous; </w:t>
      </w:r>
      <w:r w:rsidR="008E497C" w:rsidRPr="00A655A1">
        <w:t xml:space="preserve">PO = oral; </w:t>
      </w:r>
      <w:r w:rsidRPr="00A655A1">
        <w:t xml:space="preserve">S or </w:t>
      </w:r>
      <w:r w:rsidR="005E2294" w:rsidRPr="00A655A1">
        <w:t>S</w:t>
      </w:r>
      <w:r w:rsidRPr="00A655A1">
        <w:t>el</w:t>
      </w:r>
      <w:r w:rsidR="005E2294" w:rsidRPr="00A655A1">
        <w:t xml:space="preserve"> = se</w:t>
      </w:r>
      <w:r w:rsidR="00042061" w:rsidRPr="00A655A1">
        <w:t xml:space="preserve">linexor; </w:t>
      </w:r>
      <w:r w:rsidR="005E2294" w:rsidRPr="00A655A1">
        <w:t xml:space="preserve">SC = subcutaneous; </w:t>
      </w:r>
      <w:r w:rsidR="00042061" w:rsidRPr="00A655A1">
        <w:t>SBd = selinexor + bortezomib + dexamethasone</w:t>
      </w:r>
    </w:p>
    <w:p w:rsidR="00340F43" w:rsidRPr="00A655A1" w:rsidRDefault="00865474" w:rsidP="004703D5">
      <w:pPr>
        <w:pStyle w:val="TableFigureFooter"/>
        <w:widowControl w:val="0"/>
      </w:pPr>
      <w:r w:rsidRPr="00A655A1">
        <w:t>a. F</w:t>
      </w:r>
      <w:r w:rsidR="003C1EAD" w:rsidRPr="00A655A1">
        <w:t>or simplicity the dose of Cd was assumes to be 56 mg/m</w:t>
      </w:r>
      <w:r w:rsidR="003C1EAD" w:rsidRPr="00A655A1">
        <w:rPr>
          <w:vertAlign w:val="superscript"/>
        </w:rPr>
        <w:t>2</w:t>
      </w:r>
      <w:r w:rsidR="003C1EAD" w:rsidRPr="00A655A1">
        <w:t xml:space="preserve"> for the entire regimen</w:t>
      </w:r>
    </w:p>
    <w:p w:rsidR="003C1EAD" w:rsidRPr="00A655A1" w:rsidRDefault="00865474" w:rsidP="004703D5">
      <w:pPr>
        <w:pStyle w:val="TableFigureFooter"/>
        <w:widowControl w:val="0"/>
      </w:pPr>
      <w:r w:rsidRPr="00A655A1">
        <w:t>b. S</w:t>
      </w:r>
      <w:r w:rsidR="00D8081E" w:rsidRPr="00A655A1">
        <w:t>ubmission stated those used in the CUA were consistent with the trial however, the median dose intensity of Bd in BOSTON could not be verified</w:t>
      </w:r>
    </w:p>
    <w:p w:rsidR="009E6020" w:rsidRPr="00A655A1" w:rsidRDefault="00865474" w:rsidP="004703D5">
      <w:pPr>
        <w:pStyle w:val="TableFigureFooter"/>
        <w:widowControl w:val="0"/>
      </w:pPr>
      <w:r w:rsidRPr="00A655A1">
        <w:t xml:space="preserve">c. </w:t>
      </w:r>
      <w:r w:rsidR="009E6020" w:rsidRPr="00A655A1">
        <w:t xml:space="preserve">SBd = 35 day cycle; Bd = 21 day cycle C1-8 then </w:t>
      </w:r>
      <w:r w:rsidR="00B7618E" w:rsidRPr="00A655A1">
        <w:t>35</w:t>
      </w:r>
      <w:r w:rsidR="009E6020" w:rsidRPr="00A655A1">
        <w:t>-days C9 onwards; Cd = 28 day cycle. For simplicity, the cost of Bd was considered to be the same of each cycle (4 x bortezomib doses and 8 x dexamethasone doses, as the additional 2 x dexamethasone doses from cycle 9 onwards was considered to have minimal impact on costs).</w:t>
      </w:r>
    </w:p>
    <w:p w:rsidR="00225746" w:rsidRPr="00A655A1" w:rsidRDefault="00865474" w:rsidP="004703D5">
      <w:pPr>
        <w:pStyle w:val="TableFigureFooter"/>
        <w:widowControl w:val="0"/>
        <w:rPr>
          <w:vertAlign w:val="superscript"/>
        </w:rPr>
      </w:pPr>
      <w:r w:rsidRPr="00A655A1">
        <w:t>d. D</w:t>
      </w:r>
      <w:r w:rsidR="00A47E7C" w:rsidRPr="00A655A1">
        <w:t>ose</w:t>
      </w:r>
      <w:r w:rsidR="00E214D7" w:rsidRPr="00A655A1">
        <w:t>s</w:t>
      </w:r>
      <w:r w:rsidR="00A47E7C" w:rsidRPr="00A655A1">
        <w:t xml:space="preserve"> based on a BSA of 1.83 m</w:t>
      </w:r>
      <w:r w:rsidR="00A47E7C" w:rsidRPr="00A655A1">
        <w:rPr>
          <w:vertAlign w:val="superscript"/>
        </w:rPr>
        <w:t>2</w:t>
      </w:r>
    </w:p>
    <w:p w:rsidR="00225746" w:rsidRPr="00A655A1" w:rsidRDefault="00865474" w:rsidP="004703D5">
      <w:pPr>
        <w:pStyle w:val="TableFigureFooter"/>
        <w:widowControl w:val="0"/>
        <w:rPr>
          <w:iCs/>
        </w:rPr>
      </w:pPr>
      <w:r w:rsidRPr="00A655A1">
        <w:t>e. T</w:t>
      </w:r>
      <w:r w:rsidR="00D3728B" w:rsidRPr="00A655A1">
        <w:t xml:space="preserve">he dose intensity of carfilzomib and the median duration of therapy were as per the submission. </w:t>
      </w:r>
      <w:r w:rsidR="00D3728B" w:rsidRPr="00A655A1">
        <w:rPr>
          <w:iCs/>
        </w:rPr>
        <w:t>These could not be verified during the evaluation based on the reference provided in the submission.</w:t>
      </w:r>
    </w:p>
    <w:p w:rsidR="00DC2B98" w:rsidRPr="00A655A1" w:rsidRDefault="00865474" w:rsidP="004703D5">
      <w:pPr>
        <w:pStyle w:val="TableFigureFooter"/>
        <w:widowControl w:val="0"/>
        <w:rPr>
          <w:iCs/>
        </w:rPr>
      </w:pPr>
      <w:r w:rsidRPr="00A655A1">
        <w:rPr>
          <w:iCs/>
        </w:rPr>
        <w:t>f. F</w:t>
      </w:r>
      <w:r w:rsidR="00DC2B98" w:rsidRPr="00A655A1">
        <w:rPr>
          <w:iCs/>
        </w:rPr>
        <w:t>or the purposes of calculating costs, the dose intensity was considered to be consistent with those of the CMA and financial estimates at 90.6%</w:t>
      </w:r>
    </w:p>
    <w:p w:rsidR="00472814" w:rsidRPr="00A655A1" w:rsidRDefault="00865474" w:rsidP="004703D5">
      <w:pPr>
        <w:pStyle w:val="TableFigureFooter"/>
        <w:widowControl w:val="0"/>
      </w:pPr>
      <w:r w:rsidRPr="00A655A1">
        <w:t xml:space="preserve">g. </w:t>
      </w:r>
      <w:r w:rsidR="00472814" w:rsidRPr="00A655A1">
        <w:t xml:space="preserve">The </w:t>
      </w:r>
      <w:r w:rsidR="00A656DA" w:rsidRPr="00A655A1">
        <w:t xml:space="preserve">mean </w:t>
      </w:r>
      <w:r w:rsidR="00472814" w:rsidRPr="00A655A1">
        <w:t xml:space="preserve">duration of study treatment was reported as </w:t>
      </w:r>
      <w:r w:rsidR="00A656DA" w:rsidRPr="00A655A1">
        <w:t>40</w:t>
      </w:r>
      <w:r w:rsidR="00472814" w:rsidRPr="00A655A1">
        <w:t xml:space="preserve">.0 weeks in SBd and </w:t>
      </w:r>
      <w:r w:rsidR="00A656DA" w:rsidRPr="00A655A1">
        <w:t>38</w:t>
      </w:r>
      <w:r w:rsidR="00472814" w:rsidRPr="00A655A1">
        <w:t>.</w:t>
      </w:r>
      <w:r w:rsidR="00C657F6" w:rsidRPr="00A655A1">
        <w:t>3</w:t>
      </w:r>
      <w:r w:rsidR="00472814" w:rsidRPr="00A655A1">
        <w:t xml:space="preserve"> weeks in Bd (p105, BOSTON CSR).</w:t>
      </w:r>
    </w:p>
    <w:p w:rsidR="00EA4EC0" w:rsidRPr="00A655A1" w:rsidRDefault="00865474" w:rsidP="004703D5">
      <w:pPr>
        <w:pStyle w:val="TableFigureFooter"/>
        <w:widowControl w:val="0"/>
      </w:pPr>
      <w:r w:rsidRPr="00A655A1">
        <w:t xml:space="preserve">h. </w:t>
      </w:r>
      <w:r w:rsidR="00EA4EC0" w:rsidRPr="00A655A1">
        <w:t>The financial worksheet calculated 55.35 weeks</w:t>
      </w:r>
    </w:p>
    <w:p w:rsidR="00476201" w:rsidRPr="00A655A1" w:rsidRDefault="00865474" w:rsidP="00FC1FD3">
      <w:pPr>
        <w:pStyle w:val="TableFigureFooter"/>
        <w:widowControl w:val="0"/>
      </w:pPr>
      <w:r w:rsidRPr="00A655A1">
        <w:t xml:space="preserve">i. </w:t>
      </w:r>
      <w:r w:rsidR="00B6508E" w:rsidRPr="00A655A1">
        <w:t>The financial worksheet calculated 62.48 week</w:t>
      </w:r>
      <w:bookmarkStart w:id="48" w:name="_Toc22897647"/>
      <w:bookmarkStart w:id="49" w:name="_Toc69197086"/>
    </w:p>
    <w:p w:rsidR="00E53385" w:rsidRPr="00A655A1" w:rsidRDefault="00E53385" w:rsidP="00476201">
      <w:pPr>
        <w:pStyle w:val="4-SubsectionHeading"/>
      </w:pPr>
      <w:bookmarkStart w:id="50" w:name="_Toc72314266"/>
      <w:r w:rsidRPr="00A655A1">
        <w:t>Estimated PBS usage &amp; financial implications</w:t>
      </w:r>
      <w:bookmarkEnd w:id="48"/>
      <w:bookmarkEnd w:id="49"/>
      <w:bookmarkEnd w:id="50"/>
    </w:p>
    <w:p w:rsidR="00957464" w:rsidRPr="00A655A1" w:rsidRDefault="00957464" w:rsidP="00957464">
      <w:pPr>
        <w:pStyle w:val="3-BodyText"/>
        <w:rPr>
          <w:color w:val="0066FF"/>
        </w:rPr>
      </w:pPr>
      <w:bookmarkStart w:id="51" w:name="_Toc69197090"/>
      <w:r w:rsidRPr="00A655A1">
        <w:t xml:space="preserve">This submission </w:t>
      </w:r>
      <w:r w:rsidR="00612485" w:rsidRPr="00A655A1">
        <w:t>was</w:t>
      </w:r>
      <w:r w:rsidRPr="00A655A1">
        <w:t xml:space="preserve"> considered by DUSC.</w:t>
      </w:r>
      <w:r w:rsidRPr="00A655A1">
        <w:rPr>
          <w:color w:val="0070C0"/>
        </w:rPr>
        <w:t xml:space="preserve"> </w:t>
      </w:r>
      <w:r w:rsidRPr="00A655A1">
        <w:t xml:space="preserve">The submission used an epidemiological approach to estimate the financial implications. </w:t>
      </w:r>
      <w:r w:rsidRPr="00A655A1">
        <w:rPr>
          <w:iCs/>
        </w:rPr>
        <w:t xml:space="preserve">However, the submission based the financial estimates on the impact of the PBS listing of DBd on the projected treatment landscape and then estimated change in utilisation of medicines on the PBS (and associated financial impact to Government) following the proposed listing of SBd. Thus, a market share approach may have been more appropriate to estimate market size. </w:t>
      </w:r>
      <w:r w:rsidRPr="00A655A1">
        <w:t>An overview of the data sources and assumptions used to populate the financial estimates is provided in</w:t>
      </w:r>
      <w:r w:rsidR="00A0380A">
        <w:t xml:space="preserve"> Table 25</w:t>
      </w:r>
      <w:r w:rsidRPr="00A655A1">
        <w:t>.</w:t>
      </w:r>
    </w:p>
    <w:p w:rsidR="00957464" w:rsidRPr="00A655A1" w:rsidRDefault="00957464" w:rsidP="00957464">
      <w:pPr>
        <w:pStyle w:val="TableFigureHeading"/>
        <w:keepNext w:val="0"/>
      </w:pPr>
      <w:bookmarkStart w:id="52" w:name="_Ref69396450"/>
      <w:r w:rsidRPr="00A655A1">
        <w:t xml:space="preserve">Table </w:t>
      </w:r>
      <w:bookmarkEnd w:id="52"/>
      <w:r w:rsidRPr="00A655A1">
        <w:t xml:space="preserve">25: </w:t>
      </w:r>
      <w:r w:rsidR="00612485" w:rsidRPr="00A655A1">
        <w:t>K</w:t>
      </w:r>
      <w:r w:rsidRPr="00A655A1">
        <w:t>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87"/>
        <w:gridCol w:w="3595"/>
        <w:gridCol w:w="3798"/>
      </w:tblGrid>
      <w:tr w:rsidR="00957464" w:rsidRPr="00A655A1" w:rsidTr="00AE6044">
        <w:trPr>
          <w:cantSplit/>
          <w:tblHeader/>
        </w:trPr>
        <w:tc>
          <w:tcPr>
            <w:tcW w:w="1787" w:type="dxa"/>
            <w:vAlign w:val="center"/>
          </w:tcPr>
          <w:p w:rsidR="00957464" w:rsidRPr="00A655A1" w:rsidRDefault="00957464" w:rsidP="00957464">
            <w:pPr>
              <w:widowControl w:val="0"/>
              <w:jc w:val="center"/>
              <w:rPr>
                <w:rFonts w:ascii="Arial Narrow" w:eastAsiaTheme="majorEastAsia" w:hAnsi="Arial Narrow" w:cs="Times New Roman"/>
                <w:b/>
                <w:sz w:val="20"/>
                <w:szCs w:val="20"/>
              </w:rPr>
            </w:pPr>
            <w:r w:rsidRPr="00A655A1">
              <w:rPr>
                <w:rFonts w:ascii="Arial Narrow" w:eastAsiaTheme="majorEastAsia" w:hAnsi="Arial Narrow" w:cs="Times New Roman"/>
                <w:b/>
                <w:sz w:val="20"/>
                <w:szCs w:val="20"/>
              </w:rPr>
              <w:t>Parameter</w:t>
            </w:r>
          </w:p>
        </w:tc>
        <w:tc>
          <w:tcPr>
            <w:tcW w:w="3595" w:type="dxa"/>
            <w:vAlign w:val="center"/>
          </w:tcPr>
          <w:p w:rsidR="00957464" w:rsidRPr="00A655A1" w:rsidRDefault="00957464" w:rsidP="00957464">
            <w:pPr>
              <w:widowControl w:val="0"/>
              <w:jc w:val="center"/>
              <w:rPr>
                <w:rFonts w:ascii="Arial Narrow" w:eastAsiaTheme="majorEastAsia" w:hAnsi="Arial Narrow" w:cs="Times New Roman"/>
                <w:b/>
                <w:sz w:val="20"/>
                <w:szCs w:val="20"/>
              </w:rPr>
            </w:pPr>
            <w:r w:rsidRPr="00A655A1">
              <w:rPr>
                <w:rFonts w:ascii="Arial Narrow" w:eastAsiaTheme="majorEastAsia" w:hAnsi="Arial Narrow" w:cs="Times New Roman"/>
                <w:b/>
                <w:sz w:val="20"/>
                <w:szCs w:val="20"/>
              </w:rPr>
              <w:t xml:space="preserve">Value applied and source </w:t>
            </w:r>
          </w:p>
        </w:tc>
        <w:tc>
          <w:tcPr>
            <w:tcW w:w="3798" w:type="dxa"/>
            <w:vAlign w:val="center"/>
          </w:tcPr>
          <w:p w:rsidR="00957464" w:rsidRPr="00A655A1" w:rsidRDefault="00957464" w:rsidP="00957464">
            <w:pPr>
              <w:widowControl w:val="0"/>
              <w:jc w:val="center"/>
              <w:rPr>
                <w:rFonts w:ascii="Arial Narrow" w:eastAsiaTheme="majorEastAsia" w:hAnsi="Arial Narrow" w:cs="Times New Roman"/>
                <w:b/>
                <w:sz w:val="20"/>
                <w:szCs w:val="20"/>
              </w:rPr>
            </w:pPr>
            <w:r w:rsidRPr="00A655A1">
              <w:rPr>
                <w:rFonts w:ascii="Arial Narrow" w:eastAsiaTheme="majorEastAsia" w:hAnsi="Arial Narrow" w:cs="Times New Roman"/>
                <w:b/>
                <w:sz w:val="20"/>
                <w:szCs w:val="20"/>
              </w:rPr>
              <w:t>Comment</w:t>
            </w:r>
          </w:p>
        </w:tc>
      </w:tr>
      <w:tr w:rsidR="00957464" w:rsidRPr="00A655A1" w:rsidTr="00AE6044">
        <w:trPr>
          <w:cantSplit/>
        </w:trPr>
        <w:tc>
          <w:tcPr>
            <w:tcW w:w="9180" w:type="dxa"/>
            <w:gridSpan w:val="3"/>
            <w:vAlign w:val="center"/>
          </w:tcPr>
          <w:p w:rsidR="00957464" w:rsidRPr="00A655A1" w:rsidRDefault="00957464" w:rsidP="00957464">
            <w:pPr>
              <w:widowControl w:val="0"/>
              <w:jc w:val="left"/>
              <w:rPr>
                <w:rFonts w:ascii="Arial Narrow" w:eastAsiaTheme="majorEastAsia" w:hAnsi="Arial Narrow" w:cs="Times New Roman"/>
                <w:b/>
                <w:sz w:val="20"/>
                <w:szCs w:val="20"/>
              </w:rPr>
            </w:pPr>
            <w:r w:rsidRPr="00A655A1">
              <w:rPr>
                <w:rFonts w:ascii="Arial Narrow" w:eastAsiaTheme="majorEastAsia" w:hAnsi="Arial Narrow" w:cs="Times New Roman"/>
                <w:b/>
                <w:sz w:val="20"/>
                <w:szCs w:val="20"/>
              </w:rPr>
              <w:t xml:space="preserve">Eligible Population </w:t>
            </w:r>
          </w:p>
        </w:tc>
      </w:tr>
      <w:tr w:rsidR="00957464" w:rsidRPr="00A655A1" w:rsidTr="00AE6044">
        <w:trPr>
          <w:cantSplit/>
        </w:trPr>
        <w:tc>
          <w:tcPr>
            <w:tcW w:w="1787"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 xml:space="preserve">Prevalence of MM </w:t>
            </w:r>
          </w:p>
        </w:tc>
        <w:tc>
          <w:tcPr>
            <w:tcW w:w="3595"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Year 1: 6,295 to Year 6: 6,791 (AIHW, 2017)</w:t>
            </w:r>
          </w:p>
        </w:tc>
        <w:tc>
          <w:tcPr>
            <w:tcW w:w="3798"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iCs/>
                <w:sz w:val="20"/>
                <w:szCs w:val="20"/>
                <w:lang w:bidi="th-TH"/>
              </w:rPr>
            </w:pPr>
            <w:r w:rsidRPr="00A655A1">
              <w:rPr>
                <w:rFonts w:ascii="Arial Narrow" w:eastAsiaTheme="majorEastAsia" w:hAnsi="Arial Narrow" w:cs="Angsana New"/>
                <w:bCs/>
                <w:iCs/>
                <w:sz w:val="20"/>
                <w:szCs w:val="20"/>
                <w:lang w:bidi="th-TH"/>
              </w:rPr>
              <w:t xml:space="preserve">Prevalent patients could also be forecasted based on actual counts of patients supplied PBS listed MM medications. </w:t>
            </w:r>
          </w:p>
        </w:tc>
      </w:tr>
      <w:tr w:rsidR="00957464" w:rsidRPr="00A655A1" w:rsidTr="00AE6044">
        <w:trPr>
          <w:cantSplit/>
        </w:trPr>
        <w:tc>
          <w:tcPr>
            <w:tcW w:w="1787"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 xml:space="preserve">Prevalent of MM in second or third treatment </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 total patients eligible for selinexor)</w:t>
            </w:r>
          </w:p>
        </w:tc>
        <w:tc>
          <w:tcPr>
            <w:tcW w:w="3595" w:type="dxa"/>
            <w:shd w:val="clear" w:color="auto" w:fill="auto"/>
            <w:vAlign w:val="center"/>
          </w:tcPr>
          <w:p w:rsidR="00957464" w:rsidRPr="00B50C75" w:rsidRDefault="00957464" w:rsidP="00957464">
            <w:pPr>
              <w:widowControl w:val="0"/>
              <w:spacing w:after="80"/>
              <w:jc w:val="left"/>
              <w:rPr>
                <w:rFonts w:ascii="Arial Narrow" w:eastAsiaTheme="majorEastAsia" w:hAnsi="Arial Narrow" w:cs="Angsana New"/>
                <w:bCs/>
                <w:sz w:val="20"/>
                <w:szCs w:val="20"/>
                <w:vertAlign w:val="superscript"/>
                <w:lang w:bidi="th-TH"/>
              </w:rPr>
            </w:pPr>
            <w:r w:rsidRPr="00A655A1">
              <w:rPr>
                <w:rFonts w:ascii="Arial Narrow" w:eastAsiaTheme="majorEastAsia" w:hAnsi="Arial Narrow" w:cs="Angsana New"/>
                <w:bCs/>
                <w:sz w:val="20"/>
                <w:szCs w:val="20"/>
                <w:lang w:bidi="th-TH"/>
              </w:rPr>
              <w:t>Year 1: 3,763 to Year 6: 4,059</w:t>
            </w:r>
          </w:p>
          <w:p w:rsidR="00957464" w:rsidRPr="00A655A1" w:rsidRDefault="00957464" w:rsidP="00957464">
            <w:pPr>
              <w:widowControl w:val="0"/>
              <w:jc w:val="left"/>
              <w:rPr>
                <w:rFonts w:ascii="Arial Narrow" w:eastAsiaTheme="majorEastAsia" w:hAnsi="Arial Narrow" w:cs="Angsana New"/>
                <w:bCs/>
                <w:i/>
                <w:iCs/>
                <w:sz w:val="20"/>
                <w:szCs w:val="20"/>
                <w:lang w:bidi="th-TH"/>
              </w:rPr>
            </w:pPr>
            <w:r w:rsidRPr="00A655A1">
              <w:rPr>
                <w:rFonts w:ascii="Arial Narrow" w:eastAsiaTheme="majorEastAsia" w:hAnsi="Arial Narrow" w:cs="Angsana New"/>
                <w:bCs/>
                <w:sz w:val="20"/>
                <w:szCs w:val="20"/>
                <w:lang w:bidi="th-TH"/>
              </w:rPr>
              <w:t xml:space="preserve">Submission calculated the proportion of patient receiving active treatment based on the PBS 10% dataset and adjusted for an increase in TTNT based on the availability of DBd. </w:t>
            </w:r>
          </w:p>
        </w:tc>
        <w:tc>
          <w:tcPr>
            <w:tcW w:w="3798"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iCs/>
                <w:sz w:val="20"/>
                <w:szCs w:val="20"/>
                <w:lang w:bidi="th-TH"/>
              </w:rPr>
            </w:pPr>
            <w:r w:rsidRPr="00A655A1">
              <w:rPr>
                <w:rFonts w:ascii="Arial Narrow" w:eastAsiaTheme="majorEastAsia" w:hAnsi="Arial Narrow" w:cs="Angsana New"/>
                <w:bCs/>
                <w:iCs/>
                <w:sz w:val="20"/>
                <w:szCs w:val="20"/>
                <w:lang w:bidi="th-TH"/>
              </w:rPr>
              <w:t xml:space="preserve">The calculation of estimated patients receiving active treatment was reasonable. However, adjustment for prolonged TTNT with DBd appeared to be speculatory. </w:t>
            </w:r>
          </w:p>
        </w:tc>
      </w:tr>
      <w:tr w:rsidR="00957464" w:rsidRPr="00A655A1" w:rsidTr="00AE6044">
        <w:trPr>
          <w:cantSplit/>
        </w:trPr>
        <w:tc>
          <w:tcPr>
            <w:tcW w:w="1787"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Total patients</w:t>
            </w:r>
          </w:p>
        </w:tc>
        <w:tc>
          <w:tcPr>
            <w:tcW w:w="3595"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 xml:space="preserve">Year 1: </w:t>
            </w:r>
            <w:r w:rsidR="007004AE">
              <w:rPr>
                <w:rFonts w:ascii="Arial Narrow" w:eastAsiaTheme="majorEastAsia" w:hAnsi="Arial Narrow" w:cs="Angsana New"/>
                <w:bCs/>
                <w:noProof/>
                <w:color w:val="000000"/>
                <w:sz w:val="20"/>
                <w:szCs w:val="20"/>
                <w:highlight w:val="black"/>
                <w:lang w:bidi="th-TH"/>
              </w:rPr>
              <w:t>''''''''''</w:t>
            </w:r>
            <w:r w:rsidRPr="00A655A1">
              <w:rPr>
                <w:rFonts w:ascii="Arial Narrow" w:eastAsiaTheme="majorEastAsia" w:hAnsi="Arial Narrow" w:cs="Angsana New"/>
                <w:bCs/>
                <w:sz w:val="20"/>
                <w:szCs w:val="20"/>
                <w:lang w:bidi="th-TH"/>
              </w:rPr>
              <w:t xml:space="preserve"> </w:t>
            </w:r>
            <w:r w:rsidRPr="00A655A1">
              <w:rPr>
                <w:rFonts w:ascii="Arial Narrow" w:eastAsiaTheme="majorEastAsia" w:hAnsi="Arial Narrow" w:cs="Angsana New"/>
                <w:bCs/>
                <w:sz w:val="20"/>
                <w:szCs w:val="20"/>
                <w:vertAlign w:val="superscript"/>
                <w:lang w:bidi="th-TH"/>
              </w:rPr>
              <w:t>a</w:t>
            </w:r>
            <w:r w:rsidR="00B50C75">
              <w:rPr>
                <w:rFonts w:ascii="Arial Narrow" w:eastAsiaTheme="majorEastAsia" w:hAnsi="Arial Narrow" w:cs="Angsana New"/>
                <w:bCs/>
                <w:sz w:val="20"/>
                <w:szCs w:val="20"/>
                <w:vertAlign w:val="superscript"/>
                <w:lang w:bidi="th-TH"/>
              </w:rPr>
              <w:t>,1</w:t>
            </w:r>
            <w:r w:rsidRPr="00A655A1">
              <w:rPr>
                <w:rFonts w:ascii="Arial Narrow" w:eastAsiaTheme="majorEastAsia" w:hAnsi="Arial Narrow" w:cs="Angsana New"/>
                <w:bCs/>
                <w:sz w:val="20"/>
                <w:szCs w:val="20"/>
                <w:vertAlign w:val="superscript"/>
                <w:lang w:bidi="th-TH"/>
              </w:rPr>
              <w:t xml:space="preserve"> </w:t>
            </w:r>
            <w:r w:rsidRPr="00A655A1">
              <w:rPr>
                <w:rFonts w:ascii="Arial Narrow" w:eastAsiaTheme="majorEastAsia" w:hAnsi="Arial Narrow" w:cs="Angsana New"/>
                <w:bCs/>
                <w:sz w:val="20"/>
                <w:szCs w:val="20"/>
                <w:lang w:bidi="th-TH"/>
              </w:rPr>
              <w:t xml:space="preserve">to Year 6: </w:t>
            </w:r>
            <w:r w:rsidR="007004AE">
              <w:rPr>
                <w:rFonts w:ascii="Arial Narrow" w:eastAsiaTheme="majorEastAsia" w:hAnsi="Arial Narrow" w:cs="Angsana New"/>
                <w:bCs/>
                <w:noProof/>
                <w:color w:val="000000"/>
                <w:sz w:val="20"/>
                <w:szCs w:val="20"/>
                <w:highlight w:val="black"/>
                <w:lang w:bidi="th-TH"/>
              </w:rPr>
              <w:t>'''''''''</w:t>
            </w:r>
            <w:r w:rsidR="00B50C75">
              <w:rPr>
                <w:rFonts w:ascii="Arial Narrow" w:eastAsiaTheme="majorEastAsia" w:hAnsi="Arial Narrow" w:cs="Angsana New"/>
                <w:bCs/>
                <w:sz w:val="20"/>
                <w:szCs w:val="20"/>
                <w:vertAlign w:val="superscript"/>
                <w:lang w:bidi="th-TH"/>
              </w:rPr>
              <w:t>2</w:t>
            </w:r>
          </w:p>
        </w:tc>
        <w:tc>
          <w:tcPr>
            <w:tcW w:w="3798"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iCs/>
                <w:sz w:val="20"/>
                <w:szCs w:val="20"/>
                <w:lang w:bidi="th-TH"/>
              </w:rPr>
            </w:pPr>
            <w:r w:rsidRPr="00A655A1">
              <w:rPr>
                <w:rFonts w:ascii="Arial Narrow" w:eastAsiaTheme="majorEastAsia" w:hAnsi="Arial Narrow" w:cs="Angsana New"/>
                <w:bCs/>
                <w:iCs/>
                <w:sz w:val="20"/>
                <w:szCs w:val="20"/>
                <w:lang w:bidi="th-TH"/>
              </w:rPr>
              <w:t xml:space="preserve">The submission anticipated SBd would replace rather than displace comparators. Replacement rates were not well justified. </w:t>
            </w:r>
          </w:p>
        </w:tc>
      </w:tr>
      <w:tr w:rsidR="00957464" w:rsidRPr="00A655A1" w:rsidTr="00AE6044">
        <w:trPr>
          <w:cantSplit/>
        </w:trPr>
        <w:tc>
          <w:tcPr>
            <w:tcW w:w="9180" w:type="dxa"/>
            <w:gridSpan w:val="3"/>
            <w:vAlign w:val="center"/>
          </w:tcPr>
          <w:p w:rsidR="00957464" w:rsidRPr="00A655A1" w:rsidRDefault="00957464" w:rsidP="00957464">
            <w:pPr>
              <w:widowControl w:val="0"/>
              <w:jc w:val="left"/>
              <w:rPr>
                <w:rFonts w:ascii="Arial Narrow" w:eastAsiaTheme="majorEastAsia" w:hAnsi="Arial Narrow" w:cs="Angsana New"/>
                <w:b/>
                <w:bCs/>
                <w:sz w:val="20"/>
                <w:szCs w:val="20"/>
                <w:lang w:bidi="th-TH"/>
              </w:rPr>
            </w:pPr>
            <w:r w:rsidRPr="00A655A1">
              <w:rPr>
                <w:rFonts w:ascii="Arial Narrow" w:eastAsiaTheme="majorEastAsia" w:hAnsi="Arial Narrow" w:cs="Angsana New"/>
                <w:b/>
                <w:bCs/>
                <w:sz w:val="20"/>
                <w:szCs w:val="20"/>
                <w:lang w:bidi="th-TH"/>
              </w:rPr>
              <w:t>Treatment utilisation</w:t>
            </w:r>
          </w:p>
        </w:tc>
      </w:tr>
      <w:tr w:rsidR="00957464" w:rsidRPr="00A655A1" w:rsidTr="00AE6044">
        <w:trPr>
          <w:cantSplit/>
        </w:trPr>
        <w:tc>
          <w:tcPr>
            <w:tcW w:w="1787"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 xml:space="preserve">Uptake rate </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(second and third line)</w:t>
            </w:r>
          </w:p>
        </w:tc>
        <w:tc>
          <w:tcPr>
            <w:tcW w:w="3595"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 xml:space="preserve">Year 1: </w:t>
            </w:r>
            <w:r w:rsidR="007004AE">
              <w:rPr>
                <w:rFonts w:ascii="Arial Narrow" w:eastAsiaTheme="majorEastAsia" w:hAnsi="Arial Narrow" w:cs="Angsana New"/>
                <w:bCs/>
                <w:noProof/>
                <w:color w:val="000000"/>
                <w:sz w:val="20"/>
                <w:szCs w:val="20"/>
                <w:highlight w:val="black"/>
                <w:lang w:bidi="th-TH"/>
              </w:rPr>
              <w:t>''''''</w:t>
            </w:r>
            <w:r w:rsidRPr="00A655A1">
              <w:rPr>
                <w:rFonts w:ascii="Arial Narrow" w:eastAsiaTheme="majorEastAsia" w:hAnsi="Arial Narrow" w:cs="Angsana New"/>
                <w:bCs/>
                <w:sz w:val="20"/>
                <w:szCs w:val="20"/>
                <w:lang w:bidi="th-TH"/>
              </w:rPr>
              <w:t xml:space="preserve">% to Year 6: </w:t>
            </w:r>
            <w:r w:rsidR="007004AE">
              <w:rPr>
                <w:rFonts w:ascii="Arial Narrow" w:eastAsiaTheme="majorEastAsia" w:hAnsi="Arial Narrow" w:cs="Angsana New"/>
                <w:bCs/>
                <w:noProof/>
                <w:color w:val="000000"/>
                <w:sz w:val="20"/>
                <w:szCs w:val="20"/>
                <w:highlight w:val="black"/>
                <w:lang w:bidi="th-TH"/>
              </w:rPr>
              <w:t>''''''</w:t>
            </w:r>
            <w:r w:rsidRPr="00A655A1">
              <w:rPr>
                <w:rFonts w:ascii="Arial Narrow" w:eastAsiaTheme="majorEastAsia" w:hAnsi="Arial Narrow" w:cs="Angsana New"/>
                <w:bCs/>
                <w:sz w:val="20"/>
                <w:szCs w:val="20"/>
                <w:lang w:bidi="th-TH"/>
              </w:rPr>
              <w:t>%</w:t>
            </w:r>
          </w:p>
        </w:tc>
        <w:tc>
          <w:tcPr>
            <w:tcW w:w="3798" w:type="dxa"/>
            <w:shd w:val="clear" w:color="auto" w:fill="auto"/>
            <w:vAlign w:val="center"/>
          </w:tcPr>
          <w:p w:rsidR="00957464" w:rsidRPr="00A655A1" w:rsidRDefault="009F02A6" w:rsidP="00957464">
            <w:pPr>
              <w:widowControl w:val="0"/>
              <w:jc w:val="left"/>
              <w:rPr>
                <w:rFonts w:ascii="Arial Narrow" w:eastAsiaTheme="majorEastAsia" w:hAnsi="Arial Narrow" w:cs="Angsana New"/>
                <w:bCs/>
                <w:iCs/>
                <w:sz w:val="20"/>
                <w:szCs w:val="20"/>
                <w:lang w:bidi="th-TH"/>
              </w:rPr>
            </w:pPr>
            <w:r w:rsidRPr="00A655A1">
              <w:rPr>
                <w:rFonts w:ascii="Arial Narrow" w:eastAsiaTheme="majorEastAsia" w:hAnsi="Arial Narrow" w:cs="Angsana New"/>
                <w:bCs/>
                <w:iCs/>
                <w:sz w:val="20"/>
                <w:szCs w:val="20"/>
                <w:lang w:bidi="th-TH"/>
              </w:rPr>
              <w:t>DUSC considered that the uptake rates were high given the toxicity and uncertain efficacy associated with SBd.</w:t>
            </w:r>
            <w:r w:rsidR="004C4845" w:rsidRPr="00A655A1">
              <w:rPr>
                <w:rFonts w:ascii="Arial Narrow" w:eastAsiaTheme="majorEastAsia" w:hAnsi="Arial Narrow" w:cs="Angsana New"/>
                <w:bCs/>
                <w:iCs/>
                <w:sz w:val="20"/>
                <w:szCs w:val="20"/>
                <w:lang w:bidi="th-TH"/>
              </w:rPr>
              <w:t xml:space="preserve"> In addition, DUSC noted that there were uncertainties between the uptake rates and those electing treatment, both of which were unjustified and unverifiable. </w:t>
            </w:r>
          </w:p>
        </w:tc>
      </w:tr>
      <w:tr w:rsidR="00957464" w:rsidRPr="00A655A1" w:rsidTr="00AE6044">
        <w:trPr>
          <w:cantSplit/>
        </w:trPr>
        <w:tc>
          <w:tcPr>
            <w:tcW w:w="1787"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Treatment duration (months)</w:t>
            </w:r>
          </w:p>
        </w:tc>
        <w:tc>
          <w:tcPr>
            <w:tcW w:w="3595"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12.83 months SBd</w:t>
            </w:r>
          </w:p>
          <w:p w:rsidR="00957464" w:rsidRPr="00A655A1" w:rsidRDefault="00957464" w:rsidP="00957464">
            <w:pPr>
              <w:widowControl w:val="0"/>
              <w:spacing w:after="8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14.37 months Bd</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Based on the economic model in Section 3</w:t>
            </w:r>
          </w:p>
        </w:tc>
        <w:tc>
          <w:tcPr>
            <w:tcW w:w="3798"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iCs/>
                <w:sz w:val="20"/>
                <w:szCs w:val="20"/>
                <w:lang w:bidi="th-TH"/>
              </w:rPr>
            </w:pPr>
            <w:r w:rsidRPr="00A655A1">
              <w:rPr>
                <w:rFonts w:ascii="Arial Narrow" w:eastAsiaTheme="majorEastAsia" w:hAnsi="Arial Narrow" w:cs="Angsana New"/>
                <w:bCs/>
                <w:iCs/>
                <w:sz w:val="20"/>
                <w:szCs w:val="20"/>
                <w:lang w:bidi="th-TH"/>
              </w:rPr>
              <w:t xml:space="preserve">The value for SBd used in the financial estimates was 12.73 months which is consistent with the evaluator’s calculation. </w:t>
            </w:r>
          </w:p>
          <w:p w:rsidR="00957464" w:rsidRPr="00A655A1" w:rsidRDefault="00957464" w:rsidP="00957464">
            <w:pPr>
              <w:widowControl w:val="0"/>
              <w:jc w:val="left"/>
              <w:rPr>
                <w:rFonts w:ascii="Arial Narrow" w:eastAsiaTheme="majorEastAsia" w:hAnsi="Arial Narrow" w:cs="Angsana New"/>
                <w:bCs/>
                <w:iCs/>
                <w:sz w:val="20"/>
                <w:szCs w:val="20"/>
                <w:lang w:bidi="th-TH"/>
              </w:rPr>
            </w:pPr>
            <w:r w:rsidRPr="00A655A1">
              <w:rPr>
                <w:rFonts w:ascii="Arial Narrow" w:eastAsiaTheme="majorEastAsia" w:hAnsi="Arial Narrow" w:cs="Angsana New"/>
                <w:bCs/>
                <w:iCs/>
                <w:sz w:val="20"/>
                <w:szCs w:val="20"/>
                <w:lang w:bidi="th-TH"/>
              </w:rPr>
              <w:t xml:space="preserve">The duration of treatment for SBd &lt; Bd which favoured SBd with respect to the cost-offsets </w:t>
            </w:r>
            <w:r w:rsidR="000D3609" w:rsidRPr="00A655A1">
              <w:rPr>
                <w:rFonts w:ascii="Arial Narrow" w:eastAsiaTheme="majorEastAsia" w:hAnsi="Arial Narrow" w:cs="Angsana New"/>
                <w:bCs/>
                <w:iCs/>
                <w:sz w:val="20"/>
                <w:szCs w:val="20"/>
                <w:lang w:bidi="th-TH"/>
              </w:rPr>
              <w:t xml:space="preserve">The DUSC considered that treatment duration for SBd be based on treatment exposure from the BOSTON trial. </w:t>
            </w:r>
          </w:p>
        </w:tc>
      </w:tr>
      <w:tr w:rsidR="00957464" w:rsidRPr="00A655A1" w:rsidTr="00AE6044">
        <w:trPr>
          <w:cantSplit/>
        </w:trPr>
        <w:tc>
          <w:tcPr>
            <w:tcW w:w="1787"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Scripts dispensed</w:t>
            </w:r>
          </w:p>
        </w:tc>
        <w:tc>
          <w:tcPr>
            <w:tcW w:w="3595"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 xml:space="preserve">Year 1: </w:t>
            </w:r>
            <w:r w:rsidR="007004AE">
              <w:rPr>
                <w:rFonts w:ascii="Arial Narrow" w:eastAsiaTheme="majorEastAsia" w:hAnsi="Arial Narrow" w:cs="Angsana New"/>
                <w:bCs/>
                <w:noProof/>
                <w:color w:val="000000"/>
                <w:sz w:val="20"/>
                <w:szCs w:val="20"/>
                <w:highlight w:val="black"/>
                <w:lang w:bidi="th-TH"/>
              </w:rPr>
              <w:t>''''''''''''</w:t>
            </w:r>
            <w:r w:rsidR="00B50C75">
              <w:rPr>
                <w:rFonts w:ascii="Arial Narrow" w:eastAsiaTheme="majorEastAsia" w:hAnsi="Arial Narrow" w:cs="Angsana New"/>
                <w:bCs/>
                <w:sz w:val="20"/>
                <w:szCs w:val="20"/>
                <w:vertAlign w:val="superscript"/>
                <w:lang w:bidi="th-TH"/>
              </w:rPr>
              <w:t>2</w:t>
            </w:r>
            <w:r w:rsidRPr="00A655A1">
              <w:rPr>
                <w:rFonts w:ascii="Arial Narrow" w:eastAsiaTheme="majorEastAsia" w:hAnsi="Arial Narrow" w:cs="Angsana New"/>
                <w:bCs/>
                <w:sz w:val="20"/>
                <w:szCs w:val="20"/>
                <w:lang w:bidi="th-TH"/>
              </w:rPr>
              <w:t xml:space="preserve"> to Year 6: </w:t>
            </w:r>
            <w:r w:rsidR="007004AE">
              <w:rPr>
                <w:rFonts w:ascii="Arial Narrow" w:eastAsiaTheme="majorEastAsia" w:hAnsi="Arial Narrow" w:cs="Angsana New"/>
                <w:bCs/>
                <w:noProof/>
                <w:color w:val="000000"/>
                <w:sz w:val="20"/>
                <w:szCs w:val="20"/>
                <w:highlight w:val="black"/>
                <w:lang w:bidi="th-TH"/>
              </w:rPr>
              <w:t>'''''''''''''</w:t>
            </w:r>
            <w:r w:rsidR="00B50C75">
              <w:rPr>
                <w:rFonts w:ascii="Arial Narrow" w:eastAsiaTheme="majorEastAsia" w:hAnsi="Arial Narrow" w:cs="Angsana New"/>
                <w:bCs/>
                <w:sz w:val="20"/>
                <w:szCs w:val="20"/>
                <w:vertAlign w:val="superscript"/>
                <w:lang w:bidi="th-TH"/>
              </w:rPr>
              <w:t>3</w:t>
            </w:r>
          </w:p>
        </w:tc>
        <w:tc>
          <w:tcPr>
            <w:tcW w:w="3798"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iCs/>
                <w:sz w:val="20"/>
                <w:szCs w:val="20"/>
                <w:lang w:bidi="th-TH"/>
              </w:rPr>
            </w:pPr>
            <w:r w:rsidRPr="00A655A1">
              <w:rPr>
                <w:rFonts w:ascii="Arial Narrow" w:eastAsiaTheme="majorEastAsia" w:hAnsi="Arial Narrow" w:cs="Angsana New"/>
                <w:bCs/>
                <w:iCs/>
                <w:sz w:val="20"/>
                <w:szCs w:val="20"/>
                <w:lang w:bidi="th-TH"/>
              </w:rPr>
              <w:t xml:space="preserve">The submission assumed a higher proportion of patients receiving the 16 – pack (51.57%) compared to the 20 – pack (48.43%) despite the 20 – pack being sufficient for 1 month supply. This was based on a relatively low (80%) dose intensity for selinexor in BOSTON. However, whether this is consistent in clinical practice is unknown. </w:t>
            </w:r>
          </w:p>
        </w:tc>
      </w:tr>
      <w:tr w:rsidR="00957464" w:rsidRPr="00A655A1" w:rsidTr="00AE6044">
        <w:trPr>
          <w:cantSplit/>
        </w:trPr>
        <w:tc>
          <w:tcPr>
            <w:tcW w:w="9180" w:type="dxa"/>
            <w:gridSpan w:val="3"/>
            <w:vAlign w:val="center"/>
          </w:tcPr>
          <w:p w:rsidR="00957464" w:rsidRPr="00A655A1" w:rsidRDefault="00957464" w:rsidP="00493A65">
            <w:pPr>
              <w:keepNext/>
              <w:widowControl w:val="0"/>
              <w:jc w:val="left"/>
              <w:rPr>
                <w:rFonts w:ascii="Arial Narrow" w:eastAsiaTheme="majorEastAsia" w:hAnsi="Arial Narrow" w:cs="Angsana New"/>
                <w:b/>
                <w:bCs/>
                <w:sz w:val="20"/>
                <w:szCs w:val="20"/>
                <w:lang w:bidi="th-TH"/>
              </w:rPr>
            </w:pPr>
            <w:r w:rsidRPr="00A655A1">
              <w:rPr>
                <w:rFonts w:ascii="Arial Narrow" w:eastAsiaTheme="majorEastAsia" w:hAnsi="Arial Narrow" w:cs="Angsana New"/>
                <w:b/>
                <w:bCs/>
                <w:sz w:val="20"/>
                <w:szCs w:val="20"/>
                <w:lang w:bidi="th-TH"/>
              </w:rPr>
              <w:t>Costs</w:t>
            </w:r>
          </w:p>
        </w:tc>
      </w:tr>
      <w:tr w:rsidR="00957464" w:rsidRPr="00A655A1" w:rsidTr="00AE6044">
        <w:trPr>
          <w:cantSplit/>
          <w:trHeight w:val="1114"/>
        </w:trPr>
        <w:tc>
          <w:tcPr>
            <w:tcW w:w="1787"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Proposed medicine</w:t>
            </w:r>
          </w:p>
        </w:tc>
        <w:tc>
          <w:tcPr>
            <w:tcW w:w="3595"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 xml:space="preserve">Published: </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20 x 20 mg: $</w:t>
            </w:r>
            <w:r w:rsidR="007004AE">
              <w:rPr>
                <w:rFonts w:ascii="Arial Narrow" w:eastAsiaTheme="majorEastAsia" w:hAnsi="Arial Narrow" w:cs="Angsana New"/>
                <w:bCs/>
                <w:noProof/>
                <w:color w:val="000000"/>
                <w:sz w:val="20"/>
                <w:szCs w:val="20"/>
                <w:highlight w:val="black"/>
                <w:lang w:bidi="th-TH"/>
              </w:rPr>
              <w:t>''''''''''''''''''''''</w:t>
            </w:r>
            <w:r w:rsidRPr="00A655A1">
              <w:rPr>
                <w:rFonts w:ascii="Arial Narrow" w:eastAsiaTheme="majorEastAsia" w:hAnsi="Arial Narrow" w:cs="Angsana New"/>
                <w:bCs/>
                <w:sz w:val="20"/>
                <w:szCs w:val="20"/>
                <w:lang w:bidi="th-TH"/>
              </w:rPr>
              <w:t>; 16 x 20 mg: $</w:t>
            </w:r>
            <w:r w:rsidR="007004AE">
              <w:rPr>
                <w:rFonts w:ascii="Arial Narrow" w:eastAsiaTheme="majorEastAsia" w:hAnsi="Arial Narrow" w:cs="Angsana New"/>
                <w:bCs/>
                <w:noProof/>
                <w:color w:val="000000"/>
                <w:sz w:val="20"/>
                <w:szCs w:val="20"/>
                <w:highlight w:val="black"/>
                <w:lang w:bidi="th-TH"/>
              </w:rPr>
              <w:t>''''''''''''''''''''''''</w:t>
            </w:r>
          </w:p>
          <w:p w:rsidR="00957464" w:rsidRPr="00A655A1" w:rsidRDefault="00957464" w:rsidP="00957464">
            <w:pPr>
              <w:widowControl w:val="0"/>
              <w:jc w:val="left"/>
              <w:rPr>
                <w:rFonts w:ascii="Arial Narrow" w:eastAsiaTheme="majorEastAsia" w:hAnsi="Arial Narrow" w:cs="Angsana New"/>
                <w:bCs/>
                <w:sz w:val="20"/>
                <w:szCs w:val="20"/>
                <w:vertAlign w:val="superscript"/>
                <w:lang w:bidi="th-TH"/>
              </w:rPr>
            </w:pPr>
            <w:r w:rsidRPr="00A655A1">
              <w:rPr>
                <w:rFonts w:ascii="Arial Narrow" w:eastAsiaTheme="majorEastAsia" w:hAnsi="Arial Narrow" w:cs="Angsana New"/>
                <w:bCs/>
                <w:sz w:val="20"/>
                <w:szCs w:val="20"/>
                <w:lang w:bidi="th-TH"/>
              </w:rPr>
              <w:t>Effective:</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20 x 20 mg: $</w:t>
            </w:r>
            <w:r w:rsidR="007004AE">
              <w:rPr>
                <w:rFonts w:ascii="Arial Narrow" w:eastAsiaTheme="majorEastAsia" w:hAnsi="Arial Narrow" w:cs="Angsana New"/>
                <w:bCs/>
                <w:noProof/>
                <w:color w:val="000000"/>
                <w:sz w:val="20"/>
                <w:szCs w:val="20"/>
                <w:highlight w:val="black"/>
                <w:lang w:bidi="th-TH"/>
              </w:rPr>
              <w:t>''''''''''''''''''''''</w:t>
            </w:r>
            <w:r w:rsidRPr="00A655A1">
              <w:rPr>
                <w:rFonts w:ascii="Arial Narrow" w:eastAsiaTheme="majorEastAsia" w:hAnsi="Arial Narrow" w:cs="Angsana New"/>
                <w:bCs/>
                <w:sz w:val="20"/>
                <w:szCs w:val="20"/>
                <w:lang w:bidi="th-TH"/>
              </w:rPr>
              <w:t>; 16 x 20 mg: $</w:t>
            </w:r>
            <w:r w:rsidR="007004AE">
              <w:rPr>
                <w:rFonts w:ascii="Arial Narrow" w:eastAsiaTheme="majorEastAsia" w:hAnsi="Arial Narrow" w:cs="Angsana New"/>
                <w:bCs/>
                <w:noProof/>
                <w:color w:val="000000"/>
                <w:sz w:val="20"/>
                <w:szCs w:val="20"/>
                <w:highlight w:val="black"/>
                <w:lang w:bidi="th-TH"/>
              </w:rPr>
              <w:t>'''''''''''''''''''''''</w:t>
            </w:r>
            <w:r w:rsidRPr="00A655A1">
              <w:rPr>
                <w:rFonts w:ascii="Arial Narrow" w:eastAsiaTheme="majorEastAsia" w:hAnsi="Arial Narrow" w:cs="Angsana New"/>
                <w:bCs/>
                <w:sz w:val="20"/>
                <w:szCs w:val="20"/>
                <w:lang w:bidi="th-TH"/>
              </w:rPr>
              <w:t xml:space="preserve"> </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 xml:space="preserve">Requested price, AEMP </w:t>
            </w:r>
          </w:p>
        </w:tc>
        <w:tc>
          <w:tcPr>
            <w:tcW w:w="3798" w:type="dxa"/>
            <w:shd w:val="clear" w:color="auto" w:fill="auto"/>
            <w:vAlign w:val="center"/>
          </w:tcPr>
          <w:p w:rsidR="00957464" w:rsidRPr="00A655A1" w:rsidRDefault="00957464" w:rsidP="00957464">
            <w:pPr>
              <w:pStyle w:val="TableFigureFooter"/>
              <w:jc w:val="left"/>
              <w:rPr>
                <w:iCs/>
                <w:sz w:val="20"/>
                <w:szCs w:val="20"/>
              </w:rPr>
            </w:pPr>
            <w:r w:rsidRPr="00A655A1">
              <w:rPr>
                <w:iCs/>
                <w:sz w:val="20"/>
                <w:szCs w:val="20"/>
              </w:rPr>
              <w:t>The effective AEMP prices proposed in Section 3 of the submission were slightly different: 20 x 20 mg tablets – $</w:t>
            </w:r>
            <w:r w:rsidR="007004AE">
              <w:rPr>
                <w:rFonts w:eastAsiaTheme="majorEastAsia" w:cs="Angsana New"/>
                <w:bCs/>
                <w:noProof/>
                <w:snapToGrid/>
                <w:color w:val="000000"/>
                <w:sz w:val="20"/>
                <w:szCs w:val="20"/>
                <w:highlight w:val="black"/>
                <w:lang w:bidi="th-TH"/>
              </w:rPr>
              <w:t>''''''''''''''''''''</w:t>
            </w:r>
            <w:r w:rsidRPr="00A655A1">
              <w:rPr>
                <w:iCs/>
                <w:sz w:val="20"/>
                <w:szCs w:val="20"/>
              </w:rPr>
              <w:t>;</w:t>
            </w:r>
          </w:p>
          <w:p w:rsidR="00957464" w:rsidRPr="00A655A1" w:rsidRDefault="00957464" w:rsidP="00957464">
            <w:pPr>
              <w:pStyle w:val="TableFigureFooter"/>
              <w:spacing w:after="0"/>
              <w:contextualSpacing w:val="0"/>
              <w:jc w:val="left"/>
              <w:rPr>
                <w:iCs/>
                <w:sz w:val="20"/>
                <w:szCs w:val="20"/>
              </w:rPr>
            </w:pPr>
            <w:r w:rsidRPr="00A655A1">
              <w:rPr>
                <w:iCs/>
                <w:sz w:val="20"/>
                <w:szCs w:val="20"/>
              </w:rPr>
              <w:t>16 x 20 mg tablets – $</w:t>
            </w:r>
            <w:r w:rsidR="007004AE">
              <w:rPr>
                <w:rFonts w:eastAsiaTheme="majorEastAsia" w:cs="Angsana New"/>
                <w:bCs/>
                <w:noProof/>
                <w:snapToGrid/>
                <w:color w:val="000000"/>
                <w:sz w:val="20"/>
                <w:szCs w:val="20"/>
                <w:highlight w:val="black"/>
                <w:lang w:bidi="th-TH"/>
              </w:rPr>
              <w:t>'''''''''''''''''''''</w:t>
            </w:r>
          </w:p>
        </w:tc>
      </w:tr>
      <w:tr w:rsidR="00957464" w:rsidRPr="00A655A1" w:rsidTr="00AE6044">
        <w:trPr>
          <w:cantSplit/>
        </w:trPr>
        <w:tc>
          <w:tcPr>
            <w:tcW w:w="1787"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Other medicine included in therapy</w:t>
            </w:r>
          </w:p>
        </w:tc>
        <w:tc>
          <w:tcPr>
            <w:tcW w:w="3595"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 xml:space="preserve">Bortezomib (1,3 and 3.5 mg) - Published: $806.89 </w:t>
            </w:r>
          </w:p>
          <w:p w:rsidR="00957464" w:rsidRPr="00A655A1" w:rsidRDefault="00957464" w:rsidP="00957464">
            <w:pPr>
              <w:widowControl w:val="0"/>
              <w:spacing w:after="8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Bortezomib 12219D, 12227M, AEMP</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Dexamethasone (4 mg) – Published: $4.84</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Dexamethasone 2507Y - AEMP</w:t>
            </w:r>
          </w:p>
        </w:tc>
        <w:tc>
          <w:tcPr>
            <w:tcW w:w="3798" w:type="dxa"/>
            <w:shd w:val="clear" w:color="auto" w:fill="auto"/>
            <w:vAlign w:val="center"/>
          </w:tcPr>
          <w:p w:rsidR="00957464" w:rsidRPr="00A655A1" w:rsidRDefault="00957464" w:rsidP="00957464">
            <w:pPr>
              <w:pStyle w:val="TableFigureFooter"/>
              <w:jc w:val="left"/>
              <w:rPr>
                <w:iCs/>
                <w:sz w:val="20"/>
                <w:szCs w:val="20"/>
              </w:rPr>
            </w:pPr>
            <w:r w:rsidRPr="00A655A1">
              <w:rPr>
                <w:iCs/>
                <w:sz w:val="20"/>
                <w:szCs w:val="20"/>
              </w:rPr>
              <w:t>Bd as part of SBd</w:t>
            </w:r>
          </w:p>
        </w:tc>
      </w:tr>
      <w:tr w:rsidR="00957464" w:rsidRPr="00A655A1" w:rsidTr="00AE6044">
        <w:trPr>
          <w:cantSplit/>
        </w:trPr>
        <w:tc>
          <w:tcPr>
            <w:tcW w:w="1787"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Comparator</w:t>
            </w:r>
          </w:p>
        </w:tc>
        <w:tc>
          <w:tcPr>
            <w:tcW w:w="3595"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Daratumumab (100 mg and 400 mg) - Published: $2,336.76 (multiple PBS item numbers) AEMP</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Carfilzomib (10, 30, 60 mg) - Published: $1,268.94 (PBS items 11230C, 12243J, 12243J, 12244K), AEMP</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Bortezomib (1,3 and 3.5 mg) - Published: $806.89</w:t>
            </w:r>
          </w:p>
          <w:p w:rsidR="00957464" w:rsidRPr="00A655A1" w:rsidRDefault="00957464" w:rsidP="00957464">
            <w:pPr>
              <w:widowControl w:val="0"/>
              <w:spacing w:after="8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(PBS items 12219D, 12227M), AEMP</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Dexamethasone (4 mg) - Published: $4.84</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(PBS item 2507Y), AEMP</w:t>
            </w:r>
          </w:p>
        </w:tc>
        <w:tc>
          <w:tcPr>
            <w:tcW w:w="3798" w:type="dxa"/>
            <w:shd w:val="clear" w:color="auto" w:fill="auto"/>
            <w:vAlign w:val="center"/>
          </w:tcPr>
          <w:p w:rsidR="00957464" w:rsidRPr="00A655A1" w:rsidRDefault="00957464" w:rsidP="00957464">
            <w:pPr>
              <w:pStyle w:val="TableFigureFooter"/>
              <w:jc w:val="left"/>
              <w:rPr>
                <w:iCs/>
                <w:sz w:val="20"/>
                <w:szCs w:val="20"/>
              </w:rPr>
            </w:pPr>
            <w:r w:rsidRPr="00A655A1">
              <w:rPr>
                <w:iCs/>
                <w:sz w:val="20"/>
                <w:szCs w:val="20"/>
              </w:rPr>
              <w:t xml:space="preserve">As part of comparators: </w:t>
            </w:r>
          </w:p>
          <w:p w:rsidR="00957464" w:rsidRPr="00A655A1" w:rsidRDefault="00957464" w:rsidP="00957464">
            <w:pPr>
              <w:pStyle w:val="TableFigureFooter"/>
              <w:spacing w:after="80"/>
              <w:contextualSpacing w:val="0"/>
              <w:jc w:val="left"/>
              <w:rPr>
                <w:iCs/>
                <w:sz w:val="20"/>
                <w:szCs w:val="20"/>
              </w:rPr>
            </w:pPr>
            <w:r w:rsidRPr="00A655A1">
              <w:rPr>
                <w:iCs/>
                <w:sz w:val="20"/>
                <w:szCs w:val="20"/>
              </w:rPr>
              <w:t xml:space="preserve">Bd – assumed replacement rate 70% Yr 1 up to 95% in Yr 6 (5% incremental increase per year), </w:t>
            </w:r>
          </w:p>
          <w:p w:rsidR="00957464" w:rsidRPr="00A655A1" w:rsidRDefault="00957464" w:rsidP="00957464">
            <w:pPr>
              <w:pStyle w:val="TableFigureFooter"/>
              <w:spacing w:after="80"/>
              <w:contextualSpacing w:val="0"/>
              <w:jc w:val="left"/>
              <w:rPr>
                <w:iCs/>
                <w:sz w:val="20"/>
                <w:szCs w:val="20"/>
              </w:rPr>
            </w:pPr>
            <w:r w:rsidRPr="00A655A1">
              <w:rPr>
                <w:iCs/>
                <w:sz w:val="20"/>
                <w:szCs w:val="20"/>
              </w:rPr>
              <w:t>Cd – assumed replacement rate 35% Yr 1 up to 60% Yr 6 (5% incremental increase per year)</w:t>
            </w:r>
          </w:p>
          <w:p w:rsidR="004C4845" w:rsidRPr="00A655A1" w:rsidRDefault="00957464" w:rsidP="00957464">
            <w:pPr>
              <w:pStyle w:val="TableFigureFooter"/>
              <w:spacing w:after="0"/>
              <w:contextualSpacing w:val="0"/>
              <w:jc w:val="left"/>
              <w:rPr>
                <w:iCs/>
                <w:sz w:val="20"/>
                <w:szCs w:val="20"/>
              </w:rPr>
            </w:pPr>
            <w:r w:rsidRPr="00A655A1">
              <w:rPr>
                <w:iCs/>
                <w:sz w:val="20"/>
                <w:szCs w:val="20"/>
              </w:rPr>
              <w:t>DBd – assumed replacement rate 5% Yr 1 up to 7.5% Yr 6 (0.5% incremental increase per year)</w:t>
            </w:r>
          </w:p>
        </w:tc>
      </w:tr>
      <w:tr w:rsidR="00957464" w:rsidRPr="00A655A1" w:rsidTr="00AE6044">
        <w:trPr>
          <w:cantSplit/>
        </w:trPr>
        <w:tc>
          <w:tcPr>
            <w:tcW w:w="1787"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AE Management (PBS)</w:t>
            </w:r>
          </w:p>
        </w:tc>
        <w:tc>
          <w:tcPr>
            <w:tcW w:w="3595"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Filgrastim (300 mcg) – Published: $154.80</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(PBS items 5742F, 6291D, 5742F, 6291D), AEMP</w:t>
            </w:r>
          </w:p>
        </w:tc>
        <w:tc>
          <w:tcPr>
            <w:tcW w:w="3798" w:type="dxa"/>
            <w:shd w:val="clear" w:color="auto" w:fill="auto"/>
            <w:vAlign w:val="center"/>
          </w:tcPr>
          <w:p w:rsidR="00957464" w:rsidRPr="00A655A1" w:rsidRDefault="00957464" w:rsidP="00957464">
            <w:pPr>
              <w:pStyle w:val="TableFigureFooter"/>
              <w:jc w:val="left"/>
              <w:rPr>
                <w:iCs/>
                <w:sz w:val="20"/>
                <w:szCs w:val="20"/>
              </w:rPr>
            </w:pPr>
            <w:r w:rsidRPr="00A655A1">
              <w:rPr>
                <w:iCs/>
                <w:sz w:val="20"/>
                <w:szCs w:val="20"/>
              </w:rPr>
              <w:t>Attributed to neutropenia</w:t>
            </w:r>
          </w:p>
        </w:tc>
      </w:tr>
      <w:tr w:rsidR="00957464" w:rsidRPr="00A655A1" w:rsidTr="00AE6044">
        <w:trPr>
          <w:cantSplit/>
        </w:trPr>
        <w:tc>
          <w:tcPr>
            <w:tcW w:w="1787"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AE Management (MBS)</w:t>
            </w:r>
          </w:p>
        </w:tc>
        <w:tc>
          <w:tcPr>
            <w:tcW w:w="3595" w:type="dxa"/>
            <w:shd w:val="clear" w:color="auto" w:fill="auto"/>
            <w:vAlign w:val="center"/>
          </w:tcPr>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$85.95 (MBS item 13706)</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$140.95 (MBS item 13750)</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$38.75 (MBS item 23)</w:t>
            </w:r>
          </w:p>
          <w:p w:rsidR="00957464" w:rsidRPr="00A655A1" w:rsidRDefault="00957464" w:rsidP="00957464">
            <w:pPr>
              <w:widowControl w:val="0"/>
              <w:jc w:val="left"/>
              <w:rPr>
                <w:rFonts w:ascii="Arial Narrow" w:eastAsiaTheme="majorEastAsia" w:hAnsi="Arial Narrow" w:cs="Angsana New"/>
                <w:bCs/>
                <w:sz w:val="20"/>
                <w:szCs w:val="20"/>
                <w:lang w:bidi="th-TH"/>
              </w:rPr>
            </w:pPr>
            <w:r w:rsidRPr="00A655A1">
              <w:rPr>
                <w:rFonts w:ascii="Arial Narrow" w:eastAsiaTheme="majorEastAsia" w:hAnsi="Arial Narrow" w:cs="Angsana New"/>
                <w:bCs/>
                <w:sz w:val="20"/>
                <w:szCs w:val="20"/>
                <w:lang w:bidi="th-TH"/>
              </w:rPr>
              <w:t>$613.30 (MBS item 42698)</w:t>
            </w:r>
          </w:p>
        </w:tc>
        <w:tc>
          <w:tcPr>
            <w:tcW w:w="3798" w:type="dxa"/>
            <w:shd w:val="clear" w:color="auto" w:fill="auto"/>
            <w:vAlign w:val="center"/>
          </w:tcPr>
          <w:p w:rsidR="00957464" w:rsidRPr="00A655A1" w:rsidRDefault="00957464" w:rsidP="00957464">
            <w:pPr>
              <w:pStyle w:val="TableFigureFooter"/>
              <w:jc w:val="left"/>
              <w:rPr>
                <w:iCs/>
                <w:sz w:val="20"/>
                <w:szCs w:val="20"/>
              </w:rPr>
            </w:pPr>
            <w:r w:rsidRPr="00A655A1">
              <w:rPr>
                <w:iCs/>
                <w:sz w:val="20"/>
                <w:szCs w:val="20"/>
              </w:rPr>
              <w:t xml:space="preserve">Attributed to the incremental AE resulting in the substitution of SBd with Bd or Cd </w:t>
            </w:r>
          </w:p>
        </w:tc>
      </w:tr>
    </w:tbl>
    <w:p w:rsidR="00957464" w:rsidRPr="00A655A1" w:rsidRDefault="00957464" w:rsidP="00957464">
      <w:pPr>
        <w:pStyle w:val="TableFigureFooter"/>
      </w:pPr>
      <w:r w:rsidRPr="00A655A1">
        <w:t xml:space="preserve">Source: Table 4-6, p200; 4-7 pp200-1; 4-8, p202; 4-9, p203; 4-10, p204 of the submission </w:t>
      </w:r>
    </w:p>
    <w:p w:rsidR="00957464" w:rsidRPr="00A655A1" w:rsidRDefault="00957464" w:rsidP="00957464">
      <w:pPr>
        <w:pStyle w:val="TableFigureFooter"/>
      </w:pPr>
      <w:r w:rsidRPr="00A655A1">
        <w:t xml:space="preserve">AE = adverse event; AEMP = approved ex-manufacturer price; AIHW = Australian Institute of health and welfare; Bd = bortezomib + dexamethasone; Cd = carfilzomib + dexamethasone; DBd = daratumumab + bortezomib + dexamethasone; MM = multiple myeloma; PBS = Pharmaceutical Benefits Schedule; </w:t>
      </w:r>
      <w:r w:rsidRPr="00A655A1">
        <w:rPr>
          <w:szCs w:val="18"/>
        </w:rPr>
        <w:t>RPBS = Repatriation Schedule of Pharmaceutical Benefits</w:t>
      </w:r>
      <w:r w:rsidRPr="00A655A1">
        <w:t>; SBd = selinexor + bortezomib + dexamethasone; TTNT = time to next treatment; Yr = year</w:t>
      </w:r>
    </w:p>
    <w:p w:rsidR="00957464" w:rsidRDefault="00865474" w:rsidP="00957464">
      <w:pPr>
        <w:pStyle w:val="TableFigureFooter"/>
        <w:rPr>
          <w:i/>
          <w:iCs/>
        </w:rPr>
      </w:pPr>
      <w:r w:rsidRPr="00A655A1">
        <w:t xml:space="preserve">a. </w:t>
      </w:r>
      <w:r w:rsidR="00957464" w:rsidRPr="00A655A1">
        <w:t xml:space="preserve">This number included </w:t>
      </w:r>
      <w:r w:rsidR="007004AE">
        <w:rPr>
          <w:noProof/>
          <w:color w:val="000000"/>
          <w:highlight w:val="black"/>
        </w:rPr>
        <w:t>''''''</w:t>
      </w:r>
      <w:r w:rsidR="00667777">
        <w:rPr>
          <w:rFonts w:cs="Calibri"/>
          <w:color w:val="000000"/>
          <w:szCs w:val="20"/>
          <w:vertAlign w:val="superscript"/>
        </w:rPr>
        <w:t>1</w:t>
      </w:r>
      <w:r w:rsidR="00957464" w:rsidRPr="00A655A1">
        <w:t xml:space="preserve"> Grandfathered Patients</w:t>
      </w:r>
      <w:r w:rsidR="00957464" w:rsidRPr="00A655A1">
        <w:rPr>
          <w:i/>
          <w:iCs/>
        </w:rPr>
        <w:t xml:space="preserve"> </w:t>
      </w:r>
    </w:p>
    <w:p w:rsidR="00B50C75" w:rsidRDefault="00B50C75" w:rsidP="00B50C75">
      <w:pPr>
        <w:pStyle w:val="TableFigureFooter"/>
        <w:spacing w:after="0"/>
        <w:contextualSpacing w:val="0"/>
        <w:rPr>
          <w:i/>
        </w:rPr>
      </w:pPr>
      <w:r w:rsidRPr="009868C4">
        <w:rPr>
          <w:i/>
        </w:rPr>
        <w:t>The redacted values correspond to the following ranges</w:t>
      </w:r>
      <w:r>
        <w:rPr>
          <w:i/>
        </w:rPr>
        <w:t xml:space="preserve">: </w:t>
      </w:r>
    </w:p>
    <w:p w:rsidR="00B50C75" w:rsidRDefault="00B50C75" w:rsidP="00B50C75">
      <w:pPr>
        <w:pStyle w:val="TableFigureFooter"/>
        <w:spacing w:after="0"/>
        <w:contextualSpacing w:val="0"/>
        <w:rPr>
          <w:i/>
        </w:rPr>
      </w:pPr>
      <w:r>
        <w:rPr>
          <w:i/>
          <w:vertAlign w:val="superscript"/>
        </w:rPr>
        <w:t>1</w:t>
      </w:r>
      <w:r>
        <w:rPr>
          <w:i/>
        </w:rPr>
        <w:t xml:space="preserve"> </w:t>
      </w:r>
      <w:r w:rsidRPr="00B50C75">
        <w:rPr>
          <w:i/>
        </w:rPr>
        <w:t>&lt; 500</w:t>
      </w:r>
    </w:p>
    <w:p w:rsidR="00B50C75" w:rsidRDefault="00B50C75" w:rsidP="00B50C75">
      <w:pPr>
        <w:pStyle w:val="TableFigureFooter"/>
        <w:spacing w:after="0"/>
        <w:contextualSpacing w:val="0"/>
        <w:rPr>
          <w:i/>
        </w:rPr>
      </w:pPr>
      <w:r>
        <w:rPr>
          <w:i/>
          <w:vertAlign w:val="superscript"/>
        </w:rPr>
        <w:t>2</w:t>
      </w:r>
      <w:r>
        <w:rPr>
          <w:i/>
        </w:rPr>
        <w:t xml:space="preserve"> </w:t>
      </w:r>
      <w:r w:rsidRPr="00B50C75">
        <w:rPr>
          <w:i/>
        </w:rPr>
        <w:t>500 to &lt; 5,000</w:t>
      </w:r>
    </w:p>
    <w:p w:rsidR="00B50C75" w:rsidRDefault="00B50C75" w:rsidP="00B50C75">
      <w:pPr>
        <w:pStyle w:val="TableFigureFooter"/>
        <w:spacing w:after="0"/>
        <w:contextualSpacing w:val="0"/>
        <w:rPr>
          <w:i/>
        </w:rPr>
      </w:pPr>
      <w:r>
        <w:rPr>
          <w:i/>
          <w:vertAlign w:val="superscript"/>
        </w:rPr>
        <w:t>3</w:t>
      </w:r>
      <w:r>
        <w:rPr>
          <w:i/>
        </w:rPr>
        <w:t xml:space="preserve"> </w:t>
      </w:r>
      <w:r w:rsidRPr="00B50C75">
        <w:rPr>
          <w:i/>
        </w:rPr>
        <w:t>5,000 to &lt; 10,000</w:t>
      </w:r>
    </w:p>
    <w:p w:rsidR="00B50C75" w:rsidRPr="00A655A1" w:rsidRDefault="00B50C75" w:rsidP="00957464">
      <w:pPr>
        <w:pStyle w:val="TableFigureFooter"/>
        <w:rPr>
          <w:i/>
          <w:iCs/>
        </w:rPr>
      </w:pPr>
    </w:p>
    <w:p w:rsidR="00957464" w:rsidRPr="00A655A1" w:rsidRDefault="00957464" w:rsidP="00957464">
      <w:pPr>
        <w:pStyle w:val="In-tableHeading"/>
        <w:rPr>
          <w:lang w:val="en-AU"/>
        </w:rPr>
      </w:pPr>
    </w:p>
    <w:p w:rsidR="00957464" w:rsidRPr="00A655A1" w:rsidRDefault="00957464" w:rsidP="00957464">
      <w:pPr>
        <w:pStyle w:val="3-BodyText"/>
        <w:rPr>
          <w:color w:val="0066FF"/>
        </w:rPr>
      </w:pPr>
      <w:r w:rsidRPr="00A655A1">
        <w:t xml:space="preserve">Following the listing of daratumumab on the PBS in </w:t>
      </w:r>
      <w:r w:rsidR="00D430F1">
        <w:t>January 2021</w:t>
      </w:r>
      <w:r w:rsidR="00525D81" w:rsidRPr="00A655A1">
        <w:t xml:space="preserve">for use as </w:t>
      </w:r>
      <w:r w:rsidRPr="00A655A1">
        <w:t>combination DBd in second line RRMM</w:t>
      </w:r>
      <w:r w:rsidR="00525D81" w:rsidRPr="00A655A1">
        <w:t>,</w:t>
      </w:r>
      <w:r w:rsidRPr="00A655A1">
        <w:t xml:space="preserve"> the submission expected that the current treatment algorithm would reflect increasing uptake and use of DBd in the second line setting compared to other currently available treatments.</w:t>
      </w:r>
      <w:r w:rsidRPr="00A655A1">
        <w:rPr>
          <w:iCs/>
        </w:rPr>
        <w:t xml:space="preserve"> </w:t>
      </w:r>
      <w:r w:rsidR="000219C2" w:rsidRPr="00A655A1">
        <w:rPr>
          <w:iCs/>
        </w:rPr>
        <w:t xml:space="preserve">Although this was consistent with expected use of DBd, the submission assumed that SBd would replace 5.0% of DBd in Year 1, increasing to 7.5% in Year 6. </w:t>
      </w:r>
      <w:r w:rsidRPr="00A655A1">
        <w:rPr>
          <w:iCs/>
        </w:rPr>
        <w:t xml:space="preserve">This </w:t>
      </w:r>
      <w:r w:rsidR="000219C2" w:rsidRPr="00A655A1">
        <w:rPr>
          <w:iCs/>
        </w:rPr>
        <w:t>wa</w:t>
      </w:r>
      <w:r w:rsidRPr="00A655A1">
        <w:rPr>
          <w:iCs/>
        </w:rPr>
        <w:t xml:space="preserve">s inconsistent with the information presented </w:t>
      </w:r>
      <w:r w:rsidR="00207B0A" w:rsidRPr="00A655A1">
        <w:rPr>
          <w:iCs/>
        </w:rPr>
        <w:t xml:space="preserve">in </w:t>
      </w:r>
      <w:r w:rsidRPr="00A655A1">
        <w:rPr>
          <w:iCs/>
        </w:rPr>
        <w:t xml:space="preserve">the submission </w:t>
      </w:r>
      <w:r w:rsidR="000219C2" w:rsidRPr="00A655A1">
        <w:rPr>
          <w:iCs/>
        </w:rPr>
        <w:t xml:space="preserve">as </w:t>
      </w:r>
      <w:r w:rsidRPr="00A655A1">
        <w:rPr>
          <w:iCs/>
        </w:rPr>
        <w:t xml:space="preserve">DBd was not nominated as a comparator, and </w:t>
      </w:r>
      <w:r w:rsidR="000219C2" w:rsidRPr="00A655A1">
        <w:rPr>
          <w:iCs/>
        </w:rPr>
        <w:t>no</w:t>
      </w:r>
      <w:r w:rsidRPr="00A655A1">
        <w:rPr>
          <w:iCs/>
        </w:rPr>
        <w:t xml:space="preserve"> comparative clinical or economic evidence for SBd compared with DBd </w:t>
      </w:r>
      <w:r w:rsidR="000219C2" w:rsidRPr="00A655A1">
        <w:rPr>
          <w:iCs/>
        </w:rPr>
        <w:t>was presented</w:t>
      </w:r>
      <w:r w:rsidRPr="00A655A1">
        <w:rPr>
          <w:iCs/>
        </w:rPr>
        <w:t>.</w:t>
      </w:r>
      <w:r w:rsidR="000219C2" w:rsidRPr="00A655A1">
        <w:rPr>
          <w:iCs/>
        </w:rPr>
        <w:t xml:space="preserve"> </w:t>
      </w:r>
      <w:r w:rsidR="009B4F92" w:rsidRPr="00A655A1">
        <w:rPr>
          <w:iCs/>
        </w:rPr>
        <w:t xml:space="preserve">The PSCR stated that SBd would replace DBd in older and frailer patients. Advice received by DUSC suggested that SBd would specifically be avoided in these populations due to adverse events associated with selinexor. </w:t>
      </w:r>
      <w:r w:rsidR="004C4845" w:rsidRPr="00A655A1">
        <w:rPr>
          <w:iCs/>
        </w:rPr>
        <w:t>As noted in paragraph 5.3, it was expected that SBd would most likely be used as a third or later</w:t>
      </w:r>
      <w:r w:rsidR="001F77D5" w:rsidRPr="00A655A1">
        <w:rPr>
          <w:iCs/>
        </w:rPr>
        <w:t xml:space="preserve"> </w:t>
      </w:r>
      <w:r w:rsidR="004C4845" w:rsidRPr="00A655A1">
        <w:rPr>
          <w:iCs/>
        </w:rPr>
        <w:t>line therapy.</w:t>
      </w:r>
    </w:p>
    <w:p w:rsidR="00957464" w:rsidRPr="00A655A1" w:rsidRDefault="00957464" w:rsidP="00957464">
      <w:pPr>
        <w:pStyle w:val="3-BodyText"/>
        <w:rPr>
          <w:color w:val="0066FF"/>
        </w:rPr>
      </w:pPr>
      <w:r w:rsidRPr="00A655A1">
        <w:rPr>
          <w:iCs/>
        </w:rPr>
        <w:t xml:space="preserve">Despite a 20 mg x 20-pack being sufficient for a month’s supply of selinexor (100 mg weekly) the submission estimated a lower proportion of patients (48.43%) would receive the 20-pack compared to the 16-pack. </w:t>
      </w:r>
      <w:r w:rsidRPr="00A655A1">
        <w:t xml:space="preserve">This was based on the 80% dose intensity of selinexor in BOSTON. </w:t>
      </w:r>
      <w:r w:rsidRPr="00A655A1">
        <w:rPr>
          <w:iCs/>
        </w:rPr>
        <w:t xml:space="preserve">However, the transferability of this relatively low dose intensity in clinical practice is unknown. Furthermore, </w:t>
      </w:r>
      <w:r w:rsidR="00525D81" w:rsidRPr="00A655A1">
        <w:rPr>
          <w:iCs/>
        </w:rPr>
        <w:t xml:space="preserve">DUSC considered </w:t>
      </w:r>
      <w:r w:rsidRPr="00A655A1">
        <w:rPr>
          <w:iCs/>
        </w:rPr>
        <w:t xml:space="preserve">it </w:t>
      </w:r>
      <w:r w:rsidR="00525D81" w:rsidRPr="00A655A1">
        <w:rPr>
          <w:iCs/>
        </w:rPr>
        <w:t>wa</w:t>
      </w:r>
      <w:r w:rsidRPr="00A655A1">
        <w:rPr>
          <w:iCs/>
        </w:rPr>
        <w:t xml:space="preserve">s unclear as to when a 16-pack would be prescribed over the 20-pack, given that the proposed restriction for the 16-pack and the 20-pack are the same, and at a dose intensity of 80%, the 20-pack would provide a full cycle’s requirement of selinexor. </w:t>
      </w:r>
    </w:p>
    <w:p w:rsidR="00957464" w:rsidRPr="00A655A1" w:rsidRDefault="00957464" w:rsidP="00957464">
      <w:pPr>
        <w:pStyle w:val="3-BodyText"/>
        <w:rPr>
          <w:color w:val="0066FF"/>
        </w:rPr>
      </w:pPr>
      <w:r w:rsidRPr="00A655A1">
        <w:t>The submission considered that the proportion of patients receiving active treatment for MM was 94.6%, and the proportion of patients on first, second</w:t>
      </w:r>
      <w:r w:rsidR="006D7925" w:rsidRPr="00A655A1">
        <w:t>-</w:t>
      </w:r>
      <w:r w:rsidRPr="00A655A1">
        <w:t xml:space="preserve"> and third</w:t>
      </w:r>
      <w:r w:rsidR="006D7925" w:rsidRPr="00A655A1">
        <w:t>-</w:t>
      </w:r>
      <w:r w:rsidRPr="00A655A1">
        <w:t>line therapy at any time was 36.82%, 31.96%, and 31.22% respectively.</w:t>
      </w:r>
      <w:r w:rsidRPr="00A655A1">
        <w:rPr>
          <w:i/>
          <w:iCs/>
        </w:rPr>
        <w:t xml:space="preserve"> </w:t>
      </w:r>
      <w:r w:rsidRPr="00A655A1">
        <w:rPr>
          <w:iCs/>
        </w:rPr>
        <w:t xml:space="preserve">The submission did not provide the PBS 10% dataset this was based on, for verification. </w:t>
      </w:r>
    </w:p>
    <w:p w:rsidR="00957464" w:rsidRPr="00A655A1" w:rsidRDefault="009B4F92" w:rsidP="00957464">
      <w:pPr>
        <w:pStyle w:val="3-BodyText"/>
        <w:rPr>
          <w:color w:val="0066FF"/>
        </w:rPr>
      </w:pPr>
      <w:r w:rsidRPr="00A655A1">
        <w:t>T</w:t>
      </w:r>
      <w:r w:rsidR="00957464" w:rsidRPr="00A655A1">
        <w:t>he submission estimated that the time to next treatment (TTNT) would be prolonged</w:t>
      </w:r>
      <w:r w:rsidRPr="00A655A1">
        <w:t xml:space="preserve"> due to the listing of DBd in the second</w:t>
      </w:r>
      <w:r w:rsidR="001F77D5" w:rsidRPr="00A655A1">
        <w:t xml:space="preserve"> </w:t>
      </w:r>
      <w:r w:rsidRPr="00A655A1">
        <w:t>line setting</w:t>
      </w:r>
      <w:r w:rsidR="00957464" w:rsidRPr="00A655A1">
        <w:t>, and the effect of treatment persistence was applied to patients who were estimated to receive DBd. The additional time had the effect of increasing the relative share of patients receiving second</w:t>
      </w:r>
      <w:r w:rsidR="001F77D5" w:rsidRPr="00A655A1">
        <w:t xml:space="preserve"> </w:t>
      </w:r>
      <w:r w:rsidR="00957464" w:rsidRPr="00A655A1">
        <w:t>line therapy compared to those receiving third</w:t>
      </w:r>
      <w:r w:rsidRPr="00A655A1">
        <w:t xml:space="preserve"> or later</w:t>
      </w:r>
      <w:r w:rsidR="001F77D5" w:rsidRPr="00A655A1">
        <w:t xml:space="preserve"> </w:t>
      </w:r>
      <w:r w:rsidRPr="00A655A1">
        <w:t>line</w:t>
      </w:r>
      <w:r w:rsidR="00957464" w:rsidRPr="00A655A1">
        <w:t xml:space="preserve"> therapy, which was estimated by the addition and subtraction of continuing DBd patients to the treated second and third</w:t>
      </w:r>
      <w:r w:rsidR="001F77D5" w:rsidRPr="00A655A1">
        <w:t xml:space="preserve"> </w:t>
      </w:r>
      <w:r w:rsidR="00957464" w:rsidRPr="00A655A1">
        <w:t xml:space="preserve">line MM populations in each subsequent year, respectively and vice-versa for discontinuing DBd patients. </w:t>
      </w:r>
      <w:r w:rsidR="00957464" w:rsidRPr="00A655A1">
        <w:rPr>
          <w:iCs/>
        </w:rPr>
        <w:t xml:space="preserve">The TTNT for DBd could not be verified during the evaluation. However, according to the reference provided by the submission the TTNT at median follow-up of 26.9 months was </w:t>
      </w:r>
      <w:r w:rsidR="00C2787E">
        <w:rPr>
          <w:iCs/>
        </w:rPr>
        <w:t>25.4 months for the DBd group (</w:t>
      </w:r>
      <w:r w:rsidR="00957464" w:rsidRPr="00A655A1">
        <w:rPr>
          <w:iCs/>
        </w:rPr>
        <w:t>Daratumumab in combination with bortezomib for treating RRMM ID974, NICE Single Technology Appraisal). Thus, a shorter TTNT is likely to decrease the adjustment (increased TTNT with DBd) in the second</w:t>
      </w:r>
      <w:r w:rsidR="001F77D5" w:rsidRPr="00A655A1">
        <w:rPr>
          <w:iCs/>
        </w:rPr>
        <w:t xml:space="preserve"> </w:t>
      </w:r>
      <w:r w:rsidR="00957464" w:rsidRPr="00A655A1">
        <w:rPr>
          <w:iCs/>
        </w:rPr>
        <w:t>line setting and increase the adjustment for third</w:t>
      </w:r>
      <w:r w:rsidR="001F77D5" w:rsidRPr="00A655A1">
        <w:rPr>
          <w:iCs/>
        </w:rPr>
        <w:t xml:space="preserve"> </w:t>
      </w:r>
      <w:r w:rsidR="00957464" w:rsidRPr="00A655A1">
        <w:rPr>
          <w:iCs/>
        </w:rPr>
        <w:t xml:space="preserve">line in Years 5 and 6. </w:t>
      </w:r>
      <w:r w:rsidR="00957464" w:rsidRPr="00A655A1">
        <w:rPr>
          <w:color w:val="0066FF"/>
        </w:rPr>
        <w:t xml:space="preserve"> </w:t>
      </w:r>
    </w:p>
    <w:p w:rsidR="00957464" w:rsidRPr="00A655A1" w:rsidRDefault="00957464" w:rsidP="00957464">
      <w:pPr>
        <w:numPr>
          <w:ilvl w:val="1"/>
          <w:numId w:val="1"/>
        </w:numPr>
        <w:spacing w:after="120"/>
        <w:rPr>
          <w:rFonts w:asciiTheme="minorHAnsi" w:hAnsiTheme="minorHAnsi"/>
          <w:color w:val="0066FF"/>
        </w:rPr>
      </w:pPr>
      <w:r w:rsidRPr="00A655A1">
        <w:rPr>
          <w:rFonts w:asciiTheme="minorHAnsi" w:hAnsiTheme="minorHAnsi"/>
        </w:rPr>
        <w:t>A summary of the estimated use and financial implications for the proposed listing of SBd for the treatment of RRMM on the PBS is presented in</w:t>
      </w:r>
      <w:r w:rsidR="00634E82">
        <w:rPr>
          <w:rFonts w:asciiTheme="minorHAnsi" w:hAnsiTheme="minorHAnsi"/>
        </w:rPr>
        <w:t xml:space="preserve"> Table 26</w:t>
      </w:r>
      <w:r w:rsidRPr="00A655A1">
        <w:rPr>
          <w:rFonts w:asciiTheme="minorHAnsi" w:hAnsiTheme="minorHAnsi"/>
        </w:rPr>
        <w:t>.</w:t>
      </w:r>
    </w:p>
    <w:p w:rsidR="00957464" w:rsidRPr="00A655A1" w:rsidRDefault="00957464" w:rsidP="00957464">
      <w:pPr>
        <w:pStyle w:val="TableFigureHeading"/>
      </w:pPr>
      <w:bookmarkStart w:id="53" w:name="_Ref69398623"/>
      <w:r w:rsidRPr="00A655A1">
        <w:t xml:space="preserve">Table </w:t>
      </w:r>
      <w:bookmarkEnd w:id="53"/>
      <w:r w:rsidRPr="00A655A1">
        <w:t xml:space="preserve">26: </w:t>
      </w:r>
      <w:r w:rsidRPr="00A655A1">
        <w:rPr>
          <w:rStyle w:val="CommentReference"/>
          <w:b/>
          <w:szCs w:val="24"/>
        </w:rPr>
        <w:t xml:space="preserve">Estimated use and financial implications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4"/>
        <w:gridCol w:w="1135"/>
        <w:gridCol w:w="1134"/>
        <w:gridCol w:w="1134"/>
        <w:gridCol w:w="1134"/>
        <w:gridCol w:w="1134"/>
        <w:gridCol w:w="1082"/>
      </w:tblGrid>
      <w:tr w:rsidR="00957464" w:rsidRPr="00A655A1" w:rsidTr="00AE6044">
        <w:trPr>
          <w:tblHeader/>
        </w:trPr>
        <w:tc>
          <w:tcPr>
            <w:tcW w:w="1255" w:type="pct"/>
            <w:shd w:val="clear" w:color="auto" w:fill="auto"/>
            <w:vAlign w:val="center"/>
          </w:tcPr>
          <w:p w:rsidR="00957464" w:rsidRPr="00A655A1" w:rsidRDefault="00957464" w:rsidP="00AE6044">
            <w:pPr>
              <w:pStyle w:val="In-tableHeading"/>
              <w:widowControl w:val="0"/>
              <w:jc w:val="center"/>
              <w:rPr>
                <w:lang w:val="en-AU"/>
              </w:rPr>
            </w:pPr>
          </w:p>
        </w:tc>
        <w:tc>
          <w:tcPr>
            <w:tcW w:w="629" w:type="pct"/>
            <w:shd w:val="clear" w:color="auto" w:fill="auto"/>
            <w:vAlign w:val="center"/>
          </w:tcPr>
          <w:p w:rsidR="00957464" w:rsidRPr="00A655A1" w:rsidRDefault="00957464" w:rsidP="00AE6044">
            <w:pPr>
              <w:pStyle w:val="In-tableHeading"/>
              <w:widowControl w:val="0"/>
              <w:jc w:val="center"/>
              <w:rPr>
                <w:lang w:val="en-AU"/>
              </w:rPr>
            </w:pPr>
            <w:r w:rsidRPr="00A655A1">
              <w:rPr>
                <w:lang w:val="en-AU"/>
              </w:rPr>
              <w:t>Year 1</w:t>
            </w:r>
          </w:p>
        </w:tc>
        <w:tc>
          <w:tcPr>
            <w:tcW w:w="629" w:type="pct"/>
            <w:shd w:val="clear" w:color="auto" w:fill="auto"/>
            <w:vAlign w:val="center"/>
          </w:tcPr>
          <w:p w:rsidR="00957464" w:rsidRPr="00A655A1" w:rsidRDefault="00957464" w:rsidP="00AE6044">
            <w:pPr>
              <w:pStyle w:val="In-tableHeading"/>
              <w:widowControl w:val="0"/>
              <w:jc w:val="center"/>
              <w:rPr>
                <w:lang w:val="en-AU"/>
              </w:rPr>
            </w:pPr>
            <w:r w:rsidRPr="00A655A1">
              <w:rPr>
                <w:lang w:val="en-AU"/>
              </w:rPr>
              <w:t>Year 2</w:t>
            </w:r>
          </w:p>
        </w:tc>
        <w:tc>
          <w:tcPr>
            <w:tcW w:w="629" w:type="pct"/>
            <w:shd w:val="clear" w:color="auto" w:fill="auto"/>
            <w:vAlign w:val="center"/>
          </w:tcPr>
          <w:p w:rsidR="00957464" w:rsidRPr="00A655A1" w:rsidRDefault="00957464" w:rsidP="00AE6044">
            <w:pPr>
              <w:pStyle w:val="In-tableHeading"/>
              <w:widowControl w:val="0"/>
              <w:jc w:val="center"/>
              <w:rPr>
                <w:lang w:val="en-AU"/>
              </w:rPr>
            </w:pPr>
            <w:r w:rsidRPr="00A655A1">
              <w:rPr>
                <w:lang w:val="en-AU"/>
              </w:rPr>
              <w:t>Year 3</w:t>
            </w:r>
          </w:p>
        </w:tc>
        <w:tc>
          <w:tcPr>
            <w:tcW w:w="629" w:type="pct"/>
            <w:shd w:val="clear" w:color="auto" w:fill="auto"/>
            <w:vAlign w:val="center"/>
          </w:tcPr>
          <w:p w:rsidR="00957464" w:rsidRPr="00A655A1" w:rsidRDefault="00957464" w:rsidP="00AE6044">
            <w:pPr>
              <w:pStyle w:val="In-tableHeading"/>
              <w:widowControl w:val="0"/>
              <w:jc w:val="center"/>
              <w:rPr>
                <w:lang w:val="en-AU"/>
              </w:rPr>
            </w:pPr>
            <w:r w:rsidRPr="00A655A1">
              <w:rPr>
                <w:lang w:val="en-AU"/>
              </w:rPr>
              <w:t>Year 4</w:t>
            </w:r>
          </w:p>
        </w:tc>
        <w:tc>
          <w:tcPr>
            <w:tcW w:w="629" w:type="pct"/>
            <w:shd w:val="clear" w:color="auto" w:fill="auto"/>
            <w:vAlign w:val="center"/>
          </w:tcPr>
          <w:p w:rsidR="00957464" w:rsidRPr="00A655A1" w:rsidRDefault="00957464" w:rsidP="00AE6044">
            <w:pPr>
              <w:pStyle w:val="In-tableHeading"/>
              <w:widowControl w:val="0"/>
              <w:jc w:val="center"/>
              <w:rPr>
                <w:lang w:val="en-AU"/>
              </w:rPr>
            </w:pPr>
            <w:r w:rsidRPr="00A655A1">
              <w:rPr>
                <w:lang w:val="en-AU"/>
              </w:rPr>
              <w:t>Year 5</w:t>
            </w:r>
          </w:p>
        </w:tc>
        <w:tc>
          <w:tcPr>
            <w:tcW w:w="601" w:type="pct"/>
            <w:vAlign w:val="center"/>
          </w:tcPr>
          <w:p w:rsidR="00957464" w:rsidRPr="00A655A1" w:rsidRDefault="00957464" w:rsidP="00AE6044">
            <w:pPr>
              <w:pStyle w:val="In-tableHeading"/>
              <w:widowControl w:val="0"/>
              <w:jc w:val="center"/>
              <w:rPr>
                <w:lang w:val="en-AU"/>
              </w:rPr>
            </w:pPr>
            <w:r w:rsidRPr="00A655A1">
              <w:rPr>
                <w:lang w:val="en-AU"/>
              </w:rPr>
              <w:t>Year 6</w:t>
            </w:r>
          </w:p>
        </w:tc>
      </w:tr>
      <w:tr w:rsidR="00957464" w:rsidRPr="00A655A1" w:rsidTr="00AE6044">
        <w:tc>
          <w:tcPr>
            <w:tcW w:w="5000" w:type="pct"/>
            <w:gridSpan w:val="7"/>
            <w:shd w:val="clear" w:color="auto" w:fill="auto"/>
            <w:vAlign w:val="center"/>
          </w:tcPr>
          <w:p w:rsidR="00957464" w:rsidRPr="00A655A1" w:rsidRDefault="00957464" w:rsidP="00AE6044">
            <w:pPr>
              <w:pStyle w:val="In-tableHeading"/>
              <w:widowControl w:val="0"/>
              <w:rPr>
                <w:bCs/>
                <w:color w:val="000000"/>
                <w:lang w:val="en-AU"/>
              </w:rPr>
            </w:pPr>
            <w:r w:rsidRPr="00A655A1">
              <w:rPr>
                <w:bCs/>
                <w:color w:val="000000"/>
                <w:lang w:val="en-AU"/>
              </w:rPr>
              <w:t>Estimated extent of use</w:t>
            </w:r>
          </w:p>
        </w:tc>
      </w:tr>
      <w:tr w:rsidR="00957464" w:rsidRPr="00A655A1" w:rsidTr="00AE6044">
        <w:tc>
          <w:tcPr>
            <w:tcW w:w="1255" w:type="pct"/>
            <w:shd w:val="clear" w:color="auto" w:fill="auto"/>
            <w:vAlign w:val="center"/>
          </w:tcPr>
          <w:p w:rsidR="00957464" w:rsidRPr="00A655A1" w:rsidRDefault="00957464" w:rsidP="00AE6044">
            <w:pPr>
              <w:pStyle w:val="TableText0"/>
              <w:widowControl w:val="0"/>
              <w:rPr>
                <w:rFonts w:ascii="Times" w:hAnsi="Times"/>
              </w:rPr>
            </w:pPr>
            <w:r w:rsidRPr="00A655A1">
              <w:t>Number of patients treated</w:t>
            </w:r>
          </w:p>
        </w:tc>
        <w:tc>
          <w:tcPr>
            <w:tcW w:w="629" w:type="pct"/>
            <w:shd w:val="clear" w:color="auto" w:fill="auto"/>
            <w:vAlign w:val="center"/>
          </w:tcPr>
          <w:p w:rsidR="00957464" w:rsidRPr="007004AE" w:rsidRDefault="007004AE" w:rsidP="00AE6044">
            <w:pPr>
              <w:pStyle w:val="TableText0"/>
              <w:widowControl w:val="0"/>
              <w:jc w:val="center"/>
              <w:rPr>
                <w:color w:val="000000"/>
                <w:vertAlign w:val="superscript"/>
              </w:rPr>
            </w:pPr>
            <w:r>
              <w:rPr>
                <w:rFonts w:cs="Calibri"/>
                <w:noProof/>
                <w:color w:val="000000"/>
                <w:szCs w:val="20"/>
                <w:highlight w:val="black"/>
              </w:rPr>
              <w:t>''''''''''</w:t>
            </w:r>
            <w:r w:rsidR="00957464" w:rsidRPr="00FA5505">
              <w:rPr>
                <w:rFonts w:cs="Calibri"/>
                <w:color w:val="000000"/>
                <w:szCs w:val="20"/>
              </w:rPr>
              <w:t xml:space="preserve"> </w:t>
            </w:r>
            <w:r w:rsidR="00957464" w:rsidRPr="00FA5505">
              <w:rPr>
                <w:rFonts w:cs="Calibri"/>
                <w:color w:val="000000"/>
                <w:szCs w:val="20"/>
                <w:vertAlign w:val="superscript"/>
              </w:rPr>
              <w:t>a</w:t>
            </w:r>
            <w:r w:rsidR="00825B4A">
              <w:rPr>
                <w:rFonts w:cs="Calibri"/>
                <w:color w:val="000000"/>
                <w:szCs w:val="20"/>
                <w:vertAlign w:val="superscript"/>
              </w:rPr>
              <w:t>,1</w:t>
            </w:r>
          </w:p>
        </w:tc>
        <w:tc>
          <w:tcPr>
            <w:tcW w:w="629" w:type="pct"/>
            <w:shd w:val="clear" w:color="auto" w:fill="auto"/>
            <w:vAlign w:val="center"/>
          </w:tcPr>
          <w:p w:rsidR="00957464" w:rsidRPr="007004AE" w:rsidRDefault="007004AE" w:rsidP="00AE6044">
            <w:pPr>
              <w:pStyle w:val="TableText0"/>
              <w:widowControl w:val="0"/>
              <w:jc w:val="center"/>
              <w:rPr>
                <w:color w:val="000000"/>
              </w:rPr>
            </w:pPr>
            <w:r>
              <w:rPr>
                <w:rFonts w:cs="Calibri"/>
                <w:noProof/>
                <w:color w:val="000000"/>
                <w:szCs w:val="20"/>
                <w:highlight w:val="black"/>
              </w:rPr>
              <w:t>'''''''''</w:t>
            </w:r>
            <w:r w:rsidR="00825B4A">
              <w:rPr>
                <w:rFonts w:cs="Calibri"/>
                <w:color w:val="000000"/>
                <w:szCs w:val="20"/>
                <w:vertAlign w:val="superscript"/>
              </w:rPr>
              <w:t>1</w:t>
            </w:r>
          </w:p>
        </w:tc>
        <w:tc>
          <w:tcPr>
            <w:tcW w:w="629" w:type="pct"/>
            <w:shd w:val="clear" w:color="auto" w:fill="auto"/>
            <w:vAlign w:val="center"/>
          </w:tcPr>
          <w:p w:rsidR="00957464" w:rsidRPr="007004AE" w:rsidRDefault="007004AE" w:rsidP="00AE6044">
            <w:pPr>
              <w:pStyle w:val="TableText0"/>
              <w:widowControl w:val="0"/>
              <w:jc w:val="center"/>
              <w:rPr>
                <w:color w:val="000000"/>
              </w:rPr>
            </w:pPr>
            <w:r>
              <w:rPr>
                <w:rFonts w:cs="Calibri"/>
                <w:noProof/>
                <w:color w:val="000000"/>
                <w:szCs w:val="20"/>
                <w:highlight w:val="black"/>
              </w:rPr>
              <w:t>'''''''''</w:t>
            </w:r>
            <w:r w:rsidR="00825B4A">
              <w:rPr>
                <w:rFonts w:cs="Calibri"/>
                <w:color w:val="000000"/>
                <w:szCs w:val="20"/>
                <w:vertAlign w:val="superscript"/>
              </w:rPr>
              <w:t>1</w:t>
            </w:r>
          </w:p>
        </w:tc>
        <w:tc>
          <w:tcPr>
            <w:tcW w:w="629" w:type="pct"/>
            <w:shd w:val="clear" w:color="auto" w:fill="auto"/>
            <w:vAlign w:val="center"/>
          </w:tcPr>
          <w:p w:rsidR="00957464" w:rsidRPr="007004AE" w:rsidRDefault="007004AE" w:rsidP="00AE6044">
            <w:pPr>
              <w:pStyle w:val="TableText0"/>
              <w:widowControl w:val="0"/>
              <w:jc w:val="center"/>
              <w:rPr>
                <w:color w:val="000000"/>
              </w:rPr>
            </w:pPr>
            <w:r>
              <w:rPr>
                <w:rFonts w:cs="Calibri"/>
                <w:noProof/>
                <w:color w:val="000000"/>
                <w:szCs w:val="20"/>
                <w:highlight w:val="black"/>
              </w:rPr>
              <w:t>'''''''''</w:t>
            </w:r>
            <w:r w:rsidR="00825B4A">
              <w:rPr>
                <w:rFonts w:cs="Calibri"/>
                <w:color w:val="000000"/>
                <w:szCs w:val="20"/>
                <w:vertAlign w:val="superscript"/>
              </w:rPr>
              <w:t>1</w:t>
            </w:r>
          </w:p>
        </w:tc>
        <w:tc>
          <w:tcPr>
            <w:tcW w:w="629" w:type="pct"/>
            <w:shd w:val="clear" w:color="auto" w:fill="auto"/>
            <w:vAlign w:val="center"/>
          </w:tcPr>
          <w:p w:rsidR="00957464" w:rsidRPr="007004AE" w:rsidRDefault="007004AE" w:rsidP="00AE6044">
            <w:pPr>
              <w:pStyle w:val="TableText0"/>
              <w:widowControl w:val="0"/>
              <w:jc w:val="center"/>
              <w:rPr>
                <w:color w:val="000000"/>
              </w:rPr>
            </w:pPr>
            <w:r>
              <w:rPr>
                <w:rFonts w:cs="Calibri"/>
                <w:noProof/>
                <w:color w:val="000000"/>
                <w:szCs w:val="20"/>
                <w:highlight w:val="black"/>
              </w:rPr>
              <w:t>''''''''''</w:t>
            </w:r>
            <w:r w:rsidR="00825B4A">
              <w:rPr>
                <w:rFonts w:cs="Calibri"/>
                <w:color w:val="000000"/>
                <w:szCs w:val="20"/>
                <w:vertAlign w:val="superscript"/>
              </w:rPr>
              <w:t>1</w:t>
            </w:r>
          </w:p>
        </w:tc>
        <w:tc>
          <w:tcPr>
            <w:tcW w:w="601" w:type="pct"/>
            <w:vAlign w:val="center"/>
          </w:tcPr>
          <w:p w:rsidR="00957464" w:rsidRPr="007004AE" w:rsidRDefault="007004AE" w:rsidP="00AE6044">
            <w:pPr>
              <w:pStyle w:val="TableText0"/>
              <w:widowControl w:val="0"/>
              <w:jc w:val="center"/>
              <w:rPr>
                <w:color w:val="000000"/>
              </w:rPr>
            </w:pPr>
            <w:r>
              <w:rPr>
                <w:rFonts w:cs="Calibri"/>
                <w:noProof/>
                <w:color w:val="000000"/>
                <w:szCs w:val="20"/>
                <w:highlight w:val="black"/>
              </w:rPr>
              <w:t>''''''''''</w:t>
            </w:r>
            <w:r w:rsidR="00825B4A">
              <w:rPr>
                <w:rFonts w:cs="Calibri"/>
                <w:color w:val="000000"/>
                <w:szCs w:val="20"/>
                <w:vertAlign w:val="superscript"/>
              </w:rPr>
              <w:t>2</w:t>
            </w:r>
          </w:p>
        </w:tc>
      </w:tr>
      <w:tr w:rsidR="00957464" w:rsidRPr="00A655A1" w:rsidTr="00AE6044">
        <w:tc>
          <w:tcPr>
            <w:tcW w:w="1255" w:type="pct"/>
            <w:shd w:val="clear" w:color="auto" w:fill="auto"/>
            <w:vAlign w:val="center"/>
          </w:tcPr>
          <w:p w:rsidR="00957464" w:rsidRPr="00A655A1" w:rsidRDefault="00957464" w:rsidP="00AE6044">
            <w:pPr>
              <w:pStyle w:val="TableText0"/>
              <w:widowControl w:val="0"/>
              <w:rPr>
                <w:rFonts w:ascii="Times" w:hAnsi="Times"/>
              </w:rPr>
            </w:pPr>
            <w:r w:rsidRPr="00A655A1">
              <w:t xml:space="preserve">Number of scripts dispensed </w:t>
            </w:r>
            <w:r w:rsidRPr="00A655A1">
              <w:rPr>
                <w:vertAlign w:val="superscript"/>
              </w:rPr>
              <w:t>b</w:t>
            </w:r>
            <w:r w:rsidRPr="00A655A1">
              <w:t xml:space="preserve"> – selinexor </w:t>
            </w:r>
          </w:p>
        </w:tc>
        <w:tc>
          <w:tcPr>
            <w:tcW w:w="629" w:type="pct"/>
            <w:shd w:val="clear" w:color="auto" w:fill="auto"/>
            <w:vAlign w:val="center"/>
          </w:tcPr>
          <w:p w:rsidR="00957464" w:rsidRPr="007004AE" w:rsidRDefault="007004AE" w:rsidP="00AE6044">
            <w:pPr>
              <w:pStyle w:val="TableText0"/>
              <w:widowControl w:val="0"/>
              <w:jc w:val="center"/>
              <w:rPr>
                <w:color w:val="000000"/>
              </w:rPr>
            </w:pPr>
            <w:r>
              <w:rPr>
                <w:noProof/>
                <w:color w:val="000000"/>
                <w:szCs w:val="20"/>
                <w:highlight w:val="black"/>
              </w:rPr>
              <w:t>'''''''''''''</w:t>
            </w:r>
            <w:r w:rsidR="00825B4A">
              <w:rPr>
                <w:rFonts w:cs="Calibri"/>
                <w:color w:val="000000"/>
                <w:szCs w:val="20"/>
                <w:vertAlign w:val="superscript"/>
              </w:rPr>
              <w:t>2</w:t>
            </w:r>
          </w:p>
        </w:tc>
        <w:tc>
          <w:tcPr>
            <w:tcW w:w="629" w:type="pct"/>
            <w:shd w:val="clear" w:color="auto" w:fill="auto"/>
            <w:vAlign w:val="center"/>
          </w:tcPr>
          <w:p w:rsidR="00957464" w:rsidRPr="007004AE" w:rsidRDefault="007004AE" w:rsidP="00AE6044">
            <w:pPr>
              <w:pStyle w:val="TableText0"/>
              <w:widowControl w:val="0"/>
              <w:jc w:val="center"/>
              <w:rPr>
                <w:color w:val="000000"/>
              </w:rPr>
            </w:pPr>
            <w:r>
              <w:rPr>
                <w:noProof/>
                <w:color w:val="000000"/>
                <w:szCs w:val="20"/>
                <w:highlight w:val="black"/>
              </w:rPr>
              <w:t>''''''''''''''</w:t>
            </w:r>
            <w:r w:rsidR="00825B4A">
              <w:rPr>
                <w:rFonts w:cs="Calibri"/>
                <w:color w:val="000000"/>
                <w:szCs w:val="20"/>
                <w:vertAlign w:val="superscript"/>
              </w:rPr>
              <w:t>2</w:t>
            </w:r>
          </w:p>
        </w:tc>
        <w:tc>
          <w:tcPr>
            <w:tcW w:w="629" w:type="pct"/>
            <w:shd w:val="clear" w:color="auto" w:fill="auto"/>
            <w:vAlign w:val="center"/>
          </w:tcPr>
          <w:p w:rsidR="00957464" w:rsidRPr="007004AE" w:rsidRDefault="007004AE" w:rsidP="00AE6044">
            <w:pPr>
              <w:pStyle w:val="TableText0"/>
              <w:widowControl w:val="0"/>
              <w:jc w:val="center"/>
              <w:rPr>
                <w:color w:val="000000"/>
              </w:rPr>
            </w:pPr>
            <w:r>
              <w:rPr>
                <w:noProof/>
                <w:color w:val="000000"/>
                <w:szCs w:val="20"/>
                <w:highlight w:val="black"/>
              </w:rPr>
              <w:t>'''''''''''''''</w:t>
            </w:r>
            <w:r w:rsidR="00825B4A">
              <w:rPr>
                <w:rFonts w:cs="Calibri"/>
                <w:color w:val="000000"/>
                <w:szCs w:val="20"/>
                <w:vertAlign w:val="superscript"/>
              </w:rPr>
              <w:t>2</w:t>
            </w:r>
          </w:p>
        </w:tc>
        <w:tc>
          <w:tcPr>
            <w:tcW w:w="629" w:type="pct"/>
            <w:shd w:val="clear" w:color="auto" w:fill="auto"/>
            <w:vAlign w:val="center"/>
          </w:tcPr>
          <w:p w:rsidR="00957464" w:rsidRPr="007004AE" w:rsidRDefault="007004AE" w:rsidP="00AE6044">
            <w:pPr>
              <w:pStyle w:val="TableText0"/>
              <w:widowControl w:val="0"/>
              <w:jc w:val="center"/>
              <w:rPr>
                <w:color w:val="000000"/>
              </w:rPr>
            </w:pPr>
            <w:r>
              <w:rPr>
                <w:noProof/>
                <w:color w:val="000000"/>
                <w:szCs w:val="20"/>
                <w:highlight w:val="black"/>
              </w:rPr>
              <w:t>'''''''''''''''</w:t>
            </w:r>
            <w:r w:rsidR="00825B4A">
              <w:rPr>
                <w:rFonts w:cs="Calibri"/>
                <w:color w:val="000000"/>
                <w:szCs w:val="20"/>
                <w:vertAlign w:val="superscript"/>
              </w:rPr>
              <w:t>2</w:t>
            </w:r>
          </w:p>
        </w:tc>
        <w:tc>
          <w:tcPr>
            <w:tcW w:w="629" w:type="pct"/>
            <w:shd w:val="clear" w:color="auto" w:fill="auto"/>
            <w:vAlign w:val="center"/>
          </w:tcPr>
          <w:p w:rsidR="00957464" w:rsidRPr="007004AE" w:rsidRDefault="007004AE" w:rsidP="00AE6044">
            <w:pPr>
              <w:pStyle w:val="TableText0"/>
              <w:widowControl w:val="0"/>
              <w:jc w:val="center"/>
              <w:rPr>
                <w:color w:val="000000"/>
              </w:rPr>
            </w:pPr>
            <w:r>
              <w:rPr>
                <w:noProof/>
                <w:color w:val="000000"/>
                <w:szCs w:val="20"/>
                <w:highlight w:val="black"/>
              </w:rPr>
              <w:t>''''''''''''''</w:t>
            </w:r>
            <w:r w:rsidR="00825B4A">
              <w:rPr>
                <w:rFonts w:cs="Calibri"/>
                <w:color w:val="000000"/>
                <w:szCs w:val="20"/>
                <w:vertAlign w:val="superscript"/>
              </w:rPr>
              <w:t>3</w:t>
            </w:r>
          </w:p>
        </w:tc>
        <w:tc>
          <w:tcPr>
            <w:tcW w:w="601" w:type="pct"/>
            <w:vAlign w:val="center"/>
          </w:tcPr>
          <w:p w:rsidR="00957464" w:rsidRPr="007004AE" w:rsidRDefault="007004AE" w:rsidP="00AE6044">
            <w:pPr>
              <w:pStyle w:val="TableText0"/>
              <w:widowControl w:val="0"/>
              <w:jc w:val="center"/>
              <w:rPr>
                <w:color w:val="000000"/>
              </w:rPr>
            </w:pPr>
            <w:r>
              <w:rPr>
                <w:noProof/>
                <w:color w:val="000000"/>
                <w:szCs w:val="20"/>
                <w:highlight w:val="black"/>
              </w:rPr>
              <w:t>'''''''''''''</w:t>
            </w:r>
            <w:r w:rsidR="00825B4A">
              <w:rPr>
                <w:rFonts w:cs="Calibri"/>
                <w:color w:val="000000"/>
                <w:szCs w:val="20"/>
                <w:vertAlign w:val="superscript"/>
              </w:rPr>
              <w:t>3</w:t>
            </w:r>
          </w:p>
        </w:tc>
      </w:tr>
      <w:tr w:rsidR="00957464" w:rsidRPr="00A655A1" w:rsidTr="00AE6044">
        <w:tc>
          <w:tcPr>
            <w:tcW w:w="5000" w:type="pct"/>
            <w:gridSpan w:val="7"/>
            <w:shd w:val="clear" w:color="auto" w:fill="auto"/>
            <w:vAlign w:val="center"/>
          </w:tcPr>
          <w:p w:rsidR="00957464" w:rsidRPr="00A655A1" w:rsidRDefault="00957464" w:rsidP="00AE6044">
            <w:pPr>
              <w:pStyle w:val="In-tableHeading"/>
              <w:widowControl w:val="0"/>
              <w:rPr>
                <w:lang w:val="en-AU"/>
              </w:rPr>
            </w:pPr>
            <w:r w:rsidRPr="00A655A1">
              <w:rPr>
                <w:lang w:val="en-AU"/>
              </w:rPr>
              <w:t>Estimated financial implications of selinexor (Effective Price)</w:t>
            </w:r>
          </w:p>
        </w:tc>
      </w:tr>
      <w:tr w:rsidR="00957464" w:rsidRPr="00A655A1" w:rsidTr="00AE6044">
        <w:tc>
          <w:tcPr>
            <w:tcW w:w="1255" w:type="pct"/>
            <w:shd w:val="clear" w:color="auto" w:fill="auto"/>
            <w:vAlign w:val="center"/>
          </w:tcPr>
          <w:p w:rsidR="00957464" w:rsidRPr="00A655A1" w:rsidRDefault="00957464" w:rsidP="00AE6044">
            <w:pPr>
              <w:pStyle w:val="TableText0"/>
              <w:widowControl w:val="0"/>
              <w:rPr>
                <w:sz w:val="19"/>
                <w:szCs w:val="19"/>
              </w:rPr>
            </w:pPr>
            <w:r w:rsidRPr="00A655A1">
              <w:rPr>
                <w:sz w:val="19"/>
                <w:szCs w:val="19"/>
              </w:rPr>
              <w:t>Cost to PBS/RPBS less copayments</w:t>
            </w:r>
          </w:p>
        </w:tc>
        <w:tc>
          <w:tcPr>
            <w:tcW w:w="629" w:type="pct"/>
            <w:shd w:val="clear" w:color="auto" w:fill="auto"/>
            <w:vAlign w:val="center"/>
          </w:tcPr>
          <w:p w:rsidR="00957464" w:rsidRPr="00A655A1" w:rsidRDefault="00957464" w:rsidP="00AE6044">
            <w:pPr>
              <w:pStyle w:val="TableText0"/>
              <w:widowControl w:val="0"/>
              <w:jc w:val="center"/>
              <w:rPr>
                <w:bCs w:val="0"/>
              </w:rPr>
            </w:pPr>
            <w:r w:rsidRPr="00A655A1">
              <w:rPr>
                <w:bCs w:val="0"/>
              </w:rPr>
              <w:t>$</w:t>
            </w:r>
            <w:r w:rsidR="007004AE">
              <w:rPr>
                <w:noProof/>
                <w:color w:val="000000"/>
                <w:szCs w:val="20"/>
                <w:highlight w:val="black"/>
              </w:rPr>
              <w:t>'''''''''''''''''''''''</w:t>
            </w:r>
            <w:r w:rsidR="005755CE">
              <w:rPr>
                <w:rFonts w:cs="Calibri"/>
                <w:color w:val="000000"/>
                <w:szCs w:val="20"/>
                <w:vertAlign w:val="superscript"/>
              </w:rPr>
              <w:t>4</w:t>
            </w:r>
          </w:p>
        </w:tc>
        <w:tc>
          <w:tcPr>
            <w:tcW w:w="629" w:type="pct"/>
            <w:shd w:val="clear" w:color="auto" w:fill="auto"/>
            <w:vAlign w:val="center"/>
          </w:tcPr>
          <w:p w:rsidR="00957464" w:rsidRPr="00A655A1" w:rsidRDefault="00957464" w:rsidP="00AE6044">
            <w:pPr>
              <w:pStyle w:val="TableText0"/>
              <w:widowControl w:val="0"/>
              <w:jc w:val="center"/>
              <w:rPr>
                <w:bCs w:val="0"/>
              </w:rPr>
            </w:pPr>
            <w:r w:rsidRPr="00A655A1">
              <w:rPr>
                <w:bCs w:val="0"/>
              </w:rPr>
              <w:t>$</w:t>
            </w:r>
            <w:r w:rsidR="007004AE">
              <w:rPr>
                <w:noProof/>
                <w:color w:val="000000"/>
                <w:szCs w:val="20"/>
                <w:highlight w:val="black"/>
              </w:rPr>
              <w:t>'''''''''''''''''''''''''''''</w:t>
            </w:r>
            <w:r w:rsidR="005755CE">
              <w:rPr>
                <w:rFonts w:cs="Calibri"/>
                <w:color w:val="000000"/>
                <w:szCs w:val="20"/>
                <w:vertAlign w:val="superscript"/>
              </w:rPr>
              <w:t>4</w:t>
            </w:r>
          </w:p>
        </w:tc>
        <w:tc>
          <w:tcPr>
            <w:tcW w:w="629" w:type="pct"/>
            <w:shd w:val="clear" w:color="auto" w:fill="auto"/>
            <w:vAlign w:val="center"/>
          </w:tcPr>
          <w:p w:rsidR="00957464" w:rsidRPr="00A655A1" w:rsidRDefault="00957464" w:rsidP="00AE6044">
            <w:pPr>
              <w:pStyle w:val="TableText0"/>
              <w:widowControl w:val="0"/>
              <w:jc w:val="center"/>
              <w:rPr>
                <w:bCs w:val="0"/>
              </w:rPr>
            </w:pPr>
            <w:r w:rsidRPr="00A655A1">
              <w:rPr>
                <w:bCs w:val="0"/>
              </w:rPr>
              <w:t>$</w:t>
            </w:r>
            <w:r w:rsidR="007004AE">
              <w:rPr>
                <w:noProof/>
                <w:color w:val="000000"/>
                <w:szCs w:val="20"/>
                <w:highlight w:val="black"/>
              </w:rPr>
              <w:t>'''''''''''''''''''''''''''</w:t>
            </w:r>
            <w:r w:rsidR="005755CE">
              <w:rPr>
                <w:rFonts w:cs="Calibri"/>
                <w:color w:val="000000"/>
                <w:szCs w:val="20"/>
                <w:vertAlign w:val="superscript"/>
              </w:rPr>
              <w:t>5</w:t>
            </w:r>
          </w:p>
        </w:tc>
        <w:tc>
          <w:tcPr>
            <w:tcW w:w="629" w:type="pct"/>
            <w:shd w:val="clear" w:color="auto" w:fill="auto"/>
            <w:vAlign w:val="center"/>
          </w:tcPr>
          <w:p w:rsidR="00957464" w:rsidRPr="00A655A1" w:rsidRDefault="00957464" w:rsidP="00AE6044">
            <w:pPr>
              <w:pStyle w:val="TableText0"/>
              <w:widowControl w:val="0"/>
              <w:jc w:val="center"/>
              <w:rPr>
                <w:bCs w:val="0"/>
              </w:rPr>
            </w:pPr>
            <w:r w:rsidRPr="00A655A1">
              <w:rPr>
                <w:bCs w:val="0"/>
              </w:rPr>
              <w:t>$</w:t>
            </w:r>
            <w:r w:rsidR="007004AE">
              <w:rPr>
                <w:noProof/>
                <w:color w:val="000000"/>
                <w:szCs w:val="20"/>
                <w:highlight w:val="black"/>
              </w:rPr>
              <w:t>'''''''''''''''''''''''''''</w:t>
            </w:r>
            <w:r w:rsidR="005755CE">
              <w:rPr>
                <w:rFonts w:cs="Calibri"/>
                <w:color w:val="000000"/>
                <w:szCs w:val="20"/>
                <w:vertAlign w:val="superscript"/>
              </w:rPr>
              <w:t>5</w:t>
            </w:r>
          </w:p>
        </w:tc>
        <w:tc>
          <w:tcPr>
            <w:tcW w:w="629" w:type="pct"/>
            <w:shd w:val="clear" w:color="auto" w:fill="auto"/>
            <w:vAlign w:val="center"/>
          </w:tcPr>
          <w:p w:rsidR="00957464" w:rsidRPr="00A655A1" w:rsidRDefault="00957464" w:rsidP="00AE6044">
            <w:pPr>
              <w:pStyle w:val="TableText0"/>
              <w:widowControl w:val="0"/>
              <w:jc w:val="center"/>
              <w:rPr>
                <w:bCs w:val="0"/>
              </w:rPr>
            </w:pPr>
            <w:r w:rsidRPr="00A655A1">
              <w:rPr>
                <w:bCs w:val="0"/>
              </w:rPr>
              <w:t>$</w:t>
            </w:r>
            <w:r w:rsidR="007004AE">
              <w:rPr>
                <w:noProof/>
                <w:color w:val="000000"/>
                <w:szCs w:val="20"/>
                <w:highlight w:val="black"/>
              </w:rPr>
              <w:t>'''''''''''''''''''''''''</w:t>
            </w:r>
            <w:r w:rsidR="005755CE">
              <w:rPr>
                <w:rFonts w:cs="Calibri"/>
                <w:color w:val="000000"/>
                <w:szCs w:val="20"/>
                <w:vertAlign w:val="superscript"/>
              </w:rPr>
              <w:t>5</w:t>
            </w:r>
          </w:p>
        </w:tc>
        <w:tc>
          <w:tcPr>
            <w:tcW w:w="601" w:type="pct"/>
            <w:vAlign w:val="center"/>
          </w:tcPr>
          <w:p w:rsidR="00957464" w:rsidRPr="00A655A1" w:rsidRDefault="00957464" w:rsidP="00AE6044">
            <w:pPr>
              <w:pStyle w:val="TableText0"/>
              <w:widowControl w:val="0"/>
              <w:jc w:val="center"/>
              <w:rPr>
                <w:bCs w:val="0"/>
              </w:rPr>
            </w:pPr>
            <w:r w:rsidRPr="00A655A1">
              <w:rPr>
                <w:bCs w:val="0"/>
              </w:rPr>
              <w:t>$</w:t>
            </w:r>
            <w:r w:rsidR="007004AE">
              <w:rPr>
                <w:noProof/>
                <w:color w:val="000000"/>
                <w:szCs w:val="20"/>
                <w:highlight w:val="black"/>
              </w:rPr>
              <w:t>''''''''''''''''''''''''''</w:t>
            </w:r>
            <w:r w:rsidR="005755CE">
              <w:rPr>
                <w:rFonts w:cs="Calibri"/>
                <w:color w:val="000000"/>
                <w:szCs w:val="20"/>
                <w:vertAlign w:val="superscript"/>
              </w:rPr>
              <w:t>6</w:t>
            </w:r>
          </w:p>
        </w:tc>
      </w:tr>
      <w:tr w:rsidR="00957464" w:rsidRPr="00A655A1" w:rsidTr="00AE6044">
        <w:tc>
          <w:tcPr>
            <w:tcW w:w="5000" w:type="pct"/>
            <w:gridSpan w:val="7"/>
            <w:shd w:val="clear" w:color="auto" w:fill="auto"/>
            <w:vAlign w:val="center"/>
          </w:tcPr>
          <w:p w:rsidR="00957464" w:rsidRPr="00A655A1" w:rsidRDefault="00957464" w:rsidP="00AE6044">
            <w:pPr>
              <w:pStyle w:val="TableText0"/>
              <w:widowControl w:val="0"/>
            </w:pPr>
            <w:r w:rsidRPr="00A655A1">
              <w:t>Estimated financial implications for other medicines</w:t>
            </w:r>
          </w:p>
        </w:tc>
      </w:tr>
      <w:tr w:rsidR="00957464" w:rsidRPr="00A655A1" w:rsidTr="00AE6044">
        <w:tc>
          <w:tcPr>
            <w:tcW w:w="1255" w:type="pct"/>
            <w:shd w:val="clear" w:color="auto" w:fill="auto"/>
            <w:vAlign w:val="center"/>
          </w:tcPr>
          <w:p w:rsidR="00957464" w:rsidRPr="00A655A1" w:rsidRDefault="00957464" w:rsidP="00AE6044">
            <w:pPr>
              <w:pStyle w:val="TableText0"/>
              <w:widowControl w:val="0"/>
              <w:rPr>
                <w:sz w:val="19"/>
                <w:szCs w:val="19"/>
              </w:rPr>
            </w:pPr>
            <w:r w:rsidRPr="00A655A1">
              <w:rPr>
                <w:sz w:val="19"/>
                <w:szCs w:val="19"/>
              </w:rPr>
              <w:t xml:space="preserve">Cost to PBS/RPBS less copayments – Total </w:t>
            </w:r>
          </w:p>
        </w:tc>
        <w:tc>
          <w:tcPr>
            <w:tcW w:w="629" w:type="pct"/>
            <w:shd w:val="clear" w:color="auto" w:fill="auto"/>
            <w:vAlign w:val="center"/>
          </w:tcPr>
          <w:p w:rsidR="00957464" w:rsidRPr="00A655A1" w:rsidRDefault="00957464" w:rsidP="00AE6044">
            <w:pPr>
              <w:pStyle w:val="TableText0"/>
              <w:widowControl w:val="0"/>
              <w:jc w:val="center"/>
              <w:rPr>
                <w:bCs w:val="0"/>
              </w:rPr>
            </w:pPr>
            <w:r w:rsidRPr="00A655A1">
              <w:rPr>
                <w:bCs w:val="0"/>
                <w:szCs w:val="20"/>
              </w:rPr>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widowControl w:val="0"/>
              <w:jc w:val="center"/>
              <w:rPr>
                <w:bCs w:val="0"/>
              </w:rPr>
            </w:pPr>
            <w:r w:rsidRPr="00A655A1">
              <w:rPr>
                <w:bCs w:val="0"/>
                <w:szCs w:val="20"/>
              </w:rPr>
              <w:t>-$</w:t>
            </w:r>
            <w:r w:rsidR="007004AE">
              <w:rPr>
                <w:noProof/>
                <w:color w:val="000000"/>
                <w:szCs w:val="20"/>
                <w:highlight w:val="black"/>
              </w:rPr>
              <w:t>''''''''''''''''''''''''</w:t>
            </w:r>
            <w:r w:rsidR="005755CE">
              <w:rPr>
                <w:rFonts w:cs="Calibri"/>
                <w:color w:val="000000"/>
                <w:szCs w:val="20"/>
                <w:vertAlign w:val="superscript"/>
              </w:rPr>
              <w:t>8</w:t>
            </w:r>
          </w:p>
        </w:tc>
        <w:tc>
          <w:tcPr>
            <w:tcW w:w="629" w:type="pct"/>
            <w:shd w:val="clear" w:color="auto" w:fill="auto"/>
            <w:vAlign w:val="center"/>
          </w:tcPr>
          <w:p w:rsidR="00957464" w:rsidRPr="00A655A1" w:rsidRDefault="00957464" w:rsidP="00AE6044">
            <w:pPr>
              <w:pStyle w:val="TableText0"/>
              <w:widowControl w:val="0"/>
              <w:jc w:val="center"/>
              <w:rPr>
                <w:bCs w:val="0"/>
              </w:rPr>
            </w:pPr>
            <w:r w:rsidRPr="00A655A1">
              <w:rPr>
                <w:bCs w:val="0"/>
                <w:szCs w:val="20"/>
              </w:rPr>
              <w:t>-$</w:t>
            </w:r>
            <w:r w:rsidR="007004AE">
              <w:rPr>
                <w:noProof/>
                <w:color w:val="000000"/>
                <w:szCs w:val="20"/>
                <w:highlight w:val="black"/>
              </w:rPr>
              <w:t>''''''''''''''''''''''''''</w:t>
            </w:r>
            <w:r w:rsidR="005755CE">
              <w:rPr>
                <w:rFonts w:cs="Calibri"/>
                <w:color w:val="000000"/>
                <w:szCs w:val="20"/>
                <w:vertAlign w:val="superscript"/>
              </w:rPr>
              <w:t>4</w:t>
            </w:r>
          </w:p>
        </w:tc>
        <w:tc>
          <w:tcPr>
            <w:tcW w:w="629" w:type="pct"/>
            <w:shd w:val="clear" w:color="auto" w:fill="auto"/>
            <w:vAlign w:val="center"/>
          </w:tcPr>
          <w:p w:rsidR="00957464" w:rsidRPr="00A655A1" w:rsidRDefault="00957464" w:rsidP="00AE6044">
            <w:pPr>
              <w:pStyle w:val="TableText0"/>
              <w:widowControl w:val="0"/>
              <w:jc w:val="center"/>
              <w:rPr>
                <w:bCs w:val="0"/>
              </w:rPr>
            </w:pPr>
            <w:r w:rsidRPr="00A655A1">
              <w:rPr>
                <w:bCs w:val="0"/>
                <w:szCs w:val="20"/>
              </w:rPr>
              <w:t>-$</w:t>
            </w:r>
            <w:r w:rsidR="007004AE">
              <w:rPr>
                <w:noProof/>
                <w:color w:val="000000"/>
                <w:szCs w:val="20"/>
                <w:highlight w:val="black"/>
              </w:rPr>
              <w:t>''''''''''''''''''''''''''</w:t>
            </w:r>
            <w:r w:rsidR="005755CE">
              <w:rPr>
                <w:rFonts w:cs="Calibri"/>
                <w:color w:val="000000"/>
                <w:szCs w:val="20"/>
                <w:vertAlign w:val="superscript"/>
              </w:rPr>
              <w:t>4</w:t>
            </w:r>
          </w:p>
        </w:tc>
        <w:tc>
          <w:tcPr>
            <w:tcW w:w="629" w:type="pct"/>
            <w:shd w:val="clear" w:color="auto" w:fill="auto"/>
            <w:vAlign w:val="center"/>
          </w:tcPr>
          <w:p w:rsidR="00957464" w:rsidRPr="00A655A1" w:rsidRDefault="00957464" w:rsidP="00AE6044">
            <w:pPr>
              <w:pStyle w:val="TableText0"/>
              <w:widowControl w:val="0"/>
              <w:jc w:val="center"/>
              <w:rPr>
                <w:bCs w:val="0"/>
              </w:rPr>
            </w:pPr>
            <w:r w:rsidRPr="00A655A1">
              <w:rPr>
                <w:bCs w:val="0"/>
                <w:szCs w:val="20"/>
              </w:rPr>
              <w:t>-$</w:t>
            </w:r>
            <w:r w:rsidR="007004AE">
              <w:rPr>
                <w:noProof/>
                <w:color w:val="000000"/>
                <w:szCs w:val="20"/>
                <w:highlight w:val="black"/>
              </w:rPr>
              <w:t>''''''''''''''''''''''''''</w:t>
            </w:r>
            <w:r w:rsidR="005755CE">
              <w:rPr>
                <w:rFonts w:cs="Calibri"/>
                <w:color w:val="000000"/>
                <w:szCs w:val="20"/>
                <w:vertAlign w:val="superscript"/>
              </w:rPr>
              <w:t>5</w:t>
            </w:r>
          </w:p>
        </w:tc>
        <w:tc>
          <w:tcPr>
            <w:tcW w:w="601" w:type="pct"/>
            <w:vAlign w:val="center"/>
          </w:tcPr>
          <w:p w:rsidR="00957464" w:rsidRPr="00A655A1" w:rsidRDefault="00957464" w:rsidP="00AE6044">
            <w:pPr>
              <w:pStyle w:val="TableText0"/>
              <w:widowControl w:val="0"/>
              <w:jc w:val="center"/>
              <w:rPr>
                <w:bCs w:val="0"/>
              </w:rPr>
            </w:pPr>
            <w:r w:rsidRPr="00A655A1">
              <w:rPr>
                <w:bCs w:val="0"/>
                <w:szCs w:val="20"/>
              </w:rPr>
              <w:t>-$</w:t>
            </w:r>
            <w:r w:rsidR="007004AE">
              <w:rPr>
                <w:noProof/>
                <w:color w:val="000000"/>
                <w:szCs w:val="20"/>
                <w:highlight w:val="black"/>
              </w:rPr>
              <w:t>'''''''''''''''''''''''''</w:t>
            </w:r>
            <w:r w:rsidR="005755CE">
              <w:rPr>
                <w:rFonts w:cs="Calibri"/>
                <w:color w:val="000000"/>
                <w:szCs w:val="20"/>
                <w:vertAlign w:val="superscript"/>
              </w:rPr>
              <w:t>9</w:t>
            </w:r>
          </w:p>
        </w:tc>
      </w:tr>
      <w:tr w:rsidR="00957464" w:rsidRPr="00A655A1" w:rsidTr="00AE6044">
        <w:tc>
          <w:tcPr>
            <w:tcW w:w="1255" w:type="pct"/>
            <w:shd w:val="clear" w:color="auto" w:fill="auto"/>
            <w:vAlign w:val="center"/>
          </w:tcPr>
          <w:p w:rsidR="00957464" w:rsidRPr="00A655A1" w:rsidRDefault="00957464" w:rsidP="00AE6044">
            <w:pPr>
              <w:pStyle w:val="TableText0"/>
              <w:widowControl w:val="0"/>
              <w:rPr>
                <w:sz w:val="19"/>
                <w:szCs w:val="19"/>
              </w:rPr>
            </w:pPr>
            <w:r w:rsidRPr="00A655A1">
              <w:rPr>
                <w:sz w:val="19"/>
                <w:szCs w:val="19"/>
              </w:rPr>
              <w:t>Cost to PBS/RPBS less copayments - daratumumab</w:t>
            </w:r>
          </w:p>
        </w:tc>
        <w:tc>
          <w:tcPr>
            <w:tcW w:w="629" w:type="pct"/>
            <w:shd w:val="clear" w:color="auto" w:fill="auto"/>
            <w:vAlign w:val="center"/>
          </w:tcPr>
          <w:p w:rsidR="00957464" w:rsidRPr="00A655A1" w:rsidRDefault="00957464" w:rsidP="00AE6044">
            <w:pPr>
              <w:pStyle w:val="Tabletext"/>
              <w:keepNext/>
              <w:jc w:val="center"/>
              <w:rPr>
                <w:bCs/>
                <w:iCs/>
                <w:szCs w:val="20"/>
              </w:rPr>
            </w:pPr>
            <w:r w:rsidRPr="00A655A1">
              <w:rPr>
                <w:iCs/>
              </w:rPr>
              <w:t>-$</w:t>
            </w:r>
            <w:r w:rsidR="007004AE">
              <w:rPr>
                <w:rFonts w:eastAsiaTheme="majorEastAsia" w:cstheme="majorBidi"/>
                <w:bCs/>
                <w:noProof/>
                <w:snapToGrid/>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
              <w:keepNext/>
              <w:jc w:val="center"/>
              <w:rPr>
                <w:bCs/>
                <w:iCs/>
                <w:szCs w:val="20"/>
              </w:rPr>
            </w:pPr>
            <w:r w:rsidRPr="00A655A1">
              <w:rPr>
                <w:iCs/>
              </w:rPr>
              <w:t>-$</w:t>
            </w:r>
            <w:r w:rsidR="007004AE">
              <w:rPr>
                <w:rFonts w:eastAsiaTheme="majorEastAsia" w:cstheme="majorBidi"/>
                <w:bCs/>
                <w:noProof/>
                <w:snapToGrid/>
                <w:color w:val="000000"/>
                <w:szCs w:val="20"/>
                <w:highlight w:val="black"/>
              </w:rPr>
              <w:t>'''''''''''''''''''''''''''</w:t>
            </w:r>
            <w:r w:rsidR="005755CE">
              <w:rPr>
                <w:rFonts w:cs="Calibri"/>
                <w:color w:val="000000"/>
                <w:szCs w:val="20"/>
                <w:vertAlign w:val="superscript"/>
              </w:rPr>
              <w:t>8</w:t>
            </w:r>
          </w:p>
        </w:tc>
        <w:tc>
          <w:tcPr>
            <w:tcW w:w="629" w:type="pct"/>
            <w:shd w:val="clear" w:color="auto" w:fill="auto"/>
            <w:vAlign w:val="center"/>
          </w:tcPr>
          <w:p w:rsidR="00957464" w:rsidRPr="00A655A1" w:rsidRDefault="00957464" w:rsidP="00AE6044">
            <w:pPr>
              <w:pStyle w:val="Tabletext"/>
              <w:keepNext/>
              <w:jc w:val="center"/>
              <w:rPr>
                <w:bCs/>
                <w:iCs/>
                <w:szCs w:val="20"/>
              </w:rPr>
            </w:pPr>
            <w:r w:rsidRPr="00A655A1">
              <w:rPr>
                <w:iCs/>
              </w:rPr>
              <w:t>-$</w:t>
            </w:r>
            <w:r w:rsidR="007004AE">
              <w:rPr>
                <w:rFonts w:eastAsiaTheme="majorEastAsia" w:cstheme="majorBidi"/>
                <w:bCs/>
                <w:noProof/>
                <w:snapToGrid/>
                <w:color w:val="000000"/>
                <w:szCs w:val="20"/>
                <w:highlight w:val="black"/>
              </w:rPr>
              <w:t>'''''''''''''''''''''''''''</w:t>
            </w:r>
            <w:r w:rsidR="005755CE">
              <w:rPr>
                <w:rFonts w:cs="Calibri"/>
                <w:color w:val="000000"/>
                <w:szCs w:val="20"/>
                <w:vertAlign w:val="superscript"/>
              </w:rPr>
              <w:t>8</w:t>
            </w:r>
          </w:p>
        </w:tc>
        <w:tc>
          <w:tcPr>
            <w:tcW w:w="629" w:type="pct"/>
            <w:shd w:val="clear" w:color="auto" w:fill="auto"/>
            <w:vAlign w:val="center"/>
          </w:tcPr>
          <w:p w:rsidR="00957464" w:rsidRPr="00A655A1" w:rsidRDefault="00957464" w:rsidP="00AE6044">
            <w:pPr>
              <w:pStyle w:val="Tabletext"/>
              <w:keepNext/>
              <w:jc w:val="center"/>
              <w:rPr>
                <w:bCs/>
                <w:iCs/>
                <w:szCs w:val="20"/>
              </w:rPr>
            </w:pPr>
            <w:r w:rsidRPr="00A655A1">
              <w:rPr>
                <w:iCs/>
              </w:rPr>
              <w:t>-$</w:t>
            </w:r>
            <w:r w:rsidR="007004AE">
              <w:rPr>
                <w:rFonts w:eastAsiaTheme="majorEastAsia" w:cstheme="majorBidi"/>
                <w:bCs/>
                <w:noProof/>
                <w:snapToGrid/>
                <w:color w:val="000000"/>
                <w:szCs w:val="20"/>
                <w:highlight w:val="black"/>
              </w:rPr>
              <w:t>'''''''''''''''''''''''''''</w:t>
            </w:r>
            <w:r w:rsidR="005755CE">
              <w:rPr>
                <w:rFonts w:cs="Calibri"/>
                <w:color w:val="000000"/>
                <w:szCs w:val="20"/>
                <w:vertAlign w:val="superscript"/>
              </w:rPr>
              <w:t>4</w:t>
            </w:r>
          </w:p>
        </w:tc>
        <w:tc>
          <w:tcPr>
            <w:tcW w:w="629" w:type="pct"/>
            <w:shd w:val="clear" w:color="auto" w:fill="auto"/>
            <w:vAlign w:val="center"/>
          </w:tcPr>
          <w:p w:rsidR="00957464" w:rsidRPr="00A655A1" w:rsidRDefault="00957464" w:rsidP="00AE6044">
            <w:pPr>
              <w:pStyle w:val="Tabletext"/>
              <w:keepNext/>
              <w:jc w:val="center"/>
              <w:rPr>
                <w:bCs/>
                <w:iCs/>
                <w:szCs w:val="20"/>
              </w:rPr>
            </w:pPr>
            <w:r w:rsidRPr="00A655A1">
              <w:rPr>
                <w:iCs/>
              </w:rPr>
              <w:t>-$</w:t>
            </w:r>
            <w:r w:rsidR="007004AE">
              <w:rPr>
                <w:rFonts w:eastAsiaTheme="majorEastAsia" w:cstheme="majorBidi"/>
                <w:bCs/>
                <w:noProof/>
                <w:snapToGrid/>
                <w:color w:val="000000"/>
                <w:szCs w:val="20"/>
                <w:highlight w:val="black"/>
              </w:rPr>
              <w:t>''''''''''''''''''''''''''</w:t>
            </w:r>
            <w:r w:rsidR="005755CE">
              <w:rPr>
                <w:rFonts w:cs="Calibri"/>
                <w:color w:val="000000"/>
                <w:szCs w:val="20"/>
                <w:vertAlign w:val="superscript"/>
              </w:rPr>
              <w:t>5</w:t>
            </w:r>
          </w:p>
        </w:tc>
        <w:tc>
          <w:tcPr>
            <w:tcW w:w="601" w:type="pct"/>
            <w:vAlign w:val="center"/>
          </w:tcPr>
          <w:p w:rsidR="00957464" w:rsidRPr="00A655A1" w:rsidRDefault="00957464" w:rsidP="00AE6044">
            <w:pPr>
              <w:pStyle w:val="Tabletext"/>
              <w:keepNext/>
              <w:jc w:val="center"/>
              <w:rPr>
                <w:bCs/>
                <w:iCs/>
                <w:szCs w:val="20"/>
              </w:rPr>
            </w:pPr>
            <w:r w:rsidRPr="00A655A1">
              <w:rPr>
                <w:iCs/>
              </w:rPr>
              <w:t>-$</w:t>
            </w:r>
            <w:r w:rsidR="007004AE">
              <w:rPr>
                <w:rFonts w:eastAsiaTheme="majorEastAsia" w:cstheme="majorBidi"/>
                <w:bCs/>
                <w:noProof/>
                <w:snapToGrid/>
                <w:color w:val="000000"/>
                <w:szCs w:val="20"/>
                <w:highlight w:val="black"/>
              </w:rPr>
              <w:t>'''''''''''''''''''''''''</w:t>
            </w:r>
            <w:r w:rsidR="005755CE">
              <w:rPr>
                <w:rFonts w:cs="Calibri"/>
                <w:color w:val="000000"/>
                <w:szCs w:val="20"/>
                <w:vertAlign w:val="superscript"/>
              </w:rPr>
              <w:t>5</w:t>
            </w:r>
          </w:p>
        </w:tc>
      </w:tr>
      <w:tr w:rsidR="00957464" w:rsidRPr="00A655A1" w:rsidTr="00AE6044">
        <w:tc>
          <w:tcPr>
            <w:tcW w:w="1255" w:type="pct"/>
            <w:shd w:val="clear" w:color="auto" w:fill="auto"/>
            <w:vAlign w:val="center"/>
          </w:tcPr>
          <w:p w:rsidR="00957464" w:rsidRPr="00A655A1" w:rsidRDefault="00957464" w:rsidP="00AE6044">
            <w:pPr>
              <w:pStyle w:val="TableText0"/>
              <w:widowControl w:val="0"/>
              <w:rPr>
                <w:sz w:val="19"/>
                <w:szCs w:val="19"/>
                <w:vertAlign w:val="superscript"/>
              </w:rPr>
            </w:pPr>
            <w:r w:rsidRPr="00A655A1">
              <w:rPr>
                <w:sz w:val="19"/>
                <w:szCs w:val="19"/>
              </w:rPr>
              <w:t xml:space="preserve">Cost to PBS/RPBS less copayments – carfilzomib </w:t>
            </w:r>
            <w:r w:rsidRPr="00A655A1">
              <w:rPr>
                <w:sz w:val="19"/>
                <w:szCs w:val="19"/>
                <w:vertAlign w:val="superscript"/>
              </w:rPr>
              <w:t>c</w:t>
            </w:r>
          </w:p>
        </w:tc>
        <w:tc>
          <w:tcPr>
            <w:tcW w:w="629" w:type="pct"/>
            <w:shd w:val="clear" w:color="auto" w:fill="auto"/>
            <w:vAlign w:val="center"/>
          </w:tcPr>
          <w:p w:rsidR="00957464" w:rsidRPr="00A655A1" w:rsidRDefault="00957464" w:rsidP="00AE6044">
            <w:pPr>
              <w:pStyle w:val="Tabletext"/>
              <w:keepNext/>
              <w:jc w:val="center"/>
              <w:rPr>
                <w:bCs/>
                <w:iCs/>
                <w:szCs w:val="20"/>
              </w:rPr>
            </w:pPr>
            <w:r w:rsidRPr="00A655A1">
              <w:rPr>
                <w:iCs/>
              </w:rPr>
              <w:t>-$</w:t>
            </w:r>
            <w:r w:rsidR="007004AE">
              <w:rPr>
                <w:rFonts w:eastAsiaTheme="majorEastAsia" w:cstheme="majorBidi"/>
                <w:bCs/>
                <w:noProof/>
                <w:snapToGrid/>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
              <w:keepNext/>
              <w:jc w:val="center"/>
              <w:rPr>
                <w:bCs/>
                <w:iCs/>
                <w:szCs w:val="20"/>
              </w:rPr>
            </w:pPr>
            <w:r w:rsidRPr="00A655A1">
              <w:rPr>
                <w:iCs/>
              </w:rPr>
              <w:t>-$</w:t>
            </w:r>
            <w:r w:rsidR="007004AE">
              <w:rPr>
                <w:rFonts w:eastAsiaTheme="majorEastAsia" w:cstheme="majorBidi"/>
                <w:bCs/>
                <w:noProof/>
                <w:snapToGrid/>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
              <w:keepNext/>
              <w:jc w:val="center"/>
              <w:rPr>
                <w:bCs/>
                <w:iCs/>
                <w:szCs w:val="20"/>
              </w:rPr>
            </w:pPr>
            <w:r w:rsidRPr="00A655A1">
              <w:rPr>
                <w:iCs/>
              </w:rPr>
              <w:t>-$</w:t>
            </w:r>
            <w:r w:rsidR="007004AE">
              <w:rPr>
                <w:rFonts w:eastAsiaTheme="majorEastAsia" w:cstheme="majorBidi"/>
                <w:bCs/>
                <w:noProof/>
                <w:snapToGrid/>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
              <w:keepNext/>
              <w:jc w:val="center"/>
              <w:rPr>
                <w:bCs/>
                <w:iCs/>
                <w:szCs w:val="20"/>
              </w:rPr>
            </w:pPr>
            <w:r w:rsidRPr="00A655A1">
              <w:rPr>
                <w:iCs/>
              </w:rPr>
              <w:t>-$</w:t>
            </w:r>
            <w:r w:rsidR="007004AE">
              <w:rPr>
                <w:rFonts w:eastAsiaTheme="majorEastAsia" w:cstheme="majorBidi"/>
                <w:bCs/>
                <w:noProof/>
                <w:snapToGrid/>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
              <w:keepNext/>
              <w:jc w:val="center"/>
              <w:rPr>
                <w:bCs/>
                <w:iCs/>
                <w:szCs w:val="20"/>
              </w:rPr>
            </w:pPr>
            <w:r w:rsidRPr="00A655A1">
              <w:rPr>
                <w:iCs/>
              </w:rPr>
              <w:t>-$</w:t>
            </w:r>
            <w:r w:rsidR="007004AE">
              <w:rPr>
                <w:rFonts w:eastAsiaTheme="majorEastAsia" w:cstheme="majorBidi"/>
                <w:bCs/>
                <w:noProof/>
                <w:snapToGrid/>
                <w:color w:val="000000"/>
                <w:szCs w:val="20"/>
                <w:highlight w:val="black"/>
              </w:rPr>
              <w:t>''''''''''''''''''''''''''</w:t>
            </w:r>
            <w:r w:rsidR="005755CE">
              <w:rPr>
                <w:rFonts w:cs="Calibri"/>
                <w:color w:val="000000"/>
                <w:szCs w:val="20"/>
                <w:vertAlign w:val="superscript"/>
              </w:rPr>
              <w:t>7</w:t>
            </w:r>
          </w:p>
        </w:tc>
        <w:tc>
          <w:tcPr>
            <w:tcW w:w="601" w:type="pct"/>
            <w:vAlign w:val="center"/>
          </w:tcPr>
          <w:p w:rsidR="00957464" w:rsidRPr="00A655A1" w:rsidRDefault="00957464" w:rsidP="00AE6044">
            <w:pPr>
              <w:pStyle w:val="Tabletext"/>
              <w:keepNext/>
              <w:jc w:val="center"/>
              <w:rPr>
                <w:bCs/>
                <w:iCs/>
                <w:szCs w:val="20"/>
              </w:rPr>
            </w:pPr>
            <w:r w:rsidRPr="00A655A1">
              <w:rPr>
                <w:iCs/>
              </w:rPr>
              <w:t>-$</w:t>
            </w:r>
            <w:r w:rsidR="007004AE">
              <w:rPr>
                <w:rFonts w:eastAsiaTheme="majorEastAsia" w:cstheme="majorBidi"/>
                <w:bCs/>
                <w:noProof/>
                <w:snapToGrid/>
                <w:color w:val="000000"/>
                <w:szCs w:val="20"/>
                <w:highlight w:val="black"/>
              </w:rPr>
              <w:t>''''''''''''''''''''''''''</w:t>
            </w:r>
            <w:r w:rsidR="005755CE">
              <w:rPr>
                <w:rFonts w:cs="Calibri"/>
                <w:color w:val="000000"/>
                <w:szCs w:val="20"/>
                <w:vertAlign w:val="superscript"/>
              </w:rPr>
              <w:t>8</w:t>
            </w:r>
          </w:p>
        </w:tc>
      </w:tr>
      <w:tr w:rsidR="00957464" w:rsidRPr="00A655A1" w:rsidTr="00AE6044">
        <w:tc>
          <w:tcPr>
            <w:tcW w:w="1255" w:type="pct"/>
            <w:shd w:val="clear" w:color="auto" w:fill="auto"/>
            <w:vAlign w:val="center"/>
          </w:tcPr>
          <w:p w:rsidR="00957464" w:rsidRPr="00A655A1" w:rsidRDefault="00957464" w:rsidP="00AE6044">
            <w:pPr>
              <w:pStyle w:val="TableText0"/>
              <w:widowControl w:val="0"/>
              <w:rPr>
                <w:sz w:val="19"/>
                <w:szCs w:val="19"/>
              </w:rPr>
            </w:pPr>
            <w:r w:rsidRPr="00A655A1">
              <w:rPr>
                <w:sz w:val="19"/>
                <w:szCs w:val="19"/>
              </w:rPr>
              <w:t xml:space="preserve">Cost to PBS/RPBS less copayments – bortezomib </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01" w:type="pct"/>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r>
      <w:tr w:rsidR="00957464" w:rsidRPr="00A655A1" w:rsidTr="00AE6044">
        <w:tc>
          <w:tcPr>
            <w:tcW w:w="1255" w:type="pct"/>
            <w:shd w:val="clear" w:color="auto" w:fill="auto"/>
            <w:vAlign w:val="center"/>
          </w:tcPr>
          <w:p w:rsidR="00957464" w:rsidRPr="00A655A1" w:rsidRDefault="00957464" w:rsidP="00AE6044">
            <w:pPr>
              <w:pStyle w:val="TableText0"/>
              <w:widowControl w:val="0"/>
              <w:rPr>
                <w:sz w:val="19"/>
                <w:szCs w:val="19"/>
              </w:rPr>
            </w:pPr>
            <w:r w:rsidRPr="00A655A1">
              <w:rPr>
                <w:sz w:val="19"/>
                <w:szCs w:val="19"/>
              </w:rPr>
              <w:t>Cost to PBS/RPBS less copayments – dexamethasone</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01" w:type="pct"/>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r>
      <w:tr w:rsidR="00957464" w:rsidRPr="00A655A1" w:rsidTr="00AE6044">
        <w:tc>
          <w:tcPr>
            <w:tcW w:w="1255" w:type="pct"/>
            <w:shd w:val="clear" w:color="auto" w:fill="auto"/>
            <w:vAlign w:val="center"/>
          </w:tcPr>
          <w:p w:rsidR="00957464" w:rsidRPr="00A655A1" w:rsidRDefault="00957464" w:rsidP="00AE6044">
            <w:pPr>
              <w:pStyle w:val="TableText0"/>
              <w:widowControl w:val="0"/>
              <w:rPr>
                <w:sz w:val="19"/>
                <w:szCs w:val="19"/>
              </w:rPr>
            </w:pPr>
            <w:r w:rsidRPr="00A655A1">
              <w:rPr>
                <w:sz w:val="19"/>
                <w:szCs w:val="19"/>
              </w:rPr>
              <w:t xml:space="preserve">Cost to PBS/RPBS less copayments – filgrastim </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01" w:type="pct"/>
            <w:vAlign w:val="center"/>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r>
      <w:tr w:rsidR="00957464" w:rsidRPr="00A655A1" w:rsidTr="00AE6044">
        <w:tc>
          <w:tcPr>
            <w:tcW w:w="5000" w:type="pct"/>
            <w:gridSpan w:val="7"/>
            <w:shd w:val="clear" w:color="auto" w:fill="auto"/>
            <w:vAlign w:val="center"/>
          </w:tcPr>
          <w:p w:rsidR="00957464" w:rsidRPr="00A655A1" w:rsidRDefault="00957464" w:rsidP="00AE6044">
            <w:pPr>
              <w:pStyle w:val="In-tableHeading"/>
              <w:widowControl w:val="0"/>
              <w:rPr>
                <w:lang w:val="en-AU"/>
              </w:rPr>
            </w:pPr>
            <w:r w:rsidRPr="00A655A1">
              <w:rPr>
                <w:lang w:val="en-AU"/>
              </w:rPr>
              <w:t>Net financial implications</w:t>
            </w:r>
            <w:r w:rsidRPr="00A655A1">
              <w:rPr>
                <w:color w:val="4BACC6" w:themeColor="accent5"/>
                <w:lang w:val="en-AU"/>
              </w:rPr>
              <w:t xml:space="preserve"> </w:t>
            </w:r>
          </w:p>
        </w:tc>
      </w:tr>
      <w:tr w:rsidR="00957464" w:rsidRPr="00A655A1" w:rsidTr="00AE6044">
        <w:tc>
          <w:tcPr>
            <w:tcW w:w="1255" w:type="pct"/>
            <w:shd w:val="clear" w:color="auto" w:fill="auto"/>
            <w:vAlign w:val="center"/>
          </w:tcPr>
          <w:p w:rsidR="00957464" w:rsidRPr="00A655A1" w:rsidRDefault="00957464" w:rsidP="00AE6044">
            <w:pPr>
              <w:pStyle w:val="TableText0"/>
              <w:widowControl w:val="0"/>
              <w:rPr>
                <w:sz w:val="19"/>
                <w:szCs w:val="19"/>
              </w:rPr>
            </w:pPr>
            <w:r w:rsidRPr="00A655A1">
              <w:rPr>
                <w:sz w:val="19"/>
                <w:szCs w:val="19"/>
              </w:rPr>
              <w:t>Net cost to PBS/RPBS</w:t>
            </w:r>
          </w:p>
        </w:tc>
        <w:tc>
          <w:tcPr>
            <w:tcW w:w="629" w:type="pct"/>
            <w:shd w:val="clear" w:color="auto" w:fill="auto"/>
            <w:vAlign w:val="bottom"/>
          </w:tcPr>
          <w:p w:rsidR="00957464" w:rsidRPr="007004AE" w:rsidRDefault="00957464" w:rsidP="00FA5505">
            <w:pPr>
              <w:pStyle w:val="TableText0"/>
              <w:widowControl w:val="0"/>
              <w:jc w:val="center"/>
              <w:rPr>
                <w:szCs w:val="20"/>
              </w:rPr>
            </w:pPr>
            <w:r w:rsidRPr="00FA5505">
              <w:rPr>
                <w:szCs w:val="20"/>
              </w:rPr>
              <w:t>$</w:t>
            </w:r>
            <w:r w:rsidR="007004AE">
              <w:rPr>
                <w:noProof/>
                <w:color w:val="000000"/>
                <w:szCs w:val="20"/>
                <w:highlight w:val="black"/>
              </w:rPr>
              <w:t>''''''''''''''''''''''''''</w:t>
            </w:r>
            <w:r w:rsidR="005755CE">
              <w:rPr>
                <w:rFonts w:cs="Calibri"/>
                <w:color w:val="000000"/>
                <w:szCs w:val="20"/>
                <w:vertAlign w:val="superscript"/>
              </w:rPr>
              <w:t>8</w:t>
            </w:r>
          </w:p>
        </w:tc>
        <w:tc>
          <w:tcPr>
            <w:tcW w:w="629" w:type="pct"/>
            <w:shd w:val="clear" w:color="auto" w:fill="auto"/>
            <w:vAlign w:val="bottom"/>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8</w:t>
            </w:r>
          </w:p>
        </w:tc>
        <w:tc>
          <w:tcPr>
            <w:tcW w:w="629" w:type="pct"/>
            <w:shd w:val="clear" w:color="auto" w:fill="auto"/>
            <w:vAlign w:val="bottom"/>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8</w:t>
            </w:r>
          </w:p>
        </w:tc>
        <w:tc>
          <w:tcPr>
            <w:tcW w:w="629" w:type="pct"/>
            <w:shd w:val="clear" w:color="auto" w:fill="auto"/>
            <w:vAlign w:val="bottom"/>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bottom"/>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c>
          <w:tcPr>
            <w:tcW w:w="601" w:type="pct"/>
            <w:vAlign w:val="bottom"/>
          </w:tcPr>
          <w:p w:rsidR="00957464" w:rsidRPr="00A655A1" w:rsidRDefault="00957464" w:rsidP="00AE6044">
            <w:pPr>
              <w:pStyle w:val="TableText0"/>
              <w:jc w:val="center"/>
              <w:rPr>
                <w:iCs/>
              </w:rPr>
            </w:pPr>
            <w:r w:rsidRPr="00A655A1">
              <w:rPr>
                <w:iCs/>
              </w:rPr>
              <w:t>$</w:t>
            </w:r>
            <w:r w:rsidR="007004AE">
              <w:rPr>
                <w:noProof/>
                <w:color w:val="000000"/>
                <w:szCs w:val="20"/>
                <w:highlight w:val="black"/>
              </w:rPr>
              <w:t>'''''''''''''''''''''''''</w:t>
            </w:r>
            <w:r w:rsidR="005755CE">
              <w:rPr>
                <w:rFonts w:cs="Calibri"/>
                <w:color w:val="000000"/>
                <w:szCs w:val="20"/>
                <w:vertAlign w:val="superscript"/>
              </w:rPr>
              <w:t>7</w:t>
            </w:r>
          </w:p>
        </w:tc>
      </w:tr>
      <w:tr w:rsidR="00957464" w:rsidRPr="00A655A1" w:rsidTr="00AE6044">
        <w:tc>
          <w:tcPr>
            <w:tcW w:w="1255" w:type="pct"/>
            <w:shd w:val="clear" w:color="auto" w:fill="auto"/>
            <w:vAlign w:val="center"/>
          </w:tcPr>
          <w:p w:rsidR="00957464" w:rsidRPr="00A655A1" w:rsidRDefault="00957464" w:rsidP="00AE6044">
            <w:pPr>
              <w:pStyle w:val="TableText0"/>
              <w:widowControl w:val="0"/>
              <w:rPr>
                <w:rFonts w:ascii="Times" w:hAnsi="Times"/>
              </w:rPr>
            </w:pPr>
            <w:r w:rsidRPr="00A655A1">
              <w:rPr>
                <w:sz w:val="19"/>
                <w:szCs w:val="19"/>
              </w:rPr>
              <w:t>Net cost to MBS</w:t>
            </w:r>
          </w:p>
        </w:tc>
        <w:tc>
          <w:tcPr>
            <w:tcW w:w="629" w:type="pct"/>
            <w:shd w:val="clear" w:color="auto" w:fill="auto"/>
            <w:vAlign w:val="center"/>
          </w:tcPr>
          <w:p w:rsidR="00957464" w:rsidRPr="00A655A1" w:rsidRDefault="00957464" w:rsidP="00AE6044">
            <w:pPr>
              <w:pStyle w:val="TableText0"/>
              <w:widowControl w:val="0"/>
              <w:jc w:val="center"/>
            </w:pPr>
            <w:r w:rsidRPr="00A655A1">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widowControl w:val="0"/>
              <w:jc w:val="center"/>
            </w:pPr>
            <w:r w:rsidRPr="00A655A1">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widowControl w:val="0"/>
              <w:jc w:val="center"/>
            </w:pPr>
            <w:r w:rsidRPr="00A655A1">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widowControl w:val="0"/>
              <w:jc w:val="center"/>
            </w:pPr>
            <w:r w:rsidRPr="00A655A1">
              <w:t>-$</w:t>
            </w:r>
            <w:r w:rsidR="007004AE">
              <w:rPr>
                <w:noProof/>
                <w:color w:val="000000"/>
                <w:szCs w:val="20"/>
                <w:highlight w:val="black"/>
              </w:rPr>
              <w:t>'''''''''''''''''''''</w:t>
            </w:r>
            <w:r w:rsidR="005755CE">
              <w:rPr>
                <w:rFonts w:cs="Calibri"/>
                <w:color w:val="000000"/>
                <w:szCs w:val="20"/>
                <w:vertAlign w:val="superscript"/>
              </w:rPr>
              <w:t>7</w:t>
            </w:r>
          </w:p>
        </w:tc>
        <w:tc>
          <w:tcPr>
            <w:tcW w:w="629" w:type="pct"/>
            <w:shd w:val="clear" w:color="auto" w:fill="auto"/>
            <w:vAlign w:val="center"/>
          </w:tcPr>
          <w:p w:rsidR="00957464" w:rsidRPr="00A655A1" w:rsidRDefault="00957464" w:rsidP="00AE6044">
            <w:pPr>
              <w:pStyle w:val="TableText0"/>
              <w:widowControl w:val="0"/>
              <w:jc w:val="center"/>
            </w:pPr>
            <w:r w:rsidRPr="00A655A1">
              <w:t>-$</w:t>
            </w:r>
            <w:r w:rsidR="007004AE">
              <w:rPr>
                <w:noProof/>
                <w:color w:val="000000"/>
                <w:szCs w:val="20"/>
                <w:highlight w:val="black"/>
              </w:rPr>
              <w:t>'''''''''''''''''''''</w:t>
            </w:r>
            <w:r w:rsidR="005755CE">
              <w:rPr>
                <w:rFonts w:cs="Calibri"/>
                <w:color w:val="000000"/>
                <w:szCs w:val="20"/>
                <w:vertAlign w:val="superscript"/>
              </w:rPr>
              <w:t>7</w:t>
            </w:r>
          </w:p>
        </w:tc>
        <w:tc>
          <w:tcPr>
            <w:tcW w:w="601" w:type="pct"/>
            <w:vAlign w:val="center"/>
          </w:tcPr>
          <w:p w:rsidR="00957464" w:rsidRPr="007004AE" w:rsidRDefault="00957464" w:rsidP="00AE6044">
            <w:pPr>
              <w:pStyle w:val="TableText0"/>
              <w:widowControl w:val="0"/>
              <w:jc w:val="center"/>
              <w:rPr>
                <w:szCs w:val="20"/>
              </w:rPr>
            </w:pPr>
            <w:r w:rsidRPr="00FA5505">
              <w:rPr>
                <w:szCs w:val="20"/>
              </w:rPr>
              <w:t>-$</w:t>
            </w:r>
            <w:r w:rsidR="007004AE">
              <w:rPr>
                <w:noProof/>
                <w:color w:val="000000"/>
                <w:szCs w:val="20"/>
                <w:highlight w:val="black"/>
              </w:rPr>
              <w:t>''''''''''''''''''''''''</w:t>
            </w:r>
            <w:r w:rsidR="005755CE">
              <w:rPr>
                <w:rFonts w:cs="Calibri"/>
                <w:color w:val="000000"/>
                <w:szCs w:val="20"/>
                <w:vertAlign w:val="superscript"/>
              </w:rPr>
              <w:t>7</w:t>
            </w:r>
          </w:p>
        </w:tc>
      </w:tr>
      <w:tr w:rsidR="00957464" w:rsidRPr="00A655A1" w:rsidTr="00AE6044">
        <w:tc>
          <w:tcPr>
            <w:tcW w:w="1255" w:type="pct"/>
            <w:shd w:val="clear" w:color="auto" w:fill="auto"/>
            <w:vAlign w:val="center"/>
          </w:tcPr>
          <w:p w:rsidR="00957464" w:rsidRPr="00A655A1" w:rsidRDefault="00957464" w:rsidP="00AE6044">
            <w:pPr>
              <w:pStyle w:val="TableText0"/>
              <w:widowControl w:val="0"/>
              <w:rPr>
                <w:sz w:val="19"/>
                <w:szCs w:val="19"/>
              </w:rPr>
            </w:pPr>
            <w:r w:rsidRPr="00A655A1">
              <w:rPr>
                <w:sz w:val="19"/>
                <w:szCs w:val="19"/>
              </w:rPr>
              <w:t>Net cost to PBS/RPBS/MBS</w:t>
            </w:r>
          </w:p>
        </w:tc>
        <w:tc>
          <w:tcPr>
            <w:tcW w:w="629" w:type="pct"/>
            <w:shd w:val="clear" w:color="auto" w:fill="auto"/>
            <w:vAlign w:val="bottom"/>
          </w:tcPr>
          <w:p w:rsidR="00957464" w:rsidRPr="00A655A1" w:rsidRDefault="00957464" w:rsidP="00AE6044">
            <w:pPr>
              <w:pStyle w:val="TableText0"/>
              <w:widowControl w:val="0"/>
              <w:jc w:val="center"/>
            </w:pPr>
            <w:r w:rsidRPr="00A655A1">
              <w:rPr>
                <w:b/>
                <w:bCs w:val="0"/>
                <w:iCs/>
              </w:rPr>
              <w:t>$</w:t>
            </w:r>
            <w:r w:rsidR="007004AE">
              <w:rPr>
                <w:b/>
                <w:bCs w:val="0"/>
                <w:iCs/>
                <w:noProof/>
                <w:color w:val="000000"/>
                <w:highlight w:val="black"/>
              </w:rPr>
              <w:t>'''''''''''''''''''''</w:t>
            </w:r>
            <w:r w:rsidR="005755CE">
              <w:rPr>
                <w:rFonts w:cs="Calibri"/>
                <w:color w:val="000000"/>
                <w:szCs w:val="20"/>
                <w:vertAlign w:val="superscript"/>
              </w:rPr>
              <w:t>8</w:t>
            </w:r>
          </w:p>
        </w:tc>
        <w:tc>
          <w:tcPr>
            <w:tcW w:w="629" w:type="pct"/>
            <w:shd w:val="clear" w:color="auto" w:fill="auto"/>
            <w:vAlign w:val="bottom"/>
          </w:tcPr>
          <w:p w:rsidR="00957464" w:rsidRPr="00A655A1" w:rsidRDefault="00957464" w:rsidP="00AE6044">
            <w:pPr>
              <w:pStyle w:val="TableText0"/>
              <w:widowControl w:val="0"/>
              <w:jc w:val="center"/>
            </w:pPr>
            <w:r w:rsidRPr="00A655A1">
              <w:rPr>
                <w:b/>
                <w:bCs w:val="0"/>
                <w:iCs/>
              </w:rPr>
              <w:t>$</w:t>
            </w:r>
            <w:r w:rsidR="007004AE">
              <w:rPr>
                <w:b/>
                <w:bCs w:val="0"/>
                <w:iCs/>
                <w:noProof/>
                <w:color w:val="000000"/>
                <w:highlight w:val="black"/>
              </w:rPr>
              <w:t>'''''''''''''''''''''''</w:t>
            </w:r>
            <w:r w:rsidR="005755CE">
              <w:rPr>
                <w:rFonts w:cs="Calibri"/>
                <w:color w:val="000000"/>
                <w:szCs w:val="20"/>
                <w:vertAlign w:val="superscript"/>
              </w:rPr>
              <w:t>8</w:t>
            </w:r>
          </w:p>
        </w:tc>
        <w:tc>
          <w:tcPr>
            <w:tcW w:w="629" w:type="pct"/>
            <w:shd w:val="clear" w:color="auto" w:fill="auto"/>
            <w:vAlign w:val="bottom"/>
          </w:tcPr>
          <w:p w:rsidR="00957464" w:rsidRPr="00A655A1" w:rsidRDefault="00957464" w:rsidP="00AE6044">
            <w:pPr>
              <w:pStyle w:val="TableText0"/>
              <w:widowControl w:val="0"/>
              <w:jc w:val="center"/>
            </w:pPr>
            <w:r w:rsidRPr="00A655A1">
              <w:rPr>
                <w:b/>
                <w:bCs w:val="0"/>
                <w:iCs/>
              </w:rPr>
              <w:t>$</w:t>
            </w:r>
            <w:r w:rsidR="007004AE">
              <w:rPr>
                <w:b/>
                <w:bCs w:val="0"/>
                <w:iCs/>
                <w:noProof/>
                <w:color w:val="000000"/>
                <w:highlight w:val="black"/>
              </w:rPr>
              <w:t>''''''''''''''''''''</w:t>
            </w:r>
            <w:r w:rsidR="005755CE">
              <w:rPr>
                <w:rFonts w:cs="Calibri"/>
                <w:color w:val="000000"/>
                <w:szCs w:val="20"/>
                <w:vertAlign w:val="superscript"/>
              </w:rPr>
              <w:t>7</w:t>
            </w:r>
          </w:p>
        </w:tc>
        <w:tc>
          <w:tcPr>
            <w:tcW w:w="629" w:type="pct"/>
            <w:shd w:val="clear" w:color="auto" w:fill="auto"/>
            <w:vAlign w:val="bottom"/>
          </w:tcPr>
          <w:p w:rsidR="00957464" w:rsidRPr="00A655A1" w:rsidRDefault="00957464" w:rsidP="00AE6044">
            <w:pPr>
              <w:pStyle w:val="TableText0"/>
              <w:widowControl w:val="0"/>
              <w:jc w:val="center"/>
            </w:pPr>
            <w:r w:rsidRPr="00A655A1">
              <w:rPr>
                <w:b/>
                <w:bCs w:val="0"/>
                <w:iCs/>
              </w:rPr>
              <w:t>$</w:t>
            </w:r>
            <w:r w:rsidR="007004AE">
              <w:rPr>
                <w:b/>
                <w:bCs w:val="0"/>
                <w:iCs/>
                <w:noProof/>
                <w:color w:val="000000"/>
                <w:highlight w:val="black"/>
              </w:rPr>
              <w:t>'''''''''''''''''''</w:t>
            </w:r>
            <w:r w:rsidR="005755CE">
              <w:rPr>
                <w:rFonts w:cs="Calibri"/>
                <w:color w:val="000000"/>
                <w:szCs w:val="20"/>
                <w:vertAlign w:val="superscript"/>
              </w:rPr>
              <w:t>7</w:t>
            </w:r>
          </w:p>
        </w:tc>
        <w:tc>
          <w:tcPr>
            <w:tcW w:w="629" w:type="pct"/>
            <w:shd w:val="clear" w:color="auto" w:fill="auto"/>
            <w:vAlign w:val="bottom"/>
          </w:tcPr>
          <w:p w:rsidR="00957464" w:rsidRPr="00A655A1" w:rsidRDefault="00957464" w:rsidP="00AE6044">
            <w:pPr>
              <w:pStyle w:val="TableText0"/>
              <w:widowControl w:val="0"/>
              <w:jc w:val="center"/>
            </w:pPr>
            <w:r w:rsidRPr="00A655A1">
              <w:rPr>
                <w:b/>
                <w:bCs w:val="0"/>
                <w:iCs/>
              </w:rPr>
              <w:t>-$</w:t>
            </w:r>
            <w:r w:rsidR="007004AE">
              <w:rPr>
                <w:b/>
                <w:bCs w:val="0"/>
                <w:iCs/>
                <w:noProof/>
                <w:color w:val="000000"/>
                <w:highlight w:val="black"/>
              </w:rPr>
              <w:t>''''''''''''''''''''</w:t>
            </w:r>
            <w:r w:rsidR="005755CE">
              <w:rPr>
                <w:rFonts w:cs="Calibri"/>
                <w:color w:val="000000"/>
                <w:szCs w:val="20"/>
                <w:vertAlign w:val="superscript"/>
              </w:rPr>
              <w:t>7</w:t>
            </w:r>
          </w:p>
        </w:tc>
        <w:tc>
          <w:tcPr>
            <w:tcW w:w="601" w:type="pct"/>
            <w:vAlign w:val="bottom"/>
          </w:tcPr>
          <w:p w:rsidR="00957464" w:rsidRPr="00A655A1" w:rsidRDefault="00957464" w:rsidP="00AE6044">
            <w:pPr>
              <w:pStyle w:val="TableText0"/>
              <w:widowControl w:val="0"/>
              <w:jc w:val="center"/>
            </w:pPr>
            <w:r w:rsidRPr="00A655A1">
              <w:rPr>
                <w:b/>
                <w:bCs w:val="0"/>
                <w:iCs/>
              </w:rPr>
              <w:t>$</w:t>
            </w:r>
            <w:r w:rsidR="007004AE">
              <w:rPr>
                <w:b/>
                <w:bCs w:val="0"/>
                <w:iCs/>
                <w:noProof/>
                <w:color w:val="000000"/>
                <w:highlight w:val="black"/>
              </w:rPr>
              <w:t>'''''''''''''''''''''</w:t>
            </w:r>
            <w:r w:rsidR="005755CE">
              <w:rPr>
                <w:rFonts w:cs="Calibri"/>
                <w:color w:val="000000"/>
                <w:szCs w:val="20"/>
                <w:vertAlign w:val="superscript"/>
              </w:rPr>
              <w:t>7</w:t>
            </w:r>
          </w:p>
        </w:tc>
      </w:tr>
    </w:tbl>
    <w:p w:rsidR="00957464" w:rsidRPr="00A655A1" w:rsidRDefault="00957464" w:rsidP="00957464">
      <w:pPr>
        <w:pStyle w:val="TableFigureFooter"/>
      </w:pPr>
      <w:r w:rsidRPr="00A655A1">
        <w:t xml:space="preserve">Source: Table 4-8, 4-9,4-15, 4-16,4-24 pp202,203,209,210-212,216-217 of the submission. </w:t>
      </w:r>
    </w:p>
    <w:p w:rsidR="00957464" w:rsidRPr="00A655A1" w:rsidRDefault="00865474" w:rsidP="00957464">
      <w:pPr>
        <w:pStyle w:val="TableFigureFooter"/>
        <w:rPr>
          <w:rStyle w:val="CommentReference"/>
          <w:b w:val="0"/>
          <w:iCs/>
          <w:sz w:val="18"/>
          <w:szCs w:val="22"/>
        </w:rPr>
      </w:pPr>
      <w:r w:rsidRPr="00A655A1">
        <w:rPr>
          <w:iCs/>
        </w:rPr>
        <w:t xml:space="preserve">a. </w:t>
      </w:r>
      <w:r w:rsidR="00957464" w:rsidRPr="00A655A1">
        <w:rPr>
          <w:iCs/>
        </w:rPr>
        <w:t xml:space="preserve">This number included </w:t>
      </w:r>
      <w:r w:rsidR="007004AE">
        <w:rPr>
          <w:iCs/>
          <w:noProof/>
          <w:color w:val="000000"/>
          <w:highlight w:val="black"/>
        </w:rPr>
        <w:t>'''''''</w:t>
      </w:r>
      <w:r w:rsidR="00667777">
        <w:rPr>
          <w:rFonts w:cs="Calibri"/>
          <w:color w:val="000000"/>
          <w:szCs w:val="20"/>
          <w:vertAlign w:val="superscript"/>
        </w:rPr>
        <w:t>1</w:t>
      </w:r>
      <w:r w:rsidR="00957464" w:rsidRPr="00A655A1">
        <w:rPr>
          <w:iCs/>
        </w:rPr>
        <w:t xml:space="preserve"> Grandfathered Patients </w:t>
      </w:r>
    </w:p>
    <w:p w:rsidR="00957464" w:rsidRPr="00A655A1" w:rsidRDefault="00865474" w:rsidP="00957464">
      <w:pPr>
        <w:pStyle w:val="TableFigureFooter"/>
      </w:pPr>
      <w:r w:rsidRPr="00A655A1">
        <w:t xml:space="preserve">b. </w:t>
      </w:r>
      <w:r w:rsidR="00957464" w:rsidRPr="00A655A1">
        <w:t xml:space="preserve">Assuming </w:t>
      </w:r>
      <w:r w:rsidR="007004AE">
        <w:rPr>
          <w:noProof/>
          <w:color w:val="000000"/>
          <w:highlight w:val="black"/>
        </w:rPr>
        <w:t>''''''''''''''</w:t>
      </w:r>
      <w:r w:rsidR="00957464" w:rsidRPr="00A655A1">
        <w:t xml:space="preserve"> months of treatment per patient (and </w:t>
      </w:r>
      <w:r w:rsidR="007004AE">
        <w:rPr>
          <w:noProof/>
          <w:color w:val="000000"/>
          <w:highlight w:val="black"/>
        </w:rPr>
        <w:t>'''''''''</w:t>
      </w:r>
      <w:r w:rsidR="00957464" w:rsidRPr="00A655A1">
        <w:t xml:space="preserve"> months for Grandfathered patients), based on the economic model (CUA) in Section 3. </w:t>
      </w:r>
    </w:p>
    <w:p w:rsidR="00957464" w:rsidRDefault="00865474" w:rsidP="00957464">
      <w:pPr>
        <w:pStyle w:val="TableFigureFooter"/>
        <w:rPr>
          <w:szCs w:val="18"/>
        </w:rPr>
      </w:pPr>
      <w:r w:rsidRPr="00A655A1">
        <w:rPr>
          <w:szCs w:val="18"/>
        </w:rPr>
        <w:t xml:space="preserve">c. </w:t>
      </w:r>
      <w:r w:rsidR="00957464" w:rsidRPr="00A655A1">
        <w:rPr>
          <w:szCs w:val="18"/>
        </w:rPr>
        <w:t>The submission base case assumed 100% patients received the twice-weekly dosing.</w:t>
      </w:r>
    </w:p>
    <w:p w:rsidR="00825B4A" w:rsidRDefault="00825B4A" w:rsidP="00825B4A">
      <w:pPr>
        <w:pStyle w:val="TableFigureFooter"/>
        <w:spacing w:after="0"/>
        <w:contextualSpacing w:val="0"/>
        <w:rPr>
          <w:i/>
        </w:rPr>
      </w:pPr>
      <w:r w:rsidRPr="009868C4">
        <w:rPr>
          <w:i/>
        </w:rPr>
        <w:t>The redacted values correspond to the following ranges</w:t>
      </w:r>
      <w:r>
        <w:rPr>
          <w:i/>
        </w:rPr>
        <w:t xml:space="preserve">: </w:t>
      </w:r>
    </w:p>
    <w:p w:rsidR="00825B4A" w:rsidRDefault="00825B4A" w:rsidP="00825B4A">
      <w:pPr>
        <w:pStyle w:val="TableFigureFooter"/>
        <w:spacing w:after="0"/>
        <w:contextualSpacing w:val="0"/>
        <w:rPr>
          <w:i/>
        </w:rPr>
      </w:pPr>
      <w:r>
        <w:rPr>
          <w:i/>
          <w:vertAlign w:val="superscript"/>
        </w:rPr>
        <w:t>1</w:t>
      </w:r>
      <w:r>
        <w:rPr>
          <w:i/>
        </w:rPr>
        <w:t xml:space="preserve"> </w:t>
      </w:r>
      <w:r w:rsidRPr="00825B4A">
        <w:rPr>
          <w:i/>
        </w:rPr>
        <w:t>&lt; 500</w:t>
      </w:r>
    </w:p>
    <w:p w:rsidR="00825B4A" w:rsidRDefault="00825B4A" w:rsidP="00825B4A">
      <w:pPr>
        <w:pStyle w:val="TableFigureFooter"/>
        <w:spacing w:after="0"/>
        <w:contextualSpacing w:val="0"/>
        <w:rPr>
          <w:i/>
        </w:rPr>
      </w:pPr>
      <w:r>
        <w:rPr>
          <w:i/>
          <w:vertAlign w:val="superscript"/>
        </w:rPr>
        <w:t>2</w:t>
      </w:r>
      <w:r>
        <w:rPr>
          <w:i/>
        </w:rPr>
        <w:t xml:space="preserve"> </w:t>
      </w:r>
      <w:r w:rsidRPr="00825B4A">
        <w:rPr>
          <w:i/>
        </w:rPr>
        <w:t>500 to &lt; 5,000</w:t>
      </w:r>
    </w:p>
    <w:p w:rsidR="00825B4A" w:rsidRDefault="00825B4A" w:rsidP="00825B4A">
      <w:pPr>
        <w:pStyle w:val="TableFigureFooter"/>
        <w:spacing w:after="0"/>
        <w:contextualSpacing w:val="0"/>
        <w:rPr>
          <w:i/>
        </w:rPr>
      </w:pPr>
      <w:r>
        <w:rPr>
          <w:i/>
          <w:vertAlign w:val="superscript"/>
        </w:rPr>
        <w:t>3</w:t>
      </w:r>
      <w:r>
        <w:rPr>
          <w:i/>
        </w:rPr>
        <w:t xml:space="preserve"> </w:t>
      </w:r>
      <w:r w:rsidRPr="00825B4A">
        <w:rPr>
          <w:i/>
        </w:rPr>
        <w:t>5,000 to &lt; 10,000</w:t>
      </w:r>
    </w:p>
    <w:p w:rsidR="00825B4A" w:rsidRDefault="00825B4A" w:rsidP="00825B4A">
      <w:pPr>
        <w:pStyle w:val="TableFigureFooter"/>
        <w:spacing w:after="0"/>
        <w:contextualSpacing w:val="0"/>
        <w:rPr>
          <w:i/>
        </w:rPr>
      </w:pPr>
      <w:r>
        <w:rPr>
          <w:i/>
          <w:vertAlign w:val="superscript"/>
        </w:rPr>
        <w:t>4</w:t>
      </w:r>
      <w:r>
        <w:rPr>
          <w:i/>
        </w:rPr>
        <w:t xml:space="preserve"> </w:t>
      </w:r>
      <w:r w:rsidRPr="00825B4A">
        <w:rPr>
          <w:i/>
        </w:rPr>
        <w:t>$20 million to &lt; $30 million</w:t>
      </w:r>
    </w:p>
    <w:p w:rsidR="00825B4A" w:rsidRPr="009A4E42" w:rsidRDefault="00825B4A" w:rsidP="00825B4A">
      <w:pPr>
        <w:pStyle w:val="TableFigureFooter"/>
        <w:spacing w:after="0"/>
        <w:contextualSpacing w:val="0"/>
      </w:pPr>
      <w:r>
        <w:rPr>
          <w:i/>
          <w:vertAlign w:val="superscript"/>
        </w:rPr>
        <w:t xml:space="preserve">5 </w:t>
      </w:r>
      <w:r w:rsidRPr="00825B4A">
        <w:rPr>
          <w:i/>
        </w:rPr>
        <w:t>$30 million to &lt; $40 million</w:t>
      </w:r>
    </w:p>
    <w:p w:rsidR="00825B4A" w:rsidRDefault="00825B4A" w:rsidP="00825B4A">
      <w:pPr>
        <w:pStyle w:val="TableFigureFooter"/>
        <w:spacing w:after="0"/>
        <w:contextualSpacing w:val="0"/>
        <w:rPr>
          <w:i/>
        </w:rPr>
      </w:pPr>
      <w:r>
        <w:rPr>
          <w:i/>
          <w:vertAlign w:val="superscript"/>
        </w:rPr>
        <w:t>6</w:t>
      </w:r>
      <w:r>
        <w:rPr>
          <w:i/>
        </w:rPr>
        <w:t xml:space="preserve"> </w:t>
      </w:r>
      <w:r w:rsidRPr="00825B4A">
        <w:rPr>
          <w:i/>
        </w:rPr>
        <w:t>$50 million to &lt; $60 million</w:t>
      </w:r>
    </w:p>
    <w:p w:rsidR="00825B4A" w:rsidRPr="009A4E42" w:rsidRDefault="00825B4A" w:rsidP="00825B4A">
      <w:pPr>
        <w:pStyle w:val="TableFigureFooter"/>
        <w:spacing w:after="0"/>
        <w:contextualSpacing w:val="0"/>
      </w:pPr>
      <w:r>
        <w:rPr>
          <w:i/>
          <w:vertAlign w:val="superscript"/>
        </w:rPr>
        <w:t xml:space="preserve">7 </w:t>
      </w:r>
      <w:r>
        <w:rPr>
          <w:i/>
        </w:rPr>
        <w:t>$</w:t>
      </w:r>
      <w:r w:rsidRPr="00825B4A">
        <w:rPr>
          <w:i/>
        </w:rPr>
        <w:t>0 to &lt; $10 million</w:t>
      </w:r>
    </w:p>
    <w:p w:rsidR="00825B4A" w:rsidRDefault="00825B4A" w:rsidP="00825B4A">
      <w:pPr>
        <w:pStyle w:val="TableFigureFooter"/>
        <w:spacing w:after="0"/>
        <w:contextualSpacing w:val="0"/>
        <w:rPr>
          <w:i/>
        </w:rPr>
      </w:pPr>
      <w:r>
        <w:rPr>
          <w:i/>
          <w:vertAlign w:val="superscript"/>
        </w:rPr>
        <w:t>8</w:t>
      </w:r>
      <w:r>
        <w:rPr>
          <w:i/>
        </w:rPr>
        <w:t xml:space="preserve"> </w:t>
      </w:r>
      <w:r w:rsidRPr="00825B4A">
        <w:rPr>
          <w:i/>
        </w:rPr>
        <w:t>$10 million to &lt; $20 million</w:t>
      </w:r>
    </w:p>
    <w:p w:rsidR="00825B4A" w:rsidRPr="005755CE" w:rsidRDefault="00825B4A" w:rsidP="00825B4A">
      <w:pPr>
        <w:pStyle w:val="TableFigureFooter"/>
        <w:spacing w:after="0"/>
        <w:contextualSpacing w:val="0"/>
      </w:pPr>
      <w:r>
        <w:rPr>
          <w:i/>
          <w:vertAlign w:val="superscript"/>
        </w:rPr>
        <w:t xml:space="preserve">9 </w:t>
      </w:r>
      <w:r>
        <w:rPr>
          <w:i/>
        </w:rPr>
        <w:t>$</w:t>
      </w:r>
      <w:r w:rsidRPr="00825B4A">
        <w:rPr>
          <w:i/>
        </w:rPr>
        <w:t>40 million to &lt; $50 million</w:t>
      </w:r>
    </w:p>
    <w:p w:rsidR="00825B4A" w:rsidRPr="00A655A1" w:rsidRDefault="00825B4A" w:rsidP="00957464">
      <w:pPr>
        <w:pStyle w:val="TableFigureFooter"/>
      </w:pPr>
    </w:p>
    <w:p w:rsidR="00A35A2E" w:rsidRPr="00A655A1" w:rsidRDefault="00957464" w:rsidP="005755CE">
      <w:pPr>
        <w:pStyle w:val="3-BodyText"/>
      </w:pPr>
      <w:r w:rsidRPr="00A655A1">
        <w:t xml:space="preserve">The total cost to the PBS/RPBS of listing selinexor was estimated to be </w:t>
      </w:r>
      <w:r w:rsidR="005755CE" w:rsidRPr="005755CE">
        <w:t>$0 to &lt; $10 million</w:t>
      </w:r>
      <w:r w:rsidRPr="00A655A1">
        <w:t xml:space="preserve"> in Year 6, and a total of </w:t>
      </w:r>
      <w:r w:rsidR="005755CE" w:rsidRPr="005755CE">
        <w:t xml:space="preserve">$40 million to &lt; $50 </w:t>
      </w:r>
      <w:r w:rsidR="00C2787E" w:rsidRPr="005755CE">
        <w:t>million</w:t>
      </w:r>
      <w:r w:rsidR="00C2787E" w:rsidRPr="00A655A1">
        <w:t xml:space="preserve"> in</w:t>
      </w:r>
      <w:r w:rsidRPr="00A655A1">
        <w:t xml:space="preserve"> the first </w:t>
      </w:r>
      <w:r w:rsidR="00192387" w:rsidRPr="00A655A1">
        <w:t xml:space="preserve">six </w:t>
      </w:r>
      <w:r w:rsidRPr="00A655A1">
        <w:t xml:space="preserve">years of listing. </w:t>
      </w:r>
    </w:p>
    <w:p w:rsidR="00957464" w:rsidRPr="00A655A1" w:rsidRDefault="00A35A2E" w:rsidP="005755CE">
      <w:pPr>
        <w:pStyle w:val="3-BodyText"/>
      </w:pPr>
      <w:r w:rsidRPr="00A655A1">
        <w:t xml:space="preserve">DUSC noted that the assumed cost offsets for daratumumab over six years represented </w:t>
      </w:r>
      <w:r w:rsidR="005755CE" w:rsidRPr="005755CE">
        <w:rPr>
          <w:iCs/>
        </w:rPr>
        <w:t>$100 million to &lt; $200 million</w:t>
      </w:r>
      <w:r w:rsidRPr="00A655A1">
        <w:t xml:space="preserve">, which was unreasonable as DBd was not nominated as a comparator in the submission. In addition, DUSC noted that the current utilisation of Cd indicates </w:t>
      </w:r>
      <w:r w:rsidR="00192387" w:rsidRPr="00A655A1">
        <w:t>increasing use of the</w:t>
      </w:r>
      <w:r w:rsidRPr="00A655A1">
        <w:t xml:space="preserve"> once-weekly dosing </w:t>
      </w:r>
      <w:r w:rsidR="00192387" w:rsidRPr="00A655A1">
        <w:t xml:space="preserve">schedule over the </w:t>
      </w:r>
      <w:r w:rsidRPr="00A655A1">
        <w:t xml:space="preserve">twice-weekly </w:t>
      </w:r>
      <w:r w:rsidR="00192387" w:rsidRPr="00A655A1">
        <w:t xml:space="preserve">schedule, which represented 100% of the Cd use </w:t>
      </w:r>
      <w:r w:rsidRPr="00A655A1">
        <w:t>in the submission</w:t>
      </w:r>
      <w:r w:rsidR="00192387" w:rsidRPr="00A655A1">
        <w:t xml:space="preserve">. Use of the once-weekly Cd dosing schedule </w:t>
      </w:r>
      <w:r w:rsidRPr="00A655A1">
        <w:t xml:space="preserve">would considerably reduce the total </w:t>
      </w:r>
      <w:r w:rsidR="00D01D86" w:rsidRPr="00A655A1">
        <w:t>six-year</w:t>
      </w:r>
      <w:r w:rsidRPr="00A655A1">
        <w:t xml:space="preserve"> cost offset for carfilzomib. </w:t>
      </w:r>
    </w:p>
    <w:p w:rsidR="00957464" w:rsidRPr="00A655A1" w:rsidRDefault="00957464" w:rsidP="00957464">
      <w:pPr>
        <w:pStyle w:val="3-BodyText"/>
        <w:rPr>
          <w:iCs/>
          <w:color w:val="0066FF"/>
        </w:rPr>
      </w:pPr>
      <w:r w:rsidRPr="00A655A1">
        <w:t xml:space="preserve">The submission included the cost of filgrastim to account for costs associated with Grade 3-4 neutropenia during SBd treatment. </w:t>
      </w:r>
      <w:r w:rsidRPr="00A655A1">
        <w:rPr>
          <w:iCs/>
        </w:rPr>
        <w:t xml:space="preserve">This was calculated as the difference in </w:t>
      </w:r>
      <w:r w:rsidR="006D7925" w:rsidRPr="00A655A1">
        <w:rPr>
          <w:iCs/>
        </w:rPr>
        <w:t>adverse event</w:t>
      </w:r>
      <w:r w:rsidRPr="00A655A1">
        <w:rPr>
          <w:iCs/>
        </w:rPr>
        <w:t xml:space="preserve"> incidence between SBd (8.7%) and Bd (3.4%) from BOSTON and Cd (2.6%) from ENDEAVOR. The incremental difference in the occurrence of neutropenia based on DBd replacement was not presented by the submission. PBS costs associated with other </w:t>
      </w:r>
      <w:r w:rsidR="006D7925" w:rsidRPr="00A655A1">
        <w:rPr>
          <w:iCs/>
        </w:rPr>
        <w:t>adverse events</w:t>
      </w:r>
      <w:r w:rsidRPr="00A655A1">
        <w:rPr>
          <w:iCs/>
        </w:rPr>
        <w:t xml:space="preserve"> (such as propranolol for ischaemic heart disease and cardiac failure; iron infusion for anaemia, and anti-emetics for nausea) were not considered in the financial estimates. However, as these are not high cost drugs, it is unlikely that the financial estimates were impacted greatly by their omission. </w:t>
      </w:r>
      <w:r w:rsidR="00192387" w:rsidRPr="00A655A1">
        <w:rPr>
          <w:iCs/>
        </w:rPr>
        <w:t>DUSC noted that the cost of ophthalmic review was not included in the estimates, despite being mandatory in the BOSTON trial.</w:t>
      </w:r>
    </w:p>
    <w:p w:rsidR="00957464" w:rsidRPr="00A655A1" w:rsidRDefault="00957464" w:rsidP="005755CE">
      <w:pPr>
        <w:pStyle w:val="3-BodyText"/>
        <w:rPr>
          <w:color w:val="0066FF"/>
        </w:rPr>
      </w:pPr>
      <w:r w:rsidRPr="00A655A1">
        <w:t xml:space="preserve">The submission acknowledged uncertainties associated with the prevalence rate of MM, proportion of patients receiving once weekly Cd, treatment duration of SBd, compliance of treatment with SBd, uptake of SBd among eligible patients and the substitution rate of SBd versus Cd or DBd. </w:t>
      </w:r>
      <w:r w:rsidRPr="00A655A1">
        <w:rPr>
          <w:iCs/>
        </w:rPr>
        <w:t>Overall, the financial estimates appear to be sensitive to the proportion of patients receiving Cd once weekly, and the duration of SBd therapy.</w:t>
      </w:r>
      <w:r w:rsidRPr="00A655A1">
        <w:t xml:space="preserve"> </w:t>
      </w:r>
      <w:r w:rsidRPr="00A655A1">
        <w:rPr>
          <w:iCs/>
        </w:rPr>
        <w:t xml:space="preserve">Uncertainties in the TTNT for DBd resulted in a higher net cost to the Government in Years 5 and 6 (difference of </w:t>
      </w:r>
      <w:r w:rsidR="005755CE" w:rsidRPr="005755CE">
        <w:rPr>
          <w:iCs/>
        </w:rPr>
        <w:t xml:space="preserve">$10 million to &lt; $20 </w:t>
      </w:r>
      <w:r w:rsidR="00C2787E" w:rsidRPr="005755CE">
        <w:rPr>
          <w:iCs/>
        </w:rPr>
        <w:t>million</w:t>
      </w:r>
      <w:r w:rsidR="00C2787E" w:rsidRPr="00A655A1">
        <w:rPr>
          <w:iCs/>
        </w:rPr>
        <w:t xml:space="preserve"> and</w:t>
      </w:r>
      <w:r w:rsidRPr="00A655A1">
        <w:rPr>
          <w:iCs/>
        </w:rPr>
        <w:t xml:space="preserve"> </w:t>
      </w:r>
      <w:r w:rsidR="005755CE" w:rsidRPr="005755CE">
        <w:rPr>
          <w:iCs/>
        </w:rPr>
        <w:t>$0 to &lt; $10 million</w:t>
      </w:r>
      <w:r w:rsidR="005755CE">
        <w:rPr>
          <w:iCs/>
        </w:rPr>
        <w:t xml:space="preserve"> </w:t>
      </w:r>
      <w:r w:rsidRPr="00A655A1">
        <w:rPr>
          <w:iCs/>
        </w:rPr>
        <w:t>respectively).</w:t>
      </w:r>
      <w:r w:rsidRPr="00A655A1">
        <w:rPr>
          <w:i/>
          <w:iCs/>
        </w:rPr>
        <w:t xml:space="preserve"> </w:t>
      </w:r>
      <w:r w:rsidRPr="00A655A1">
        <w:t xml:space="preserve">The results of these sensitivity analyses and those conducted during the evaluation are presented in </w:t>
      </w:r>
      <w:r w:rsidR="007F0F64">
        <w:t>Table 27</w:t>
      </w:r>
      <w:r w:rsidRPr="00A655A1">
        <w:t>.</w:t>
      </w:r>
    </w:p>
    <w:p w:rsidR="00957464" w:rsidRPr="00A655A1" w:rsidRDefault="00957464" w:rsidP="00957464">
      <w:pPr>
        <w:pStyle w:val="TableFigureHeading"/>
        <w:rPr>
          <w:b w:val="0"/>
          <w:bCs w:val="0"/>
        </w:rPr>
      </w:pPr>
      <w:bookmarkStart w:id="54" w:name="_Ref69406776"/>
      <w:r w:rsidRPr="00A655A1">
        <w:t>Table</w:t>
      </w:r>
      <w:r w:rsidRPr="00A655A1">
        <w:rPr>
          <w:b w:val="0"/>
          <w:bCs w:val="0"/>
        </w:rPr>
        <w:t xml:space="preserve"> </w:t>
      </w:r>
      <w:bookmarkEnd w:id="54"/>
      <w:r w:rsidRPr="00A655A1">
        <w:rPr>
          <w:bCs w:val="0"/>
        </w:rPr>
        <w:t>27</w:t>
      </w:r>
      <w:r w:rsidRPr="00A655A1">
        <w:rPr>
          <w:rStyle w:val="TableFigureHeadingChar"/>
          <w:b/>
          <w:bCs/>
        </w:rPr>
        <w:t>: Results of sensitivity analyses</w:t>
      </w:r>
      <w:r w:rsidRPr="00A655A1">
        <w:rPr>
          <w:b w:val="0"/>
          <w:bCs w:val="0"/>
        </w:rPr>
        <w:t xml:space="preserve"> </w:t>
      </w:r>
      <w:r w:rsidRPr="00A655A1">
        <w:t>(Net Impact PBS/RPBS/MBS Effective price of selinexor and Published price for comparators)</w:t>
      </w:r>
    </w:p>
    <w:tbl>
      <w:tblPr>
        <w:tblW w:w="5000" w:type="pct"/>
        <w:tblLayout w:type="fixed"/>
        <w:tblCellMar>
          <w:left w:w="28" w:type="dxa"/>
          <w:right w:w="28" w:type="dxa"/>
        </w:tblCellMar>
        <w:tblLook w:val="04A0" w:firstRow="1" w:lastRow="0" w:firstColumn="1" w:lastColumn="0" w:noHBand="0" w:noVBand="1"/>
      </w:tblPr>
      <w:tblGrid>
        <w:gridCol w:w="2906"/>
        <w:gridCol w:w="1107"/>
        <w:gridCol w:w="995"/>
        <w:gridCol w:w="994"/>
        <w:gridCol w:w="1009"/>
        <w:gridCol w:w="977"/>
        <w:gridCol w:w="1029"/>
      </w:tblGrid>
      <w:tr w:rsidR="00957464" w:rsidRPr="00A655A1" w:rsidTr="00AE6044">
        <w:trPr>
          <w:trHeight w:val="252"/>
          <w:tblHeader/>
        </w:trPr>
        <w:tc>
          <w:tcPr>
            <w:tcW w:w="2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widowControl w:val="0"/>
              <w:jc w:val="center"/>
              <w:rPr>
                <w:b/>
                <w:bCs w:val="0"/>
              </w:rPr>
            </w:pPr>
            <w:r w:rsidRPr="00A655A1">
              <w:rPr>
                <w:b/>
                <w:bCs w:val="0"/>
              </w:rPr>
              <w:t>Scenario</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464" w:rsidRPr="00A655A1" w:rsidRDefault="00957464" w:rsidP="00AE6044">
            <w:pPr>
              <w:pStyle w:val="TableText0"/>
              <w:widowControl w:val="0"/>
              <w:jc w:val="center"/>
              <w:rPr>
                <w:b/>
                <w:bCs w:val="0"/>
              </w:rPr>
            </w:pPr>
            <w:r w:rsidRPr="00A655A1">
              <w:rPr>
                <w:b/>
                <w:bCs w:val="0"/>
              </w:rPr>
              <w:t>Year 1 (2021)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464" w:rsidRPr="00A655A1" w:rsidRDefault="00957464" w:rsidP="00AE6044">
            <w:pPr>
              <w:pStyle w:val="TableText0"/>
              <w:widowControl w:val="0"/>
              <w:jc w:val="center"/>
              <w:rPr>
                <w:b/>
                <w:bCs w:val="0"/>
              </w:rPr>
            </w:pPr>
            <w:r w:rsidRPr="00A655A1">
              <w:rPr>
                <w:b/>
                <w:bCs w:val="0"/>
              </w:rPr>
              <w:t xml:space="preserve">Year 2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464" w:rsidRPr="00A655A1" w:rsidRDefault="00957464" w:rsidP="00AE6044">
            <w:pPr>
              <w:pStyle w:val="TableText0"/>
              <w:widowControl w:val="0"/>
              <w:jc w:val="center"/>
              <w:rPr>
                <w:b/>
                <w:bCs w:val="0"/>
              </w:rPr>
            </w:pPr>
            <w:r w:rsidRPr="00A655A1">
              <w:rPr>
                <w:b/>
                <w:bCs w:val="0"/>
              </w:rPr>
              <w:t>Year 3</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464" w:rsidRPr="00A655A1" w:rsidRDefault="00957464" w:rsidP="00AE6044">
            <w:pPr>
              <w:pStyle w:val="TableText0"/>
              <w:widowControl w:val="0"/>
              <w:jc w:val="center"/>
              <w:rPr>
                <w:b/>
                <w:bCs w:val="0"/>
              </w:rPr>
            </w:pPr>
            <w:r w:rsidRPr="00A655A1">
              <w:rPr>
                <w:b/>
                <w:bCs w:val="0"/>
              </w:rPr>
              <w:t>Year 4</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464" w:rsidRPr="00A655A1" w:rsidRDefault="00957464" w:rsidP="00AE6044">
            <w:pPr>
              <w:pStyle w:val="TableText0"/>
              <w:widowControl w:val="0"/>
              <w:jc w:val="center"/>
              <w:rPr>
                <w:b/>
                <w:bCs w:val="0"/>
              </w:rPr>
            </w:pPr>
            <w:r w:rsidRPr="00A655A1">
              <w:rPr>
                <w:b/>
                <w:bCs w:val="0"/>
              </w:rPr>
              <w:t>Year 5</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464" w:rsidRPr="00A655A1" w:rsidRDefault="00957464" w:rsidP="00AE6044">
            <w:pPr>
              <w:pStyle w:val="TableText0"/>
              <w:widowControl w:val="0"/>
              <w:jc w:val="center"/>
              <w:rPr>
                <w:b/>
                <w:bCs w:val="0"/>
              </w:rPr>
            </w:pPr>
            <w:r w:rsidRPr="00A655A1">
              <w:rPr>
                <w:b/>
                <w:bCs w:val="0"/>
              </w:rPr>
              <w:t>Year 6</w:t>
            </w:r>
          </w:p>
        </w:tc>
      </w:tr>
      <w:tr w:rsidR="00957464" w:rsidRPr="00A655A1" w:rsidTr="00AE6044">
        <w:trPr>
          <w:trHeight w:val="252"/>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464" w:rsidRPr="00A655A1" w:rsidRDefault="00957464" w:rsidP="00AE6044">
            <w:pPr>
              <w:pStyle w:val="TableText0"/>
              <w:widowControl w:val="0"/>
            </w:pPr>
            <w:r w:rsidRPr="00A655A1">
              <w:rPr>
                <w:b/>
                <w:bCs w:val="0"/>
              </w:rPr>
              <w:t>Base case</w:t>
            </w:r>
            <w:r w:rsidRPr="00A655A1">
              <w:t xml:space="preserve"> </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1</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1</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2</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2</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2</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2</w:t>
            </w:r>
          </w:p>
        </w:tc>
      </w:tr>
      <w:tr w:rsidR="00957464" w:rsidRPr="00A655A1" w:rsidTr="00AE6044">
        <w:trPr>
          <w:trHeight w:val="252"/>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464" w:rsidRPr="00A655A1" w:rsidRDefault="00957464" w:rsidP="00AE6044">
            <w:pPr>
              <w:pStyle w:val="TableText0"/>
              <w:widowControl w:val="0"/>
            </w:pPr>
            <w:r w:rsidRPr="00A655A1">
              <w:t xml:space="preserve">100% receiving once-weekly Cd </w:t>
            </w:r>
          </w:p>
        </w:tc>
        <w:tc>
          <w:tcPr>
            <w:tcW w:w="1107" w:type="dxa"/>
            <w:tcBorders>
              <w:top w:val="single" w:sz="4" w:space="0" w:color="auto"/>
              <w:left w:val="single" w:sz="4" w:space="0" w:color="auto"/>
              <w:bottom w:val="single" w:sz="4" w:space="0" w:color="auto"/>
              <w:right w:val="single" w:sz="4" w:space="0" w:color="auto"/>
            </w:tcBorders>
            <w:shd w:val="clear" w:color="auto" w:fill="auto"/>
            <w:noWrap/>
            <w:hideMark/>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2</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2</w:t>
            </w:r>
          </w:p>
        </w:tc>
        <w:tc>
          <w:tcPr>
            <w:tcW w:w="1009" w:type="dxa"/>
            <w:tcBorders>
              <w:top w:val="single" w:sz="4" w:space="0" w:color="auto"/>
              <w:left w:val="single" w:sz="4" w:space="0" w:color="auto"/>
              <w:bottom w:val="single" w:sz="4" w:space="0" w:color="auto"/>
              <w:right w:val="single" w:sz="4" w:space="0" w:color="auto"/>
            </w:tcBorders>
            <w:shd w:val="clear" w:color="auto" w:fill="auto"/>
            <w:noWrap/>
            <w:hideMark/>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2</w:t>
            </w:r>
          </w:p>
        </w:tc>
        <w:tc>
          <w:tcPr>
            <w:tcW w:w="977" w:type="dxa"/>
            <w:tcBorders>
              <w:top w:val="single" w:sz="4" w:space="0" w:color="auto"/>
              <w:left w:val="single" w:sz="4" w:space="0" w:color="auto"/>
              <w:bottom w:val="single" w:sz="4" w:space="0" w:color="auto"/>
              <w:right w:val="single" w:sz="4" w:space="0" w:color="auto"/>
            </w:tcBorders>
            <w:shd w:val="clear" w:color="auto" w:fill="auto"/>
            <w:noWrap/>
            <w:hideMark/>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2</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rsidR="00957464" w:rsidRPr="00A655A1" w:rsidRDefault="00957464" w:rsidP="00AE6044">
            <w:pPr>
              <w:pStyle w:val="TableText0"/>
              <w:ind w:left="-21"/>
              <w:jc w:val="center"/>
            </w:pPr>
            <w:r w:rsidRPr="00A655A1">
              <w:t>-$</w:t>
            </w:r>
            <w:r w:rsidR="007004AE">
              <w:rPr>
                <w:noProof/>
                <w:color w:val="000000"/>
                <w:highlight w:val="black"/>
              </w:rPr>
              <w:t>'''''''''''''''''''''''''</w:t>
            </w:r>
            <w:r w:rsidR="00E11A76">
              <w:rPr>
                <w:rFonts w:cs="Calibri"/>
                <w:color w:val="000000"/>
                <w:szCs w:val="20"/>
                <w:vertAlign w:val="superscript"/>
              </w:rPr>
              <w:t>1</w:t>
            </w:r>
          </w:p>
        </w:tc>
      </w:tr>
      <w:tr w:rsidR="00957464" w:rsidRPr="00A655A1" w:rsidTr="00AE6044">
        <w:trPr>
          <w:trHeight w:val="252"/>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464" w:rsidRPr="00A655A1" w:rsidRDefault="00957464" w:rsidP="00AE6044">
            <w:pPr>
              <w:pStyle w:val="TableText0"/>
              <w:widowControl w:val="0"/>
            </w:pPr>
            <w:r w:rsidRPr="00A655A1">
              <w:t xml:space="preserve">SBd substitution rate vs DBd low (2.5-5% vs 5-7.5%) </w:t>
            </w:r>
            <w:r w:rsidRPr="00A655A1">
              <w:rPr>
                <w:vertAlign w:val="superscript"/>
              </w:rPr>
              <w:t>c</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1</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1</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1</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2</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1</w:t>
            </w:r>
          </w:p>
        </w:tc>
      </w:tr>
      <w:tr w:rsidR="00957464" w:rsidRPr="00A655A1" w:rsidTr="00AE6044">
        <w:trPr>
          <w:trHeight w:val="252"/>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464" w:rsidRPr="00A655A1" w:rsidRDefault="00957464" w:rsidP="00AE6044">
            <w:pPr>
              <w:pStyle w:val="TableText0"/>
              <w:widowControl w:val="0"/>
            </w:pPr>
            <w:r w:rsidRPr="00A655A1">
              <w:t xml:space="preserve">SBd substitution rate vs DBd high (7.5-10% vs 5-7.5%) </w:t>
            </w:r>
            <w:r w:rsidRPr="00A655A1">
              <w:rPr>
                <w:vertAlign w:val="superscript"/>
              </w:rPr>
              <w:t>d</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1</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2</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2</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2</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2</w:t>
            </w:r>
          </w:p>
        </w:tc>
      </w:tr>
      <w:tr w:rsidR="00957464" w:rsidRPr="00A655A1" w:rsidTr="00AE6044">
        <w:trPr>
          <w:trHeight w:val="252"/>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957464" w:rsidRPr="00A655A1" w:rsidRDefault="00957464" w:rsidP="00AE6044">
            <w:pPr>
              <w:pStyle w:val="TableText0"/>
              <w:widowControl w:val="0"/>
            </w:pPr>
            <w:r w:rsidRPr="00A655A1">
              <w:t>TTNT for DBd of 25.4 months (base case – 33 months)</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1</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1</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2</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2</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2</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464" w:rsidRPr="00A655A1" w:rsidRDefault="00957464" w:rsidP="00AE6044">
            <w:pPr>
              <w:pStyle w:val="TableText0"/>
              <w:jc w:val="center"/>
            </w:pPr>
            <w:r w:rsidRPr="00A655A1">
              <w:t>$</w:t>
            </w:r>
            <w:r w:rsidR="007004AE">
              <w:rPr>
                <w:noProof/>
                <w:color w:val="000000"/>
                <w:highlight w:val="black"/>
              </w:rPr>
              <w:t>''''''''''''''''''''''</w:t>
            </w:r>
            <w:r w:rsidR="00E11A76">
              <w:rPr>
                <w:rFonts w:cs="Calibri"/>
                <w:color w:val="000000"/>
                <w:szCs w:val="20"/>
                <w:vertAlign w:val="superscript"/>
              </w:rPr>
              <w:t>2</w:t>
            </w:r>
          </w:p>
        </w:tc>
      </w:tr>
      <w:tr w:rsidR="00957464" w:rsidRPr="00A655A1" w:rsidTr="00AE6044">
        <w:trPr>
          <w:trHeight w:val="252"/>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957464" w:rsidRPr="00A655A1" w:rsidRDefault="00957464" w:rsidP="00AE6044">
            <w:pPr>
              <w:pStyle w:val="TableText0"/>
              <w:widowControl w:val="0"/>
            </w:pPr>
            <w:r w:rsidRPr="00A655A1">
              <w:t>Selinexor 100% dose intensity and provision of 20-pack only (base case – 80% dose intensity; 48.4% 20-pack and 51.57% 16-pack)</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1</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1</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1</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2</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464" w:rsidRPr="00A655A1" w:rsidRDefault="00957464" w:rsidP="00AE6044">
            <w:pPr>
              <w:pStyle w:val="TableText0"/>
              <w:jc w:val="center"/>
            </w:pPr>
            <w:r w:rsidRPr="00A655A1">
              <w:t>$</w:t>
            </w:r>
            <w:r w:rsidR="007004AE">
              <w:rPr>
                <w:noProof/>
                <w:color w:val="000000"/>
                <w:highlight w:val="black"/>
              </w:rPr>
              <w:t>'''''''''''''''''''''''''</w:t>
            </w:r>
            <w:r w:rsidR="005755CE">
              <w:rPr>
                <w:rFonts w:cs="Calibri"/>
                <w:color w:val="000000"/>
                <w:szCs w:val="20"/>
                <w:vertAlign w:val="superscript"/>
              </w:rPr>
              <w:t>1</w:t>
            </w:r>
          </w:p>
        </w:tc>
      </w:tr>
    </w:tbl>
    <w:p w:rsidR="00957464" w:rsidRPr="00A655A1" w:rsidRDefault="00957464" w:rsidP="00957464">
      <w:pPr>
        <w:pStyle w:val="TableFigureFooter"/>
        <w:spacing w:after="200"/>
        <w:rPr>
          <w:rFonts w:eastAsia="Batang"/>
          <w:snapToGrid/>
        </w:rPr>
      </w:pPr>
      <w:r w:rsidRPr="00A655A1">
        <w:rPr>
          <w:rFonts w:cs="Cordia New"/>
          <w:szCs w:val="18"/>
          <w:lang w:eastAsia="en-US"/>
        </w:rPr>
        <w:t xml:space="preserve">Source: </w:t>
      </w:r>
      <w:r w:rsidRPr="00A655A1">
        <w:t xml:space="preserve">Table 4-25, pp219-222 of the submission and </w:t>
      </w:r>
      <w:r w:rsidRPr="00A655A1">
        <w:rPr>
          <w:rFonts w:cs="Cordia New"/>
          <w:szCs w:val="18"/>
          <w:lang w:eastAsia="en-US"/>
        </w:rPr>
        <w:t xml:space="preserve">Developed during the evaluation </w:t>
      </w:r>
      <w:r w:rsidRPr="00A655A1">
        <w:rPr>
          <w:rFonts w:eastAsia="Batang"/>
          <w:snapToGrid/>
        </w:rPr>
        <w:t>using Section 4 worksheet</w:t>
      </w:r>
    </w:p>
    <w:p w:rsidR="00957464" w:rsidRPr="00A655A1" w:rsidRDefault="00957464" w:rsidP="00957464">
      <w:pPr>
        <w:pStyle w:val="TableFigureFooter"/>
        <w:rPr>
          <w:szCs w:val="18"/>
        </w:rPr>
      </w:pPr>
      <w:r w:rsidRPr="00A655A1">
        <w:t>Cd = carfilzomib + dexamethasone; DBd = daratumumab + bortezomib + dexamethasone; PBS = Pharmaceutical Benefits Schedule; MBS = Medicare Benefits Scheme</w:t>
      </w:r>
      <w:r w:rsidRPr="00A655A1">
        <w:rPr>
          <w:szCs w:val="18"/>
        </w:rPr>
        <w:t xml:space="preserve">; RPBS = Repatriation Schedule of Pharmaceutical Benefits; TTNT = time to next treatment </w:t>
      </w:r>
    </w:p>
    <w:p w:rsidR="00957464" w:rsidRDefault="00957464" w:rsidP="00957464">
      <w:pPr>
        <w:pStyle w:val="TableFigureFooter"/>
        <w:rPr>
          <w:iCs/>
        </w:rPr>
      </w:pPr>
      <w:r w:rsidRPr="00A655A1">
        <w:rPr>
          <w:szCs w:val="18"/>
        </w:rPr>
        <w:t xml:space="preserve">Note: </w:t>
      </w:r>
      <w:r w:rsidRPr="00A655A1">
        <w:rPr>
          <w:iCs/>
          <w:szCs w:val="18"/>
        </w:rPr>
        <w:t xml:space="preserve">Prices </w:t>
      </w:r>
      <w:r w:rsidR="009F02A6" w:rsidRPr="00A655A1">
        <w:rPr>
          <w:iCs/>
          <w:szCs w:val="18"/>
        </w:rPr>
        <w:t>are corrected -</w:t>
      </w:r>
      <w:r w:rsidRPr="00A655A1">
        <w:rPr>
          <w:iCs/>
          <w:szCs w:val="18"/>
        </w:rPr>
        <w:t xml:space="preserve"> </w:t>
      </w:r>
      <w:r w:rsidRPr="00A655A1">
        <w:rPr>
          <w:iCs/>
        </w:rPr>
        <w:t>the submission included calculation errors in the sensitivity analyses where the PBS/RPBS cost of selinexor and MBS items were double counted.</w:t>
      </w:r>
    </w:p>
    <w:p w:rsidR="005755CE" w:rsidRDefault="005755CE" w:rsidP="005755CE">
      <w:pPr>
        <w:pStyle w:val="TableFigureFooter"/>
        <w:spacing w:after="0"/>
        <w:contextualSpacing w:val="0"/>
        <w:rPr>
          <w:i/>
        </w:rPr>
      </w:pPr>
      <w:r w:rsidRPr="009868C4">
        <w:rPr>
          <w:i/>
        </w:rPr>
        <w:t>The redacted values correspond to the following ranges</w:t>
      </w:r>
      <w:r>
        <w:rPr>
          <w:i/>
        </w:rPr>
        <w:t xml:space="preserve">: </w:t>
      </w:r>
    </w:p>
    <w:p w:rsidR="005755CE" w:rsidRDefault="005755CE" w:rsidP="005755CE">
      <w:pPr>
        <w:pStyle w:val="TableFigureFooter"/>
        <w:spacing w:after="0"/>
        <w:contextualSpacing w:val="0"/>
        <w:rPr>
          <w:i/>
        </w:rPr>
      </w:pPr>
      <w:r>
        <w:rPr>
          <w:i/>
          <w:vertAlign w:val="superscript"/>
        </w:rPr>
        <w:t>1</w:t>
      </w:r>
      <w:r>
        <w:rPr>
          <w:i/>
        </w:rPr>
        <w:t xml:space="preserve"> </w:t>
      </w:r>
      <w:r w:rsidRPr="005755CE">
        <w:rPr>
          <w:i/>
        </w:rPr>
        <w:t>$10 million to &lt; $20 million</w:t>
      </w:r>
    </w:p>
    <w:p w:rsidR="005755CE" w:rsidRDefault="005755CE" w:rsidP="005755CE">
      <w:pPr>
        <w:pStyle w:val="TableFigureFooter"/>
        <w:spacing w:after="0"/>
        <w:contextualSpacing w:val="0"/>
        <w:rPr>
          <w:i/>
        </w:rPr>
      </w:pPr>
      <w:r>
        <w:rPr>
          <w:i/>
          <w:vertAlign w:val="superscript"/>
        </w:rPr>
        <w:t>2</w:t>
      </w:r>
      <w:r>
        <w:rPr>
          <w:i/>
        </w:rPr>
        <w:t xml:space="preserve"> </w:t>
      </w:r>
      <w:r w:rsidRPr="005755CE">
        <w:rPr>
          <w:i/>
        </w:rPr>
        <w:t>$0 to &lt; $10 million</w:t>
      </w:r>
    </w:p>
    <w:p w:rsidR="005755CE" w:rsidRPr="00A655A1" w:rsidRDefault="005755CE" w:rsidP="00957464">
      <w:pPr>
        <w:pStyle w:val="TableFigureFooter"/>
        <w:rPr>
          <w:i/>
          <w:iCs/>
          <w:szCs w:val="18"/>
        </w:rPr>
      </w:pPr>
    </w:p>
    <w:p w:rsidR="00983C38" w:rsidRPr="00A655A1" w:rsidRDefault="00957464" w:rsidP="005755CE">
      <w:pPr>
        <w:pStyle w:val="3-BodyText"/>
        <w:rPr>
          <w:rFonts w:eastAsiaTheme="majorEastAsia" w:cstheme="majorBidi"/>
          <w:b/>
          <w:u w:val="single"/>
        </w:rPr>
      </w:pPr>
      <w:r w:rsidRPr="00A655A1">
        <w:t xml:space="preserve">The submission estimated </w:t>
      </w:r>
      <w:r w:rsidR="005755CE" w:rsidRPr="005755CE">
        <w:rPr>
          <w:color w:val="000000" w:themeColor="text1"/>
        </w:rPr>
        <w:t>&lt; 500</w:t>
      </w:r>
      <w:r w:rsidRPr="00A655A1">
        <w:t xml:space="preserve"> RRMM patients receiving compassionate access and eligible for PBS funded treatment through the </w:t>
      </w:r>
      <w:r w:rsidR="006D7925" w:rsidRPr="00A655A1">
        <w:t>g</w:t>
      </w:r>
      <w:r w:rsidRPr="00A655A1">
        <w:t xml:space="preserve">randfather restriction. For these patients it was assumed that patients had received an average of 6 months treatment at the PBS listing of SBd and thus a duration of therapy of 6.73 months (i.e. 6 months subtracted from the estimated PBS treatment duration), consistent with a total of 11.07 cycles. </w:t>
      </w:r>
      <w:r w:rsidRPr="00A655A1">
        <w:rPr>
          <w:iCs/>
        </w:rPr>
        <w:t>These patients were appropriately incorporated into the financial estimates presented by the submission.</w:t>
      </w:r>
    </w:p>
    <w:p w:rsidR="00697C64" w:rsidRPr="00A655A1" w:rsidRDefault="00697C64" w:rsidP="00697C64">
      <w:pPr>
        <w:pStyle w:val="3-BodyText"/>
        <w:numPr>
          <w:ilvl w:val="0"/>
          <w:numId w:val="0"/>
        </w:numPr>
        <w:ind w:left="720"/>
        <w:rPr>
          <w:rFonts w:eastAsiaTheme="majorEastAsia" w:cstheme="majorBidi"/>
          <w:b/>
          <w:color w:val="000000" w:themeColor="text1"/>
          <w:u w:val="single"/>
        </w:rPr>
      </w:pPr>
      <w:r w:rsidRPr="00A655A1">
        <w:rPr>
          <w:i/>
        </w:rPr>
        <w:t>For more detail on PBAC’s view, see section 7 PBAC outcome.</w:t>
      </w:r>
    </w:p>
    <w:bookmarkEnd w:id="51"/>
    <w:p w:rsidR="00BE31BE" w:rsidRPr="00A655A1" w:rsidRDefault="00BE31BE" w:rsidP="00C2787E">
      <w:pPr>
        <w:pStyle w:val="4-SubsectionHeading"/>
        <w:keepNext w:val="0"/>
        <w:keepLines/>
        <w:widowControl w:val="0"/>
      </w:pPr>
      <w:r w:rsidRPr="00A655A1">
        <w:t>Quality use of medicines</w:t>
      </w:r>
    </w:p>
    <w:p w:rsidR="00BE31BE" w:rsidRPr="00A655A1" w:rsidRDefault="00BE31BE" w:rsidP="00C2787E">
      <w:pPr>
        <w:pStyle w:val="3-BodyText"/>
        <w:keepLines/>
        <w:widowControl w:val="0"/>
      </w:pPr>
      <w:r w:rsidRPr="00A655A1">
        <w:t>The submission did not provide discussion of quality use of medicines. DUSC expressed concern that the quality use of medicines issues for this first in class medication with significant toxicities was not addressed in the submission. DUSC considered that as the sponsor has knowledge of both trial data and overseas use, this should form a comprehensive training and education program such that practitioners are well-equipped to handle selinex</w:t>
      </w:r>
      <w:r w:rsidR="00C2787E">
        <w:t>or’s adverse event profile.</w:t>
      </w:r>
    </w:p>
    <w:p w:rsidR="00BE31BE" w:rsidRPr="00A655A1" w:rsidRDefault="00BE31BE" w:rsidP="00C2787E">
      <w:pPr>
        <w:pStyle w:val="3-BodyText"/>
        <w:keepLines/>
        <w:widowControl w:val="0"/>
        <w:rPr>
          <w:i/>
          <w:iCs/>
        </w:rPr>
      </w:pPr>
      <w:r w:rsidRPr="00A655A1">
        <w:t xml:space="preserve">The pre-PBAC response indicated that the sponsor was preparing a multi-stakeholder quality use of medicines approach for haematologists, nurses, pharmacists and patients to ensure minimisation of </w:t>
      </w:r>
      <w:r w:rsidR="00081E64" w:rsidRPr="00A655A1">
        <w:t>adverse events</w:t>
      </w:r>
      <w:r w:rsidRPr="00A655A1">
        <w:t xml:space="preserve"> and optimised treatment.</w:t>
      </w:r>
    </w:p>
    <w:p w:rsidR="00707864" w:rsidRPr="00A655A1" w:rsidRDefault="00707864" w:rsidP="00C2787E">
      <w:pPr>
        <w:pStyle w:val="2-SectionHeading"/>
        <w:keepNext w:val="0"/>
        <w:keepLines/>
        <w:widowControl w:val="0"/>
      </w:pPr>
      <w:r w:rsidRPr="00A655A1">
        <w:t>PBAC Outcome</w:t>
      </w:r>
    </w:p>
    <w:p w:rsidR="000F35EA" w:rsidRPr="00A655A1" w:rsidRDefault="000F35EA" w:rsidP="00C2787E">
      <w:pPr>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The PBAC did not recommend selinexor, in combination with bortezomib and dexamethasone (SBd), for the treatment of relapsed and/or refractory multiple myeloma (RRMM). The PBAC noted that SBd provided, for some patients, a</w:t>
      </w:r>
      <w:r w:rsidR="00501381" w:rsidRPr="00A655A1">
        <w:rPr>
          <w:rFonts w:asciiTheme="minorHAnsi" w:hAnsiTheme="minorHAnsi"/>
          <w:bCs/>
          <w:snapToGrid w:val="0"/>
        </w:rPr>
        <w:t>n</w:t>
      </w:r>
      <w:r w:rsidRPr="00A655A1">
        <w:rPr>
          <w:rFonts w:asciiTheme="minorHAnsi" w:hAnsiTheme="minorHAnsi"/>
          <w:bCs/>
          <w:snapToGrid w:val="0"/>
        </w:rPr>
        <w:t xml:space="preserve"> improvement in </w:t>
      </w:r>
      <w:r w:rsidR="00501381" w:rsidRPr="00A655A1">
        <w:rPr>
          <w:rFonts w:asciiTheme="minorHAnsi" w:hAnsiTheme="minorHAnsi"/>
          <w:bCs/>
          <w:snapToGrid w:val="0"/>
        </w:rPr>
        <w:t>progression free survival (PFS)</w:t>
      </w:r>
      <w:r w:rsidRPr="00A655A1">
        <w:rPr>
          <w:rFonts w:asciiTheme="minorHAnsi" w:hAnsiTheme="minorHAnsi"/>
          <w:bCs/>
          <w:snapToGrid w:val="0"/>
        </w:rPr>
        <w:t xml:space="preserve"> compared to the primary comparator bortezomib plus dexamethasone (Bd) but noted that the data for overall survival </w:t>
      </w:r>
      <w:r w:rsidR="00774603" w:rsidRPr="00A655A1">
        <w:rPr>
          <w:rFonts w:asciiTheme="minorHAnsi" w:hAnsiTheme="minorHAnsi"/>
          <w:bCs/>
          <w:snapToGrid w:val="0"/>
        </w:rPr>
        <w:t xml:space="preserve">(OS) </w:t>
      </w:r>
      <w:r w:rsidRPr="00A655A1">
        <w:rPr>
          <w:rFonts w:asciiTheme="minorHAnsi" w:hAnsiTheme="minorHAnsi"/>
          <w:bCs/>
          <w:snapToGrid w:val="0"/>
        </w:rPr>
        <w:t>were immature</w:t>
      </w:r>
      <w:r w:rsidR="00501381" w:rsidRPr="00A655A1">
        <w:rPr>
          <w:rFonts w:asciiTheme="minorHAnsi" w:hAnsiTheme="minorHAnsi"/>
          <w:bCs/>
          <w:snapToGrid w:val="0"/>
        </w:rPr>
        <w:t xml:space="preserve"> and difficult to inte</w:t>
      </w:r>
      <w:r w:rsidR="00D01D86" w:rsidRPr="00A655A1">
        <w:rPr>
          <w:rFonts w:asciiTheme="minorHAnsi" w:hAnsiTheme="minorHAnsi"/>
          <w:bCs/>
          <w:snapToGrid w:val="0"/>
        </w:rPr>
        <w:t>r</w:t>
      </w:r>
      <w:r w:rsidR="00501381" w:rsidRPr="00A655A1">
        <w:rPr>
          <w:rFonts w:asciiTheme="minorHAnsi" w:hAnsiTheme="minorHAnsi"/>
          <w:bCs/>
          <w:snapToGrid w:val="0"/>
        </w:rPr>
        <w:t>pret</w:t>
      </w:r>
      <w:r w:rsidRPr="00A655A1">
        <w:rPr>
          <w:rFonts w:asciiTheme="minorHAnsi" w:hAnsiTheme="minorHAnsi"/>
          <w:bCs/>
          <w:snapToGrid w:val="0"/>
        </w:rPr>
        <w:t>.</w:t>
      </w:r>
      <w:r w:rsidR="00501381" w:rsidRPr="00A655A1">
        <w:rPr>
          <w:rFonts w:asciiTheme="minorHAnsi" w:hAnsiTheme="minorHAnsi"/>
          <w:bCs/>
          <w:snapToGrid w:val="0"/>
        </w:rPr>
        <w:t xml:space="preserve"> The PBAC considered that the economic model overestimated the benefits of SBd treatment</w:t>
      </w:r>
      <w:r w:rsidR="001020DF" w:rsidRPr="00A655A1">
        <w:rPr>
          <w:rFonts w:asciiTheme="minorHAnsi" w:hAnsiTheme="minorHAnsi"/>
          <w:bCs/>
          <w:snapToGrid w:val="0"/>
        </w:rPr>
        <w:t xml:space="preserve"> compared to Bd</w:t>
      </w:r>
      <w:r w:rsidR="00501381" w:rsidRPr="00A655A1">
        <w:rPr>
          <w:rFonts w:asciiTheme="minorHAnsi" w:hAnsiTheme="minorHAnsi"/>
          <w:bCs/>
          <w:snapToGrid w:val="0"/>
        </w:rPr>
        <w:t xml:space="preserve">, resulting in an incremental cost effectiveness ratio (ICER) that was underestimated. </w:t>
      </w:r>
      <w:r w:rsidR="001020DF" w:rsidRPr="00A655A1">
        <w:rPr>
          <w:rFonts w:asciiTheme="minorHAnsi" w:hAnsiTheme="minorHAnsi"/>
          <w:bCs/>
          <w:snapToGrid w:val="0"/>
        </w:rPr>
        <w:t xml:space="preserve">The PBAC considered that the indirect treatment comparisons </w:t>
      </w:r>
      <w:r w:rsidR="00885DCB" w:rsidRPr="00A655A1">
        <w:rPr>
          <w:rFonts w:asciiTheme="minorHAnsi" w:hAnsiTheme="minorHAnsi"/>
          <w:bCs/>
          <w:snapToGrid w:val="0"/>
        </w:rPr>
        <w:t xml:space="preserve">(ITCs) </w:t>
      </w:r>
      <w:r w:rsidR="001020DF" w:rsidRPr="00A655A1">
        <w:rPr>
          <w:rFonts w:asciiTheme="minorHAnsi" w:hAnsiTheme="minorHAnsi"/>
          <w:bCs/>
          <w:snapToGrid w:val="0"/>
        </w:rPr>
        <w:t>presented between SBd and the secondary comparator Cd</w:t>
      </w:r>
      <w:r w:rsidR="003C57D5" w:rsidRPr="00A655A1">
        <w:rPr>
          <w:rFonts w:asciiTheme="minorHAnsi" w:hAnsiTheme="minorHAnsi"/>
          <w:bCs/>
          <w:snapToGrid w:val="0"/>
        </w:rPr>
        <w:t>, did not adequately support non-inferiority and h</w:t>
      </w:r>
      <w:r w:rsidR="00885DCB" w:rsidRPr="00A655A1">
        <w:rPr>
          <w:rFonts w:asciiTheme="minorHAnsi" w:hAnsiTheme="minorHAnsi"/>
          <w:bCs/>
          <w:snapToGrid w:val="0"/>
        </w:rPr>
        <w:t>ence</w:t>
      </w:r>
      <w:r w:rsidR="009E2E06" w:rsidRPr="00A655A1">
        <w:rPr>
          <w:rFonts w:asciiTheme="minorHAnsi" w:hAnsiTheme="minorHAnsi"/>
          <w:bCs/>
          <w:snapToGrid w:val="0"/>
        </w:rPr>
        <w:t>,</w:t>
      </w:r>
      <w:r w:rsidR="00885DCB" w:rsidRPr="00A655A1">
        <w:rPr>
          <w:rFonts w:asciiTheme="minorHAnsi" w:hAnsiTheme="minorHAnsi"/>
          <w:bCs/>
          <w:snapToGrid w:val="0"/>
        </w:rPr>
        <w:t xml:space="preserve"> the cost minimisation analysis (CMA) between SBd and Cd was not informative. </w:t>
      </w:r>
      <w:r w:rsidR="00501381" w:rsidRPr="00A655A1">
        <w:rPr>
          <w:rFonts w:asciiTheme="minorHAnsi" w:hAnsiTheme="minorHAnsi"/>
          <w:bCs/>
          <w:snapToGrid w:val="0"/>
        </w:rPr>
        <w:t xml:space="preserve">The PBAC considered that the </w:t>
      </w:r>
      <w:r w:rsidR="00885DCB" w:rsidRPr="00A655A1">
        <w:rPr>
          <w:rFonts w:asciiTheme="minorHAnsi" w:hAnsiTheme="minorHAnsi"/>
          <w:bCs/>
          <w:snapToGrid w:val="0"/>
        </w:rPr>
        <w:t>utilisation</w:t>
      </w:r>
      <w:r w:rsidR="00501381" w:rsidRPr="00A655A1">
        <w:rPr>
          <w:rFonts w:asciiTheme="minorHAnsi" w:hAnsiTheme="minorHAnsi"/>
          <w:bCs/>
          <w:snapToGrid w:val="0"/>
        </w:rPr>
        <w:t xml:space="preserve"> estimates </w:t>
      </w:r>
      <w:r w:rsidR="00885DCB" w:rsidRPr="00A655A1">
        <w:rPr>
          <w:rFonts w:asciiTheme="minorHAnsi" w:hAnsiTheme="minorHAnsi"/>
          <w:bCs/>
          <w:snapToGrid w:val="0"/>
        </w:rPr>
        <w:t xml:space="preserve">for SBd </w:t>
      </w:r>
      <w:r w:rsidR="00501381" w:rsidRPr="00A655A1">
        <w:rPr>
          <w:rFonts w:asciiTheme="minorHAnsi" w:hAnsiTheme="minorHAnsi"/>
          <w:bCs/>
          <w:snapToGrid w:val="0"/>
        </w:rPr>
        <w:t>were overestimated, particularly given the toxicity associated with SBd treatment</w:t>
      </w:r>
      <w:r w:rsidR="00885DCB" w:rsidRPr="00A655A1">
        <w:rPr>
          <w:rFonts w:asciiTheme="minorHAnsi" w:hAnsiTheme="minorHAnsi"/>
          <w:bCs/>
          <w:snapToGrid w:val="0"/>
        </w:rPr>
        <w:t>, and that the financial impact estimates were underestimated due to the application of unlikely substitution assumptions</w:t>
      </w:r>
      <w:r w:rsidR="00501381" w:rsidRPr="00A655A1">
        <w:rPr>
          <w:rFonts w:asciiTheme="minorHAnsi" w:hAnsiTheme="minorHAnsi"/>
          <w:bCs/>
          <w:snapToGrid w:val="0"/>
        </w:rPr>
        <w:t>.</w:t>
      </w:r>
      <w:r w:rsidRPr="00A655A1">
        <w:rPr>
          <w:rFonts w:asciiTheme="minorHAnsi" w:hAnsiTheme="minorHAnsi"/>
          <w:bCs/>
          <w:snapToGrid w:val="0"/>
        </w:rPr>
        <w:t xml:space="preserve"> </w:t>
      </w:r>
    </w:p>
    <w:p w:rsidR="000F35EA" w:rsidRPr="00A655A1" w:rsidRDefault="000F35EA" w:rsidP="00C2787E">
      <w:pPr>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 xml:space="preserve">The PBAC noted the consumer comments describing the ongoing clinical need for therapies for the treatment of RRMM. </w:t>
      </w:r>
      <w:r w:rsidR="00DF2B36" w:rsidRPr="00A655A1">
        <w:rPr>
          <w:rFonts w:asciiTheme="minorHAnsi" w:hAnsiTheme="minorHAnsi"/>
          <w:bCs/>
          <w:snapToGrid w:val="0"/>
        </w:rPr>
        <w:t xml:space="preserve">The PBAC noted the comments provided in sponsor hearing that highlighted that SBd was an immunomodulatory drug free regimen that demonstrated </w:t>
      </w:r>
      <w:r w:rsidR="00CA4E53" w:rsidRPr="00A655A1">
        <w:rPr>
          <w:rFonts w:asciiTheme="minorHAnsi" w:hAnsiTheme="minorHAnsi"/>
          <w:bCs/>
          <w:snapToGrid w:val="0"/>
        </w:rPr>
        <w:t xml:space="preserve">some </w:t>
      </w:r>
      <w:r w:rsidR="00DF2B36" w:rsidRPr="00A655A1">
        <w:rPr>
          <w:rFonts w:asciiTheme="minorHAnsi" w:hAnsiTheme="minorHAnsi"/>
          <w:bCs/>
          <w:snapToGrid w:val="0"/>
        </w:rPr>
        <w:t>benefit in patients with a 17p deletion or extramedullary disease.</w:t>
      </w:r>
    </w:p>
    <w:p w:rsidR="00C43524" w:rsidRPr="00A655A1" w:rsidRDefault="000F35EA" w:rsidP="00707864">
      <w:pPr>
        <w:keepNext/>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 xml:space="preserve">The PBAC noted that the submission nominated </w:t>
      </w:r>
      <w:r w:rsidR="00C43524" w:rsidRPr="00A655A1">
        <w:rPr>
          <w:rFonts w:asciiTheme="minorHAnsi" w:hAnsiTheme="minorHAnsi"/>
          <w:bCs/>
          <w:snapToGrid w:val="0"/>
        </w:rPr>
        <w:t>Bd as the primary comparator and carfilzomib plus dexamethasone (Cd) as a secondary comparator. The PBAC noted that the clinical algorithm presented in the submission placed SBd as a second</w:t>
      </w:r>
      <w:r w:rsidR="00A95492" w:rsidRPr="00A655A1">
        <w:rPr>
          <w:rFonts w:asciiTheme="minorHAnsi" w:hAnsiTheme="minorHAnsi"/>
          <w:bCs/>
          <w:snapToGrid w:val="0"/>
        </w:rPr>
        <w:t xml:space="preserve"> </w:t>
      </w:r>
      <w:r w:rsidR="00C43524" w:rsidRPr="00A655A1">
        <w:rPr>
          <w:rFonts w:asciiTheme="minorHAnsi" w:hAnsiTheme="minorHAnsi"/>
          <w:bCs/>
          <w:snapToGrid w:val="0"/>
        </w:rPr>
        <w:t>or third</w:t>
      </w:r>
      <w:r w:rsidR="001F77D5" w:rsidRPr="00A655A1">
        <w:rPr>
          <w:rFonts w:asciiTheme="minorHAnsi" w:hAnsiTheme="minorHAnsi"/>
          <w:bCs/>
          <w:snapToGrid w:val="0"/>
        </w:rPr>
        <w:t xml:space="preserve"> </w:t>
      </w:r>
      <w:r w:rsidR="00C43524" w:rsidRPr="00A655A1">
        <w:rPr>
          <w:rFonts w:asciiTheme="minorHAnsi" w:hAnsiTheme="minorHAnsi"/>
          <w:bCs/>
          <w:snapToGrid w:val="0"/>
        </w:rPr>
        <w:t>line therapy; however, the PBAC considered that, as daratumumab in combination with bortezomib and dexamethasone (DBd) was available on the PBS as a second</w:t>
      </w:r>
      <w:r w:rsidR="001F77D5" w:rsidRPr="00A655A1">
        <w:rPr>
          <w:rFonts w:asciiTheme="minorHAnsi" w:hAnsiTheme="minorHAnsi"/>
          <w:bCs/>
          <w:snapToGrid w:val="0"/>
        </w:rPr>
        <w:t xml:space="preserve"> </w:t>
      </w:r>
      <w:r w:rsidR="00C43524" w:rsidRPr="00A655A1">
        <w:rPr>
          <w:rFonts w:asciiTheme="minorHAnsi" w:hAnsiTheme="minorHAnsi"/>
          <w:bCs/>
          <w:snapToGrid w:val="0"/>
        </w:rPr>
        <w:t>line treatment only, SBd would likely be used as a third or later</w:t>
      </w:r>
      <w:r w:rsidR="001F77D5" w:rsidRPr="00A655A1">
        <w:rPr>
          <w:rFonts w:asciiTheme="minorHAnsi" w:hAnsiTheme="minorHAnsi"/>
          <w:bCs/>
          <w:snapToGrid w:val="0"/>
        </w:rPr>
        <w:t xml:space="preserve"> </w:t>
      </w:r>
      <w:r w:rsidR="00C43524" w:rsidRPr="00A655A1">
        <w:rPr>
          <w:rFonts w:asciiTheme="minorHAnsi" w:hAnsiTheme="minorHAnsi"/>
          <w:bCs/>
          <w:snapToGrid w:val="0"/>
        </w:rPr>
        <w:t>line treatment. The PBAC considered that SBd was most likely to replace and/or displace Cd</w:t>
      </w:r>
      <w:r w:rsidR="00A95492" w:rsidRPr="00A655A1">
        <w:rPr>
          <w:rFonts w:asciiTheme="minorHAnsi" w:hAnsiTheme="minorHAnsi"/>
          <w:bCs/>
          <w:snapToGrid w:val="0"/>
        </w:rPr>
        <w:t>, lenalidomide plus dexamethasone, pomalidomide plus dexamethasone and some bortezomib-based regimens including Bd</w:t>
      </w:r>
      <w:r w:rsidR="00C43524" w:rsidRPr="00A655A1">
        <w:rPr>
          <w:rFonts w:asciiTheme="minorHAnsi" w:hAnsiTheme="minorHAnsi"/>
          <w:bCs/>
          <w:snapToGrid w:val="0"/>
        </w:rPr>
        <w:t>.</w:t>
      </w:r>
    </w:p>
    <w:p w:rsidR="00C43524" w:rsidRPr="00A655A1" w:rsidRDefault="0001092D" w:rsidP="00707864">
      <w:pPr>
        <w:keepNext/>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 xml:space="preserve">The PBAC noted that the submission was based on one head-to-head randomised controlled trial comparing SBd to Bd (BOSTON) and </w:t>
      </w:r>
      <w:r w:rsidR="00961A9D" w:rsidRPr="00A655A1">
        <w:rPr>
          <w:rFonts w:asciiTheme="minorHAnsi" w:hAnsiTheme="minorHAnsi"/>
          <w:bCs/>
          <w:snapToGrid w:val="0"/>
        </w:rPr>
        <w:t>ITCs</w:t>
      </w:r>
      <w:r w:rsidRPr="00A655A1">
        <w:rPr>
          <w:rFonts w:asciiTheme="minorHAnsi" w:hAnsiTheme="minorHAnsi"/>
          <w:bCs/>
          <w:snapToGrid w:val="0"/>
        </w:rPr>
        <w:t xml:space="preserve"> </w:t>
      </w:r>
      <w:r w:rsidR="00961A9D" w:rsidRPr="00A655A1">
        <w:rPr>
          <w:rFonts w:asciiTheme="minorHAnsi" w:hAnsiTheme="minorHAnsi"/>
          <w:bCs/>
          <w:snapToGrid w:val="0"/>
        </w:rPr>
        <w:t xml:space="preserve">for PFS and safety </w:t>
      </w:r>
      <w:r w:rsidRPr="00A655A1">
        <w:rPr>
          <w:rFonts w:asciiTheme="minorHAnsi" w:hAnsiTheme="minorHAnsi"/>
          <w:bCs/>
          <w:snapToGrid w:val="0"/>
        </w:rPr>
        <w:t>between SBd and Cd that w</w:t>
      </w:r>
      <w:r w:rsidR="00961A9D" w:rsidRPr="00A655A1">
        <w:rPr>
          <w:rFonts w:asciiTheme="minorHAnsi" w:hAnsiTheme="minorHAnsi"/>
          <w:bCs/>
          <w:snapToGrid w:val="0"/>
        </w:rPr>
        <w:t>ere</w:t>
      </w:r>
      <w:r w:rsidRPr="00A655A1">
        <w:rPr>
          <w:rFonts w:asciiTheme="minorHAnsi" w:hAnsiTheme="minorHAnsi"/>
          <w:bCs/>
          <w:snapToGrid w:val="0"/>
        </w:rPr>
        <w:t xml:space="preserve"> informed by the BOSTON and ENDEAVOR (comparing Cd with Bd) trials.</w:t>
      </w:r>
    </w:p>
    <w:p w:rsidR="00337DFE" w:rsidRPr="00A655A1" w:rsidRDefault="00F6752D" w:rsidP="00945163">
      <w:pPr>
        <w:keepNext/>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The PBAC noted that the BOSTON trial demonstrated that SBd (median PFS = 13.9 months) compared to Bd (median PFS = 9.4 months) resulted in a statistically significant improvement in PFS (HR = 0.70; 95% CI: 0.53, 0.93)</w:t>
      </w:r>
      <w:r w:rsidR="00774603" w:rsidRPr="00A655A1">
        <w:rPr>
          <w:rFonts w:asciiTheme="minorHAnsi" w:hAnsiTheme="minorHAnsi"/>
          <w:bCs/>
          <w:snapToGrid w:val="0"/>
        </w:rPr>
        <w:t>.</w:t>
      </w:r>
      <w:r w:rsidR="00337DFE" w:rsidRPr="00A655A1">
        <w:rPr>
          <w:rFonts w:asciiTheme="minorHAnsi" w:hAnsiTheme="minorHAnsi"/>
          <w:bCs/>
          <w:snapToGrid w:val="0"/>
        </w:rPr>
        <w:t xml:space="preserve"> </w:t>
      </w:r>
    </w:p>
    <w:p w:rsidR="0001092D" w:rsidRPr="00A655A1" w:rsidRDefault="00774603" w:rsidP="00945163">
      <w:pPr>
        <w:keepNext/>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The PBAC noted that the OS data were immature, with median OS not reached for the SBd arm (HR = 0.84; 95% CI: 0.57, 1.23).</w:t>
      </w:r>
      <w:r w:rsidR="0081791E" w:rsidRPr="00A655A1">
        <w:rPr>
          <w:rFonts w:asciiTheme="minorHAnsi" w:hAnsiTheme="minorHAnsi"/>
          <w:bCs/>
          <w:snapToGrid w:val="0"/>
        </w:rPr>
        <w:t xml:space="preserve"> </w:t>
      </w:r>
      <w:r w:rsidR="00337DFE" w:rsidRPr="00A655A1">
        <w:rPr>
          <w:rFonts w:asciiTheme="minorHAnsi" w:hAnsiTheme="minorHAnsi"/>
          <w:bCs/>
          <w:snapToGrid w:val="0"/>
        </w:rPr>
        <w:t>The PBAC noted that the submission also presented OS data adjusted for crossover using the two-stage estimation method (TSEM) to account for the 36% of patients in the Bd arm who received either SBd or selinexor plus dexamethasone (Sd) following independent review committee confirmed objective disease progression</w:t>
      </w:r>
      <w:r w:rsidR="00C30F98" w:rsidRPr="00A655A1">
        <w:rPr>
          <w:rFonts w:asciiTheme="minorHAnsi" w:hAnsiTheme="minorHAnsi"/>
          <w:bCs/>
          <w:snapToGrid w:val="0"/>
        </w:rPr>
        <w:t xml:space="preserve"> (HR = 0.77; 95% CI: 0.52, 1.14)</w:t>
      </w:r>
      <w:r w:rsidR="00337DFE" w:rsidRPr="00A655A1">
        <w:rPr>
          <w:rFonts w:asciiTheme="minorHAnsi" w:hAnsiTheme="minorHAnsi"/>
          <w:bCs/>
          <w:snapToGrid w:val="0"/>
        </w:rPr>
        <w:t xml:space="preserve">. The PBAC </w:t>
      </w:r>
      <w:r w:rsidR="00796442" w:rsidRPr="00A655A1">
        <w:rPr>
          <w:rFonts w:asciiTheme="minorHAnsi" w:hAnsiTheme="minorHAnsi"/>
          <w:bCs/>
          <w:snapToGrid w:val="0"/>
        </w:rPr>
        <w:t xml:space="preserve">noted </w:t>
      </w:r>
      <w:r w:rsidR="00337DFE" w:rsidRPr="00A655A1">
        <w:rPr>
          <w:rFonts w:asciiTheme="minorHAnsi" w:hAnsiTheme="minorHAnsi"/>
          <w:bCs/>
          <w:snapToGrid w:val="0"/>
        </w:rPr>
        <w:t>that the submission did not</w:t>
      </w:r>
      <w:r w:rsidR="00796442" w:rsidRPr="00A655A1">
        <w:rPr>
          <w:rFonts w:asciiTheme="minorHAnsi" w:hAnsiTheme="minorHAnsi"/>
          <w:bCs/>
          <w:snapToGrid w:val="0"/>
        </w:rPr>
        <w:t xml:space="preserve"> </w:t>
      </w:r>
      <w:r w:rsidR="007B739D" w:rsidRPr="00A655A1">
        <w:rPr>
          <w:rFonts w:asciiTheme="minorHAnsi" w:hAnsiTheme="minorHAnsi"/>
          <w:bCs/>
          <w:snapToGrid w:val="0"/>
        </w:rPr>
        <w:t xml:space="preserve">adequately </w:t>
      </w:r>
      <w:r w:rsidR="00796442" w:rsidRPr="00A655A1">
        <w:rPr>
          <w:rFonts w:asciiTheme="minorHAnsi" w:hAnsiTheme="minorHAnsi"/>
          <w:bCs/>
          <w:snapToGrid w:val="0"/>
        </w:rPr>
        <w:t>justify</w:t>
      </w:r>
      <w:r w:rsidR="007B739D" w:rsidRPr="00A655A1">
        <w:rPr>
          <w:rFonts w:asciiTheme="minorHAnsi" w:hAnsiTheme="minorHAnsi"/>
          <w:bCs/>
          <w:snapToGrid w:val="0"/>
        </w:rPr>
        <w:t xml:space="preserve"> use of the TSEM</w:t>
      </w:r>
      <w:r w:rsidR="00A024C5" w:rsidRPr="00A655A1">
        <w:rPr>
          <w:rFonts w:asciiTheme="minorHAnsi" w:hAnsiTheme="minorHAnsi"/>
          <w:bCs/>
          <w:snapToGrid w:val="0"/>
        </w:rPr>
        <w:t xml:space="preserve"> and did not</w:t>
      </w:r>
      <w:r w:rsidR="00D01D86" w:rsidRPr="00A655A1">
        <w:rPr>
          <w:rFonts w:asciiTheme="minorHAnsi" w:hAnsiTheme="minorHAnsi"/>
          <w:bCs/>
          <w:snapToGrid w:val="0"/>
        </w:rPr>
        <w:t xml:space="preserve"> </w:t>
      </w:r>
      <w:r w:rsidR="00337DFE" w:rsidRPr="00A655A1">
        <w:rPr>
          <w:rFonts w:asciiTheme="minorHAnsi" w:hAnsiTheme="minorHAnsi"/>
          <w:bCs/>
          <w:snapToGrid w:val="0"/>
        </w:rPr>
        <w:t>present results using alternative methods of adjustment as per the PBAC Guidelines 2016</w:t>
      </w:r>
      <w:r w:rsidR="00E03117" w:rsidRPr="00A655A1">
        <w:rPr>
          <w:rFonts w:asciiTheme="minorHAnsi" w:hAnsiTheme="minorHAnsi"/>
          <w:bCs/>
          <w:snapToGrid w:val="0"/>
        </w:rPr>
        <w:t>,</w:t>
      </w:r>
      <w:r w:rsidR="00337DFE" w:rsidRPr="00A655A1">
        <w:rPr>
          <w:rFonts w:asciiTheme="minorHAnsi" w:hAnsiTheme="minorHAnsi"/>
          <w:bCs/>
          <w:snapToGrid w:val="0"/>
        </w:rPr>
        <w:t xml:space="preserve"> v5.0</w:t>
      </w:r>
      <w:r w:rsidR="00A95492" w:rsidRPr="00A655A1">
        <w:rPr>
          <w:rFonts w:asciiTheme="minorHAnsi" w:hAnsiTheme="minorHAnsi"/>
          <w:bCs/>
          <w:snapToGrid w:val="0"/>
        </w:rPr>
        <w:t xml:space="preserve">, and therefore, the appropriateness of the adjustment could not be </w:t>
      </w:r>
      <w:r w:rsidR="00A024C5" w:rsidRPr="00A655A1">
        <w:rPr>
          <w:rFonts w:asciiTheme="minorHAnsi" w:hAnsiTheme="minorHAnsi"/>
          <w:bCs/>
          <w:snapToGrid w:val="0"/>
        </w:rPr>
        <w:t>assessed</w:t>
      </w:r>
      <w:r w:rsidR="00796442" w:rsidRPr="00A655A1">
        <w:rPr>
          <w:rFonts w:asciiTheme="minorHAnsi" w:hAnsiTheme="minorHAnsi"/>
          <w:bCs/>
          <w:snapToGrid w:val="0"/>
        </w:rPr>
        <w:t>.</w:t>
      </w:r>
      <w:r w:rsidR="00337DFE" w:rsidRPr="00A655A1">
        <w:rPr>
          <w:rFonts w:asciiTheme="minorHAnsi" w:hAnsiTheme="minorHAnsi"/>
          <w:bCs/>
          <w:snapToGrid w:val="0"/>
        </w:rPr>
        <w:t xml:space="preserve"> </w:t>
      </w:r>
    </w:p>
    <w:p w:rsidR="00E85E08" w:rsidRPr="00A655A1" w:rsidRDefault="00E85E08" w:rsidP="00945163">
      <w:pPr>
        <w:keepNext/>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In terms of safety, the PBAC noted that compared to Bd, SBd was associated with more serious adverse events, Grade 3 and 4 treatment emergent adverse events and treatment emergent adverse events resulting in dose modification, reduction or interruption. The PBAC particularly noted that the high incidence of haematological and gastrointestinal adverse events associated with SBd.</w:t>
      </w:r>
    </w:p>
    <w:p w:rsidR="00E85E08" w:rsidRPr="00A655A1" w:rsidRDefault="00E85E08" w:rsidP="00945163">
      <w:pPr>
        <w:keepNext/>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 xml:space="preserve">Overall, the PBAC </w:t>
      </w:r>
      <w:r w:rsidR="006D72E7" w:rsidRPr="00A655A1">
        <w:rPr>
          <w:rFonts w:asciiTheme="minorHAnsi" w:hAnsiTheme="minorHAnsi"/>
          <w:bCs/>
          <w:snapToGrid w:val="0"/>
        </w:rPr>
        <w:t xml:space="preserve">considered that </w:t>
      </w:r>
      <w:r w:rsidRPr="00A655A1">
        <w:rPr>
          <w:rFonts w:asciiTheme="minorHAnsi" w:hAnsiTheme="minorHAnsi"/>
          <w:bCs/>
          <w:snapToGrid w:val="0"/>
        </w:rPr>
        <w:t>the submission</w:t>
      </w:r>
      <w:r w:rsidR="00A024C5" w:rsidRPr="00A655A1">
        <w:rPr>
          <w:rFonts w:asciiTheme="minorHAnsi" w:hAnsiTheme="minorHAnsi"/>
          <w:bCs/>
          <w:snapToGrid w:val="0"/>
        </w:rPr>
        <w:t>’</w:t>
      </w:r>
      <w:r w:rsidRPr="00A655A1">
        <w:rPr>
          <w:rFonts w:asciiTheme="minorHAnsi" w:hAnsiTheme="minorHAnsi"/>
          <w:bCs/>
          <w:snapToGrid w:val="0"/>
        </w:rPr>
        <w:t>s claim that SBd was superior compared to Bd in terms of PFS</w:t>
      </w:r>
      <w:r w:rsidR="006D72E7" w:rsidRPr="00A655A1">
        <w:rPr>
          <w:rFonts w:asciiTheme="minorHAnsi" w:hAnsiTheme="minorHAnsi"/>
          <w:bCs/>
          <w:snapToGrid w:val="0"/>
        </w:rPr>
        <w:t xml:space="preserve"> was reasonable</w:t>
      </w:r>
      <w:r w:rsidRPr="00A655A1">
        <w:rPr>
          <w:rFonts w:asciiTheme="minorHAnsi" w:hAnsiTheme="minorHAnsi"/>
          <w:bCs/>
          <w:snapToGrid w:val="0"/>
        </w:rPr>
        <w:t xml:space="preserve"> but </w:t>
      </w:r>
      <w:r w:rsidR="006D72E7" w:rsidRPr="00A655A1">
        <w:rPr>
          <w:rFonts w:asciiTheme="minorHAnsi" w:hAnsiTheme="minorHAnsi"/>
          <w:bCs/>
          <w:snapToGrid w:val="0"/>
        </w:rPr>
        <w:t xml:space="preserve">noted </w:t>
      </w:r>
      <w:r w:rsidRPr="00A655A1">
        <w:rPr>
          <w:rFonts w:asciiTheme="minorHAnsi" w:hAnsiTheme="minorHAnsi"/>
          <w:bCs/>
          <w:snapToGrid w:val="0"/>
        </w:rPr>
        <w:t>that in terms of OS, the claim of superior efficacy could not be supported due to the immaturity of the data</w:t>
      </w:r>
      <w:r w:rsidR="00FC3115" w:rsidRPr="00A655A1">
        <w:rPr>
          <w:rFonts w:asciiTheme="minorHAnsi" w:hAnsiTheme="minorHAnsi"/>
          <w:bCs/>
          <w:snapToGrid w:val="0"/>
        </w:rPr>
        <w:t xml:space="preserve"> from the BOSTON trial</w:t>
      </w:r>
      <w:r w:rsidRPr="00A655A1">
        <w:rPr>
          <w:rFonts w:asciiTheme="minorHAnsi" w:hAnsiTheme="minorHAnsi"/>
          <w:bCs/>
          <w:snapToGrid w:val="0"/>
        </w:rPr>
        <w:t xml:space="preserve">. The PBAC </w:t>
      </w:r>
      <w:r w:rsidR="00FC3115" w:rsidRPr="00A655A1">
        <w:rPr>
          <w:rFonts w:asciiTheme="minorHAnsi" w:hAnsiTheme="minorHAnsi"/>
          <w:bCs/>
          <w:snapToGrid w:val="0"/>
        </w:rPr>
        <w:t>considered that SBd was inferior compared to Bd in terms of safety.</w:t>
      </w:r>
    </w:p>
    <w:p w:rsidR="00851923" w:rsidRPr="00A655A1" w:rsidRDefault="00851923" w:rsidP="00945163">
      <w:pPr>
        <w:keepNext/>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The PBAC noted that although the eligibility criteria of the BOSTON and ENDEA</w:t>
      </w:r>
      <w:r w:rsidR="00961A9D" w:rsidRPr="00A655A1">
        <w:rPr>
          <w:rFonts w:asciiTheme="minorHAnsi" w:hAnsiTheme="minorHAnsi"/>
          <w:bCs/>
          <w:snapToGrid w:val="0"/>
        </w:rPr>
        <w:t>V</w:t>
      </w:r>
      <w:r w:rsidRPr="00A655A1">
        <w:rPr>
          <w:rFonts w:asciiTheme="minorHAnsi" w:hAnsiTheme="minorHAnsi"/>
          <w:bCs/>
          <w:snapToGrid w:val="0"/>
        </w:rPr>
        <w:t xml:space="preserve">OR trials were generally similar, there were differences that might have impacted the transitivity of the trials </w:t>
      </w:r>
      <w:r w:rsidR="00294991" w:rsidRPr="00A655A1">
        <w:rPr>
          <w:rFonts w:asciiTheme="minorHAnsi" w:hAnsiTheme="minorHAnsi"/>
          <w:bCs/>
          <w:snapToGrid w:val="0"/>
        </w:rPr>
        <w:t xml:space="preserve">including </w:t>
      </w:r>
      <w:r w:rsidR="00294991" w:rsidRPr="00A655A1">
        <w:t>differences in the baseline disease characteristics of patients, differences in the time at which the trials were conducted and differences in the maturity of the data</w:t>
      </w:r>
      <w:r w:rsidRPr="00A655A1">
        <w:rPr>
          <w:rFonts w:asciiTheme="minorHAnsi" w:hAnsiTheme="minorHAnsi"/>
          <w:bCs/>
          <w:snapToGrid w:val="0"/>
        </w:rPr>
        <w:t xml:space="preserve">. The PBAC noted that the PFS hazard ratio point estimate favoured Cd over Bd (HR = 0.55; 95% CI: 0.46, 0.65) compared to SBd over Bd (HR = 0.70; 95% CI: 0.53, 0.93). In addition, the PBAC noted the large difference in median PFS between </w:t>
      </w:r>
      <w:r w:rsidR="00961A9D" w:rsidRPr="00A655A1">
        <w:rPr>
          <w:rFonts w:asciiTheme="minorHAnsi" w:hAnsiTheme="minorHAnsi"/>
          <w:bCs/>
          <w:snapToGrid w:val="0"/>
        </w:rPr>
        <w:t xml:space="preserve">the </w:t>
      </w:r>
      <w:r w:rsidRPr="00A655A1">
        <w:rPr>
          <w:rFonts w:asciiTheme="minorHAnsi" w:hAnsiTheme="minorHAnsi"/>
          <w:bCs/>
          <w:snapToGrid w:val="0"/>
        </w:rPr>
        <w:t>SBd (13.9 months) and Cd (18.7 months)</w:t>
      </w:r>
      <w:r w:rsidR="00961A9D" w:rsidRPr="00A655A1">
        <w:rPr>
          <w:rFonts w:asciiTheme="minorHAnsi" w:hAnsiTheme="minorHAnsi"/>
          <w:bCs/>
          <w:snapToGrid w:val="0"/>
        </w:rPr>
        <w:t xml:space="preserve"> arms; whereas the results were similar in the Bd common comparator arms </w:t>
      </w:r>
      <w:r w:rsidR="00961A9D" w:rsidRPr="00A655A1">
        <w:rPr>
          <w:iCs/>
        </w:rPr>
        <w:t>(</w:t>
      </w:r>
      <w:r w:rsidR="007B739D" w:rsidRPr="00A655A1">
        <w:rPr>
          <w:iCs/>
        </w:rPr>
        <w:t>9</w:t>
      </w:r>
      <w:r w:rsidR="00961A9D" w:rsidRPr="00A655A1">
        <w:rPr>
          <w:iCs/>
        </w:rPr>
        <w:t xml:space="preserve">.5 months in the Bd arm of BOSTON compared to </w:t>
      </w:r>
      <w:r w:rsidR="007B739D" w:rsidRPr="00A655A1">
        <w:rPr>
          <w:iCs/>
        </w:rPr>
        <w:t>9.4</w:t>
      </w:r>
      <w:r w:rsidR="00961A9D" w:rsidRPr="00A655A1">
        <w:rPr>
          <w:iCs/>
        </w:rPr>
        <w:t xml:space="preserve"> months in the Bd arm of ENDEAVOR).</w:t>
      </w:r>
    </w:p>
    <w:p w:rsidR="007020BA" w:rsidRPr="00A655A1" w:rsidRDefault="00961A9D" w:rsidP="00945163">
      <w:pPr>
        <w:keepNext/>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 xml:space="preserve">The submission presented a </w:t>
      </w:r>
      <w:r w:rsidR="007B6E15" w:rsidRPr="00A655A1">
        <w:rPr>
          <w:rFonts w:asciiTheme="minorHAnsi" w:hAnsiTheme="minorHAnsi"/>
          <w:bCs/>
          <w:snapToGrid w:val="0"/>
        </w:rPr>
        <w:t xml:space="preserve">comparison between the SBd arm of BOSTON and the Cd arm of ENDEAVOR for </w:t>
      </w:r>
      <w:r w:rsidRPr="00A655A1">
        <w:rPr>
          <w:rFonts w:asciiTheme="minorHAnsi" w:hAnsiTheme="minorHAnsi"/>
          <w:bCs/>
          <w:snapToGrid w:val="0"/>
        </w:rPr>
        <w:t>Grade 3-4 adverse events which indicated that SBd and Cd had differing adverse event profiles. The PBAC</w:t>
      </w:r>
      <w:r w:rsidR="007020BA" w:rsidRPr="00A655A1">
        <w:rPr>
          <w:rFonts w:asciiTheme="minorHAnsi" w:hAnsiTheme="minorHAnsi"/>
          <w:bCs/>
          <w:snapToGrid w:val="0"/>
        </w:rPr>
        <w:t>,</w:t>
      </w:r>
      <w:r w:rsidRPr="00A655A1">
        <w:rPr>
          <w:rFonts w:asciiTheme="minorHAnsi" w:hAnsiTheme="minorHAnsi"/>
          <w:bCs/>
          <w:snapToGrid w:val="0"/>
        </w:rPr>
        <w:t xml:space="preserve"> not</w:t>
      </w:r>
      <w:r w:rsidR="007020BA" w:rsidRPr="00A655A1">
        <w:rPr>
          <w:rFonts w:asciiTheme="minorHAnsi" w:hAnsiTheme="minorHAnsi"/>
          <w:bCs/>
          <w:snapToGrid w:val="0"/>
        </w:rPr>
        <w:t>ing</w:t>
      </w:r>
      <w:r w:rsidRPr="00A655A1">
        <w:rPr>
          <w:rFonts w:asciiTheme="minorHAnsi" w:hAnsiTheme="minorHAnsi"/>
          <w:bCs/>
          <w:snapToGrid w:val="0"/>
        </w:rPr>
        <w:t xml:space="preserve"> that SBd was associated with higher rates of haematological events compared to Cd; whereas, Cd was associated with higher rates of cardiac and renal failure</w:t>
      </w:r>
      <w:r w:rsidR="007020BA" w:rsidRPr="00A655A1">
        <w:rPr>
          <w:rFonts w:asciiTheme="minorHAnsi" w:hAnsiTheme="minorHAnsi"/>
          <w:bCs/>
          <w:snapToGrid w:val="0"/>
        </w:rPr>
        <w:t xml:space="preserve">, considered that the comparison was </w:t>
      </w:r>
      <w:r w:rsidR="001020DF" w:rsidRPr="00A655A1">
        <w:rPr>
          <w:rFonts w:asciiTheme="minorHAnsi" w:hAnsiTheme="minorHAnsi"/>
          <w:bCs/>
          <w:snapToGrid w:val="0"/>
        </w:rPr>
        <w:t xml:space="preserve">difficult to interpret due to </w:t>
      </w:r>
      <w:r w:rsidR="007020BA" w:rsidRPr="00A655A1">
        <w:rPr>
          <w:rFonts w:asciiTheme="minorHAnsi" w:hAnsiTheme="minorHAnsi"/>
          <w:bCs/>
          <w:snapToGrid w:val="0"/>
        </w:rPr>
        <w:t xml:space="preserve">the transitivity issues between the trials and the </w:t>
      </w:r>
      <w:r w:rsidR="00D01D86" w:rsidRPr="00A655A1">
        <w:rPr>
          <w:rFonts w:asciiTheme="minorHAnsi" w:hAnsiTheme="minorHAnsi"/>
          <w:bCs/>
          <w:snapToGrid w:val="0"/>
        </w:rPr>
        <w:t xml:space="preserve">absence </w:t>
      </w:r>
      <w:r w:rsidR="007020BA" w:rsidRPr="00A655A1">
        <w:rPr>
          <w:rFonts w:asciiTheme="minorHAnsi" w:hAnsiTheme="minorHAnsi"/>
          <w:bCs/>
          <w:snapToGrid w:val="0"/>
        </w:rPr>
        <w:t>of data presented for the Bd common reference arms</w:t>
      </w:r>
      <w:r w:rsidRPr="00A655A1">
        <w:rPr>
          <w:rFonts w:asciiTheme="minorHAnsi" w:hAnsiTheme="minorHAnsi"/>
          <w:bCs/>
          <w:snapToGrid w:val="0"/>
        </w:rPr>
        <w:t>.</w:t>
      </w:r>
    </w:p>
    <w:p w:rsidR="00961A9D" w:rsidRPr="00A655A1" w:rsidRDefault="007020BA" w:rsidP="00945163">
      <w:pPr>
        <w:keepNext/>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 xml:space="preserve">The PBAC </w:t>
      </w:r>
      <w:r w:rsidR="006D72E7" w:rsidRPr="00A655A1">
        <w:rPr>
          <w:rFonts w:asciiTheme="minorHAnsi" w:hAnsiTheme="minorHAnsi"/>
          <w:bCs/>
          <w:snapToGrid w:val="0"/>
        </w:rPr>
        <w:t>considered that the claim that SBd was non-inferior compared to Cd in terms of efficacy was not supported</w:t>
      </w:r>
      <w:r w:rsidR="007B739D" w:rsidRPr="00A655A1">
        <w:rPr>
          <w:rFonts w:asciiTheme="minorHAnsi" w:hAnsiTheme="minorHAnsi"/>
          <w:bCs/>
          <w:snapToGrid w:val="0"/>
        </w:rPr>
        <w:t xml:space="preserve"> given the numerically superior PFS results for Cd versus Bd and the lack of a significant gain in OS for SBd versus Bd.  </w:t>
      </w:r>
      <w:r w:rsidR="006D72E7" w:rsidRPr="00A655A1">
        <w:rPr>
          <w:rFonts w:asciiTheme="minorHAnsi" w:hAnsiTheme="minorHAnsi"/>
          <w:bCs/>
          <w:snapToGrid w:val="0"/>
        </w:rPr>
        <w:t xml:space="preserve">The PBAC </w:t>
      </w:r>
      <w:r w:rsidR="001020DF" w:rsidRPr="00A655A1">
        <w:rPr>
          <w:rFonts w:asciiTheme="minorHAnsi" w:hAnsiTheme="minorHAnsi"/>
          <w:bCs/>
          <w:snapToGrid w:val="0"/>
        </w:rPr>
        <w:t>considered that the claim that SBd had a comparable but different safety profile compared to Cd was not supported due to the non-interpretable measure of comparative effect, which was based on single arm data</w:t>
      </w:r>
      <w:r w:rsidR="00057EC1" w:rsidRPr="00A655A1">
        <w:rPr>
          <w:rFonts w:asciiTheme="minorHAnsi" w:hAnsiTheme="minorHAnsi"/>
          <w:bCs/>
          <w:snapToGrid w:val="0"/>
        </w:rPr>
        <w:t xml:space="preserve"> extracted from the BOSTON and ENDEAVOR trials </w:t>
      </w:r>
      <w:r w:rsidR="001020DF" w:rsidRPr="00A655A1">
        <w:rPr>
          <w:rFonts w:asciiTheme="minorHAnsi" w:hAnsiTheme="minorHAnsi"/>
          <w:bCs/>
          <w:snapToGrid w:val="0"/>
        </w:rPr>
        <w:t>and the underlying transitivity issues.</w:t>
      </w:r>
    </w:p>
    <w:p w:rsidR="000718EC" w:rsidRPr="00A655A1" w:rsidRDefault="001020DF" w:rsidP="000718EC">
      <w:pPr>
        <w:keepNext/>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 xml:space="preserve">The PBAC noted that the submission presented a </w:t>
      </w:r>
      <w:r w:rsidR="0088134C" w:rsidRPr="00A655A1">
        <w:rPr>
          <w:rFonts w:asciiTheme="minorHAnsi" w:hAnsiTheme="minorHAnsi"/>
          <w:bCs/>
          <w:snapToGrid w:val="0"/>
        </w:rPr>
        <w:t xml:space="preserve">CUA </w:t>
      </w:r>
      <w:r w:rsidRPr="00A655A1">
        <w:rPr>
          <w:rFonts w:asciiTheme="minorHAnsi" w:hAnsiTheme="minorHAnsi"/>
          <w:bCs/>
          <w:snapToGrid w:val="0"/>
        </w:rPr>
        <w:t xml:space="preserve">comparing SBd to Bd and a </w:t>
      </w:r>
      <w:r w:rsidR="00F63ABD" w:rsidRPr="00A655A1">
        <w:rPr>
          <w:rFonts w:asciiTheme="minorHAnsi" w:hAnsiTheme="minorHAnsi"/>
          <w:bCs/>
          <w:snapToGrid w:val="0"/>
        </w:rPr>
        <w:t xml:space="preserve">CMA </w:t>
      </w:r>
      <w:r w:rsidRPr="00A655A1">
        <w:rPr>
          <w:rFonts w:asciiTheme="minorHAnsi" w:hAnsiTheme="minorHAnsi"/>
          <w:bCs/>
          <w:snapToGrid w:val="0"/>
        </w:rPr>
        <w:t>comparing SBd to Cd</w:t>
      </w:r>
      <w:r w:rsidR="00945163" w:rsidRPr="00A655A1">
        <w:rPr>
          <w:rFonts w:asciiTheme="minorHAnsi" w:hAnsiTheme="minorHAnsi"/>
          <w:bCs/>
          <w:snapToGrid w:val="0"/>
        </w:rPr>
        <w:t>, and then calculated a weighted cost effective price for selinexor</w:t>
      </w:r>
      <w:r w:rsidRPr="00A655A1">
        <w:rPr>
          <w:rFonts w:asciiTheme="minorHAnsi" w:hAnsiTheme="minorHAnsi"/>
          <w:bCs/>
          <w:snapToGrid w:val="0"/>
        </w:rPr>
        <w:t>.</w:t>
      </w:r>
      <w:r w:rsidR="00FC6FEB" w:rsidRPr="00A655A1">
        <w:rPr>
          <w:rFonts w:asciiTheme="minorHAnsi" w:hAnsiTheme="minorHAnsi"/>
          <w:bCs/>
          <w:snapToGrid w:val="0"/>
        </w:rPr>
        <w:t xml:space="preserve"> </w:t>
      </w:r>
      <w:r w:rsidR="000718EC" w:rsidRPr="00A655A1">
        <w:rPr>
          <w:rFonts w:asciiTheme="minorHAnsi" w:hAnsiTheme="minorHAnsi"/>
          <w:bCs/>
          <w:snapToGrid w:val="0"/>
        </w:rPr>
        <w:t xml:space="preserve">The PBAC considered that the weighted approach was not appropriate in the absence of a defined patient population receiving either comparator (Bd or Cd). Additionally, the PBAC noted that inconsistencies in the CUA and CMA price for selinexor, particularly when considered in relation to the prior PBAC decision relating to Cd versus Bd. </w:t>
      </w:r>
    </w:p>
    <w:p w:rsidR="003C6781" w:rsidRPr="00A655A1" w:rsidRDefault="003C6781" w:rsidP="00C2787E">
      <w:pPr>
        <w:pStyle w:val="3-BodyText"/>
        <w:widowControl w:val="0"/>
      </w:pPr>
      <w:r w:rsidRPr="00A655A1">
        <w:t xml:space="preserve">The PBAC noted that the </w:t>
      </w:r>
      <w:r w:rsidR="0088134C" w:rsidRPr="00A655A1">
        <w:t>CUA</w:t>
      </w:r>
      <w:r w:rsidRPr="00A655A1">
        <w:t xml:space="preserve"> comparing SBd to Bd resulted in an ICER of </w:t>
      </w:r>
      <w:r w:rsidR="005755CE" w:rsidRPr="005755CE">
        <w:rPr>
          <w:bCs/>
        </w:rPr>
        <w:t>$75,000 to &lt; $95,000</w:t>
      </w:r>
      <w:r w:rsidRPr="00A655A1">
        <w:t>per quality adjusted life year (QALY). The PBAC considered that the ICER was likely underestimated as</w:t>
      </w:r>
      <w:r w:rsidR="00834809" w:rsidRPr="00A655A1">
        <w:t>, d</w:t>
      </w:r>
      <w:r w:rsidRPr="00A655A1">
        <w:t xml:space="preserve">espite not demonstrating an OS advantage in the BOSTON trial, </w:t>
      </w:r>
      <w:r w:rsidR="00294991" w:rsidRPr="00A655A1">
        <w:t>the model</w:t>
      </w:r>
      <w:r w:rsidR="0039144F" w:rsidRPr="00A655A1">
        <w:t xml:space="preserve"> estimated a relatively large gain in OS </w:t>
      </w:r>
      <w:r w:rsidR="007B6E15" w:rsidRPr="00A655A1">
        <w:t>for</w:t>
      </w:r>
      <w:r w:rsidR="00E45EA6" w:rsidRPr="00A655A1">
        <w:t xml:space="preserve"> SBd </w:t>
      </w:r>
      <w:r w:rsidR="007B6E15" w:rsidRPr="00A655A1">
        <w:t xml:space="preserve">over Bd, </w:t>
      </w:r>
      <w:r w:rsidR="00E45EA6" w:rsidRPr="00A655A1">
        <w:t>with a difference in OS assumed for the entire 15 year time horizon</w:t>
      </w:r>
      <w:r w:rsidR="007F0F64">
        <w:t>. The P</w:t>
      </w:r>
      <w:r w:rsidR="00294991" w:rsidRPr="00A655A1">
        <w:t>B</w:t>
      </w:r>
      <w:r w:rsidR="007F0F64">
        <w:t>A</w:t>
      </w:r>
      <w:r w:rsidR="00294991" w:rsidRPr="00A655A1">
        <w:t xml:space="preserve">C noted that </w:t>
      </w:r>
      <w:r w:rsidR="00FC6FEB" w:rsidRPr="00A655A1">
        <w:t>extrapolating the trial data using</w:t>
      </w:r>
      <w:r w:rsidR="00472024" w:rsidRPr="00A655A1">
        <w:t xml:space="preserve"> </w:t>
      </w:r>
      <w:r w:rsidR="00E45EA6" w:rsidRPr="00A655A1">
        <w:t>an</w:t>
      </w:r>
      <w:r w:rsidR="00472024" w:rsidRPr="00A655A1">
        <w:t xml:space="preserve"> exponential distribution </w:t>
      </w:r>
      <w:r w:rsidRPr="00A655A1">
        <w:t xml:space="preserve">resulted in 0.806 life years gained </w:t>
      </w:r>
      <w:r w:rsidR="00FC6FEB" w:rsidRPr="00A655A1">
        <w:t>over</w:t>
      </w:r>
      <w:r w:rsidRPr="00A655A1">
        <w:t xml:space="preserve"> a time horizon of 15 years and 0.671 years </w:t>
      </w:r>
      <w:r w:rsidR="00FC6FEB" w:rsidRPr="00A655A1">
        <w:t>over</w:t>
      </w:r>
      <w:r w:rsidRPr="00A655A1">
        <w:t xml:space="preserve"> a time horizon of 10 years. The PBAC </w:t>
      </w:r>
      <w:r w:rsidR="00DF2B36" w:rsidRPr="00A655A1">
        <w:t>recalled</w:t>
      </w:r>
      <w:r w:rsidRPr="00A655A1">
        <w:t xml:space="preserve"> that this was considerably </w:t>
      </w:r>
      <w:r w:rsidR="00FC6FEB" w:rsidRPr="00A655A1">
        <w:t>larger</w:t>
      </w:r>
      <w:r w:rsidRPr="00A655A1">
        <w:t xml:space="preserve"> than the survival </w:t>
      </w:r>
      <w:r w:rsidR="00FC6FEB" w:rsidRPr="00A655A1">
        <w:t xml:space="preserve">gain </w:t>
      </w:r>
      <w:r w:rsidR="00E4415F" w:rsidRPr="00A655A1">
        <w:t xml:space="preserve">of 0.329 years over a 10 year time horizon </w:t>
      </w:r>
      <w:r w:rsidR="00FC6FEB" w:rsidRPr="00A655A1">
        <w:t>estimated</w:t>
      </w:r>
      <w:r w:rsidRPr="00A655A1">
        <w:t xml:space="preserve"> for Cd versus Bd in July 2017</w:t>
      </w:r>
      <w:r w:rsidR="00472024" w:rsidRPr="00A655A1">
        <w:t xml:space="preserve">, </w:t>
      </w:r>
      <w:r w:rsidR="00E4415F" w:rsidRPr="00A655A1">
        <w:t xml:space="preserve">and the PBAC further noted </w:t>
      </w:r>
      <w:r w:rsidR="00E45EA6" w:rsidRPr="00A655A1">
        <w:t xml:space="preserve">for Cd compared to Bd that </w:t>
      </w:r>
      <w:r w:rsidR="00472024" w:rsidRPr="00A655A1">
        <w:t>a statistically significant improvement in OS</w:t>
      </w:r>
      <w:r w:rsidR="00E4415F" w:rsidRPr="00A655A1">
        <w:t xml:space="preserve"> was demonstrated</w:t>
      </w:r>
      <w:r w:rsidR="00834809" w:rsidRPr="00A655A1">
        <w:t>.</w:t>
      </w:r>
      <w:r w:rsidR="0041363E" w:rsidRPr="00A655A1">
        <w:t xml:space="preserve"> The PBAC considered that the economic model should conservatively estimate any survival advantage </w:t>
      </w:r>
      <w:r w:rsidR="00E45EA6" w:rsidRPr="00A655A1">
        <w:t xml:space="preserve">for SBd </w:t>
      </w:r>
      <w:r w:rsidR="0041363E" w:rsidRPr="00A655A1">
        <w:t>due to the lack of demonstrated OS benefit in the clinical trial.</w:t>
      </w:r>
    </w:p>
    <w:p w:rsidR="00834809" w:rsidRPr="00A655A1" w:rsidRDefault="00834809" w:rsidP="00C2787E">
      <w:pPr>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The PBAC noted other concerns with the economic model including:</w:t>
      </w:r>
    </w:p>
    <w:p w:rsidR="00F17D41" w:rsidRPr="00A655A1" w:rsidRDefault="00141092" w:rsidP="00C2787E">
      <w:pPr>
        <w:keepLines/>
        <w:widowControl w:val="0"/>
        <w:numPr>
          <w:ilvl w:val="1"/>
          <w:numId w:val="30"/>
        </w:numPr>
        <w:spacing w:after="120"/>
        <w:ind w:left="1077" w:hanging="357"/>
        <w:rPr>
          <w:rFonts w:asciiTheme="minorHAnsi" w:hAnsiTheme="minorHAnsi"/>
          <w:bCs/>
          <w:snapToGrid w:val="0"/>
        </w:rPr>
      </w:pPr>
      <w:r w:rsidRPr="00A655A1">
        <w:rPr>
          <w:rFonts w:asciiTheme="minorHAnsi" w:hAnsiTheme="minorHAnsi"/>
          <w:bCs/>
          <w:snapToGrid w:val="0"/>
        </w:rPr>
        <w:t>t</w:t>
      </w:r>
      <w:r w:rsidR="00F17D41" w:rsidRPr="00A655A1">
        <w:rPr>
          <w:rFonts w:asciiTheme="minorHAnsi" w:hAnsiTheme="minorHAnsi"/>
          <w:bCs/>
          <w:snapToGrid w:val="0"/>
        </w:rPr>
        <w:t>he application of the unjustified T</w:t>
      </w:r>
      <w:r w:rsidR="006D7925" w:rsidRPr="00A655A1">
        <w:rPr>
          <w:rFonts w:asciiTheme="minorHAnsi" w:hAnsiTheme="minorHAnsi"/>
          <w:bCs/>
          <w:snapToGrid w:val="0"/>
        </w:rPr>
        <w:t>SE</w:t>
      </w:r>
      <w:r w:rsidR="00F17D41" w:rsidRPr="00A655A1">
        <w:rPr>
          <w:rFonts w:asciiTheme="minorHAnsi" w:hAnsiTheme="minorHAnsi"/>
          <w:bCs/>
          <w:snapToGrid w:val="0"/>
        </w:rPr>
        <w:t>M adjusted OS data</w:t>
      </w:r>
      <w:r w:rsidR="00934640" w:rsidRPr="00A655A1">
        <w:rPr>
          <w:rFonts w:asciiTheme="minorHAnsi" w:hAnsiTheme="minorHAnsi"/>
          <w:bCs/>
          <w:snapToGrid w:val="0"/>
        </w:rPr>
        <w:t>. The PBAC considered that application of the unadjusted results from BOSTON would be more appropriate</w:t>
      </w:r>
      <w:r w:rsidR="000718EC" w:rsidRPr="00A655A1">
        <w:rPr>
          <w:rFonts w:asciiTheme="minorHAnsi" w:hAnsiTheme="minorHAnsi"/>
          <w:bCs/>
          <w:snapToGrid w:val="0"/>
        </w:rPr>
        <w:t xml:space="preserve"> in the absence of a reliable adjustment</w:t>
      </w:r>
      <w:r w:rsidR="00F17D41" w:rsidRPr="00A655A1">
        <w:rPr>
          <w:rFonts w:asciiTheme="minorHAnsi" w:hAnsiTheme="minorHAnsi"/>
          <w:bCs/>
          <w:snapToGrid w:val="0"/>
        </w:rPr>
        <w:t>;</w:t>
      </w:r>
    </w:p>
    <w:p w:rsidR="00F17D41" w:rsidRPr="00A655A1" w:rsidRDefault="00141092" w:rsidP="00C2787E">
      <w:pPr>
        <w:keepLines/>
        <w:widowControl w:val="0"/>
        <w:numPr>
          <w:ilvl w:val="1"/>
          <w:numId w:val="30"/>
        </w:numPr>
        <w:spacing w:after="120"/>
        <w:ind w:left="1077" w:hanging="357"/>
        <w:rPr>
          <w:rFonts w:asciiTheme="minorHAnsi" w:hAnsiTheme="minorHAnsi"/>
          <w:bCs/>
          <w:snapToGrid w:val="0"/>
        </w:rPr>
      </w:pPr>
      <w:r w:rsidRPr="00A655A1">
        <w:rPr>
          <w:rFonts w:asciiTheme="minorHAnsi" w:hAnsiTheme="minorHAnsi"/>
          <w:bCs/>
          <w:snapToGrid w:val="0"/>
        </w:rPr>
        <w:t>t</w:t>
      </w:r>
      <w:r w:rsidR="00F17D41" w:rsidRPr="00A655A1">
        <w:rPr>
          <w:rFonts w:asciiTheme="minorHAnsi" w:hAnsiTheme="minorHAnsi"/>
          <w:bCs/>
          <w:snapToGrid w:val="0"/>
        </w:rPr>
        <w:t>he application of a 15</w:t>
      </w:r>
      <w:r w:rsidR="004105AD" w:rsidRPr="00A655A1">
        <w:rPr>
          <w:rFonts w:asciiTheme="minorHAnsi" w:hAnsiTheme="minorHAnsi"/>
          <w:bCs/>
          <w:snapToGrid w:val="0"/>
        </w:rPr>
        <w:t>-</w:t>
      </w:r>
      <w:r w:rsidR="00F17D41" w:rsidRPr="00A655A1">
        <w:rPr>
          <w:rFonts w:asciiTheme="minorHAnsi" w:hAnsiTheme="minorHAnsi"/>
          <w:bCs/>
          <w:snapToGrid w:val="0"/>
        </w:rPr>
        <w:t xml:space="preserve">year time horizon. The PBAC considered that a time horizon of </w:t>
      </w:r>
      <w:r w:rsidR="00E45EA6" w:rsidRPr="00A655A1">
        <w:rPr>
          <w:rFonts w:asciiTheme="minorHAnsi" w:hAnsiTheme="minorHAnsi"/>
          <w:bCs/>
          <w:snapToGrid w:val="0"/>
        </w:rPr>
        <w:t xml:space="preserve">no longer than </w:t>
      </w:r>
      <w:r w:rsidR="00F17D41" w:rsidRPr="00A655A1">
        <w:rPr>
          <w:rFonts w:asciiTheme="minorHAnsi" w:hAnsiTheme="minorHAnsi"/>
          <w:bCs/>
          <w:snapToGrid w:val="0"/>
        </w:rPr>
        <w:t>10 years, which was consistent with that applied in the July 2017 submission</w:t>
      </w:r>
      <w:r w:rsidR="00E04C4F" w:rsidRPr="00A655A1">
        <w:rPr>
          <w:rFonts w:asciiTheme="minorHAnsi" w:hAnsiTheme="minorHAnsi"/>
          <w:bCs/>
          <w:snapToGrid w:val="0"/>
        </w:rPr>
        <w:t xml:space="preserve"> for Cd</w:t>
      </w:r>
      <w:r w:rsidR="00945163" w:rsidRPr="00A655A1">
        <w:rPr>
          <w:rFonts w:asciiTheme="minorHAnsi" w:hAnsiTheme="minorHAnsi"/>
          <w:bCs/>
          <w:snapToGrid w:val="0"/>
        </w:rPr>
        <w:t>,</w:t>
      </w:r>
      <w:r w:rsidR="00E04C4F" w:rsidRPr="00A655A1">
        <w:rPr>
          <w:rFonts w:asciiTheme="minorHAnsi" w:hAnsiTheme="minorHAnsi"/>
          <w:bCs/>
          <w:snapToGrid w:val="0"/>
        </w:rPr>
        <w:t xml:space="preserve"> would be reasonable, particularly considering that SBd would most likely be used in the third and later line settings;</w:t>
      </w:r>
    </w:p>
    <w:p w:rsidR="00834809" w:rsidRPr="00A655A1" w:rsidRDefault="00141092" w:rsidP="00C2787E">
      <w:pPr>
        <w:keepLines/>
        <w:widowControl w:val="0"/>
        <w:numPr>
          <w:ilvl w:val="1"/>
          <w:numId w:val="30"/>
        </w:numPr>
        <w:spacing w:after="120"/>
        <w:ind w:left="1077" w:hanging="357"/>
        <w:rPr>
          <w:rFonts w:asciiTheme="minorHAnsi" w:hAnsiTheme="minorHAnsi"/>
          <w:bCs/>
          <w:snapToGrid w:val="0"/>
        </w:rPr>
      </w:pPr>
      <w:r w:rsidRPr="00A655A1">
        <w:rPr>
          <w:rFonts w:asciiTheme="minorHAnsi" w:hAnsiTheme="minorHAnsi"/>
          <w:bCs/>
          <w:snapToGrid w:val="0"/>
        </w:rPr>
        <w:t>t</w:t>
      </w:r>
      <w:r w:rsidR="00934640" w:rsidRPr="00A655A1">
        <w:rPr>
          <w:rFonts w:asciiTheme="minorHAnsi" w:hAnsiTheme="minorHAnsi"/>
          <w:bCs/>
          <w:snapToGrid w:val="0"/>
        </w:rPr>
        <w:t xml:space="preserve">hat utility values from ENDEAVOR were applied for the progression free and progressed disease states, whereas disutility values from BOSTON were applied for some, but not all, </w:t>
      </w:r>
      <w:r w:rsidR="00834809" w:rsidRPr="00A655A1">
        <w:rPr>
          <w:rFonts w:asciiTheme="minorHAnsi" w:hAnsiTheme="minorHAnsi"/>
          <w:bCs/>
          <w:snapToGrid w:val="0"/>
        </w:rPr>
        <w:t xml:space="preserve">Grade </w:t>
      </w:r>
      <w:r w:rsidR="00834809" w:rsidRPr="00A655A1">
        <w:rPr>
          <w:rFonts w:asciiTheme="minorHAnsi" w:hAnsiTheme="minorHAnsi" w:cstheme="minorHAnsi"/>
          <w:bCs/>
          <w:snapToGrid w:val="0"/>
        </w:rPr>
        <w:t>≥</w:t>
      </w:r>
      <w:r w:rsidR="00834809" w:rsidRPr="00A655A1">
        <w:rPr>
          <w:rFonts w:asciiTheme="minorHAnsi" w:hAnsiTheme="minorHAnsi"/>
          <w:bCs/>
          <w:snapToGrid w:val="0"/>
        </w:rPr>
        <w:t xml:space="preserve"> 3 adverse events associated with SBd</w:t>
      </w:r>
      <w:r w:rsidR="00934640" w:rsidRPr="00A655A1">
        <w:rPr>
          <w:rFonts w:asciiTheme="minorHAnsi" w:hAnsiTheme="minorHAnsi"/>
          <w:bCs/>
          <w:snapToGrid w:val="0"/>
        </w:rPr>
        <w:t xml:space="preserve">. The PBAC considered that utility values should be sourced from a consistent source and disutilities should be applied to all Grade </w:t>
      </w:r>
      <w:r w:rsidR="00934640" w:rsidRPr="00A655A1">
        <w:rPr>
          <w:rFonts w:asciiTheme="minorHAnsi" w:hAnsiTheme="minorHAnsi" w:cstheme="minorHAnsi"/>
          <w:bCs/>
          <w:snapToGrid w:val="0"/>
        </w:rPr>
        <w:t>≥</w:t>
      </w:r>
      <w:r w:rsidR="00934640" w:rsidRPr="00A655A1">
        <w:rPr>
          <w:rFonts w:asciiTheme="minorHAnsi" w:hAnsiTheme="minorHAnsi"/>
          <w:bCs/>
          <w:snapToGrid w:val="0"/>
        </w:rPr>
        <w:t xml:space="preserve"> 3 adverse events</w:t>
      </w:r>
      <w:r w:rsidR="007B6E15" w:rsidRPr="00A655A1">
        <w:rPr>
          <w:rFonts w:asciiTheme="minorHAnsi" w:hAnsiTheme="minorHAnsi"/>
          <w:bCs/>
          <w:snapToGrid w:val="0"/>
        </w:rPr>
        <w:t xml:space="preserve"> with a meaningful increase in the number of events with the addition of selinexor</w:t>
      </w:r>
      <w:r w:rsidR="00834809" w:rsidRPr="00A655A1">
        <w:rPr>
          <w:rFonts w:asciiTheme="minorHAnsi" w:hAnsiTheme="minorHAnsi"/>
          <w:bCs/>
          <w:snapToGrid w:val="0"/>
        </w:rPr>
        <w:t>;</w:t>
      </w:r>
      <w:r w:rsidR="00934640" w:rsidRPr="00A655A1">
        <w:rPr>
          <w:rFonts w:asciiTheme="minorHAnsi" w:hAnsiTheme="minorHAnsi"/>
          <w:bCs/>
          <w:snapToGrid w:val="0"/>
        </w:rPr>
        <w:t xml:space="preserve"> and</w:t>
      </w:r>
    </w:p>
    <w:p w:rsidR="00834809" w:rsidRPr="00A655A1" w:rsidRDefault="00141092" w:rsidP="00C2787E">
      <w:pPr>
        <w:keepLines/>
        <w:widowControl w:val="0"/>
        <w:numPr>
          <w:ilvl w:val="1"/>
          <w:numId w:val="30"/>
        </w:numPr>
        <w:spacing w:after="120"/>
        <w:ind w:left="1077" w:hanging="357"/>
        <w:rPr>
          <w:rFonts w:asciiTheme="minorHAnsi" w:hAnsiTheme="minorHAnsi"/>
          <w:bCs/>
          <w:snapToGrid w:val="0"/>
        </w:rPr>
      </w:pPr>
      <w:r w:rsidRPr="00A655A1">
        <w:rPr>
          <w:rFonts w:asciiTheme="minorHAnsi" w:hAnsiTheme="minorHAnsi"/>
          <w:bCs/>
          <w:snapToGrid w:val="0"/>
        </w:rPr>
        <w:t>t</w:t>
      </w:r>
      <w:r w:rsidR="00F17D41" w:rsidRPr="00A655A1">
        <w:rPr>
          <w:rFonts w:asciiTheme="minorHAnsi" w:hAnsiTheme="minorHAnsi"/>
          <w:bCs/>
          <w:snapToGrid w:val="0"/>
        </w:rPr>
        <w:t>hat the model did not consider subsequent treatment costs associated with either arm despite 35% of patient in the SBd arm, 32% of patients who did not crossover to SBd in the Bd arm and 49% of patients who crossed over from Bd to SBd receiving subsequent therapy</w:t>
      </w:r>
      <w:r w:rsidR="00472024" w:rsidRPr="00A655A1">
        <w:rPr>
          <w:rFonts w:asciiTheme="minorHAnsi" w:hAnsiTheme="minorHAnsi"/>
          <w:bCs/>
          <w:snapToGrid w:val="0"/>
        </w:rPr>
        <w:t>.</w:t>
      </w:r>
      <w:r w:rsidR="00934640" w:rsidRPr="00A655A1">
        <w:rPr>
          <w:rFonts w:asciiTheme="minorHAnsi" w:hAnsiTheme="minorHAnsi"/>
          <w:bCs/>
          <w:snapToGrid w:val="0"/>
        </w:rPr>
        <w:t xml:space="preserve"> The PBAC considered that subsequent treatment costs should be applied to both arms as</w:t>
      </w:r>
      <w:r w:rsidR="000718EC" w:rsidRPr="00A655A1">
        <w:rPr>
          <w:rFonts w:asciiTheme="minorHAnsi" w:hAnsiTheme="minorHAnsi"/>
          <w:bCs/>
          <w:snapToGrid w:val="0"/>
        </w:rPr>
        <w:t xml:space="preserve"> a proportion of</w:t>
      </w:r>
      <w:r w:rsidR="00934640" w:rsidRPr="00A655A1">
        <w:rPr>
          <w:rFonts w:asciiTheme="minorHAnsi" w:hAnsiTheme="minorHAnsi"/>
          <w:bCs/>
          <w:snapToGrid w:val="0"/>
        </w:rPr>
        <w:t xml:space="preserve"> patients in the Australian setting are likely to receive therapy beyond SBd and Bd.</w:t>
      </w:r>
    </w:p>
    <w:p w:rsidR="0088134C" w:rsidRPr="00A655A1" w:rsidRDefault="0088134C" w:rsidP="00C2787E">
      <w:pPr>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T</w:t>
      </w:r>
      <w:r w:rsidR="0041363E" w:rsidRPr="00A655A1">
        <w:rPr>
          <w:rFonts w:asciiTheme="minorHAnsi" w:hAnsiTheme="minorHAnsi"/>
          <w:bCs/>
          <w:snapToGrid w:val="0"/>
        </w:rPr>
        <w:t>he PBAC considered that the CMA</w:t>
      </w:r>
      <w:r w:rsidR="00F63ABD" w:rsidRPr="00A655A1">
        <w:rPr>
          <w:rFonts w:asciiTheme="minorHAnsi" w:hAnsiTheme="minorHAnsi"/>
          <w:bCs/>
          <w:snapToGrid w:val="0"/>
        </w:rPr>
        <w:t xml:space="preserve"> </w:t>
      </w:r>
      <w:r w:rsidRPr="00A655A1">
        <w:rPr>
          <w:rFonts w:asciiTheme="minorHAnsi" w:hAnsiTheme="minorHAnsi"/>
          <w:bCs/>
          <w:snapToGrid w:val="0"/>
        </w:rPr>
        <w:t xml:space="preserve">between SBd and Cd </w:t>
      </w:r>
      <w:r w:rsidR="00F63ABD" w:rsidRPr="00A655A1">
        <w:rPr>
          <w:rFonts w:asciiTheme="minorHAnsi" w:hAnsiTheme="minorHAnsi"/>
          <w:bCs/>
          <w:snapToGrid w:val="0"/>
        </w:rPr>
        <w:t>was not informative</w:t>
      </w:r>
      <w:r w:rsidR="00A1238F" w:rsidRPr="00A655A1">
        <w:rPr>
          <w:rFonts w:asciiTheme="minorHAnsi" w:hAnsiTheme="minorHAnsi"/>
          <w:bCs/>
          <w:snapToGrid w:val="0"/>
        </w:rPr>
        <w:t xml:space="preserve"> as non-inferiority was not adequately supported</w:t>
      </w:r>
      <w:r w:rsidR="004B4B75" w:rsidRPr="00A655A1">
        <w:rPr>
          <w:rFonts w:asciiTheme="minorHAnsi" w:hAnsiTheme="minorHAnsi"/>
          <w:bCs/>
          <w:snapToGrid w:val="0"/>
        </w:rPr>
        <w:t xml:space="preserve">. </w:t>
      </w:r>
      <w:r w:rsidRPr="00A655A1">
        <w:rPr>
          <w:rFonts w:asciiTheme="minorHAnsi" w:hAnsiTheme="minorHAnsi"/>
          <w:bCs/>
          <w:snapToGrid w:val="0"/>
        </w:rPr>
        <w:t>Noting that the claim that SBd had a comparable but different safety profile to Cd was not supported, the PBAC considered that the CMA should incorporate adverse event costs</w:t>
      </w:r>
      <w:r w:rsidR="00294991" w:rsidRPr="00A655A1">
        <w:rPr>
          <w:rFonts w:asciiTheme="minorHAnsi" w:hAnsiTheme="minorHAnsi"/>
          <w:bCs/>
          <w:snapToGrid w:val="0"/>
        </w:rPr>
        <w:t>, particularly haematological events related to SBd use</w:t>
      </w:r>
      <w:r w:rsidRPr="00A655A1">
        <w:rPr>
          <w:rFonts w:asciiTheme="minorHAnsi" w:hAnsiTheme="minorHAnsi"/>
          <w:bCs/>
          <w:snapToGrid w:val="0"/>
        </w:rPr>
        <w:t xml:space="preserve">. In addition, the </w:t>
      </w:r>
      <w:r w:rsidR="004B4B75" w:rsidRPr="00A655A1">
        <w:rPr>
          <w:rFonts w:asciiTheme="minorHAnsi" w:hAnsiTheme="minorHAnsi"/>
          <w:bCs/>
          <w:snapToGrid w:val="0"/>
        </w:rPr>
        <w:t xml:space="preserve">PBAC noted that </w:t>
      </w:r>
      <w:r w:rsidR="005F612F" w:rsidRPr="00A655A1">
        <w:t>within the CMA</w:t>
      </w:r>
      <w:r w:rsidR="005F612F" w:rsidRPr="00A655A1">
        <w:rPr>
          <w:rFonts w:asciiTheme="minorHAnsi" w:hAnsiTheme="minorHAnsi"/>
          <w:bCs/>
          <w:snapToGrid w:val="0"/>
        </w:rPr>
        <w:t xml:space="preserve"> </w:t>
      </w:r>
      <w:r w:rsidR="004B4B75" w:rsidRPr="00A655A1">
        <w:rPr>
          <w:rFonts w:asciiTheme="minorHAnsi" w:hAnsiTheme="minorHAnsi"/>
          <w:bCs/>
          <w:snapToGrid w:val="0"/>
        </w:rPr>
        <w:t xml:space="preserve">the duration of treatment of SBd was made equivalent to that of Cd </w:t>
      </w:r>
      <w:r w:rsidR="004B4B75" w:rsidRPr="00A655A1">
        <w:t>(9.18 months of treatment, i.e. 7.98 SBd cycles and 9.98 Cd cycles).</w:t>
      </w:r>
      <w:r w:rsidR="004B4B75" w:rsidRPr="00A655A1">
        <w:rPr>
          <w:iCs/>
        </w:rPr>
        <w:t xml:space="preserve"> The PBAC considered that this was not reasonable, and </w:t>
      </w:r>
      <w:r w:rsidR="005F612F" w:rsidRPr="00A655A1">
        <w:rPr>
          <w:iCs/>
        </w:rPr>
        <w:t>that it highlighted</w:t>
      </w:r>
      <w:r w:rsidR="004B4B75" w:rsidRPr="00A655A1">
        <w:rPr>
          <w:iCs/>
        </w:rPr>
        <w:t xml:space="preserve"> the uncertainties associated with the non-inferiority claim.</w:t>
      </w:r>
      <w:r w:rsidR="000503F2" w:rsidRPr="00A655A1">
        <w:rPr>
          <w:iCs/>
        </w:rPr>
        <w:t xml:space="preserve"> </w:t>
      </w:r>
    </w:p>
    <w:p w:rsidR="003C6781" w:rsidRPr="00A655A1" w:rsidRDefault="0088134C" w:rsidP="00C2787E">
      <w:pPr>
        <w:keepLines/>
        <w:widowControl w:val="0"/>
        <w:numPr>
          <w:ilvl w:val="1"/>
          <w:numId w:val="1"/>
        </w:numPr>
        <w:spacing w:after="120"/>
        <w:rPr>
          <w:rFonts w:asciiTheme="minorHAnsi" w:hAnsiTheme="minorHAnsi"/>
          <w:bCs/>
          <w:snapToGrid w:val="0"/>
        </w:rPr>
      </w:pPr>
      <w:r w:rsidRPr="00A655A1">
        <w:rPr>
          <w:iCs/>
        </w:rPr>
        <w:t>The PBAC also noted that the durations of SBd treatment applied in the CMA and CUA differed considerably (7.98 cycles and 11.07 cycles respectively)</w:t>
      </w:r>
      <w:r w:rsidR="001D6117" w:rsidRPr="00A655A1">
        <w:rPr>
          <w:iCs/>
        </w:rPr>
        <w:t xml:space="preserve"> and were considerably higher than that observed in the BOSTON trial (6.67 cycles)</w:t>
      </w:r>
      <w:r w:rsidRPr="00A655A1">
        <w:rPr>
          <w:iCs/>
        </w:rPr>
        <w:t>. The PBAC considered that this highlighted uncertaint</w:t>
      </w:r>
      <w:r w:rsidR="001D6117" w:rsidRPr="00A655A1">
        <w:rPr>
          <w:iCs/>
        </w:rPr>
        <w:t>y</w:t>
      </w:r>
      <w:r w:rsidRPr="00A655A1">
        <w:rPr>
          <w:iCs/>
        </w:rPr>
        <w:t xml:space="preserve"> within both economic analyses. </w:t>
      </w:r>
    </w:p>
    <w:p w:rsidR="001D6117" w:rsidRPr="00A655A1" w:rsidRDefault="00885DCB" w:rsidP="00C2787E">
      <w:pPr>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The PBAC considered that the utilisation estimates for SBd were overestimated. The PBAC noted that the distinction between the uptake rate applied and the rate of patients electing treatment was unclear but considered that, due to the toxicity associated with selinexor and the uncertain efficacy, utilisation would be low</w:t>
      </w:r>
      <w:r w:rsidR="000D3609" w:rsidRPr="00A655A1">
        <w:rPr>
          <w:rFonts w:asciiTheme="minorHAnsi" w:hAnsiTheme="minorHAnsi"/>
          <w:bCs/>
          <w:snapToGrid w:val="0"/>
        </w:rPr>
        <w:t>er than assumed</w:t>
      </w:r>
      <w:r w:rsidR="005F612F" w:rsidRPr="00A655A1">
        <w:rPr>
          <w:rFonts w:asciiTheme="minorHAnsi" w:hAnsiTheme="minorHAnsi"/>
          <w:bCs/>
          <w:snapToGrid w:val="0"/>
        </w:rPr>
        <w:t xml:space="preserve"> in the submission</w:t>
      </w:r>
      <w:r w:rsidRPr="00A655A1">
        <w:rPr>
          <w:rFonts w:asciiTheme="minorHAnsi" w:hAnsiTheme="minorHAnsi"/>
          <w:bCs/>
          <w:snapToGrid w:val="0"/>
        </w:rPr>
        <w:t>.</w:t>
      </w:r>
    </w:p>
    <w:p w:rsidR="00885DCB" w:rsidRPr="00A655A1" w:rsidRDefault="00885DCB" w:rsidP="00C2787E">
      <w:pPr>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 xml:space="preserve">The PBAC also considered that the financial impact estimates were underestimated. The PBAC considered that the submission inappropriately assumed that SBd would replace some DBd use in the second line </w:t>
      </w:r>
      <w:r w:rsidR="00831A47" w:rsidRPr="00A655A1">
        <w:rPr>
          <w:rFonts w:asciiTheme="minorHAnsi" w:hAnsiTheme="minorHAnsi"/>
          <w:bCs/>
          <w:snapToGrid w:val="0"/>
        </w:rPr>
        <w:t xml:space="preserve">setting </w:t>
      </w:r>
      <w:r w:rsidR="000D3609" w:rsidRPr="00A655A1">
        <w:rPr>
          <w:rFonts w:asciiTheme="minorHAnsi" w:hAnsiTheme="minorHAnsi"/>
          <w:bCs/>
          <w:snapToGrid w:val="0"/>
        </w:rPr>
        <w:t>resulting</w:t>
      </w:r>
      <w:r w:rsidRPr="00A655A1">
        <w:rPr>
          <w:rFonts w:asciiTheme="minorHAnsi" w:hAnsiTheme="minorHAnsi"/>
          <w:bCs/>
          <w:snapToGrid w:val="0"/>
        </w:rPr>
        <w:t xml:space="preserve"> in cost offsets which would not be realised in clinical practice. In addition, the PBAC considered </w:t>
      </w:r>
      <w:r w:rsidR="00EE23E8" w:rsidRPr="00A655A1">
        <w:rPr>
          <w:rFonts w:asciiTheme="minorHAnsi" w:hAnsiTheme="minorHAnsi"/>
          <w:bCs/>
          <w:snapToGrid w:val="0"/>
        </w:rPr>
        <w:t>the assumption that 100% of Cd patients would receive twice-weekly dosing was not reasonable.</w:t>
      </w:r>
    </w:p>
    <w:p w:rsidR="00DC3542" w:rsidRPr="00A655A1" w:rsidRDefault="00DC3542" w:rsidP="00C2787E">
      <w:pPr>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The PBAC noted that the submission did not propose a Risk Sharing Arrangement.</w:t>
      </w:r>
    </w:p>
    <w:p w:rsidR="00DC3542" w:rsidRPr="00A655A1" w:rsidRDefault="00DC3542" w:rsidP="00C2787E">
      <w:pPr>
        <w:keepLines/>
        <w:widowControl w:val="0"/>
        <w:numPr>
          <w:ilvl w:val="1"/>
          <w:numId w:val="1"/>
        </w:numPr>
        <w:spacing w:after="120"/>
        <w:rPr>
          <w:rFonts w:asciiTheme="minorHAnsi" w:hAnsiTheme="minorHAnsi"/>
          <w:bCs/>
          <w:snapToGrid w:val="0"/>
        </w:rPr>
      </w:pPr>
      <w:r w:rsidRPr="00A655A1">
        <w:rPr>
          <w:rFonts w:asciiTheme="minorHAnsi" w:hAnsiTheme="minorHAnsi"/>
          <w:bCs/>
          <w:snapToGrid w:val="0"/>
        </w:rPr>
        <w:t>The PBAC considered that any future resubmission for selinexor should present:</w:t>
      </w:r>
    </w:p>
    <w:p w:rsidR="00DC3542" w:rsidRPr="00A655A1" w:rsidRDefault="00EA393A" w:rsidP="00C2787E">
      <w:pPr>
        <w:keepLines/>
        <w:widowControl w:val="0"/>
        <w:numPr>
          <w:ilvl w:val="1"/>
          <w:numId w:val="31"/>
        </w:numPr>
        <w:spacing w:after="120"/>
        <w:ind w:left="1077" w:hanging="357"/>
        <w:rPr>
          <w:rFonts w:asciiTheme="minorHAnsi" w:hAnsiTheme="minorHAnsi"/>
          <w:bCs/>
          <w:snapToGrid w:val="0"/>
        </w:rPr>
      </w:pPr>
      <w:r w:rsidRPr="00A655A1">
        <w:rPr>
          <w:rFonts w:asciiTheme="minorHAnsi" w:hAnsiTheme="minorHAnsi"/>
          <w:bCs/>
          <w:snapToGrid w:val="0"/>
        </w:rPr>
        <w:t>a</w:t>
      </w:r>
      <w:r w:rsidR="00DC3542" w:rsidRPr="00A655A1">
        <w:rPr>
          <w:rFonts w:asciiTheme="minorHAnsi" w:hAnsiTheme="minorHAnsi"/>
          <w:bCs/>
          <w:snapToGrid w:val="0"/>
        </w:rPr>
        <w:t xml:space="preserve"> revised economic model which is more conservative in its assumptions</w:t>
      </w:r>
      <w:r w:rsidR="00573FB3" w:rsidRPr="00A655A1">
        <w:rPr>
          <w:rFonts w:asciiTheme="minorHAnsi" w:hAnsiTheme="minorHAnsi"/>
          <w:bCs/>
          <w:snapToGrid w:val="0"/>
        </w:rPr>
        <w:t xml:space="preserve"> as outlined in paragraph 7.1</w:t>
      </w:r>
      <w:r w:rsidR="00207B0A" w:rsidRPr="00A655A1">
        <w:rPr>
          <w:rFonts w:asciiTheme="minorHAnsi" w:hAnsiTheme="minorHAnsi"/>
          <w:bCs/>
          <w:snapToGrid w:val="0"/>
        </w:rPr>
        <w:t>3</w:t>
      </w:r>
      <w:r w:rsidR="00573FB3" w:rsidRPr="00A655A1">
        <w:rPr>
          <w:rFonts w:asciiTheme="minorHAnsi" w:hAnsiTheme="minorHAnsi"/>
          <w:bCs/>
          <w:snapToGrid w:val="0"/>
        </w:rPr>
        <w:t xml:space="preserve"> and 7.1</w:t>
      </w:r>
      <w:r w:rsidR="00207B0A" w:rsidRPr="00A655A1">
        <w:rPr>
          <w:rFonts w:asciiTheme="minorHAnsi" w:hAnsiTheme="minorHAnsi"/>
          <w:bCs/>
          <w:snapToGrid w:val="0"/>
        </w:rPr>
        <w:t>4</w:t>
      </w:r>
      <w:r w:rsidR="00DC3542" w:rsidRPr="00A655A1">
        <w:rPr>
          <w:rFonts w:asciiTheme="minorHAnsi" w:hAnsiTheme="minorHAnsi"/>
          <w:bCs/>
          <w:snapToGrid w:val="0"/>
        </w:rPr>
        <w:t>;</w:t>
      </w:r>
      <w:r w:rsidRPr="00A655A1">
        <w:rPr>
          <w:rFonts w:asciiTheme="minorHAnsi" w:hAnsiTheme="minorHAnsi"/>
          <w:bCs/>
          <w:snapToGrid w:val="0"/>
        </w:rPr>
        <w:t xml:space="preserve"> and</w:t>
      </w:r>
    </w:p>
    <w:p w:rsidR="00573FB3" w:rsidRPr="00A655A1" w:rsidRDefault="00EA393A" w:rsidP="00C2787E">
      <w:pPr>
        <w:keepLines/>
        <w:widowControl w:val="0"/>
        <w:numPr>
          <w:ilvl w:val="1"/>
          <w:numId w:val="31"/>
        </w:numPr>
        <w:spacing w:after="120"/>
        <w:ind w:left="1077" w:hanging="357"/>
        <w:rPr>
          <w:rFonts w:asciiTheme="minorHAnsi" w:hAnsiTheme="minorHAnsi"/>
          <w:bCs/>
          <w:snapToGrid w:val="0"/>
        </w:rPr>
      </w:pPr>
      <w:r w:rsidRPr="00A655A1">
        <w:rPr>
          <w:rFonts w:asciiTheme="minorHAnsi" w:hAnsiTheme="minorHAnsi"/>
          <w:bCs/>
          <w:snapToGrid w:val="0"/>
        </w:rPr>
        <w:t>r</w:t>
      </w:r>
      <w:r w:rsidR="00DC3542" w:rsidRPr="00A655A1">
        <w:rPr>
          <w:rFonts w:asciiTheme="minorHAnsi" w:hAnsiTheme="minorHAnsi"/>
          <w:bCs/>
          <w:snapToGrid w:val="0"/>
        </w:rPr>
        <w:t xml:space="preserve">evised utilisation and financial impact estimates which include more </w:t>
      </w:r>
      <w:r w:rsidR="00573FB3" w:rsidRPr="00A655A1">
        <w:rPr>
          <w:rFonts w:asciiTheme="minorHAnsi" w:hAnsiTheme="minorHAnsi"/>
          <w:bCs/>
          <w:snapToGrid w:val="0"/>
        </w:rPr>
        <w:t>conservative estimates in terms of uptake and assumed cost offsets</w:t>
      </w:r>
      <w:r w:rsidRPr="00A655A1">
        <w:rPr>
          <w:rFonts w:asciiTheme="minorHAnsi" w:hAnsiTheme="minorHAnsi"/>
          <w:bCs/>
          <w:snapToGrid w:val="0"/>
        </w:rPr>
        <w:t>.</w:t>
      </w:r>
    </w:p>
    <w:p w:rsidR="00DC3542" w:rsidRPr="00A655A1" w:rsidRDefault="00DC3542" w:rsidP="00C2787E">
      <w:pPr>
        <w:widowControl w:val="0"/>
        <w:numPr>
          <w:ilvl w:val="1"/>
          <w:numId w:val="1"/>
        </w:numPr>
        <w:spacing w:after="120"/>
        <w:rPr>
          <w:rFonts w:asciiTheme="minorHAnsi" w:hAnsiTheme="minorHAnsi"/>
          <w:bCs/>
          <w:snapToGrid w:val="0"/>
        </w:rPr>
      </w:pPr>
      <w:r w:rsidRPr="00A655A1">
        <w:rPr>
          <w:rFonts w:asciiTheme="minorHAnsi" w:hAnsiTheme="minorHAnsi"/>
          <w:bCs/>
          <w:snapToGrid w:val="0"/>
        </w:rPr>
        <w:t>The resubmission may be lodged at any future standard due date for PBAC submission using the standard re-entry pathway.</w:t>
      </w:r>
    </w:p>
    <w:p w:rsidR="00707864" w:rsidRPr="00A655A1" w:rsidRDefault="00DC3542" w:rsidP="00C2787E">
      <w:pPr>
        <w:widowControl w:val="0"/>
        <w:numPr>
          <w:ilvl w:val="1"/>
          <w:numId w:val="1"/>
        </w:numPr>
        <w:spacing w:after="120"/>
        <w:rPr>
          <w:rFonts w:asciiTheme="minorHAnsi" w:hAnsiTheme="minorHAnsi"/>
          <w:bCs/>
          <w:snapToGrid w:val="0"/>
        </w:rPr>
      </w:pPr>
      <w:r w:rsidRPr="00A655A1">
        <w:rPr>
          <w:rFonts w:asciiTheme="minorHAnsi" w:hAnsiTheme="minorHAnsi"/>
          <w:bCs/>
          <w:snapToGrid w:val="0"/>
        </w:rPr>
        <w:t>The PBAC advised that this submission is eligible for an Independent Review.</w:t>
      </w:r>
    </w:p>
    <w:p w:rsidR="00707864" w:rsidRPr="00A655A1" w:rsidRDefault="00707864" w:rsidP="00C2787E">
      <w:pPr>
        <w:widowControl w:val="0"/>
        <w:spacing w:before="240"/>
        <w:rPr>
          <w:rFonts w:asciiTheme="minorHAnsi" w:hAnsiTheme="minorHAnsi"/>
          <w:b/>
          <w:bCs/>
          <w:snapToGrid w:val="0"/>
        </w:rPr>
      </w:pPr>
      <w:r w:rsidRPr="00A655A1">
        <w:rPr>
          <w:rFonts w:asciiTheme="minorHAnsi" w:hAnsiTheme="minorHAnsi"/>
          <w:b/>
          <w:bCs/>
          <w:snapToGrid w:val="0"/>
        </w:rPr>
        <w:t>Outcome:</w:t>
      </w:r>
    </w:p>
    <w:p w:rsidR="00707864" w:rsidRPr="00A655A1" w:rsidRDefault="008F4BCB" w:rsidP="00C2787E">
      <w:pPr>
        <w:widowControl w:val="0"/>
        <w:rPr>
          <w:rFonts w:asciiTheme="minorHAnsi" w:hAnsiTheme="minorHAnsi"/>
          <w:bCs/>
          <w:snapToGrid w:val="0"/>
        </w:rPr>
      </w:pPr>
      <w:r>
        <w:rPr>
          <w:rFonts w:asciiTheme="minorHAnsi" w:hAnsiTheme="minorHAnsi"/>
          <w:bCs/>
          <w:snapToGrid w:val="0"/>
        </w:rPr>
        <w:t>Not recommended</w:t>
      </w:r>
    </w:p>
    <w:p w:rsidR="00707864" w:rsidRPr="00A655A1" w:rsidRDefault="00707864" w:rsidP="00C2787E">
      <w:pPr>
        <w:widowControl w:val="0"/>
        <w:rPr>
          <w:rFonts w:asciiTheme="minorHAnsi" w:hAnsiTheme="minorHAnsi"/>
          <w:b/>
          <w:bCs/>
          <w:snapToGrid w:val="0"/>
        </w:rPr>
      </w:pPr>
    </w:p>
    <w:p w:rsidR="0030387F" w:rsidRPr="0030387F" w:rsidRDefault="0030387F" w:rsidP="00C2787E">
      <w:pPr>
        <w:pStyle w:val="2-SectionHeading"/>
        <w:keepNext w:val="0"/>
        <w:widowControl w:val="0"/>
        <w:numPr>
          <w:ilvl w:val="0"/>
          <w:numId w:val="7"/>
        </w:numPr>
        <w:snapToGrid w:val="0"/>
      </w:pPr>
      <w:r w:rsidRPr="00C07617">
        <w:t>Context for Decision</w:t>
      </w:r>
    </w:p>
    <w:p w:rsidR="0030387F" w:rsidRPr="007129F2" w:rsidRDefault="0030387F" w:rsidP="00C2787E">
      <w:pPr>
        <w:widowControl w:val="0"/>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30387F" w:rsidRPr="0030387F" w:rsidRDefault="0030387F" w:rsidP="00C2787E">
      <w:pPr>
        <w:pStyle w:val="2-SectionHeading"/>
        <w:keepNext w:val="0"/>
        <w:widowControl w:val="0"/>
        <w:numPr>
          <w:ilvl w:val="0"/>
          <w:numId w:val="7"/>
        </w:numPr>
        <w:snapToGrid w:val="0"/>
      </w:pPr>
      <w:r>
        <w:t>Sponsor’s Comment</w:t>
      </w:r>
    </w:p>
    <w:p w:rsidR="006122A0" w:rsidRDefault="004C5B32" w:rsidP="00C2787E">
      <w:pPr>
        <w:widowControl w:val="0"/>
        <w:spacing w:after="120"/>
        <w:ind w:left="720"/>
        <w:rPr>
          <w:bCs/>
        </w:rPr>
      </w:pPr>
      <w:r w:rsidRPr="004C5B32">
        <w:rPr>
          <w:bCs/>
        </w:rPr>
        <w:t>Antengene is committed to working with the PBAC to secure equitable access to selinexor in a triplet regimen for both patients and physicians in relapsed/refractory multiple myeloma.  We wish to thank and acknowledge the contribution of clinicians, patients, and advocacy groups in supporting this submission.</w:t>
      </w:r>
    </w:p>
    <w:p w:rsidR="00707864" w:rsidRPr="006122A0" w:rsidRDefault="006122A0" w:rsidP="00C2787E">
      <w:pPr>
        <w:widowControl w:val="0"/>
        <w:spacing w:after="120"/>
        <w:ind w:left="720"/>
        <w:rPr>
          <w:bCs/>
        </w:rPr>
      </w:pPr>
      <w:r w:rsidRPr="006122A0">
        <w:rPr>
          <w:bCs/>
        </w:rPr>
        <w:t>For paragraph 4.3 of the PSD, the sponsor wishes to clarify that the proposed clinical algorithm did not specifically include DBd as a second line therapy as it was yet to be PBS listed at the time of the submission.</w:t>
      </w:r>
    </w:p>
    <w:p w:rsidR="00697C64" w:rsidRPr="00A655A1" w:rsidRDefault="00697C64" w:rsidP="00C2787E">
      <w:pPr>
        <w:widowControl w:val="0"/>
        <w:rPr>
          <w:rFonts w:eastAsia="Calibri"/>
        </w:rPr>
      </w:pPr>
    </w:p>
    <w:p w:rsidR="00A15C4B" w:rsidRPr="00A655A1" w:rsidRDefault="00A15C4B" w:rsidP="00C2787E">
      <w:pPr>
        <w:widowControl w:val="0"/>
        <w:jc w:val="left"/>
        <w:rPr>
          <w:color w:val="3366FF"/>
        </w:rPr>
      </w:pPr>
    </w:p>
    <w:sectPr w:rsidR="00A15C4B" w:rsidRPr="00A655A1" w:rsidSect="00D72443">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816" w:rsidRDefault="00185816" w:rsidP="00124A51">
      <w:r>
        <w:separator/>
      </w:r>
    </w:p>
    <w:p w:rsidR="00185816" w:rsidRDefault="00185816"/>
  </w:endnote>
  <w:endnote w:type="continuationSeparator" w:id="0">
    <w:p w:rsidR="00185816" w:rsidRDefault="00185816" w:rsidP="00124A51">
      <w:r>
        <w:continuationSeparator/>
      </w:r>
    </w:p>
    <w:p w:rsidR="00185816" w:rsidRDefault="00185816"/>
  </w:endnote>
  <w:endnote w:type="continuationNotice" w:id="1">
    <w:p w:rsidR="00185816" w:rsidRDefault="00185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UI Semilight">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16" w:rsidRDefault="00185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16" w:rsidRDefault="00185816">
    <w:pPr>
      <w:pStyle w:val="Footer"/>
      <w:jc w:val="center"/>
    </w:pPr>
  </w:p>
  <w:p w:rsidR="00185816" w:rsidRPr="007C1CD9" w:rsidRDefault="00185816" w:rsidP="000D7D58">
    <w:pPr>
      <w:pStyle w:val="Footer"/>
      <w:jc w:val="center"/>
    </w:pPr>
    <w:sdt>
      <w:sdtPr>
        <w:id w:val="-133337318"/>
        <w:docPartObj>
          <w:docPartGallery w:val="Page Numbers (Bottom of Page)"/>
          <w:docPartUnique/>
        </w:docPartObj>
      </w:sdtPr>
      <w:sdtEndPr>
        <w:rPr>
          <w:noProof/>
        </w:rPr>
      </w:sdtEndPr>
      <w:sdtContent>
        <w:r w:rsidRPr="000D7D58">
          <w:rPr>
            <w:b/>
          </w:rPr>
          <w:fldChar w:fldCharType="begin"/>
        </w:r>
        <w:r w:rsidRPr="000D7D58">
          <w:rPr>
            <w:b/>
          </w:rPr>
          <w:instrText xml:space="preserve"> PAGE   \* MERGEFORMAT </w:instrText>
        </w:r>
        <w:r w:rsidRPr="000D7D58">
          <w:rPr>
            <w:b/>
          </w:rPr>
          <w:fldChar w:fldCharType="separate"/>
        </w:r>
        <w:r w:rsidR="00FB582D">
          <w:rPr>
            <w:b/>
            <w:noProof/>
          </w:rPr>
          <w:t>43</w:t>
        </w:r>
        <w:r w:rsidRPr="000D7D58">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16" w:rsidRDefault="0018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816" w:rsidRDefault="00185816" w:rsidP="00124A51">
      <w:r>
        <w:separator/>
      </w:r>
    </w:p>
    <w:p w:rsidR="00185816" w:rsidRDefault="00185816"/>
  </w:footnote>
  <w:footnote w:type="continuationSeparator" w:id="0">
    <w:p w:rsidR="00185816" w:rsidRDefault="00185816" w:rsidP="00124A51">
      <w:r>
        <w:continuationSeparator/>
      </w:r>
    </w:p>
    <w:p w:rsidR="00185816" w:rsidRDefault="00185816"/>
  </w:footnote>
  <w:footnote w:type="continuationNotice" w:id="1">
    <w:p w:rsidR="00185816" w:rsidRDefault="001858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16" w:rsidRDefault="00185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16" w:rsidRPr="000D7D58" w:rsidRDefault="00185816" w:rsidP="000D7D58">
    <w:pPr>
      <w:pStyle w:val="Header"/>
      <w:ind w:left="360"/>
      <w:rPr>
        <w:rFonts w:asciiTheme="minorHAnsi" w:hAnsiTheme="minorHAnsi"/>
        <w:i/>
      </w:rPr>
    </w:pPr>
    <w:r w:rsidRPr="0030387F">
      <w:rPr>
        <w:rFonts w:asciiTheme="minorHAnsi" w:hAnsiTheme="minorHAnsi"/>
        <w:i/>
      </w:rPr>
      <w:t xml:space="preserve">Public Summary Document </w:t>
    </w:r>
    <w:r w:rsidRPr="000D7D58">
      <w:rPr>
        <w:rFonts w:asciiTheme="minorHAnsi" w:hAnsiTheme="minorHAnsi"/>
        <w:i/>
      </w:rPr>
      <w:t>– July 2021 PBAC Meeting</w:t>
    </w:r>
  </w:p>
  <w:p w:rsidR="00185816" w:rsidRPr="008C7ECB" w:rsidRDefault="00185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16" w:rsidRDefault="00185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A148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E756FB"/>
    <w:multiLevelType w:val="hybridMultilevel"/>
    <w:tmpl w:val="4EEC02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7D7C76"/>
    <w:multiLevelType w:val="hybridMultilevel"/>
    <w:tmpl w:val="559E2364"/>
    <w:lvl w:ilvl="0" w:tplc="0EA2BFF8">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E6F44"/>
    <w:multiLevelType w:val="hybridMultilevel"/>
    <w:tmpl w:val="A874DAD2"/>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32584F"/>
    <w:multiLevelType w:val="hybridMultilevel"/>
    <w:tmpl w:val="13F03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2D2A5E"/>
    <w:multiLevelType w:val="hybridMultilevel"/>
    <w:tmpl w:val="24902D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9C6417"/>
    <w:multiLevelType w:val="hybridMultilevel"/>
    <w:tmpl w:val="D488DF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A950E2"/>
    <w:multiLevelType w:val="hybridMultilevel"/>
    <w:tmpl w:val="77A22460"/>
    <w:lvl w:ilvl="0" w:tplc="0C090003">
      <w:start w:val="1"/>
      <w:numFmt w:val="bullet"/>
      <w:lvlText w:val="o"/>
      <w:lvlJc w:val="left"/>
      <w:pPr>
        <w:ind w:left="717" w:hanging="360"/>
      </w:pPr>
      <w:rPr>
        <w:rFonts w:ascii="Courier New" w:hAnsi="Courier New" w:cs="Courier New"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15:restartNumberingAfterBreak="0">
    <w:nsid w:val="23261C36"/>
    <w:multiLevelType w:val="hybridMultilevel"/>
    <w:tmpl w:val="3A424BE2"/>
    <w:lvl w:ilvl="0" w:tplc="263295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3F5DD1"/>
    <w:multiLevelType w:val="hybridMultilevel"/>
    <w:tmpl w:val="E402D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57390E"/>
    <w:multiLevelType w:val="hybridMultilevel"/>
    <w:tmpl w:val="04E2CE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0762B2"/>
    <w:multiLevelType w:val="multilevel"/>
    <w:tmpl w:val="02A25B7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525FA5"/>
    <w:multiLevelType w:val="hybridMultilevel"/>
    <w:tmpl w:val="3006D9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67A6"/>
    <w:multiLevelType w:val="hybridMultilevel"/>
    <w:tmpl w:val="51CA1480"/>
    <w:lvl w:ilvl="0" w:tplc="04090001">
      <w:start w:val="1"/>
      <w:numFmt w:val="bullet"/>
      <w:pStyle w:val="ListParagraph"/>
      <w:lvlText w:val=""/>
      <w:lvlJc w:val="left"/>
      <w:pPr>
        <w:ind w:left="-1224" w:hanging="360"/>
      </w:pPr>
      <w:rPr>
        <w:rFonts w:ascii="Symbol" w:hAnsi="Symbol"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216" w:hanging="360"/>
      </w:pPr>
      <w:rPr>
        <w:rFonts w:ascii="Wingdings" w:hAnsi="Wingdings" w:hint="default"/>
      </w:rPr>
    </w:lvl>
    <w:lvl w:ilvl="3" w:tplc="04090001" w:tentative="1">
      <w:start w:val="1"/>
      <w:numFmt w:val="bullet"/>
      <w:lvlText w:val=""/>
      <w:lvlJc w:val="left"/>
      <w:pPr>
        <w:ind w:left="936" w:hanging="360"/>
      </w:pPr>
      <w:rPr>
        <w:rFonts w:ascii="Symbol" w:hAnsi="Symbol" w:hint="default"/>
      </w:rPr>
    </w:lvl>
    <w:lvl w:ilvl="4" w:tplc="04090003" w:tentative="1">
      <w:start w:val="1"/>
      <w:numFmt w:val="bullet"/>
      <w:lvlText w:val="o"/>
      <w:lvlJc w:val="left"/>
      <w:pPr>
        <w:ind w:left="1656" w:hanging="360"/>
      </w:pPr>
      <w:rPr>
        <w:rFonts w:ascii="Courier New" w:hAnsi="Courier New" w:hint="default"/>
      </w:rPr>
    </w:lvl>
    <w:lvl w:ilvl="5" w:tplc="04090005" w:tentative="1">
      <w:start w:val="1"/>
      <w:numFmt w:val="bullet"/>
      <w:lvlText w:val=""/>
      <w:lvlJc w:val="left"/>
      <w:pPr>
        <w:ind w:left="2376" w:hanging="360"/>
      </w:pPr>
      <w:rPr>
        <w:rFonts w:ascii="Wingdings" w:hAnsi="Wingdings" w:hint="default"/>
      </w:rPr>
    </w:lvl>
    <w:lvl w:ilvl="6" w:tplc="04090001" w:tentative="1">
      <w:start w:val="1"/>
      <w:numFmt w:val="bullet"/>
      <w:lvlText w:val=""/>
      <w:lvlJc w:val="left"/>
      <w:pPr>
        <w:ind w:left="3096" w:hanging="360"/>
      </w:pPr>
      <w:rPr>
        <w:rFonts w:ascii="Symbol" w:hAnsi="Symbol" w:hint="default"/>
      </w:rPr>
    </w:lvl>
    <w:lvl w:ilvl="7" w:tplc="04090003" w:tentative="1">
      <w:start w:val="1"/>
      <w:numFmt w:val="bullet"/>
      <w:lvlText w:val="o"/>
      <w:lvlJc w:val="left"/>
      <w:pPr>
        <w:ind w:left="3816" w:hanging="360"/>
      </w:pPr>
      <w:rPr>
        <w:rFonts w:ascii="Courier New" w:hAnsi="Courier New" w:hint="default"/>
      </w:rPr>
    </w:lvl>
    <w:lvl w:ilvl="8" w:tplc="04090005" w:tentative="1">
      <w:start w:val="1"/>
      <w:numFmt w:val="bullet"/>
      <w:lvlText w:val=""/>
      <w:lvlJc w:val="left"/>
      <w:pPr>
        <w:ind w:left="4536" w:hanging="360"/>
      </w:pPr>
      <w:rPr>
        <w:rFonts w:ascii="Wingdings" w:hAnsi="Wingdings" w:hint="default"/>
      </w:rPr>
    </w:lvl>
  </w:abstractNum>
  <w:abstractNum w:abstractNumId="21" w15:restartNumberingAfterBreak="0">
    <w:nsid w:val="4A4C7C69"/>
    <w:multiLevelType w:val="hybridMultilevel"/>
    <w:tmpl w:val="3C8C4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B356CA"/>
    <w:multiLevelType w:val="multilevel"/>
    <w:tmpl w:val="9D122CC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41F5076"/>
    <w:multiLevelType w:val="hybridMultilevel"/>
    <w:tmpl w:val="25A6A1AA"/>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D033C"/>
    <w:multiLevelType w:val="multilevel"/>
    <w:tmpl w:val="C7A0BF2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9" w15:restartNumberingAfterBreak="0">
    <w:nsid w:val="7F577013"/>
    <w:multiLevelType w:val="hybridMultilevel"/>
    <w:tmpl w:val="D7C67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19"/>
  </w:num>
  <w:num w:numId="3">
    <w:abstractNumId w:val="20"/>
  </w:num>
  <w:num w:numId="4">
    <w:abstractNumId w:val="0"/>
  </w:num>
  <w:num w:numId="5">
    <w:abstractNumId w:val="6"/>
  </w:num>
  <w:num w:numId="6">
    <w:abstractNumId w:val="29"/>
  </w:num>
  <w:num w:numId="7">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1"/>
  </w:num>
  <w:num w:numId="11">
    <w:abstractNumId w:val="3"/>
  </w:num>
  <w:num w:numId="12">
    <w:abstractNumId w:val="28"/>
  </w:num>
  <w:num w:numId="13">
    <w:abstractNumId w:val="9"/>
  </w:num>
  <w:num w:numId="14">
    <w:abstractNumId w:val="8"/>
  </w:num>
  <w:num w:numId="15">
    <w:abstractNumId w:val="2"/>
  </w:num>
  <w:num w:numId="16">
    <w:abstractNumId w:val="11"/>
  </w:num>
  <w:num w:numId="17">
    <w:abstractNumId w:val="18"/>
  </w:num>
  <w:num w:numId="18">
    <w:abstractNumId w:val="10"/>
  </w:num>
  <w:num w:numId="19">
    <w:abstractNumId w:val="4"/>
  </w:num>
  <w:num w:numId="20">
    <w:abstractNumId w:val="25"/>
  </w:num>
  <w:num w:numId="21">
    <w:abstractNumId w:val="26"/>
  </w:num>
  <w:num w:numId="22">
    <w:abstractNumId w:val="15"/>
  </w:num>
  <w:num w:numId="23">
    <w:abstractNumId w:val="23"/>
  </w:num>
  <w:num w:numId="24">
    <w:abstractNumId w:val="5"/>
  </w:num>
  <w:num w:numId="25">
    <w:abstractNumId w:val="1"/>
  </w:num>
  <w:num w:numId="26">
    <w:abstractNumId w:val="13"/>
  </w:num>
  <w:num w:numId="27">
    <w:abstractNumId w:val="14"/>
  </w:num>
  <w:num w:numId="28">
    <w:abstractNumId w:val="12"/>
  </w:num>
  <w:num w:numId="2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7"/>
  </w:num>
  <w:num w:numId="32">
    <w:abstractNumId w:val="27"/>
  </w:num>
  <w:num w:numId="3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1MDMwMzcwMTQwsjRX0lEKTi0uzszPAykwqgUAr7v9ZiwAAAA="/>
  </w:docVars>
  <w:rsids>
    <w:rsidRoot w:val="00E65E79"/>
    <w:rsid w:val="000000D6"/>
    <w:rsid w:val="000003C1"/>
    <w:rsid w:val="000004B9"/>
    <w:rsid w:val="00000790"/>
    <w:rsid w:val="00000973"/>
    <w:rsid w:val="00000F9E"/>
    <w:rsid w:val="0000110B"/>
    <w:rsid w:val="0000136F"/>
    <w:rsid w:val="000015AB"/>
    <w:rsid w:val="000015DC"/>
    <w:rsid w:val="00001B0A"/>
    <w:rsid w:val="00001BC6"/>
    <w:rsid w:val="00001CE1"/>
    <w:rsid w:val="00001E13"/>
    <w:rsid w:val="00002037"/>
    <w:rsid w:val="000025AC"/>
    <w:rsid w:val="00002635"/>
    <w:rsid w:val="0000281C"/>
    <w:rsid w:val="00002A4D"/>
    <w:rsid w:val="00002B33"/>
    <w:rsid w:val="00002B38"/>
    <w:rsid w:val="00003499"/>
    <w:rsid w:val="000039B7"/>
    <w:rsid w:val="00003A41"/>
    <w:rsid w:val="00003CFA"/>
    <w:rsid w:val="00004FCE"/>
    <w:rsid w:val="000056F5"/>
    <w:rsid w:val="00005FC0"/>
    <w:rsid w:val="0000606A"/>
    <w:rsid w:val="0000625E"/>
    <w:rsid w:val="0000639A"/>
    <w:rsid w:val="00006A5A"/>
    <w:rsid w:val="00006D76"/>
    <w:rsid w:val="0000703D"/>
    <w:rsid w:val="000073CC"/>
    <w:rsid w:val="000073E5"/>
    <w:rsid w:val="00007D8E"/>
    <w:rsid w:val="0001048C"/>
    <w:rsid w:val="0001079A"/>
    <w:rsid w:val="0001092D"/>
    <w:rsid w:val="00011394"/>
    <w:rsid w:val="00011875"/>
    <w:rsid w:val="00011AA6"/>
    <w:rsid w:val="00012C8D"/>
    <w:rsid w:val="00012FB8"/>
    <w:rsid w:val="00013150"/>
    <w:rsid w:val="000131F3"/>
    <w:rsid w:val="000131FF"/>
    <w:rsid w:val="00013247"/>
    <w:rsid w:val="000135AF"/>
    <w:rsid w:val="00013A3E"/>
    <w:rsid w:val="00013D91"/>
    <w:rsid w:val="00014560"/>
    <w:rsid w:val="000146ED"/>
    <w:rsid w:val="00014B95"/>
    <w:rsid w:val="00015886"/>
    <w:rsid w:val="000162EF"/>
    <w:rsid w:val="000164B6"/>
    <w:rsid w:val="00016D12"/>
    <w:rsid w:val="00017529"/>
    <w:rsid w:val="000177F2"/>
    <w:rsid w:val="00017A27"/>
    <w:rsid w:val="00017D52"/>
    <w:rsid w:val="0002029E"/>
    <w:rsid w:val="000206E7"/>
    <w:rsid w:val="000207C9"/>
    <w:rsid w:val="00020A0C"/>
    <w:rsid w:val="00020E80"/>
    <w:rsid w:val="000212CA"/>
    <w:rsid w:val="00021473"/>
    <w:rsid w:val="000219C2"/>
    <w:rsid w:val="0002225F"/>
    <w:rsid w:val="000226A1"/>
    <w:rsid w:val="0002302C"/>
    <w:rsid w:val="0002308A"/>
    <w:rsid w:val="000236E0"/>
    <w:rsid w:val="00023763"/>
    <w:rsid w:val="00023FF6"/>
    <w:rsid w:val="000244FD"/>
    <w:rsid w:val="0002513D"/>
    <w:rsid w:val="00025479"/>
    <w:rsid w:val="000254B1"/>
    <w:rsid w:val="00026651"/>
    <w:rsid w:val="00026856"/>
    <w:rsid w:val="00026FAC"/>
    <w:rsid w:val="000274B8"/>
    <w:rsid w:val="00027510"/>
    <w:rsid w:val="0002766D"/>
    <w:rsid w:val="00027ED1"/>
    <w:rsid w:val="0003127F"/>
    <w:rsid w:val="00031CC8"/>
    <w:rsid w:val="000327C2"/>
    <w:rsid w:val="00032846"/>
    <w:rsid w:val="000330F8"/>
    <w:rsid w:val="00033598"/>
    <w:rsid w:val="00033863"/>
    <w:rsid w:val="0003418F"/>
    <w:rsid w:val="00034627"/>
    <w:rsid w:val="000346E3"/>
    <w:rsid w:val="00034E10"/>
    <w:rsid w:val="00035450"/>
    <w:rsid w:val="00035793"/>
    <w:rsid w:val="00035DC0"/>
    <w:rsid w:val="00036829"/>
    <w:rsid w:val="00040761"/>
    <w:rsid w:val="00040798"/>
    <w:rsid w:val="00040895"/>
    <w:rsid w:val="000409DB"/>
    <w:rsid w:val="00040CC4"/>
    <w:rsid w:val="00040E16"/>
    <w:rsid w:val="00041883"/>
    <w:rsid w:val="00042061"/>
    <w:rsid w:val="0004215D"/>
    <w:rsid w:val="0004326A"/>
    <w:rsid w:val="000435EE"/>
    <w:rsid w:val="00043C37"/>
    <w:rsid w:val="00043E1A"/>
    <w:rsid w:val="00043F1C"/>
    <w:rsid w:val="0004428E"/>
    <w:rsid w:val="00045017"/>
    <w:rsid w:val="00045030"/>
    <w:rsid w:val="000451DC"/>
    <w:rsid w:val="000459C5"/>
    <w:rsid w:val="00045A2B"/>
    <w:rsid w:val="00045DD4"/>
    <w:rsid w:val="000461E2"/>
    <w:rsid w:val="000467C9"/>
    <w:rsid w:val="0004698F"/>
    <w:rsid w:val="000479E8"/>
    <w:rsid w:val="00047EC3"/>
    <w:rsid w:val="00050353"/>
    <w:rsid w:val="000503AB"/>
    <w:rsid w:val="000503F2"/>
    <w:rsid w:val="00050773"/>
    <w:rsid w:val="0005088C"/>
    <w:rsid w:val="000508E2"/>
    <w:rsid w:val="0005097B"/>
    <w:rsid w:val="00051004"/>
    <w:rsid w:val="0005152C"/>
    <w:rsid w:val="000519AB"/>
    <w:rsid w:val="00051BEF"/>
    <w:rsid w:val="00051E97"/>
    <w:rsid w:val="0005212E"/>
    <w:rsid w:val="00053838"/>
    <w:rsid w:val="000539D0"/>
    <w:rsid w:val="00053DBE"/>
    <w:rsid w:val="00054060"/>
    <w:rsid w:val="0005427D"/>
    <w:rsid w:val="0005429A"/>
    <w:rsid w:val="0005461F"/>
    <w:rsid w:val="00054621"/>
    <w:rsid w:val="000546D7"/>
    <w:rsid w:val="0005486B"/>
    <w:rsid w:val="00054DFB"/>
    <w:rsid w:val="00055666"/>
    <w:rsid w:val="00055AC9"/>
    <w:rsid w:val="00055E10"/>
    <w:rsid w:val="00056280"/>
    <w:rsid w:val="00056751"/>
    <w:rsid w:val="00056BC0"/>
    <w:rsid w:val="00056E59"/>
    <w:rsid w:val="00056ECF"/>
    <w:rsid w:val="0005701B"/>
    <w:rsid w:val="00057615"/>
    <w:rsid w:val="00057C91"/>
    <w:rsid w:val="00057EC1"/>
    <w:rsid w:val="000604DF"/>
    <w:rsid w:val="000614F0"/>
    <w:rsid w:val="0006151A"/>
    <w:rsid w:val="0006164F"/>
    <w:rsid w:val="0006165B"/>
    <w:rsid w:val="000616FC"/>
    <w:rsid w:val="0006183A"/>
    <w:rsid w:val="00061A49"/>
    <w:rsid w:val="000620DD"/>
    <w:rsid w:val="00062644"/>
    <w:rsid w:val="00062696"/>
    <w:rsid w:val="000635F5"/>
    <w:rsid w:val="00063BD9"/>
    <w:rsid w:val="00064AC9"/>
    <w:rsid w:val="0006517E"/>
    <w:rsid w:val="000653B5"/>
    <w:rsid w:val="000659E8"/>
    <w:rsid w:val="0006600D"/>
    <w:rsid w:val="00066360"/>
    <w:rsid w:val="00066AF8"/>
    <w:rsid w:val="00066D67"/>
    <w:rsid w:val="00066E73"/>
    <w:rsid w:val="00067A4B"/>
    <w:rsid w:val="00067AED"/>
    <w:rsid w:val="00067CF6"/>
    <w:rsid w:val="00067FAE"/>
    <w:rsid w:val="00070563"/>
    <w:rsid w:val="00071060"/>
    <w:rsid w:val="00071191"/>
    <w:rsid w:val="00071248"/>
    <w:rsid w:val="0007151F"/>
    <w:rsid w:val="000718EC"/>
    <w:rsid w:val="000718F8"/>
    <w:rsid w:val="000720B9"/>
    <w:rsid w:val="000721D4"/>
    <w:rsid w:val="00072B33"/>
    <w:rsid w:val="000737F7"/>
    <w:rsid w:val="0007438B"/>
    <w:rsid w:val="0007479E"/>
    <w:rsid w:val="000749C2"/>
    <w:rsid w:val="0007523F"/>
    <w:rsid w:val="00075A88"/>
    <w:rsid w:val="00075E10"/>
    <w:rsid w:val="000762BC"/>
    <w:rsid w:val="00076553"/>
    <w:rsid w:val="000765D4"/>
    <w:rsid w:val="0007672F"/>
    <w:rsid w:val="00076794"/>
    <w:rsid w:val="00076B54"/>
    <w:rsid w:val="00076F10"/>
    <w:rsid w:val="000774DE"/>
    <w:rsid w:val="000774F0"/>
    <w:rsid w:val="000777CD"/>
    <w:rsid w:val="00077B3E"/>
    <w:rsid w:val="0008011A"/>
    <w:rsid w:val="00080909"/>
    <w:rsid w:val="000809B6"/>
    <w:rsid w:val="00081027"/>
    <w:rsid w:val="000812CA"/>
    <w:rsid w:val="000815C7"/>
    <w:rsid w:val="00081E63"/>
    <w:rsid w:val="00081E64"/>
    <w:rsid w:val="000824E2"/>
    <w:rsid w:val="0008258D"/>
    <w:rsid w:val="00082A01"/>
    <w:rsid w:val="00082DFE"/>
    <w:rsid w:val="00083AC3"/>
    <w:rsid w:val="00083E99"/>
    <w:rsid w:val="000841F1"/>
    <w:rsid w:val="00084FA8"/>
    <w:rsid w:val="00085249"/>
    <w:rsid w:val="000856C5"/>
    <w:rsid w:val="00085879"/>
    <w:rsid w:val="00085A49"/>
    <w:rsid w:val="00085C31"/>
    <w:rsid w:val="00086A3B"/>
    <w:rsid w:val="00086A76"/>
    <w:rsid w:val="00086FDB"/>
    <w:rsid w:val="0008749A"/>
    <w:rsid w:val="000874AC"/>
    <w:rsid w:val="00087A0E"/>
    <w:rsid w:val="00087B97"/>
    <w:rsid w:val="00087ECB"/>
    <w:rsid w:val="000902D9"/>
    <w:rsid w:val="00090452"/>
    <w:rsid w:val="00090C7E"/>
    <w:rsid w:val="00090F91"/>
    <w:rsid w:val="000912C0"/>
    <w:rsid w:val="00091D2D"/>
    <w:rsid w:val="00091D77"/>
    <w:rsid w:val="00092600"/>
    <w:rsid w:val="0009262B"/>
    <w:rsid w:val="00092A92"/>
    <w:rsid w:val="00093031"/>
    <w:rsid w:val="00093153"/>
    <w:rsid w:val="00093310"/>
    <w:rsid w:val="00093A5E"/>
    <w:rsid w:val="00093F81"/>
    <w:rsid w:val="00093FF3"/>
    <w:rsid w:val="0009445C"/>
    <w:rsid w:val="00095200"/>
    <w:rsid w:val="00095899"/>
    <w:rsid w:val="00095CB7"/>
    <w:rsid w:val="00095FE5"/>
    <w:rsid w:val="000961EC"/>
    <w:rsid w:val="00096284"/>
    <w:rsid w:val="000963A2"/>
    <w:rsid w:val="0009642E"/>
    <w:rsid w:val="00096D12"/>
    <w:rsid w:val="00097541"/>
    <w:rsid w:val="0009798F"/>
    <w:rsid w:val="00097F57"/>
    <w:rsid w:val="000A0924"/>
    <w:rsid w:val="000A0F44"/>
    <w:rsid w:val="000A1540"/>
    <w:rsid w:val="000A1A98"/>
    <w:rsid w:val="000A1BC0"/>
    <w:rsid w:val="000A1CED"/>
    <w:rsid w:val="000A1F41"/>
    <w:rsid w:val="000A300D"/>
    <w:rsid w:val="000A3C07"/>
    <w:rsid w:val="000A4C95"/>
    <w:rsid w:val="000A505D"/>
    <w:rsid w:val="000A5E02"/>
    <w:rsid w:val="000A6015"/>
    <w:rsid w:val="000A6039"/>
    <w:rsid w:val="000A6DAF"/>
    <w:rsid w:val="000A7270"/>
    <w:rsid w:val="000A7289"/>
    <w:rsid w:val="000A7305"/>
    <w:rsid w:val="000A7453"/>
    <w:rsid w:val="000A7D08"/>
    <w:rsid w:val="000A7E06"/>
    <w:rsid w:val="000A7FC1"/>
    <w:rsid w:val="000B0121"/>
    <w:rsid w:val="000B02ED"/>
    <w:rsid w:val="000B0670"/>
    <w:rsid w:val="000B0A82"/>
    <w:rsid w:val="000B0E75"/>
    <w:rsid w:val="000B0FCD"/>
    <w:rsid w:val="000B1575"/>
    <w:rsid w:val="000B1F2F"/>
    <w:rsid w:val="000B2007"/>
    <w:rsid w:val="000B2D69"/>
    <w:rsid w:val="000B2DCB"/>
    <w:rsid w:val="000B3195"/>
    <w:rsid w:val="000B368F"/>
    <w:rsid w:val="000B3B91"/>
    <w:rsid w:val="000B4097"/>
    <w:rsid w:val="000B42B9"/>
    <w:rsid w:val="000B48C7"/>
    <w:rsid w:val="000B55D4"/>
    <w:rsid w:val="000B5AF4"/>
    <w:rsid w:val="000B5CE0"/>
    <w:rsid w:val="000B5D1A"/>
    <w:rsid w:val="000B6061"/>
    <w:rsid w:val="000B6AAC"/>
    <w:rsid w:val="000B6CAC"/>
    <w:rsid w:val="000B725C"/>
    <w:rsid w:val="000B75E6"/>
    <w:rsid w:val="000B7612"/>
    <w:rsid w:val="000B78AE"/>
    <w:rsid w:val="000B7FC2"/>
    <w:rsid w:val="000C06DF"/>
    <w:rsid w:val="000C0ACE"/>
    <w:rsid w:val="000C1066"/>
    <w:rsid w:val="000C10FD"/>
    <w:rsid w:val="000C11F7"/>
    <w:rsid w:val="000C1594"/>
    <w:rsid w:val="000C239A"/>
    <w:rsid w:val="000C2BC0"/>
    <w:rsid w:val="000C3456"/>
    <w:rsid w:val="000C3DF9"/>
    <w:rsid w:val="000C419F"/>
    <w:rsid w:val="000C48A0"/>
    <w:rsid w:val="000C4E17"/>
    <w:rsid w:val="000C55CB"/>
    <w:rsid w:val="000C55E8"/>
    <w:rsid w:val="000C5C5F"/>
    <w:rsid w:val="000C6713"/>
    <w:rsid w:val="000C73B7"/>
    <w:rsid w:val="000D063A"/>
    <w:rsid w:val="000D0A2E"/>
    <w:rsid w:val="000D0FA7"/>
    <w:rsid w:val="000D1061"/>
    <w:rsid w:val="000D11C3"/>
    <w:rsid w:val="000D15C2"/>
    <w:rsid w:val="000D172B"/>
    <w:rsid w:val="000D1793"/>
    <w:rsid w:val="000D1BFC"/>
    <w:rsid w:val="000D1D5D"/>
    <w:rsid w:val="000D1D69"/>
    <w:rsid w:val="000D23B1"/>
    <w:rsid w:val="000D253A"/>
    <w:rsid w:val="000D281A"/>
    <w:rsid w:val="000D2848"/>
    <w:rsid w:val="000D2FF4"/>
    <w:rsid w:val="000D326A"/>
    <w:rsid w:val="000D334C"/>
    <w:rsid w:val="000D3609"/>
    <w:rsid w:val="000D39B4"/>
    <w:rsid w:val="000D4E9A"/>
    <w:rsid w:val="000D51FB"/>
    <w:rsid w:val="000D54A6"/>
    <w:rsid w:val="000D6895"/>
    <w:rsid w:val="000D6B42"/>
    <w:rsid w:val="000D6E98"/>
    <w:rsid w:val="000D7377"/>
    <w:rsid w:val="000D73FD"/>
    <w:rsid w:val="000D7D58"/>
    <w:rsid w:val="000E05B1"/>
    <w:rsid w:val="000E0640"/>
    <w:rsid w:val="000E0789"/>
    <w:rsid w:val="000E099F"/>
    <w:rsid w:val="000E0DEC"/>
    <w:rsid w:val="000E0E5C"/>
    <w:rsid w:val="000E135D"/>
    <w:rsid w:val="000E1640"/>
    <w:rsid w:val="000E16AE"/>
    <w:rsid w:val="000E1F32"/>
    <w:rsid w:val="000E225E"/>
    <w:rsid w:val="000E22E6"/>
    <w:rsid w:val="000E28AE"/>
    <w:rsid w:val="000E2A30"/>
    <w:rsid w:val="000E2B52"/>
    <w:rsid w:val="000E3124"/>
    <w:rsid w:val="000E314F"/>
    <w:rsid w:val="000E3A02"/>
    <w:rsid w:val="000E3E2A"/>
    <w:rsid w:val="000E494B"/>
    <w:rsid w:val="000E4A6C"/>
    <w:rsid w:val="000E4F2E"/>
    <w:rsid w:val="000E5AF0"/>
    <w:rsid w:val="000E5D6E"/>
    <w:rsid w:val="000E69DC"/>
    <w:rsid w:val="000E6E69"/>
    <w:rsid w:val="000E750D"/>
    <w:rsid w:val="000E75D0"/>
    <w:rsid w:val="000E799D"/>
    <w:rsid w:val="000F00BA"/>
    <w:rsid w:val="000F1340"/>
    <w:rsid w:val="000F1493"/>
    <w:rsid w:val="000F1D5A"/>
    <w:rsid w:val="000F25D4"/>
    <w:rsid w:val="000F282C"/>
    <w:rsid w:val="000F2F7E"/>
    <w:rsid w:val="000F309B"/>
    <w:rsid w:val="000F316A"/>
    <w:rsid w:val="000F35EA"/>
    <w:rsid w:val="000F367D"/>
    <w:rsid w:val="000F3B46"/>
    <w:rsid w:val="000F3C74"/>
    <w:rsid w:val="000F3E63"/>
    <w:rsid w:val="000F3EEA"/>
    <w:rsid w:val="000F424A"/>
    <w:rsid w:val="000F43BF"/>
    <w:rsid w:val="000F4BB8"/>
    <w:rsid w:val="000F4C09"/>
    <w:rsid w:val="000F4FA9"/>
    <w:rsid w:val="000F4FDB"/>
    <w:rsid w:val="000F53FB"/>
    <w:rsid w:val="000F6CA9"/>
    <w:rsid w:val="000F6D8C"/>
    <w:rsid w:val="000F7127"/>
    <w:rsid w:val="000F71EF"/>
    <w:rsid w:val="000F7A09"/>
    <w:rsid w:val="000F7B54"/>
    <w:rsid w:val="001007B1"/>
    <w:rsid w:val="00100F8A"/>
    <w:rsid w:val="00101246"/>
    <w:rsid w:val="00101719"/>
    <w:rsid w:val="00101E75"/>
    <w:rsid w:val="001020DF"/>
    <w:rsid w:val="001028A3"/>
    <w:rsid w:val="001034FF"/>
    <w:rsid w:val="00103972"/>
    <w:rsid w:val="00103F9D"/>
    <w:rsid w:val="00104029"/>
    <w:rsid w:val="00104172"/>
    <w:rsid w:val="0010452E"/>
    <w:rsid w:val="00105112"/>
    <w:rsid w:val="001059AA"/>
    <w:rsid w:val="001059D1"/>
    <w:rsid w:val="00105AE2"/>
    <w:rsid w:val="00105E4D"/>
    <w:rsid w:val="001060C6"/>
    <w:rsid w:val="001060ED"/>
    <w:rsid w:val="00106193"/>
    <w:rsid w:val="001061CB"/>
    <w:rsid w:val="00106B80"/>
    <w:rsid w:val="0010789A"/>
    <w:rsid w:val="00107DB9"/>
    <w:rsid w:val="00107F31"/>
    <w:rsid w:val="00110116"/>
    <w:rsid w:val="0011032E"/>
    <w:rsid w:val="0011041E"/>
    <w:rsid w:val="0011121C"/>
    <w:rsid w:val="0011132B"/>
    <w:rsid w:val="00111ADA"/>
    <w:rsid w:val="0011281F"/>
    <w:rsid w:val="00112CC9"/>
    <w:rsid w:val="0011348B"/>
    <w:rsid w:val="001135D0"/>
    <w:rsid w:val="001136B9"/>
    <w:rsid w:val="00113C8D"/>
    <w:rsid w:val="00113D00"/>
    <w:rsid w:val="0011463F"/>
    <w:rsid w:val="00114983"/>
    <w:rsid w:val="00114E24"/>
    <w:rsid w:val="00115982"/>
    <w:rsid w:val="00115B36"/>
    <w:rsid w:val="00115C53"/>
    <w:rsid w:val="00116837"/>
    <w:rsid w:val="00116C53"/>
    <w:rsid w:val="00116E94"/>
    <w:rsid w:val="001171A5"/>
    <w:rsid w:val="001177D0"/>
    <w:rsid w:val="0011789E"/>
    <w:rsid w:val="00117B2D"/>
    <w:rsid w:val="00117CC3"/>
    <w:rsid w:val="001209D7"/>
    <w:rsid w:val="001213A3"/>
    <w:rsid w:val="00121799"/>
    <w:rsid w:val="001222FC"/>
    <w:rsid w:val="001225C5"/>
    <w:rsid w:val="001225CE"/>
    <w:rsid w:val="001226D3"/>
    <w:rsid w:val="00122EA8"/>
    <w:rsid w:val="00123143"/>
    <w:rsid w:val="00123902"/>
    <w:rsid w:val="00123A7D"/>
    <w:rsid w:val="00124246"/>
    <w:rsid w:val="00124564"/>
    <w:rsid w:val="00124742"/>
    <w:rsid w:val="00124A51"/>
    <w:rsid w:val="00124EAA"/>
    <w:rsid w:val="0012509D"/>
    <w:rsid w:val="001251FD"/>
    <w:rsid w:val="001260D4"/>
    <w:rsid w:val="00126587"/>
    <w:rsid w:val="00126621"/>
    <w:rsid w:val="00126B1D"/>
    <w:rsid w:val="001271F2"/>
    <w:rsid w:val="00127563"/>
    <w:rsid w:val="0012759C"/>
    <w:rsid w:val="0012774A"/>
    <w:rsid w:val="00127A6F"/>
    <w:rsid w:val="001301E9"/>
    <w:rsid w:val="001306F7"/>
    <w:rsid w:val="001308AC"/>
    <w:rsid w:val="00130B31"/>
    <w:rsid w:val="00131098"/>
    <w:rsid w:val="00131863"/>
    <w:rsid w:val="001319CB"/>
    <w:rsid w:val="00131B0C"/>
    <w:rsid w:val="00131D82"/>
    <w:rsid w:val="00132462"/>
    <w:rsid w:val="00132B22"/>
    <w:rsid w:val="00132D2E"/>
    <w:rsid w:val="00133C20"/>
    <w:rsid w:val="00133C94"/>
    <w:rsid w:val="00133D36"/>
    <w:rsid w:val="00134937"/>
    <w:rsid w:val="00134CF9"/>
    <w:rsid w:val="00134FDD"/>
    <w:rsid w:val="00135832"/>
    <w:rsid w:val="00136AD1"/>
    <w:rsid w:val="00136AFF"/>
    <w:rsid w:val="00136E11"/>
    <w:rsid w:val="0013700B"/>
    <w:rsid w:val="001375A8"/>
    <w:rsid w:val="00137645"/>
    <w:rsid w:val="0013774A"/>
    <w:rsid w:val="00137BFF"/>
    <w:rsid w:val="0014015A"/>
    <w:rsid w:val="001405BA"/>
    <w:rsid w:val="00140E99"/>
    <w:rsid w:val="00141092"/>
    <w:rsid w:val="00141464"/>
    <w:rsid w:val="00141B46"/>
    <w:rsid w:val="00141D3E"/>
    <w:rsid w:val="0014202A"/>
    <w:rsid w:val="00142342"/>
    <w:rsid w:val="00142B23"/>
    <w:rsid w:val="001439C2"/>
    <w:rsid w:val="00143F67"/>
    <w:rsid w:val="0014420A"/>
    <w:rsid w:val="00144359"/>
    <w:rsid w:val="001443C8"/>
    <w:rsid w:val="0014452E"/>
    <w:rsid w:val="0014488E"/>
    <w:rsid w:val="00144B71"/>
    <w:rsid w:val="00145440"/>
    <w:rsid w:val="00145540"/>
    <w:rsid w:val="0014555B"/>
    <w:rsid w:val="001456B0"/>
    <w:rsid w:val="001477F6"/>
    <w:rsid w:val="00147A7C"/>
    <w:rsid w:val="00147C26"/>
    <w:rsid w:val="00150048"/>
    <w:rsid w:val="00150F28"/>
    <w:rsid w:val="001516BA"/>
    <w:rsid w:val="00151767"/>
    <w:rsid w:val="00151BF0"/>
    <w:rsid w:val="00151C09"/>
    <w:rsid w:val="00151CED"/>
    <w:rsid w:val="001523DF"/>
    <w:rsid w:val="0015252E"/>
    <w:rsid w:val="00152A02"/>
    <w:rsid w:val="00153242"/>
    <w:rsid w:val="00153590"/>
    <w:rsid w:val="00153ECE"/>
    <w:rsid w:val="0015410C"/>
    <w:rsid w:val="001544EF"/>
    <w:rsid w:val="00154F8A"/>
    <w:rsid w:val="00154FBF"/>
    <w:rsid w:val="00155087"/>
    <w:rsid w:val="001552EC"/>
    <w:rsid w:val="00155331"/>
    <w:rsid w:val="00155A8E"/>
    <w:rsid w:val="001560BB"/>
    <w:rsid w:val="00156115"/>
    <w:rsid w:val="00156F8F"/>
    <w:rsid w:val="00157130"/>
    <w:rsid w:val="001576B1"/>
    <w:rsid w:val="00160312"/>
    <w:rsid w:val="0016047B"/>
    <w:rsid w:val="00160A4C"/>
    <w:rsid w:val="00160BC0"/>
    <w:rsid w:val="00161073"/>
    <w:rsid w:val="00161431"/>
    <w:rsid w:val="001614EC"/>
    <w:rsid w:val="00161F23"/>
    <w:rsid w:val="001620E2"/>
    <w:rsid w:val="00162409"/>
    <w:rsid w:val="001626CA"/>
    <w:rsid w:val="00162913"/>
    <w:rsid w:val="001629CC"/>
    <w:rsid w:val="00162D49"/>
    <w:rsid w:val="00162E06"/>
    <w:rsid w:val="00163C83"/>
    <w:rsid w:val="00163EFF"/>
    <w:rsid w:val="00163F66"/>
    <w:rsid w:val="00164021"/>
    <w:rsid w:val="00164041"/>
    <w:rsid w:val="0016417B"/>
    <w:rsid w:val="00164425"/>
    <w:rsid w:val="0016442B"/>
    <w:rsid w:val="001645CB"/>
    <w:rsid w:val="00164791"/>
    <w:rsid w:val="0016512A"/>
    <w:rsid w:val="0016525B"/>
    <w:rsid w:val="00165835"/>
    <w:rsid w:val="001658F7"/>
    <w:rsid w:val="0016594B"/>
    <w:rsid w:val="00165B30"/>
    <w:rsid w:val="00165B54"/>
    <w:rsid w:val="00165BB3"/>
    <w:rsid w:val="001661FB"/>
    <w:rsid w:val="001667C7"/>
    <w:rsid w:val="00166BFC"/>
    <w:rsid w:val="00166E97"/>
    <w:rsid w:val="001671A0"/>
    <w:rsid w:val="001672F4"/>
    <w:rsid w:val="0016754D"/>
    <w:rsid w:val="0016767F"/>
    <w:rsid w:val="00167CCE"/>
    <w:rsid w:val="00170B20"/>
    <w:rsid w:val="00170C57"/>
    <w:rsid w:val="0017164B"/>
    <w:rsid w:val="00171B6A"/>
    <w:rsid w:val="00172634"/>
    <w:rsid w:val="00172AB9"/>
    <w:rsid w:val="00172D20"/>
    <w:rsid w:val="00172DE3"/>
    <w:rsid w:val="001733DA"/>
    <w:rsid w:val="00173565"/>
    <w:rsid w:val="00173B07"/>
    <w:rsid w:val="001740E1"/>
    <w:rsid w:val="00174104"/>
    <w:rsid w:val="00174621"/>
    <w:rsid w:val="00174BEF"/>
    <w:rsid w:val="001751AB"/>
    <w:rsid w:val="001751FA"/>
    <w:rsid w:val="001754F9"/>
    <w:rsid w:val="001763CF"/>
    <w:rsid w:val="00177B78"/>
    <w:rsid w:val="00177CBF"/>
    <w:rsid w:val="00181594"/>
    <w:rsid w:val="00181746"/>
    <w:rsid w:val="001818A8"/>
    <w:rsid w:val="00181D7E"/>
    <w:rsid w:val="00181D9C"/>
    <w:rsid w:val="00181EC9"/>
    <w:rsid w:val="001830E9"/>
    <w:rsid w:val="00183A33"/>
    <w:rsid w:val="00183F82"/>
    <w:rsid w:val="0018446F"/>
    <w:rsid w:val="001848A1"/>
    <w:rsid w:val="00184B0E"/>
    <w:rsid w:val="00185110"/>
    <w:rsid w:val="001853C2"/>
    <w:rsid w:val="001857E5"/>
    <w:rsid w:val="00185816"/>
    <w:rsid w:val="001858BD"/>
    <w:rsid w:val="00185B52"/>
    <w:rsid w:val="00185F29"/>
    <w:rsid w:val="00186408"/>
    <w:rsid w:val="0018644D"/>
    <w:rsid w:val="00186FA7"/>
    <w:rsid w:val="0018752F"/>
    <w:rsid w:val="00187827"/>
    <w:rsid w:val="00187C67"/>
    <w:rsid w:val="00190010"/>
    <w:rsid w:val="00190251"/>
    <w:rsid w:val="00190C86"/>
    <w:rsid w:val="00190CA7"/>
    <w:rsid w:val="00190F29"/>
    <w:rsid w:val="00191784"/>
    <w:rsid w:val="00191855"/>
    <w:rsid w:val="00191930"/>
    <w:rsid w:val="00191938"/>
    <w:rsid w:val="00192387"/>
    <w:rsid w:val="001925C3"/>
    <w:rsid w:val="001932F6"/>
    <w:rsid w:val="00193838"/>
    <w:rsid w:val="00193923"/>
    <w:rsid w:val="00194479"/>
    <w:rsid w:val="00194AD8"/>
    <w:rsid w:val="00195222"/>
    <w:rsid w:val="0019581E"/>
    <w:rsid w:val="00195BCE"/>
    <w:rsid w:val="00195DAD"/>
    <w:rsid w:val="00195EAD"/>
    <w:rsid w:val="001964E9"/>
    <w:rsid w:val="0019688A"/>
    <w:rsid w:val="00196A72"/>
    <w:rsid w:val="0019716C"/>
    <w:rsid w:val="001973B8"/>
    <w:rsid w:val="00197410"/>
    <w:rsid w:val="0019751B"/>
    <w:rsid w:val="001975D8"/>
    <w:rsid w:val="00197A06"/>
    <w:rsid w:val="00197A5C"/>
    <w:rsid w:val="001A0399"/>
    <w:rsid w:val="001A0A3C"/>
    <w:rsid w:val="001A0EA0"/>
    <w:rsid w:val="001A12CA"/>
    <w:rsid w:val="001A1466"/>
    <w:rsid w:val="001A178E"/>
    <w:rsid w:val="001A204C"/>
    <w:rsid w:val="001A2487"/>
    <w:rsid w:val="001A2639"/>
    <w:rsid w:val="001A2763"/>
    <w:rsid w:val="001A294A"/>
    <w:rsid w:val="001A2A04"/>
    <w:rsid w:val="001A2ACB"/>
    <w:rsid w:val="001A2B35"/>
    <w:rsid w:val="001A2FED"/>
    <w:rsid w:val="001A38B7"/>
    <w:rsid w:val="001A3DD0"/>
    <w:rsid w:val="001A43FA"/>
    <w:rsid w:val="001A47C5"/>
    <w:rsid w:val="001A4C3F"/>
    <w:rsid w:val="001A5267"/>
    <w:rsid w:val="001A59FB"/>
    <w:rsid w:val="001A5C5F"/>
    <w:rsid w:val="001A5CAF"/>
    <w:rsid w:val="001A5E9E"/>
    <w:rsid w:val="001A5FD0"/>
    <w:rsid w:val="001A6354"/>
    <w:rsid w:val="001A6366"/>
    <w:rsid w:val="001A68E1"/>
    <w:rsid w:val="001A6B4F"/>
    <w:rsid w:val="001A6D76"/>
    <w:rsid w:val="001A7279"/>
    <w:rsid w:val="001A745A"/>
    <w:rsid w:val="001A774E"/>
    <w:rsid w:val="001A7AE8"/>
    <w:rsid w:val="001B0094"/>
    <w:rsid w:val="001B0415"/>
    <w:rsid w:val="001B07BF"/>
    <w:rsid w:val="001B07CF"/>
    <w:rsid w:val="001B0875"/>
    <w:rsid w:val="001B09F1"/>
    <w:rsid w:val="001B1D0B"/>
    <w:rsid w:val="001B204E"/>
    <w:rsid w:val="001B2372"/>
    <w:rsid w:val="001B2D47"/>
    <w:rsid w:val="001B2D84"/>
    <w:rsid w:val="001B2E18"/>
    <w:rsid w:val="001B3443"/>
    <w:rsid w:val="001B4365"/>
    <w:rsid w:val="001B43D2"/>
    <w:rsid w:val="001B446A"/>
    <w:rsid w:val="001B4D20"/>
    <w:rsid w:val="001B4F85"/>
    <w:rsid w:val="001B544C"/>
    <w:rsid w:val="001B553B"/>
    <w:rsid w:val="001B5D1B"/>
    <w:rsid w:val="001B6B6A"/>
    <w:rsid w:val="001B6E19"/>
    <w:rsid w:val="001B71F8"/>
    <w:rsid w:val="001C001F"/>
    <w:rsid w:val="001C035F"/>
    <w:rsid w:val="001C0C85"/>
    <w:rsid w:val="001C0F4C"/>
    <w:rsid w:val="001C166A"/>
    <w:rsid w:val="001C21BE"/>
    <w:rsid w:val="001C2336"/>
    <w:rsid w:val="001C243E"/>
    <w:rsid w:val="001C26F4"/>
    <w:rsid w:val="001C2A9B"/>
    <w:rsid w:val="001C2D7B"/>
    <w:rsid w:val="001C2FBB"/>
    <w:rsid w:val="001C373D"/>
    <w:rsid w:val="001C416C"/>
    <w:rsid w:val="001C4299"/>
    <w:rsid w:val="001C4874"/>
    <w:rsid w:val="001C4C2A"/>
    <w:rsid w:val="001C51C2"/>
    <w:rsid w:val="001C58BB"/>
    <w:rsid w:val="001C5E35"/>
    <w:rsid w:val="001C5F94"/>
    <w:rsid w:val="001C610D"/>
    <w:rsid w:val="001C694B"/>
    <w:rsid w:val="001C6BA0"/>
    <w:rsid w:val="001C6E66"/>
    <w:rsid w:val="001C7918"/>
    <w:rsid w:val="001D01EA"/>
    <w:rsid w:val="001D0C4C"/>
    <w:rsid w:val="001D1100"/>
    <w:rsid w:val="001D1391"/>
    <w:rsid w:val="001D15BC"/>
    <w:rsid w:val="001D2336"/>
    <w:rsid w:val="001D239C"/>
    <w:rsid w:val="001D25D7"/>
    <w:rsid w:val="001D28DE"/>
    <w:rsid w:val="001D2F6C"/>
    <w:rsid w:val="001D32FC"/>
    <w:rsid w:val="001D35C7"/>
    <w:rsid w:val="001D3F0A"/>
    <w:rsid w:val="001D433A"/>
    <w:rsid w:val="001D50B2"/>
    <w:rsid w:val="001D5459"/>
    <w:rsid w:val="001D5B59"/>
    <w:rsid w:val="001D6117"/>
    <w:rsid w:val="001D624D"/>
    <w:rsid w:val="001D663B"/>
    <w:rsid w:val="001D6D59"/>
    <w:rsid w:val="001D7645"/>
    <w:rsid w:val="001D7775"/>
    <w:rsid w:val="001D7EAE"/>
    <w:rsid w:val="001E0393"/>
    <w:rsid w:val="001E0516"/>
    <w:rsid w:val="001E0CD1"/>
    <w:rsid w:val="001E0D98"/>
    <w:rsid w:val="001E100D"/>
    <w:rsid w:val="001E1193"/>
    <w:rsid w:val="001E1848"/>
    <w:rsid w:val="001E1DF8"/>
    <w:rsid w:val="001E1E86"/>
    <w:rsid w:val="001E1E9C"/>
    <w:rsid w:val="001E238E"/>
    <w:rsid w:val="001E2483"/>
    <w:rsid w:val="001E2B1E"/>
    <w:rsid w:val="001E2CFF"/>
    <w:rsid w:val="001E2F24"/>
    <w:rsid w:val="001E30D4"/>
    <w:rsid w:val="001E3211"/>
    <w:rsid w:val="001E328C"/>
    <w:rsid w:val="001E34DF"/>
    <w:rsid w:val="001E37E7"/>
    <w:rsid w:val="001E4032"/>
    <w:rsid w:val="001E52EB"/>
    <w:rsid w:val="001E61D2"/>
    <w:rsid w:val="001E6823"/>
    <w:rsid w:val="001E68C7"/>
    <w:rsid w:val="001E6AD0"/>
    <w:rsid w:val="001E6FC7"/>
    <w:rsid w:val="001E740C"/>
    <w:rsid w:val="001E750F"/>
    <w:rsid w:val="001E792C"/>
    <w:rsid w:val="001E7951"/>
    <w:rsid w:val="001E7962"/>
    <w:rsid w:val="001E7F75"/>
    <w:rsid w:val="001F013C"/>
    <w:rsid w:val="001F07CD"/>
    <w:rsid w:val="001F0A37"/>
    <w:rsid w:val="001F0CE8"/>
    <w:rsid w:val="001F10BE"/>
    <w:rsid w:val="001F1235"/>
    <w:rsid w:val="001F1240"/>
    <w:rsid w:val="001F1CB3"/>
    <w:rsid w:val="001F23DF"/>
    <w:rsid w:val="001F2894"/>
    <w:rsid w:val="001F342D"/>
    <w:rsid w:val="001F38B5"/>
    <w:rsid w:val="001F3BEC"/>
    <w:rsid w:val="001F3C53"/>
    <w:rsid w:val="001F3CDB"/>
    <w:rsid w:val="001F3F3C"/>
    <w:rsid w:val="001F4081"/>
    <w:rsid w:val="001F4DC4"/>
    <w:rsid w:val="001F50D0"/>
    <w:rsid w:val="001F534D"/>
    <w:rsid w:val="001F55D7"/>
    <w:rsid w:val="001F5EA8"/>
    <w:rsid w:val="001F60CE"/>
    <w:rsid w:val="001F6150"/>
    <w:rsid w:val="001F6180"/>
    <w:rsid w:val="001F6210"/>
    <w:rsid w:val="001F621A"/>
    <w:rsid w:val="001F6383"/>
    <w:rsid w:val="001F7361"/>
    <w:rsid w:val="001F74D3"/>
    <w:rsid w:val="001F77D5"/>
    <w:rsid w:val="001F79BC"/>
    <w:rsid w:val="00200396"/>
    <w:rsid w:val="002010C1"/>
    <w:rsid w:val="002011B0"/>
    <w:rsid w:val="0020133F"/>
    <w:rsid w:val="00201EE7"/>
    <w:rsid w:val="00201F22"/>
    <w:rsid w:val="00202038"/>
    <w:rsid w:val="0020283F"/>
    <w:rsid w:val="00202B3C"/>
    <w:rsid w:val="00203181"/>
    <w:rsid w:val="00203370"/>
    <w:rsid w:val="00203783"/>
    <w:rsid w:val="0020385F"/>
    <w:rsid w:val="00203CFA"/>
    <w:rsid w:val="00204284"/>
    <w:rsid w:val="00204865"/>
    <w:rsid w:val="00204C7D"/>
    <w:rsid w:val="00204CCA"/>
    <w:rsid w:val="00204F42"/>
    <w:rsid w:val="002051BD"/>
    <w:rsid w:val="00205B58"/>
    <w:rsid w:val="00205FC4"/>
    <w:rsid w:val="002068A0"/>
    <w:rsid w:val="00206CE7"/>
    <w:rsid w:val="00207021"/>
    <w:rsid w:val="0020732F"/>
    <w:rsid w:val="0020763D"/>
    <w:rsid w:val="002078B8"/>
    <w:rsid w:val="00207A8A"/>
    <w:rsid w:val="00207B0A"/>
    <w:rsid w:val="00207B11"/>
    <w:rsid w:val="00207D00"/>
    <w:rsid w:val="0021053E"/>
    <w:rsid w:val="002105C1"/>
    <w:rsid w:val="00210F93"/>
    <w:rsid w:val="00212583"/>
    <w:rsid w:val="0021280F"/>
    <w:rsid w:val="002129D6"/>
    <w:rsid w:val="00212AEC"/>
    <w:rsid w:val="002134DB"/>
    <w:rsid w:val="002138F9"/>
    <w:rsid w:val="00213EF5"/>
    <w:rsid w:val="00213FEE"/>
    <w:rsid w:val="0021404D"/>
    <w:rsid w:val="002149AE"/>
    <w:rsid w:val="00214CC6"/>
    <w:rsid w:val="00215E70"/>
    <w:rsid w:val="0021600C"/>
    <w:rsid w:val="00216BF5"/>
    <w:rsid w:val="0021708A"/>
    <w:rsid w:val="00217568"/>
    <w:rsid w:val="0021778C"/>
    <w:rsid w:val="0021789A"/>
    <w:rsid w:val="00220041"/>
    <w:rsid w:val="002204AC"/>
    <w:rsid w:val="002208C2"/>
    <w:rsid w:val="00220BA9"/>
    <w:rsid w:val="00220DF5"/>
    <w:rsid w:val="00220F39"/>
    <w:rsid w:val="002210C5"/>
    <w:rsid w:val="0022113B"/>
    <w:rsid w:val="00221411"/>
    <w:rsid w:val="0022154C"/>
    <w:rsid w:val="00221F38"/>
    <w:rsid w:val="002229A6"/>
    <w:rsid w:val="002233B3"/>
    <w:rsid w:val="00223B49"/>
    <w:rsid w:val="00223D5A"/>
    <w:rsid w:val="002242CB"/>
    <w:rsid w:val="00224DD4"/>
    <w:rsid w:val="00224DDC"/>
    <w:rsid w:val="00225746"/>
    <w:rsid w:val="00225EC7"/>
    <w:rsid w:val="00226AD8"/>
    <w:rsid w:val="0022745E"/>
    <w:rsid w:val="002274C8"/>
    <w:rsid w:val="002278A0"/>
    <w:rsid w:val="00227A57"/>
    <w:rsid w:val="0023097F"/>
    <w:rsid w:val="002309CC"/>
    <w:rsid w:val="00230A4F"/>
    <w:rsid w:val="00230F6C"/>
    <w:rsid w:val="0023209F"/>
    <w:rsid w:val="0023210F"/>
    <w:rsid w:val="0023225D"/>
    <w:rsid w:val="00232E20"/>
    <w:rsid w:val="00232F0E"/>
    <w:rsid w:val="002335F1"/>
    <w:rsid w:val="0023374A"/>
    <w:rsid w:val="00233AC6"/>
    <w:rsid w:val="00233B2C"/>
    <w:rsid w:val="00233C01"/>
    <w:rsid w:val="0023413C"/>
    <w:rsid w:val="00234293"/>
    <w:rsid w:val="002343C9"/>
    <w:rsid w:val="002345BF"/>
    <w:rsid w:val="002346F0"/>
    <w:rsid w:val="00235019"/>
    <w:rsid w:val="00235028"/>
    <w:rsid w:val="00235354"/>
    <w:rsid w:val="0023596F"/>
    <w:rsid w:val="00235A6D"/>
    <w:rsid w:val="00235D29"/>
    <w:rsid w:val="00235E89"/>
    <w:rsid w:val="0023629D"/>
    <w:rsid w:val="00236A34"/>
    <w:rsid w:val="00237255"/>
    <w:rsid w:val="002375D9"/>
    <w:rsid w:val="00240CC5"/>
    <w:rsid w:val="00241445"/>
    <w:rsid w:val="002419A4"/>
    <w:rsid w:val="002419EB"/>
    <w:rsid w:val="00241CC9"/>
    <w:rsid w:val="00241CF9"/>
    <w:rsid w:val="002424AF"/>
    <w:rsid w:val="00242807"/>
    <w:rsid w:val="00242899"/>
    <w:rsid w:val="00242951"/>
    <w:rsid w:val="00242A8F"/>
    <w:rsid w:val="00242C84"/>
    <w:rsid w:val="002439DC"/>
    <w:rsid w:val="00243AE1"/>
    <w:rsid w:val="00243F6B"/>
    <w:rsid w:val="00243FD6"/>
    <w:rsid w:val="00244150"/>
    <w:rsid w:val="002441D2"/>
    <w:rsid w:val="002448FB"/>
    <w:rsid w:val="00244DC8"/>
    <w:rsid w:val="0024510B"/>
    <w:rsid w:val="002451B0"/>
    <w:rsid w:val="002458BA"/>
    <w:rsid w:val="00245CE9"/>
    <w:rsid w:val="0024636C"/>
    <w:rsid w:val="00246BC4"/>
    <w:rsid w:val="00246CEF"/>
    <w:rsid w:val="0024723E"/>
    <w:rsid w:val="002475C5"/>
    <w:rsid w:val="00247925"/>
    <w:rsid w:val="00247DD3"/>
    <w:rsid w:val="00250386"/>
    <w:rsid w:val="00251006"/>
    <w:rsid w:val="0025195E"/>
    <w:rsid w:val="002524D5"/>
    <w:rsid w:val="002526C9"/>
    <w:rsid w:val="00252E6F"/>
    <w:rsid w:val="00253B1D"/>
    <w:rsid w:val="002544D1"/>
    <w:rsid w:val="00254C38"/>
    <w:rsid w:val="00254DCF"/>
    <w:rsid w:val="0025534B"/>
    <w:rsid w:val="002553D8"/>
    <w:rsid w:val="00255BB7"/>
    <w:rsid w:val="00255BB8"/>
    <w:rsid w:val="0025640A"/>
    <w:rsid w:val="002569A1"/>
    <w:rsid w:val="002569EF"/>
    <w:rsid w:val="00256E45"/>
    <w:rsid w:val="00257541"/>
    <w:rsid w:val="00257A39"/>
    <w:rsid w:val="00257A68"/>
    <w:rsid w:val="00257AC4"/>
    <w:rsid w:val="002605EE"/>
    <w:rsid w:val="00260F3B"/>
    <w:rsid w:val="0026151C"/>
    <w:rsid w:val="0026171C"/>
    <w:rsid w:val="002618BE"/>
    <w:rsid w:val="002618F5"/>
    <w:rsid w:val="00261EEF"/>
    <w:rsid w:val="00261F49"/>
    <w:rsid w:val="00261F8B"/>
    <w:rsid w:val="0026217C"/>
    <w:rsid w:val="002623B7"/>
    <w:rsid w:val="00262717"/>
    <w:rsid w:val="00262A1A"/>
    <w:rsid w:val="00262A87"/>
    <w:rsid w:val="00262E51"/>
    <w:rsid w:val="00262F7D"/>
    <w:rsid w:val="002637B7"/>
    <w:rsid w:val="00263E86"/>
    <w:rsid w:val="00264059"/>
    <w:rsid w:val="00264D26"/>
    <w:rsid w:val="0026538B"/>
    <w:rsid w:val="00265661"/>
    <w:rsid w:val="002662FF"/>
    <w:rsid w:val="00266C3C"/>
    <w:rsid w:val="00266F64"/>
    <w:rsid w:val="00267642"/>
    <w:rsid w:val="0026791D"/>
    <w:rsid w:val="00267AEA"/>
    <w:rsid w:val="00267B94"/>
    <w:rsid w:val="002700E6"/>
    <w:rsid w:val="002702B0"/>
    <w:rsid w:val="0027034B"/>
    <w:rsid w:val="0027059B"/>
    <w:rsid w:val="0027196D"/>
    <w:rsid w:val="002719DD"/>
    <w:rsid w:val="00272051"/>
    <w:rsid w:val="002722B4"/>
    <w:rsid w:val="002723C3"/>
    <w:rsid w:val="00272907"/>
    <w:rsid w:val="0027294B"/>
    <w:rsid w:val="00272E58"/>
    <w:rsid w:val="00273029"/>
    <w:rsid w:val="0027393C"/>
    <w:rsid w:val="00273EB4"/>
    <w:rsid w:val="002740F2"/>
    <w:rsid w:val="00274682"/>
    <w:rsid w:val="0027489C"/>
    <w:rsid w:val="002748B3"/>
    <w:rsid w:val="00274B20"/>
    <w:rsid w:val="00275C59"/>
    <w:rsid w:val="00275C5A"/>
    <w:rsid w:val="002762A4"/>
    <w:rsid w:val="00276AC4"/>
    <w:rsid w:val="00276EAC"/>
    <w:rsid w:val="002771C1"/>
    <w:rsid w:val="0027761A"/>
    <w:rsid w:val="002776FE"/>
    <w:rsid w:val="00280DB3"/>
    <w:rsid w:val="00280F00"/>
    <w:rsid w:val="00281014"/>
    <w:rsid w:val="002810D0"/>
    <w:rsid w:val="002811C6"/>
    <w:rsid w:val="002816C1"/>
    <w:rsid w:val="00281FD5"/>
    <w:rsid w:val="002825C5"/>
    <w:rsid w:val="0028266F"/>
    <w:rsid w:val="002828B4"/>
    <w:rsid w:val="00282C21"/>
    <w:rsid w:val="002835CB"/>
    <w:rsid w:val="00283832"/>
    <w:rsid w:val="00284408"/>
    <w:rsid w:val="002844D7"/>
    <w:rsid w:val="00284563"/>
    <w:rsid w:val="00284B52"/>
    <w:rsid w:val="00284E24"/>
    <w:rsid w:val="002855AC"/>
    <w:rsid w:val="0028658D"/>
    <w:rsid w:val="0028659A"/>
    <w:rsid w:val="0028665D"/>
    <w:rsid w:val="00287352"/>
    <w:rsid w:val="00287371"/>
    <w:rsid w:val="00287426"/>
    <w:rsid w:val="002876AB"/>
    <w:rsid w:val="00287767"/>
    <w:rsid w:val="002877E8"/>
    <w:rsid w:val="00291595"/>
    <w:rsid w:val="00291CBA"/>
    <w:rsid w:val="00293F1A"/>
    <w:rsid w:val="00294584"/>
    <w:rsid w:val="00294826"/>
    <w:rsid w:val="00294991"/>
    <w:rsid w:val="00295AB3"/>
    <w:rsid w:val="00297D38"/>
    <w:rsid w:val="00297D48"/>
    <w:rsid w:val="00297F41"/>
    <w:rsid w:val="002A0480"/>
    <w:rsid w:val="002A04E7"/>
    <w:rsid w:val="002A0FCE"/>
    <w:rsid w:val="002A138D"/>
    <w:rsid w:val="002A14AB"/>
    <w:rsid w:val="002A18AC"/>
    <w:rsid w:val="002A1F2B"/>
    <w:rsid w:val="002A235A"/>
    <w:rsid w:val="002A2ADE"/>
    <w:rsid w:val="002A2C23"/>
    <w:rsid w:val="002A2E96"/>
    <w:rsid w:val="002A2F50"/>
    <w:rsid w:val="002A2FD5"/>
    <w:rsid w:val="002A34C7"/>
    <w:rsid w:val="002A3786"/>
    <w:rsid w:val="002A3869"/>
    <w:rsid w:val="002A3993"/>
    <w:rsid w:val="002A46E6"/>
    <w:rsid w:val="002A4FE7"/>
    <w:rsid w:val="002A50F1"/>
    <w:rsid w:val="002A525F"/>
    <w:rsid w:val="002A65EA"/>
    <w:rsid w:val="002A6B81"/>
    <w:rsid w:val="002A6BF5"/>
    <w:rsid w:val="002A7073"/>
    <w:rsid w:val="002A7697"/>
    <w:rsid w:val="002A7B54"/>
    <w:rsid w:val="002A7D16"/>
    <w:rsid w:val="002A7DD3"/>
    <w:rsid w:val="002B000D"/>
    <w:rsid w:val="002B0199"/>
    <w:rsid w:val="002B05A1"/>
    <w:rsid w:val="002B05D6"/>
    <w:rsid w:val="002B0737"/>
    <w:rsid w:val="002B0825"/>
    <w:rsid w:val="002B09A4"/>
    <w:rsid w:val="002B09DA"/>
    <w:rsid w:val="002B0DAB"/>
    <w:rsid w:val="002B0E5E"/>
    <w:rsid w:val="002B0FA0"/>
    <w:rsid w:val="002B116D"/>
    <w:rsid w:val="002B1544"/>
    <w:rsid w:val="002B1C1F"/>
    <w:rsid w:val="002B1DB6"/>
    <w:rsid w:val="002B23A8"/>
    <w:rsid w:val="002B2583"/>
    <w:rsid w:val="002B2B69"/>
    <w:rsid w:val="002B3BC3"/>
    <w:rsid w:val="002B3E3C"/>
    <w:rsid w:val="002B3FE8"/>
    <w:rsid w:val="002B4308"/>
    <w:rsid w:val="002B432F"/>
    <w:rsid w:val="002B4AB9"/>
    <w:rsid w:val="002B4AF7"/>
    <w:rsid w:val="002B4EBE"/>
    <w:rsid w:val="002B4FAF"/>
    <w:rsid w:val="002B5833"/>
    <w:rsid w:val="002B62B3"/>
    <w:rsid w:val="002B6302"/>
    <w:rsid w:val="002B6754"/>
    <w:rsid w:val="002B6CCE"/>
    <w:rsid w:val="002B7139"/>
    <w:rsid w:val="002B7694"/>
    <w:rsid w:val="002B7B1C"/>
    <w:rsid w:val="002C0211"/>
    <w:rsid w:val="002C09FB"/>
    <w:rsid w:val="002C0D14"/>
    <w:rsid w:val="002C1229"/>
    <w:rsid w:val="002C20AB"/>
    <w:rsid w:val="002C24CC"/>
    <w:rsid w:val="002C2510"/>
    <w:rsid w:val="002C2775"/>
    <w:rsid w:val="002C27C1"/>
    <w:rsid w:val="002C2C78"/>
    <w:rsid w:val="002C2DC2"/>
    <w:rsid w:val="002C3226"/>
    <w:rsid w:val="002C3471"/>
    <w:rsid w:val="002C374D"/>
    <w:rsid w:val="002C3A45"/>
    <w:rsid w:val="002C3AA0"/>
    <w:rsid w:val="002C3C74"/>
    <w:rsid w:val="002C3D70"/>
    <w:rsid w:val="002C478F"/>
    <w:rsid w:val="002C49A6"/>
    <w:rsid w:val="002C4A1C"/>
    <w:rsid w:val="002C4FAD"/>
    <w:rsid w:val="002C5099"/>
    <w:rsid w:val="002C563F"/>
    <w:rsid w:val="002C5889"/>
    <w:rsid w:val="002C5D65"/>
    <w:rsid w:val="002C62D7"/>
    <w:rsid w:val="002C6E3D"/>
    <w:rsid w:val="002C6FCE"/>
    <w:rsid w:val="002C7047"/>
    <w:rsid w:val="002C71CE"/>
    <w:rsid w:val="002C7A54"/>
    <w:rsid w:val="002C7F2A"/>
    <w:rsid w:val="002C7F6C"/>
    <w:rsid w:val="002D0182"/>
    <w:rsid w:val="002D08F8"/>
    <w:rsid w:val="002D1389"/>
    <w:rsid w:val="002D1501"/>
    <w:rsid w:val="002D1E44"/>
    <w:rsid w:val="002D27B0"/>
    <w:rsid w:val="002D27D1"/>
    <w:rsid w:val="002D3383"/>
    <w:rsid w:val="002D388E"/>
    <w:rsid w:val="002D3E9E"/>
    <w:rsid w:val="002D3EE4"/>
    <w:rsid w:val="002D4D2A"/>
    <w:rsid w:val="002D577C"/>
    <w:rsid w:val="002D619A"/>
    <w:rsid w:val="002D651E"/>
    <w:rsid w:val="002D68E2"/>
    <w:rsid w:val="002D7448"/>
    <w:rsid w:val="002D7666"/>
    <w:rsid w:val="002D7B21"/>
    <w:rsid w:val="002E030C"/>
    <w:rsid w:val="002E04E1"/>
    <w:rsid w:val="002E1071"/>
    <w:rsid w:val="002E1198"/>
    <w:rsid w:val="002E14AB"/>
    <w:rsid w:val="002E156B"/>
    <w:rsid w:val="002E15B9"/>
    <w:rsid w:val="002E185B"/>
    <w:rsid w:val="002E2158"/>
    <w:rsid w:val="002E2859"/>
    <w:rsid w:val="002E2EFE"/>
    <w:rsid w:val="002E30F5"/>
    <w:rsid w:val="002E3185"/>
    <w:rsid w:val="002E36F1"/>
    <w:rsid w:val="002E3F98"/>
    <w:rsid w:val="002E404C"/>
    <w:rsid w:val="002E474D"/>
    <w:rsid w:val="002E4F02"/>
    <w:rsid w:val="002E5073"/>
    <w:rsid w:val="002E761D"/>
    <w:rsid w:val="002E7722"/>
    <w:rsid w:val="002E7924"/>
    <w:rsid w:val="002E7A50"/>
    <w:rsid w:val="002E7E7C"/>
    <w:rsid w:val="002E7ED6"/>
    <w:rsid w:val="002F0103"/>
    <w:rsid w:val="002F03B4"/>
    <w:rsid w:val="002F0522"/>
    <w:rsid w:val="002F07BA"/>
    <w:rsid w:val="002F080D"/>
    <w:rsid w:val="002F0DA9"/>
    <w:rsid w:val="002F1014"/>
    <w:rsid w:val="002F1032"/>
    <w:rsid w:val="002F11AF"/>
    <w:rsid w:val="002F1564"/>
    <w:rsid w:val="002F18D5"/>
    <w:rsid w:val="002F195A"/>
    <w:rsid w:val="002F1EE6"/>
    <w:rsid w:val="002F208B"/>
    <w:rsid w:val="002F212E"/>
    <w:rsid w:val="002F2405"/>
    <w:rsid w:val="002F274D"/>
    <w:rsid w:val="002F2E3A"/>
    <w:rsid w:val="002F32F8"/>
    <w:rsid w:val="002F368F"/>
    <w:rsid w:val="002F3988"/>
    <w:rsid w:val="002F3A24"/>
    <w:rsid w:val="002F3A8E"/>
    <w:rsid w:val="002F41BC"/>
    <w:rsid w:val="002F5041"/>
    <w:rsid w:val="002F50E0"/>
    <w:rsid w:val="002F56A6"/>
    <w:rsid w:val="002F643C"/>
    <w:rsid w:val="002F6554"/>
    <w:rsid w:val="002F7198"/>
    <w:rsid w:val="002F71C0"/>
    <w:rsid w:val="002F724C"/>
    <w:rsid w:val="002F74F1"/>
    <w:rsid w:val="002F7655"/>
    <w:rsid w:val="002F78D4"/>
    <w:rsid w:val="002F7A4F"/>
    <w:rsid w:val="002F7C18"/>
    <w:rsid w:val="003002CC"/>
    <w:rsid w:val="00300AF7"/>
    <w:rsid w:val="00300B63"/>
    <w:rsid w:val="00301017"/>
    <w:rsid w:val="0030153E"/>
    <w:rsid w:val="0030155F"/>
    <w:rsid w:val="003018B4"/>
    <w:rsid w:val="00301B66"/>
    <w:rsid w:val="00301C48"/>
    <w:rsid w:val="00301E9F"/>
    <w:rsid w:val="003022CE"/>
    <w:rsid w:val="0030267F"/>
    <w:rsid w:val="0030295E"/>
    <w:rsid w:val="0030352B"/>
    <w:rsid w:val="0030387F"/>
    <w:rsid w:val="003052C5"/>
    <w:rsid w:val="0030587B"/>
    <w:rsid w:val="003058CE"/>
    <w:rsid w:val="003063FB"/>
    <w:rsid w:val="00306C18"/>
    <w:rsid w:val="00306D98"/>
    <w:rsid w:val="003070F6"/>
    <w:rsid w:val="003072BC"/>
    <w:rsid w:val="003075FE"/>
    <w:rsid w:val="0030780F"/>
    <w:rsid w:val="0030786C"/>
    <w:rsid w:val="00307C45"/>
    <w:rsid w:val="0031027D"/>
    <w:rsid w:val="003102C2"/>
    <w:rsid w:val="0031031A"/>
    <w:rsid w:val="003105DA"/>
    <w:rsid w:val="00310981"/>
    <w:rsid w:val="00310B26"/>
    <w:rsid w:val="00310D62"/>
    <w:rsid w:val="003118AC"/>
    <w:rsid w:val="003122E1"/>
    <w:rsid w:val="003124D9"/>
    <w:rsid w:val="00312594"/>
    <w:rsid w:val="00312CEF"/>
    <w:rsid w:val="00312EC0"/>
    <w:rsid w:val="00313553"/>
    <w:rsid w:val="00313747"/>
    <w:rsid w:val="00313790"/>
    <w:rsid w:val="003138CD"/>
    <w:rsid w:val="003139CA"/>
    <w:rsid w:val="00313D5E"/>
    <w:rsid w:val="003149C0"/>
    <w:rsid w:val="00314E9F"/>
    <w:rsid w:val="00315498"/>
    <w:rsid w:val="003155B3"/>
    <w:rsid w:val="00316214"/>
    <w:rsid w:val="00316474"/>
    <w:rsid w:val="003164FF"/>
    <w:rsid w:val="003171AE"/>
    <w:rsid w:val="00317212"/>
    <w:rsid w:val="003179E6"/>
    <w:rsid w:val="00317BDA"/>
    <w:rsid w:val="00317F9E"/>
    <w:rsid w:val="0032039C"/>
    <w:rsid w:val="003210C5"/>
    <w:rsid w:val="003211F1"/>
    <w:rsid w:val="00321327"/>
    <w:rsid w:val="00321736"/>
    <w:rsid w:val="003218E2"/>
    <w:rsid w:val="00321B54"/>
    <w:rsid w:val="00321BD7"/>
    <w:rsid w:val="0032208F"/>
    <w:rsid w:val="00322107"/>
    <w:rsid w:val="00322355"/>
    <w:rsid w:val="003223FC"/>
    <w:rsid w:val="00322522"/>
    <w:rsid w:val="00322846"/>
    <w:rsid w:val="00322BE0"/>
    <w:rsid w:val="00323B42"/>
    <w:rsid w:val="00324225"/>
    <w:rsid w:val="003243F4"/>
    <w:rsid w:val="0032477A"/>
    <w:rsid w:val="00324961"/>
    <w:rsid w:val="00324BB8"/>
    <w:rsid w:val="00325881"/>
    <w:rsid w:val="003265F4"/>
    <w:rsid w:val="00326686"/>
    <w:rsid w:val="0032670A"/>
    <w:rsid w:val="003268FF"/>
    <w:rsid w:val="00326DA7"/>
    <w:rsid w:val="00327065"/>
    <w:rsid w:val="003270E4"/>
    <w:rsid w:val="0032775B"/>
    <w:rsid w:val="0032799B"/>
    <w:rsid w:val="00330DAA"/>
    <w:rsid w:val="00330F5C"/>
    <w:rsid w:val="00331761"/>
    <w:rsid w:val="00331C81"/>
    <w:rsid w:val="003320EE"/>
    <w:rsid w:val="003322CA"/>
    <w:rsid w:val="003330E4"/>
    <w:rsid w:val="00334035"/>
    <w:rsid w:val="00334134"/>
    <w:rsid w:val="00334BAD"/>
    <w:rsid w:val="00334BFD"/>
    <w:rsid w:val="00335562"/>
    <w:rsid w:val="00335A01"/>
    <w:rsid w:val="00335DC9"/>
    <w:rsid w:val="0033657B"/>
    <w:rsid w:val="003366C9"/>
    <w:rsid w:val="003367F8"/>
    <w:rsid w:val="00336B69"/>
    <w:rsid w:val="00336F00"/>
    <w:rsid w:val="00336F18"/>
    <w:rsid w:val="003371B0"/>
    <w:rsid w:val="0033729B"/>
    <w:rsid w:val="00337697"/>
    <w:rsid w:val="003376EC"/>
    <w:rsid w:val="00337A1F"/>
    <w:rsid w:val="00337DFE"/>
    <w:rsid w:val="00337EF3"/>
    <w:rsid w:val="00337FE4"/>
    <w:rsid w:val="003401ED"/>
    <w:rsid w:val="00340267"/>
    <w:rsid w:val="00340303"/>
    <w:rsid w:val="00340DF1"/>
    <w:rsid w:val="00340F43"/>
    <w:rsid w:val="00341DDD"/>
    <w:rsid w:val="003423BB"/>
    <w:rsid w:val="003429E2"/>
    <w:rsid w:val="003437D9"/>
    <w:rsid w:val="00343E17"/>
    <w:rsid w:val="00344815"/>
    <w:rsid w:val="00345478"/>
    <w:rsid w:val="003457C2"/>
    <w:rsid w:val="00345A4F"/>
    <w:rsid w:val="00346336"/>
    <w:rsid w:val="00346558"/>
    <w:rsid w:val="003477A5"/>
    <w:rsid w:val="00347AD7"/>
    <w:rsid w:val="00350346"/>
    <w:rsid w:val="00350F4D"/>
    <w:rsid w:val="003517F9"/>
    <w:rsid w:val="00351AC2"/>
    <w:rsid w:val="00351BA9"/>
    <w:rsid w:val="003527B3"/>
    <w:rsid w:val="00352F8F"/>
    <w:rsid w:val="003547A7"/>
    <w:rsid w:val="00354950"/>
    <w:rsid w:val="00354AE4"/>
    <w:rsid w:val="00354F64"/>
    <w:rsid w:val="003558A4"/>
    <w:rsid w:val="00355AFC"/>
    <w:rsid w:val="003561AB"/>
    <w:rsid w:val="0035620E"/>
    <w:rsid w:val="00356299"/>
    <w:rsid w:val="00356947"/>
    <w:rsid w:val="00356DA4"/>
    <w:rsid w:val="00357216"/>
    <w:rsid w:val="00357661"/>
    <w:rsid w:val="003577BB"/>
    <w:rsid w:val="00357B73"/>
    <w:rsid w:val="00360345"/>
    <w:rsid w:val="00360593"/>
    <w:rsid w:val="00360732"/>
    <w:rsid w:val="00361584"/>
    <w:rsid w:val="0036199F"/>
    <w:rsid w:val="00361A05"/>
    <w:rsid w:val="0036235D"/>
    <w:rsid w:val="003624C4"/>
    <w:rsid w:val="00362D14"/>
    <w:rsid w:val="00362D3C"/>
    <w:rsid w:val="003638F5"/>
    <w:rsid w:val="00363A36"/>
    <w:rsid w:val="00363B00"/>
    <w:rsid w:val="00363C9B"/>
    <w:rsid w:val="00363E9B"/>
    <w:rsid w:val="0036414D"/>
    <w:rsid w:val="0036417A"/>
    <w:rsid w:val="00364598"/>
    <w:rsid w:val="00364B8E"/>
    <w:rsid w:val="003654AC"/>
    <w:rsid w:val="003657E9"/>
    <w:rsid w:val="00365DA3"/>
    <w:rsid w:val="0036642C"/>
    <w:rsid w:val="00366451"/>
    <w:rsid w:val="0036664A"/>
    <w:rsid w:val="0036769F"/>
    <w:rsid w:val="00367937"/>
    <w:rsid w:val="00367BD7"/>
    <w:rsid w:val="00367FC7"/>
    <w:rsid w:val="00370718"/>
    <w:rsid w:val="00370B75"/>
    <w:rsid w:val="00370E0D"/>
    <w:rsid w:val="003710CF"/>
    <w:rsid w:val="003720A4"/>
    <w:rsid w:val="00372A45"/>
    <w:rsid w:val="00372A55"/>
    <w:rsid w:val="0037358A"/>
    <w:rsid w:val="00374D1E"/>
    <w:rsid w:val="003750F6"/>
    <w:rsid w:val="0037569E"/>
    <w:rsid w:val="003760FC"/>
    <w:rsid w:val="003764C9"/>
    <w:rsid w:val="00376AC0"/>
    <w:rsid w:val="00376BE6"/>
    <w:rsid w:val="00377A96"/>
    <w:rsid w:val="00377B7E"/>
    <w:rsid w:val="00377D48"/>
    <w:rsid w:val="00380769"/>
    <w:rsid w:val="00380BD3"/>
    <w:rsid w:val="0038188E"/>
    <w:rsid w:val="00381C82"/>
    <w:rsid w:val="00381CDE"/>
    <w:rsid w:val="0038218F"/>
    <w:rsid w:val="00382307"/>
    <w:rsid w:val="003824EC"/>
    <w:rsid w:val="00382534"/>
    <w:rsid w:val="00382A0C"/>
    <w:rsid w:val="00382BFA"/>
    <w:rsid w:val="00382FBB"/>
    <w:rsid w:val="00382FCE"/>
    <w:rsid w:val="0038365C"/>
    <w:rsid w:val="0038369B"/>
    <w:rsid w:val="00383B78"/>
    <w:rsid w:val="00383F8B"/>
    <w:rsid w:val="00384978"/>
    <w:rsid w:val="00384F24"/>
    <w:rsid w:val="00385106"/>
    <w:rsid w:val="00385520"/>
    <w:rsid w:val="00385A9D"/>
    <w:rsid w:val="00385D96"/>
    <w:rsid w:val="00385DD1"/>
    <w:rsid w:val="00386E1C"/>
    <w:rsid w:val="00386EEB"/>
    <w:rsid w:val="003879FA"/>
    <w:rsid w:val="003902B1"/>
    <w:rsid w:val="0039050F"/>
    <w:rsid w:val="0039091B"/>
    <w:rsid w:val="00390D39"/>
    <w:rsid w:val="00390DC5"/>
    <w:rsid w:val="0039135B"/>
    <w:rsid w:val="0039144F"/>
    <w:rsid w:val="0039179C"/>
    <w:rsid w:val="00391C42"/>
    <w:rsid w:val="00393410"/>
    <w:rsid w:val="00394F65"/>
    <w:rsid w:val="0039563B"/>
    <w:rsid w:val="00395800"/>
    <w:rsid w:val="00395894"/>
    <w:rsid w:val="00396510"/>
    <w:rsid w:val="0039654E"/>
    <w:rsid w:val="003967A6"/>
    <w:rsid w:val="00396896"/>
    <w:rsid w:val="003969E5"/>
    <w:rsid w:val="00396F71"/>
    <w:rsid w:val="00396FD0"/>
    <w:rsid w:val="003977DC"/>
    <w:rsid w:val="003978A5"/>
    <w:rsid w:val="003A0123"/>
    <w:rsid w:val="003A024E"/>
    <w:rsid w:val="003A1181"/>
    <w:rsid w:val="003A1A7A"/>
    <w:rsid w:val="003A1D33"/>
    <w:rsid w:val="003A1F0E"/>
    <w:rsid w:val="003A2392"/>
    <w:rsid w:val="003A270A"/>
    <w:rsid w:val="003A2831"/>
    <w:rsid w:val="003A37D0"/>
    <w:rsid w:val="003A39DB"/>
    <w:rsid w:val="003A3B53"/>
    <w:rsid w:val="003A3CB6"/>
    <w:rsid w:val="003A3ECD"/>
    <w:rsid w:val="003A3ED1"/>
    <w:rsid w:val="003A44DB"/>
    <w:rsid w:val="003A4B5C"/>
    <w:rsid w:val="003A4E37"/>
    <w:rsid w:val="003A5092"/>
    <w:rsid w:val="003A5D42"/>
    <w:rsid w:val="003A67B8"/>
    <w:rsid w:val="003A69BE"/>
    <w:rsid w:val="003A6A12"/>
    <w:rsid w:val="003A6BC9"/>
    <w:rsid w:val="003A7C7B"/>
    <w:rsid w:val="003A7EC0"/>
    <w:rsid w:val="003B01A2"/>
    <w:rsid w:val="003B0D74"/>
    <w:rsid w:val="003B0E14"/>
    <w:rsid w:val="003B0F1B"/>
    <w:rsid w:val="003B0F44"/>
    <w:rsid w:val="003B12E9"/>
    <w:rsid w:val="003B1A2A"/>
    <w:rsid w:val="003B1CAF"/>
    <w:rsid w:val="003B1DD5"/>
    <w:rsid w:val="003B26BA"/>
    <w:rsid w:val="003B2FC6"/>
    <w:rsid w:val="003B3132"/>
    <w:rsid w:val="003B3971"/>
    <w:rsid w:val="003B422A"/>
    <w:rsid w:val="003B474A"/>
    <w:rsid w:val="003B480E"/>
    <w:rsid w:val="003B4D97"/>
    <w:rsid w:val="003B4FF8"/>
    <w:rsid w:val="003B55D1"/>
    <w:rsid w:val="003B5B61"/>
    <w:rsid w:val="003B69C4"/>
    <w:rsid w:val="003B6AE8"/>
    <w:rsid w:val="003B7199"/>
    <w:rsid w:val="003B781A"/>
    <w:rsid w:val="003B7C83"/>
    <w:rsid w:val="003C044E"/>
    <w:rsid w:val="003C0854"/>
    <w:rsid w:val="003C0AD1"/>
    <w:rsid w:val="003C0D3F"/>
    <w:rsid w:val="003C161A"/>
    <w:rsid w:val="003C1654"/>
    <w:rsid w:val="003C1928"/>
    <w:rsid w:val="003C1BAE"/>
    <w:rsid w:val="003C1C59"/>
    <w:rsid w:val="003C1DBC"/>
    <w:rsid w:val="003C1EAD"/>
    <w:rsid w:val="003C1F99"/>
    <w:rsid w:val="003C2307"/>
    <w:rsid w:val="003C28A7"/>
    <w:rsid w:val="003C33D9"/>
    <w:rsid w:val="003C3EB2"/>
    <w:rsid w:val="003C3F4A"/>
    <w:rsid w:val="003C4241"/>
    <w:rsid w:val="003C478E"/>
    <w:rsid w:val="003C48EF"/>
    <w:rsid w:val="003C4AFB"/>
    <w:rsid w:val="003C5542"/>
    <w:rsid w:val="003C57D5"/>
    <w:rsid w:val="003C5AFE"/>
    <w:rsid w:val="003C5F62"/>
    <w:rsid w:val="003C60DB"/>
    <w:rsid w:val="003C61E1"/>
    <w:rsid w:val="003C6781"/>
    <w:rsid w:val="003C6F2C"/>
    <w:rsid w:val="003C7720"/>
    <w:rsid w:val="003C7CC7"/>
    <w:rsid w:val="003C7D19"/>
    <w:rsid w:val="003C7D2F"/>
    <w:rsid w:val="003C7FB1"/>
    <w:rsid w:val="003C7FD0"/>
    <w:rsid w:val="003D03F3"/>
    <w:rsid w:val="003D0E86"/>
    <w:rsid w:val="003D1070"/>
    <w:rsid w:val="003D125E"/>
    <w:rsid w:val="003D1828"/>
    <w:rsid w:val="003D1DE4"/>
    <w:rsid w:val="003D1E9A"/>
    <w:rsid w:val="003D2422"/>
    <w:rsid w:val="003D2C40"/>
    <w:rsid w:val="003D2D63"/>
    <w:rsid w:val="003D3438"/>
    <w:rsid w:val="003D34AF"/>
    <w:rsid w:val="003D39A1"/>
    <w:rsid w:val="003D3FBF"/>
    <w:rsid w:val="003D4022"/>
    <w:rsid w:val="003D40E9"/>
    <w:rsid w:val="003D4333"/>
    <w:rsid w:val="003D4A30"/>
    <w:rsid w:val="003D4F63"/>
    <w:rsid w:val="003D50DA"/>
    <w:rsid w:val="003D5103"/>
    <w:rsid w:val="003D525C"/>
    <w:rsid w:val="003D5608"/>
    <w:rsid w:val="003D5984"/>
    <w:rsid w:val="003D5A34"/>
    <w:rsid w:val="003D5DD9"/>
    <w:rsid w:val="003D5FAD"/>
    <w:rsid w:val="003D62C7"/>
    <w:rsid w:val="003D68F7"/>
    <w:rsid w:val="003D6FAC"/>
    <w:rsid w:val="003D6FDB"/>
    <w:rsid w:val="003D7452"/>
    <w:rsid w:val="003D79BB"/>
    <w:rsid w:val="003D7C98"/>
    <w:rsid w:val="003D7CA9"/>
    <w:rsid w:val="003D7D9D"/>
    <w:rsid w:val="003D7F01"/>
    <w:rsid w:val="003E0543"/>
    <w:rsid w:val="003E09D0"/>
    <w:rsid w:val="003E0DCD"/>
    <w:rsid w:val="003E1400"/>
    <w:rsid w:val="003E165A"/>
    <w:rsid w:val="003E1C16"/>
    <w:rsid w:val="003E2BF1"/>
    <w:rsid w:val="003E2FD6"/>
    <w:rsid w:val="003E3794"/>
    <w:rsid w:val="003E3BC4"/>
    <w:rsid w:val="003E4196"/>
    <w:rsid w:val="003E53C6"/>
    <w:rsid w:val="003E58E2"/>
    <w:rsid w:val="003E61D4"/>
    <w:rsid w:val="003E638F"/>
    <w:rsid w:val="003E6A8B"/>
    <w:rsid w:val="003E71A3"/>
    <w:rsid w:val="003E7460"/>
    <w:rsid w:val="003E749E"/>
    <w:rsid w:val="003E7662"/>
    <w:rsid w:val="003E791C"/>
    <w:rsid w:val="003F0738"/>
    <w:rsid w:val="003F0F97"/>
    <w:rsid w:val="003F11FC"/>
    <w:rsid w:val="003F1295"/>
    <w:rsid w:val="003F1B01"/>
    <w:rsid w:val="003F2ECF"/>
    <w:rsid w:val="003F2FD0"/>
    <w:rsid w:val="003F32FD"/>
    <w:rsid w:val="003F32FE"/>
    <w:rsid w:val="003F3C0D"/>
    <w:rsid w:val="003F3C87"/>
    <w:rsid w:val="003F4156"/>
    <w:rsid w:val="003F481B"/>
    <w:rsid w:val="003F497C"/>
    <w:rsid w:val="003F4F21"/>
    <w:rsid w:val="003F579A"/>
    <w:rsid w:val="003F5ADF"/>
    <w:rsid w:val="003F5B28"/>
    <w:rsid w:val="003F5BF3"/>
    <w:rsid w:val="003F5D3F"/>
    <w:rsid w:val="003F640C"/>
    <w:rsid w:val="003F6B39"/>
    <w:rsid w:val="003F6D62"/>
    <w:rsid w:val="004004B2"/>
    <w:rsid w:val="00400B29"/>
    <w:rsid w:val="00400BAE"/>
    <w:rsid w:val="00400D11"/>
    <w:rsid w:val="00400DD3"/>
    <w:rsid w:val="00400F68"/>
    <w:rsid w:val="00401680"/>
    <w:rsid w:val="00401BBB"/>
    <w:rsid w:val="00401CDA"/>
    <w:rsid w:val="00401F9D"/>
    <w:rsid w:val="00402174"/>
    <w:rsid w:val="004025DA"/>
    <w:rsid w:val="00402B00"/>
    <w:rsid w:val="00402FF6"/>
    <w:rsid w:val="00403091"/>
    <w:rsid w:val="00403605"/>
    <w:rsid w:val="0040382F"/>
    <w:rsid w:val="0040395F"/>
    <w:rsid w:val="004039CA"/>
    <w:rsid w:val="00403A09"/>
    <w:rsid w:val="00403F1F"/>
    <w:rsid w:val="0040440E"/>
    <w:rsid w:val="00404ED2"/>
    <w:rsid w:val="0040504B"/>
    <w:rsid w:val="00405580"/>
    <w:rsid w:val="00405775"/>
    <w:rsid w:val="004059F4"/>
    <w:rsid w:val="00405FA4"/>
    <w:rsid w:val="00405FE3"/>
    <w:rsid w:val="00406BEC"/>
    <w:rsid w:val="004075D7"/>
    <w:rsid w:val="00407708"/>
    <w:rsid w:val="00407917"/>
    <w:rsid w:val="00407A8D"/>
    <w:rsid w:val="00407CAE"/>
    <w:rsid w:val="00407FE5"/>
    <w:rsid w:val="004101B0"/>
    <w:rsid w:val="00410326"/>
    <w:rsid w:val="004105AD"/>
    <w:rsid w:val="00410708"/>
    <w:rsid w:val="00410EC7"/>
    <w:rsid w:val="004116E7"/>
    <w:rsid w:val="00411B39"/>
    <w:rsid w:val="00411C4E"/>
    <w:rsid w:val="00411DA8"/>
    <w:rsid w:val="00411DC5"/>
    <w:rsid w:val="00411FD5"/>
    <w:rsid w:val="00412192"/>
    <w:rsid w:val="004123D5"/>
    <w:rsid w:val="004127A7"/>
    <w:rsid w:val="00412B03"/>
    <w:rsid w:val="0041363E"/>
    <w:rsid w:val="00413A1E"/>
    <w:rsid w:val="00413A8E"/>
    <w:rsid w:val="00413B45"/>
    <w:rsid w:val="00413C48"/>
    <w:rsid w:val="00414476"/>
    <w:rsid w:val="00414693"/>
    <w:rsid w:val="0041493E"/>
    <w:rsid w:val="00414990"/>
    <w:rsid w:val="00414C2E"/>
    <w:rsid w:val="004151CF"/>
    <w:rsid w:val="00415C0B"/>
    <w:rsid w:val="00416364"/>
    <w:rsid w:val="004173A0"/>
    <w:rsid w:val="0041755C"/>
    <w:rsid w:val="00417C6F"/>
    <w:rsid w:val="00417CC7"/>
    <w:rsid w:val="00417DD9"/>
    <w:rsid w:val="0042028E"/>
    <w:rsid w:val="0042047F"/>
    <w:rsid w:val="004206BF"/>
    <w:rsid w:val="00420AA6"/>
    <w:rsid w:val="00420B42"/>
    <w:rsid w:val="00420B9F"/>
    <w:rsid w:val="0042117A"/>
    <w:rsid w:val="004211F4"/>
    <w:rsid w:val="0042192C"/>
    <w:rsid w:val="00422260"/>
    <w:rsid w:val="00422B75"/>
    <w:rsid w:val="00423039"/>
    <w:rsid w:val="004232D5"/>
    <w:rsid w:val="00423496"/>
    <w:rsid w:val="0042413F"/>
    <w:rsid w:val="004242AC"/>
    <w:rsid w:val="0042443C"/>
    <w:rsid w:val="0042443E"/>
    <w:rsid w:val="004246F7"/>
    <w:rsid w:val="0042470C"/>
    <w:rsid w:val="00424D70"/>
    <w:rsid w:val="004250A2"/>
    <w:rsid w:val="00425AF4"/>
    <w:rsid w:val="00425B10"/>
    <w:rsid w:val="004262C4"/>
    <w:rsid w:val="004266E2"/>
    <w:rsid w:val="00426735"/>
    <w:rsid w:val="00426A28"/>
    <w:rsid w:val="00426AEE"/>
    <w:rsid w:val="004276FC"/>
    <w:rsid w:val="00427929"/>
    <w:rsid w:val="004279EF"/>
    <w:rsid w:val="0043002C"/>
    <w:rsid w:val="00430217"/>
    <w:rsid w:val="00430320"/>
    <w:rsid w:val="0043067D"/>
    <w:rsid w:val="004307D8"/>
    <w:rsid w:val="004308D4"/>
    <w:rsid w:val="00430F5B"/>
    <w:rsid w:val="004317EC"/>
    <w:rsid w:val="004319F8"/>
    <w:rsid w:val="00431E55"/>
    <w:rsid w:val="0043212F"/>
    <w:rsid w:val="00432138"/>
    <w:rsid w:val="004321F6"/>
    <w:rsid w:val="00432641"/>
    <w:rsid w:val="00432A3D"/>
    <w:rsid w:val="00433044"/>
    <w:rsid w:val="004330CB"/>
    <w:rsid w:val="004331CE"/>
    <w:rsid w:val="00433247"/>
    <w:rsid w:val="004332A8"/>
    <w:rsid w:val="00433955"/>
    <w:rsid w:val="00433A66"/>
    <w:rsid w:val="00434088"/>
    <w:rsid w:val="00434139"/>
    <w:rsid w:val="00434BF8"/>
    <w:rsid w:val="00435258"/>
    <w:rsid w:val="00435A93"/>
    <w:rsid w:val="004360A4"/>
    <w:rsid w:val="004364A0"/>
    <w:rsid w:val="004368DB"/>
    <w:rsid w:val="00436908"/>
    <w:rsid w:val="004375B9"/>
    <w:rsid w:val="0043783A"/>
    <w:rsid w:val="004378E6"/>
    <w:rsid w:val="00437B8A"/>
    <w:rsid w:val="00440438"/>
    <w:rsid w:val="004408AF"/>
    <w:rsid w:val="00441456"/>
    <w:rsid w:val="0044198D"/>
    <w:rsid w:val="00442712"/>
    <w:rsid w:val="004428D0"/>
    <w:rsid w:val="00442D77"/>
    <w:rsid w:val="00443295"/>
    <w:rsid w:val="00443554"/>
    <w:rsid w:val="00443E88"/>
    <w:rsid w:val="00444185"/>
    <w:rsid w:val="004443A7"/>
    <w:rsid w:val="0044442C"/>
    <w:rsid w:val="004452B7"/>
    <w:rsid w:val="00445735"/>
    <w:rsid w:val="00445941"/>
    <w:rsid w:val="00445A65"/>
    <w:rsid w:val="0044622D"/>
    <w:rsid w:val="004464EB"/>
    <w:rsid w:val="00447168"/>
    <w:rsid w:val="004472B6"/>
    <w:rsid w:val="004479E2"/>
    <w:rsid w:val="00447D26"/>
    <w:rsid w:val="00447DFC"/>
    <w:rsid w:val="004503DE"/>
    <w:rsid w:val="004506B0"/>
    <w:rsid w:val="0045082D"/>
    <w:rsid w:val="00450C2D"/>
    <w:rsid w:val="004516A9"/>
    <w:rsid w:val="00451866"/>
    <w:rsid w:val="0045347C"/>
    <w:rsid w:val="00453571"/>
    <w:rsid w:val="004535A4"/>
    <w:rsid w:val="00453ED7"/>
    <w:rsid w:val="00453F58"/>
    <w:rsid w:val="004540A7"/>
    <w:rsid w:val="00454387"/>
    <w:rsid w:val="00454702"/>
    <w:rsid w:val="00454EEF"/>
    <w:rsid w:val="004550CA"/>
    <w:rsid w:val="004551AC"/>
    <w:rsid w:val="00455D45"/>
    <w:rsid w:val="00456241"/>
    <w:rsid w:val="00456770"/>
    <w:rsid w:val="00456BD3"/>
    <w:rsid w:val="00456E1E"/>
    <w:rsid w:val="00457750"/>
    <w:rsid w:val="00457F32"/>
    <w:rsid w:val="0046044E"/>
    <w:rsid w:val="0046047D"/>
    <w:rsid w:val="00460518"/>
    <w:rsid w:val="004605AE"/>
    <w:rsid w:val="004605B6"/>
    <w:rsid w:val="0046060A"/>
    <w:rsid w:val="0046087E"/>
    <w:rsid w:val="00460C3C"/>
    <w:rsid w:val="00461283"/>
    <w:rsid w:val="00461ADF"/>
    <w:rsid w:val="00461B9F"/>
    <w:rsid w:val="004622C4"/>
    <w:rsid w:val="00462560"/>
    <w:rsid w:val="004629CA"/>
    <w:rsid w:val="00462BAE"/>
    <w:rsid w:val="00462E03"/>
    <w:rsid w:val="004630BA"/>
    <w:rsid w:val="00463317"/>
    <w:rsid w:val="004633A8"/>
    <w:rsid w:val="0046445C"/>
    <w:rsid w:val="00464595"/>
    <w:rsid w:val="00464EF6"/>
    <w:rsid w:val="0046528F"/>
    <w:rsid w:val="004658B5"/>
    <w:rsid w:val="00465EB9"/>
    <w:rsid w:val="00465ED0"/>
    <w:rsid w:val="004666D8"/>
    <w:rsid w:val="004667AE"/>
    <w:rsid w:val="00466E49"/>
    <w:rsid w:val="00467588"/>
    <w:rsid w:val="00467BAD"/>
    <w:rsid w:val="00470279"/>
    <w:rsid w:val="004703D5"/>
    <w:rsid w:val="0047195E"/>
    <w:rsid w:val="00471EA5"/>
    <w:rsid w:val="00472024"/>
    <w:rsid w:val="00472814"/>
    <w:rsid w:val="00472A79"/>
    <w:rsid w:val="004732A3"/>
    <w:rsid w:val="00473F19"/>
    <w:rsid w:val="004744FC"/>
    <w:rsid w:val="00474E9D"/>
    <w:rsid w:val="004750F7"/>
    <w:rsid w:val="00475C84"/>
    <w:rsid w:val="00475DCB"/>
    <w:rsid w:val="00475E22"/>
    <w:rsid w:val="00475F5F"/>
    <w:rsid w:val="00476201"/>
    <w:rsid w:val="0047685A"/>
    <w:rsid w:val="00476990"/>
    <w:rsid w:val="00476E0E"/>
    <w:rsid w:val="00476E62"/>
    <w:rsid w:val="004772AF"/>
    <w:rsid w:val="00477305"/>
    <w:rsid w:val="00477B02"/>
    <w:rsid w:val="0048086A"/>
    <w:rsid w:val="0048088E"/>
    <w:rsid w:val="00480C96"/>
    <w:rsid w:val="00480CCE"/>
    <w:rsid w:val="00480F2B"/>
    <w:rsid w:val="00481196"/>
    <w:rsid w:val="004812BD"/>
    <w:rsid w:val="00481511"/>
    <w:rsid w:val="0048178A"/>
    <w:rsid w:val="004819CB"/>
    <w:rsid w:val="0048218B"/>
    <w:rsid w:val="00482720"/>
    <w:rsid w:val="00482AFF"/>
    <w:rsid w:val="00482C5D"/>
    <w:rsid w:val="004832D4"/>
    <w:rsid w:val="004835E2"/>
    <w:rsid w:val="004835E7"/>
    <w:rsid w:val="00483918"/>
    <w:rsid w:val="00483BA4"/>
    <w:rsid w:val="0048425B"/>
    <w:rsid w:val="004847CC"/>
    <w:rsid w:val="00484F15"/>
    <w:rsid w:val="00485186"/>
    <w:rsid w:val="004858F4"/>
    <w:rsid w:val="00485CED"/>
    <w:rsid w:val="0048613D"/>
    <w:rsid w:val="004867E2"/>
    <w:rsid w:val="004868FA"/>
    <w:rsid w:val="00486B63"/>
    <w:rsid w:val="00486D48"/>
    <w:rsid w:val="004873B8"/>
    <w:rsid w:val="004874E2"/>
    <w:rsid w:val="00487BBA"/>
    <w:rsid w:val="00490B17"/>
    <w:rsid w:val="00490CBF"/>
    <w:rsid w:val="00491580"/>
    <w:rsid w:val="0049184F"/>
    <w:rsid w:val="004919C9"/>
    <w:rsid w:val="00491AD5"/>
    <w:rsid w:val="00491B3A"/>
    <w:rsid w:val="00491CF2"/>
    <w:rsid w:val="004920D3"/>
    <w:rsid w:val="004925CD"/>
    <w:rsid w:val="004925CF"/>
    <w:rsid w:val="00492600"/>
    <w:rsid w:val="00492C54"/>
    <w:rsid w:val="00492CB5"/>
    <w:rsid w:val="00492CFD"/>
    <w:rsid w:val="0049373E"/>
    <w:rsid w:val="00493A65"/>
    <w:rsid w:val="00493FFF"/>
    <w:rsid w:val="00494207"/>
    <w:rsid w:val="0049426C"/>
    <w:rsid w:val="0049430C"/>
    <w:rsid w:val="004948D9"/>
    <w:rsid w:val="00494DD5"/>
    <w:rsid w:val="00494F0B"/>
    <w:rsid w:val="004957AA"/>
    <w:rsid w:val="00495EDA"/>
    <w:rsid w:val="00496129"/>
    <w:rsid w:val="0049629B"/>
    <w:rsid w:val="004962D2"/>
    <w:rsid w:val="00496B21"/>
    <w:rsid w:val="0049710F"/>
    <w:rsid w:val="004972BD"/>
    <w:rsid w:val="00497301"/>
    <w:rsid w:val="00497557"/>
    <w:rsid w:val="0049776E"/>
    <w:rsid w:val="004A0D44"/>
    <w:rsid w:val="004A0DA1"/>
    <w:rsid w:val="004A0E32"/>
    <w:rsid w:val="004A0FC8"/>
    <w:rsid w:val="004A10BE"/>
    <w:rsid w:val="004A13D6"/>
    <w:rsid w:val="004A1B5E"/>
    <w:rsid w:val="004A1D1D"/>
    <w:rsid w:val="004A2B50"/>
    <w:rsid w:val="004A331F"/>
    <w:rsid w:val="004A3366"/>
    <w:rsid w:val="004A3389"/>
    <w:rsid w:val="004A38EF"/>
    <w:rsid w:val="004A3BDD"/>
    <w:rsid w:val="004A3C82"/>
    <w:rsid w:val="004A462E"/>
    <w:rsid w:val="004A4967"/>
    <w:rsid w:val="004A4BC4"/>
    <w:rsid w:val="004A4E41"/>
    <w:rsid w:val="004A5153"/>
    <w:rsid w:val="004A5278"/>
    <w:rsid w:val="004A52D9"/>
    <w:rsid w:val="004A52E9"/>
    <w:rsid w:val="004A54D6"/>
    <w:rsid w:val="004A5E1F"/>
    <w:rsid w:val="004A6040"/>
    <w:rsid w:val="004A6111"/>
    <w:rsid w:val="004A6364"/>
    <w:rsid w:val="004A6401"/>
    <w:rsid w:val="004A6597"/>
    <w:rsid w:val="004A6F46"/>
    <w:rsid w:val="004A7277"/>
    <w:rsid w:val="004A7528"/>
    <w:rsid w:val="004A7766"/>
    <w:rsid w:val="004A7848"/>
    <w:rsid w:val="004A793B"/>
    <w:rsid w:val="004B01CD"/>
    <w:rsid w:val="004B02C8"/>
    <w:rsid w:val="004B0583"/>
    <w:rsid w:val="004B07BA"/>
    <w:rsid w:val="004B094C"/>
    <w:rsid w:val="004B1CB4"/>
    <w:rsid w:val="004B22C9"/>
    <w:rsid w:val="004B2BA6"/>
    <w:rsid w:val="004B2F18"/>
    <w:rsid w:val="004B36F0"/>
    <w:rsid w:val="004B3DDB"/>
    <w:rsid w:val="004B3F71"/>
    <w:rsid w:val="004B44FD"/>
    <w:rsid w:val="004B4B75"/>
    <w:rsid w:val="004B4D96"/>
    <w:rsid w:val="004B5CFC"/>
    <w:rsid w:val="004B6196"/>
    <w:rsid w:val="004B6716"/>
    <w:rsid w:val="004B6D46"/>
    <w:rsid w:val="004B6E6A"/>
    <w:rsid w:val="004B6F79"/>
    <w:rsid w:val="004B72AC"/>
    <w:rsid w:val="004B76FD"/>
    <w:rsid w:val="004B774D"/>
    <w:rsid w:val="004B7B12"/>
    <w:rsid w:val="004C048E"/>
    <w:rsid w:val="004C0F98"/>
    <w:rsid w:val="004C2036"/>
    <w:rsid w:val="004C2697"/>
    <w:rsid w:val="004C3752"/>
    <w:rsid w:val="004C3B8F"/>
    <w:rsid w:val="004C40BC"/>
    <w:rsid w:val="004C4845"/>
    <w:rsid w:val="004C4AED"/>
    <w:rsid w:val="004C5157"/>
    <w:rsid w:val="004C5B32"/>
    <w:rsid w:val="004C5EF3"/>
    <w:rsid w:val="004C6A75"/>
    <w:rsid w:val="004C6BA1"/>
    <w:rsid w:val="004C6E71"/>
    <w:rsid w:val="004C7142"/>
    <w:rsid w:val="004D0047"/>
    <w:rsid w:val="004D0D81"/>
    <w:rsid w:val="004D0E17"/>
    <w:rsid w:val="004D185D"/>
    <w:rsid w:val="004D1D00"/>
    <w:rsid w:val="004D2738"/>
    <w:rsid w:val="004D2931"/>
    <w:rsid w:val="004D2C2D"/>
    <w:rsid w:val="004D4B9E"/>
    <w:rsid w:val="004D4FF7"/>
    <w:rsid w:val="004D5572"/>
    <w:rsid w:val="004D55A0"/>
    <w:rsid w:val="004D577A"/>
    <w:rsid w:val="004D5B47"/>
    <w:rsid w:val="004D5B65"/>
    <w:rsid w:val="004D6357"/>
    <w:rsid w:val="004D69B5"/>
    <w:rsid w:val="004D6A36"/>
    <w:rsid w:val="004D7227"/>
    <w:rsid w:val="004D7293"/>
    <w:rsid w:val="004D7FEC"/>
    <w:rsid w:val="004E03E6"/>
    <w:rsid w:val="004E0E7F"/>
    <w:rsid w:val="004E0EB8"/>
    <w:rsid w:val="004E10A3"/>
    <w:rsid w:val="004E18E9"/>
    <w:rsid w:val="004E1AD9"/>
    <w:rsid w:val="004E2266"/>
    <w:rsid w:val="004E2320"/>
    <w:rsid w:val="004E2559"/>
    <w:rsid w:val="004E2ADC"/>
    <w:rsid w:val="004E3589"/>
    <w:rsid w:val="004E3651"/>
    <w:rsid w:val="004E386D"/>
    <w:rsid w:val="004E3B35"/>
    <w:rsid w:val="004E4181"/>
    <w:rsid w:val="004E43B2"/>
    <w:rsid w:val="004E4587"/>
    <w:rsid w:val="004E4709"/>
    <w:rsid w:val="004E4DDA"/>
    <w:rsid w:val="004E4EEA"/>
    <w:rsid w:val="004E53B1"/>
    <w:rsid w:val="004E5689"/>
    <w:rsid w:val="004E5728"/>
    <w:rsid w:val="004E5A21"/>
    <w:rsid w:val="004E5C38"/>
    <w:rsid w:val="004E5FFD"/>
    <w:rsid w:val="004E633F"/>
    <w:rsid w:val="004E6B52"/>
    <w:rsid w:val="004E6C83"/>
    <w:rsid w:val="004E78C6"/>
    <w:rsid w:val="004F103B"/>
    <w:rsid w:val="004F113E"/>
    <w:rsid w:val="004F1D02"/>
    <w:rsid w:val="004F1D5A"/>
    <w:rsid w:val="004F1F64"/>
    <w:rsid w:val="004F2679"/>
    <w:rsid w:val="004F29D6"/>
    <w:rsid w:val="004F2F21"/>
    <w:rsid w:val="004F36EE"/>
    <w:rsid w:val="004F37F5"/>
    <w:rsid w:val="004F3A4C"/>
    <w:rsid w:val="004F3B7D"/>
    <w:rsid w:val="004F3BC5"/>
    <w:rsid w:val="004F3D4D"/>
    <w:rsid w:val="004F3DE5"/>
    <w:rsid w:val="004F5510"/>
    <w:rsid w:val="004F5D6D"/>
    <w:rsid w:val="004F5EDC"/>
    <w:rsid w:val="004F65ED"/>
    <w:rsid w:val="004F6913"/>
    <w:rsid w:val="004F6E84"/>
    <w:rsid w:val="004F7865"/>
    <w:rsid w:val="004F7A9E"/>
    <w:rsid w:val="00500069"/>
    <w:rsid w:val="00500F07"/>
    <w:rsid w:val="00501080"/>
    <w:rsid w:val="00501381"/>
    <w:rsid w:val="0050174E"/>
    <w:rsid w:val="005017B1"/>
    <w:rsid w:val="00501854"/>
    <w:rsid w:val="00501A28"/>
    <w:rsid w:val="00501A73"/>
    <w:rsid w:val="00501CE1"/>
    <w:rsid w:val="0050205F"/>
    <w:rsid w:val="0050219B"/>
    <w:rsid w:val="0050240D"/>
    <w:rsid w:val="005024EA"/>
    <w:rsid w:val="00502A0A"/>
    <w:rsid w:val="005030AC"/>
    <w:rsid w:val="00503BA3"/>
    <w:rsid w:val="00503F17"/>
    <w:rsid w:val="00503F99"/>
    <w:rsid w:val="0050408E"/>
    <w:rsid w:val="00504CBE"/>
    <w:rsid w:val="00504D76"/>
    <w:rsid w:val="00505E7C"/>
    <w:rsid w:val="005064C7"/>
    <w:rsid w:val="00506928"/>
    <w:rsid w:val="005069EC"/>
    <w:rsid w:val="00506DA6"/>
    <w:rsid w:val="005077EF"/>
    <w:rsid w:val="00507DC7"/>
    <w:rsid w:val="00510389"/>
    <w:rsid w:val="005109D9"/>
    <w:rsid w:val="00511366"/>
    <w:rsid w:val="00511AD5"/>
    <w:rsid w:val="00511DC7"/>
    <w:rsid w:val="005129AB"/>
    <w:rsid w:val="00512C96"/>
    <w:rsid w:val="00513163"/>
    <w:rsid w:val="005131B6"/>
    <w:rsid w:val="005136A7"/>
    <w:rsid w:val="0051404D"/>
    <w:rsid w:val="005142C5"/>
    <w:rsid w:val="0051501B"/>
    <w:rsid w:val="005152B5"/>
    <w:rsid w:val="00515AAD"/>
    <w:rsid w:val="0051618B"/>
    <w:rsid w:val="00516ABC"/>
    <w:rsid w:val="005173B6"/>
    <w:rsid w:val="00517827"/>
    <w:rsid w:val="005178EF"/>
    <w:rsid w:val="00517CA0"/>
    <w:rsid w:val="00517D86"/>
    <w:rsid w:val="00517F91"/>
    <w:rsid w:val="005200A1"/>
    <w:rsid w:val="005209CA"/>
    <w:rsid w:val="0052123C"/>
    <w:rsid w:val="00521319"/>
    <w:rsid w:val="00521457"/>
    <w:rsid w:val="00521BE4"/>
    <w:rsid w:val="00522103"/>
    <w:rsid w:val="005222A2"/>
    <w:rsid w:val="00522BC8"/>
    <w:rsid w:val="00522E5A"/>
    <w:rsid w:val="005236C4"/>
    <w:rsid w:val="00523901"/>
    <w:rsid w:val="00523B78"/>
    <w:rsid w:val="00523C28"/>
    <w:rsid w:val="00523E04"/>
    <w:rsid w:val="005249CA"/>
    <w:rsid w:val="00524DEE"/>
    <w:rsid w:val="00524F00"/>
    <w:rsid w:val="005256ED"/>
    <w:rsid w:val="00525D81"/>
    <w:rsid w:val="00525FBE"/>
    <w:rsid w:val="00526CC9"/>
    <w:rsid w:val="00526CCD"/>
    <w:rsid w:val="00527286"/>
    <w:rsid w:val="005273E7"/>
    <w:rsid w:val="005304D4"/>
    <w:rsid w:val="005306B0"/>
    <w:rsid w:val="0053078A"/>
    <w:rsid w:val="00531350"/>
    <w:rsid w:val="0053176B"/>
    <w:rsid w:val="00531D18"/>
    <w:rsid w:val="005325D3"/>
    <w:rsid w:val="00532F8E"/>
    <w:rsid w:val="00533351"/>
    <w:rsid w:val="0053348C"/>
    <w:rsid w:val="00533F43"/>
    <w:rsid w:val="0053493F"/>
    <w:rsid w:val="00535738"/>
    <w:rsid w:val="00535EB5"/>
    <w:rsid w:val="005361E8"/>
    <w:rsid w:val="00536A68"/>
    <w:rsid w:val="00536F42"/>
    <w:rsid w:val="00537033"/>
    <w:rsid w:val="005370EE"/>
    <w:rsid w:val="00537182"/>
    <w:rsid w:val="00537507"/>
    <w:rsid w:val="005375C3"/>
    <w:rsid w:val="005379A2"/>
    <w:rsid w:val="00537DD6"/>
    <w:rsid w:val="005409F4"/>
    <w:rsid w:val="00540E13"/>
    <w:rsid w:val="005412AB"/>
    <w:rsid w:val="00541614"/>
    <w:rsid w:val="00541960"/>
    <w:rsid w:val="00541B67"/>
    <w:rsid w:val="00541C46"/>
    <w:rsid w:val="00541EDD"/>
    <w:rsid w:val="005423FE"/>
    <w:rsid w:val="0054267D"/>
    <w:rsid w:val="00542743"/>
    <w:rsid w:val="00542ABC"/>
    <w:rsid w:val="00542C2D"/>
    <w:rsid w:val="005431C0"/>
    <w:rsid w:val="0054337F"/>
    <w:rsid w:val="00543915"/>
    <w:rsid w:val="00544078"/>
    <w:rsid w:val="0054438A"/>
    <w:rsid w:val="005446B3"/>
    <w:rsid w:val="00544E3F"/>
    <w:rsid w:val="00545A8D"/>
    <w:rsid w:val="005465B7"/>
    <w:rsid w:val="00546CA1"/>
    <w:rsid w:val="00546E17"/>
    <w:rsid w:val="0054711B"/>
    <w:rsid w:val="00547606"/>
    <w:rsid w:val="005478BD"/>
    <w:rsid w:val="005479E3"/>
    <w:rsid w:val="00550694"/>
    <w:rsid w:val="005509C2"/>
    <w:rsid w:val="005509E2"/>
    <w:rsid w:val="00551094"/>
    <w:rsid w:val="00551713"/>
    <w:rsid w:val="00551985"/>
    <w:rsid w:val="005524F0"/>
    <w:rsid w:val="00552BD3"/>
    <w:rsid w:val="005532A0"/>
    <w:rsid w:val="0055342B"/>
    <w:rsid w:val="0055352F"/>
    <w:rsid w:val="00553CD8"/>
    <w:rsid w:val="00553D72"/>
    <w:rsid w:val="0055473A"/>
    <w:rsid w:val="00555109"/>
    <w:rsid w:val="00555492"/>
    <w:rsid w:val="00556A9F"/>
    <w:rsid w:val="00556B35"/>
    <w:rsid w:val="00556C65"/>
    <w:rsid w:val="00557168"/>
    <w:rsid w:val="0055741A"/>
    <w:rsid w:val="00557807"/>
    <w:rsid w:val="005601B5"/>
    <w:rsid w:val="005602F9"/>
    <w:rsid w:val="0056069A"/>
    <w:rsid w:val="005609FE"/>
    <w:rsid w:val="005611A8"/>
    <w:rsid w:val="005611B7"/>
    <w:rsid w:val="00561381"/>
    <w:rsid w:val="005613AC"/>
    <w:rsid w:val="00561482"/>
    <w:rsid w:val="00561604"/>
    <w:rsid w:val="005618D4"/>
    <w:rsid w:val="00561946"/>
    <w:rsid w:val="00562CD4"/>
    <w:rsid w:val="00563417"/>
    <w:rsid w:val="00563566"/>
    <w:rsid w:val="00563BAB"/>
    <w:rsid w:val="00564220"/>
    <w:rsid w:val="00564598"/>
    <w:rsid w:val="005647C0"/>
    <w:rsid w:val="00564FCE"/>
    <w:rsid w:val="00565A7D"/>
    <w:rsid w:val="00565DF0"/>
    <w:rsid w:val="0056696F"/>
    <w:rsid w:val="00566B27"/>
    <w:rsid w:val="0056707D"/>
    <w:rsid w:val="005674B9"/>
    <w:rsid w:val="00567679"/>
    <w:rsid w:val="00567F6A"/>
    <w:rsid w:val="0057009F"/>
    <w:rsid w:val="00571778"/>
    <w:rsid w:val="00571CBC"/>
    <w:rsid w:val="00571F5B"/>
    <w:rsid w:val="00572269"/>
    <w:rsid w:val="0057244A"/>
    <w:rsid w:val="00572E59"/>
    <w:rsid w:val="00572F26"/>
    <w:rsid w:val="005734B9"/>
    <w:rsid w:val="0057391C"/>
    <w:rsid w:val="00573BB4"/>
    <w:rsid w:val="00573C3E"/>
    <w:rsid w:val="00573FB3"/>
    <w:rsid w:val="00574414"/>
    <w:rsid w:val="00574961"/>
    <w:rsid w:val="00574E32"/>
    <w:rsid w:val="005750C5"/>
    <w:rsid w:val="005752DE"/>
    <w:rsid w:val="005755CE"/>
    <w:rsid w:val="00575B93"/>
    <w:rsid w:val="00575D8D"/>
    <w:rsid w:val="00576055"/>
    <w:rsid w:val="00576957"/>
    <w:rsid w:val="00576972"/>
    <w:rsid w:val="00576C69"/>
    <w:rsid w:val="005770C4"/>
    <w:rsid w:val="00577BB1"/>
    <w:rsid w:val="00580426"/>
    <w:rsid w:val="0058059B"/>
    <w:rsid w:val="00580F8A"/>
    <w:rsid w:val="00581343"/>
    <w:rsid w:val="005817BC"/>
    <w:rsid w:val="00582393"/>
    <w:rsid w:val="00582B97"/>
    <w:rsid w:val="00582CE1"/>
    <w:rsid w:val="00582E45"/>
    <w:rsid w:val="00582E49"/>
    <w:rsid w:val="00582F10"/>
    <w:rsid w:val="005830B8"/>
    <w:rsid w:val="00583699"/>
    <w:rsid w:val="005838FF"/>
    <w:rsid w:val="00583E95"/>
    <w:rsid w:val="00583FC7"/>
    <w:rsid w:val="005841D5"/>
    <w:rsid w:val="0058439B"/>
    <w:rsid w:val="005844D9"/>
    <w:rsid w:val="005846D4"/>
    <w:rsid w:val="005855C8"/>
    <w:rsid w:val="0058565A"/>
    <w:rsid w:val="00585981"/>
    <w:rsid w:val="00585A62"/>
    <w:rsid w:val="00585A97"/>
    <w:rsid w:val="00585CDD"/>
    <w:rsid w:val="00585F7D"/>
    <w:rsid w:val="005862B5"/>
    <w:rsid w:val="00586CAF"/>
    <w:rsid w:val="00587027"/>
    <w:rsid w:val="00587058"/>
    <w:rsid w:val="005873B1"/>
    <w:rsid w:val="00587938"/>
    <w:rsid w:val="00587BED"/>
    <w:rsid w:val="00590079"/>
    <w:rsid w:val="00590239"/>
    <w:rsid w:val="0059032E"/>
    <w:rsid w:val="0059095A"/>
    <w:rsid w:val="00591957"/>
    <w:rsid w:val="00591B0A"/>
    <w:rsid w:val="005922A0"/>
    <w:rsid w:val="00592377"/>
    <w:rsid w:val="005923B6"/>
    <w:rsid w:val="00592EDB"/>
    <w:rsid w:val="005934AA"/>
    <w:rsid w:val="00593644"/>
    <w:rsid w:val="005939BC"/>
    <w:rsid w:val="00595772"/>
    <w:rsid w:val="00595C1E"/>
    <w:rsid w:val="00596329"/>
    <w:rsid w:val="00596635"/>
    <w:rsid w:val="00596649"/>
    <w:rsid w:val="00596B94"/>
    <w:rsid w:val="0059704D"/>
    <w:rsid w:val="0059725E"/>
    <w:rsid w:val="0059756B"/>
    <w:rsid w:val="00597BF9"/>
    <w:rsid w:val="00597CDC"/>
    <w:rsid w:val="005A0314"/>
    <w:rsid w:val="005A094B"/>
    <w:rsid w:val="005A09A7"/>
    <w:rsid w:val="005A16C2"/>
    <w:rsid w:val="005A1A03"/>
    <w:rsid w:val="005A214A"/>
    <w:rsid w:val="005A23E1"/>
    <w:rsid w:val="005A2CBD"/>
    <w:rsid w:val="005A3005"/>
    <w:rsid w:val="005A309A"/>
    <w:rsid w:val="005A31C9"/>
    <w:rsid w:val="005A34AF"/>
    <w:rsid w:val="005A373D"/>
    <w:rsid w:val="005A3B17"/>
    <w:rsid w:val="005A3E37"/>
    <w:rsid w:val="005A4607"/>
    <w:rsid w:val="005A4A72"/>
    <w:rsid w:val="005A53B4"/>
    <w:rsid w:val="005A5E35"/>
    <w:rsid w:val="005A5EAF"/>
    <w:rsid w:val="005A68BF"/>
    <w:rsid w:val="005A6B96"/>
    <w:rsid w:val="005A6C1E"/>
    <w:rsid w:val="005A6E8E"/>
    <w:rsid w:val="005A74D1"/>
    <w:rsid w:val="005A768E"/>
    <w:rsid w:val="005A7A92"/>
    <w:rsid w:val="005A7DC9"/>
    <w:rsid w:val="005A7EBD"/>
    <w:rsid w:val="005A7EDE"/>
    <w:rsid w:val="005B0B58"/>
    <w:rsid w:val="005B14C3"/>
    <w:rsid w:val="005B1584"/>
    <w:rsid w:val="005B23BB"/>
    <w:rsid w:val="005B2560"/>
    <w:rsid w:val="005B2D44"/>
    <w:rsid w:val="005B307A"/>
    <w:rsid w:val="005B3136"/>
    <w:rsid w:val="005B3563"/>
    <w:rsid w:val="005B3988"/>
    <w:rsid w:val="005B3C14"/>
    <w:rsid w:val="005B47E9"/>
    <w:rsid w:val="005B4B0D"/>
    <w:rsid w:val="005B4E53"/>
    <w:rsid w:val="005B518B"/>
    <w:rsid w:val="005B583E"/>
    <w:rsid w:val="005B5857"/>
    <w:rsid w:val="005B58B8"/>
    <w:rsid w:val="005B5C1F"/>
    <w:rsid w:val="005B68AE"/>
    <w:rsid w:val="005B6BA7"/>
    <w:rsid w:val="005B7562"/>
    <w:rsid w:val="005C063E"/>
    <w:rsid w:val="005C0B6B"/>
    <w:rsid w:val="005C0BED"/>
    <w:rsid w:val="005C1826"/>
    <w:rsid w:val="005C1B83"/>
    <w:rsid w:val="005C1B8F"/>
    <w:rsid w:val="005C1C42"/>
    <w:rsid w:val="005C1DF2"/>
    <w:rsid w:val="005C2012"/>
    <w:rsid w:val="005C2503"/>
    <w:rsid w:val="005C25FF"/>
    <w:rsid w:val="005C2923"/>
    <w:rsid w:val="005C2D55"/>
    <w:rsid w:val="005C346B"/>
    <w:rsid w:val="005C3908"/>
    <w:rsid w:val="005C3980"/>
    <w:rsid w:val="005C4633"/>
    <w:rsid w:val="005C4F18"/>
    <w:rsid w:val="005C518F"/>
    <w:rsid w:val="005C578A"/>
    <w:rsid w:val="005C5856"/>
    <w:rsid w:val="005C5AC4"/>
    <w:rsid w:val="005C5DD5"/>
    <w:rsid w:val="005C66FD"/>
    <w:rsid w:val="005C71FB"/>
    <w:rsid w:val="005C74FD"/>
    <w:rsid w:val="005C75AC"/>
    <w:rsid w:val="005C79A6"/>
    <w:rsid w:val="005C7BE1"/>
    <w:rsid w:val="005D0218"/>
    <w:rsid w:val="005D0436"/>
    <w:rsid w:val="005D044D"/>
    <w:rsid w:val="005D0927"/>
    <w:rsid w:val="005D0969"/>
    <w:rsid w:val="005D0ABD"/>
    <w:rsid w:val="005D0B8C"/>
    <w:rsid w:val="005D0CA4"/>
    <w:rsid w:val="005D1026"/>
    <w:rsid w:val="005D1788"/>
    <w:rsid w:val="005D1807"/>
    <w:rsid w:val="005D18AD"/>
    <w:rsid w:val="005D1C89"/>
    <w:rsid w:val="005D24D7"/>
    <w:rsid w:val="005D26B4"/>
    <w:rsid w:val="005D27DD"/>
    <w:rsid w:val="005D2FDE"/>
    <w:rsid w:val="005D3666"/>
    <w:rsid w:val="005D3F55"/>
    <w:rsid w:val="005D4159"/>
    <w:rsid w:val="005D4500"/>
    <w:rsid w:val="005D4A22"/>
    <w:rsid w:val="005D4DC0"/>
    <w:rsid w:val="005D50AF"/>
    <w:rsid w:val="005D5BFB"/>
    <w:rsid w:val="005D5E46"/>
    <w:rsid w:val="005D5E97"/>
    <w:rsid w:val="005D60FF"/>
    <w:rsid w:val="005D61D2"/>
    <w:rsid w:val="005D6839"/>
    <w:rsid w:val="005D6890"/>
    <w:rsid w:val="005D6AA1"/>
    <w:rsid w:val="005D73EF"/>
    <w:rsid w:val="005D7544"/>
    <w:rsid w:val="005D7971"/>
    <w:rsid w:val="005D7B91"/>
    <w:rsid w:val="005E01D9"/>
    <w:rsid w:val="005E076F"/>
    <w:rsid w:val="005E0EA6"/>
    <w:rsid w:val="005E117C"/>
    <w:rsid w:val="005E1451"/>
    <w:rsid w:val="005E2294"/>
    <w:rsid w:val="005E2852"/>
    <w:rsid w:val="005E289D"/>
    <w:rsid w:val="005E2951"/>
    <w:rsid w:val="005E2B08"/>
    <w:rsid w:val="005E2D41"/>
    <w:rsid w:val="005E2D6D"/>
    <w:rsid w:val="005E30D1"/>
    <w:rsid w:val="005E31D0"/>
    <w:rsid w:val="005E3947"/>
    <w:rsid w:val="005E3EEC"/>
    <w:rsid w:val="005E40BA"/>
    <w:rsid w:val="005E4C3D"/>
    <w:rsid w:val="005E4DA2"/>
    <w:rsid w:val="005E5626"/>
    <w:rsid w:val="005E56B5"/>
    <w:rsid w:val="005E58C0"/>
    <w:rsid w:val="005E67FB"/>
    <w:rsid w:val="005E682C"/>
    <w:rsid w:val="005E6CBC"/>
    <w:rsid w:val="005E70C0"/>
    <w:rsid w:val="005E72FF"/>
    <w:rsid w:val="005E73C0"/>
    <w:rsid w:val="005E7533"/>
    <w:rsid w:val="005E75A3"/>
    <w:rsid w:val="005E75FE"/>
    <w:rsid w:val="005E787E"/>
    <w:rsid w:val="005E7ADC"/>
    <w:rsid w:val="005F00AA"/>
    <w:rsid w:val="005F0246"/>
    <w:rsid w:val="005F0318"/>
    <w:rsid w:val="005F0AB7"/>
    <w:rsid w:val="005F0D6D"/>
    <w:rsid w:val="005F0EFF"/>
    <w:rsid w:val="005F2568"/>
    <w:rsid w:val="005F2706"/>
    <w:rsid w:val="005F2DB9"/>
    <w:rsid w:val="005F2E7F"/>
    <w:rsid w:val="005F374E"/>
    <w:rsid w:val="005F3842"/>
    <w:rsid w:val="005F3E7C"/>
    <w:rsid w:val="005F43EB"/>
    <w:rsid w:val="005F44C5"/>
    <w:rsid w:val="005F48CE"/>
    <w:rsid w:val="005F4BC0"/>
    <w:rsid w:val="005F4BEC"/>
    <w:rsid w:val="005F4E17"/>
    <w:rsid w:val="005F4F16"/>
    <w:rsid w:val="005F507D"/>
    <w:rsid w:val="005F50A5"/>
    <w:rsid w:val="005F5637"/>
    <w:rsid w:val="005F5AAA"/>
    <w:rsid w:val="005F5F32"/>
    <w:rsid w:val="005F612F"/>
    <w:rsid w:val="005F667A"/>
    <w:rsid w:val="005F6831"/>
    <w:rsid w:val="005F6A8F"/>
    <w:rsid w:val="005F6AD2"/>
    <w:rsid w:val="005F6B2B"/>
    <w:rsid w:val="005F6BB7"/>
    <w:rsid w:val="005F7588"/>
    <w:rsid w:val="005F7623"/>
    <w:rsid w:val="005F7DFE"/>
    <w:rsid w:val="00600645"/>
    <w:rsid w:val="00600D9A"/>
    <w:rsid w:val="00600E1E"/>
    <w:rsid w:val="00600F5C"/>
    <w:rsid w:val="006010F1"/>
    <w:rsid w:val="006019AC"/>
    <w:rsid w:val="00601B0D"/>
    <w:rsid w:val="00601C35"/>
    <w:rsid w:val="00602159"/>
    <w:rsid w:val="00602FA2"/>
    <w:rsid w:val="006031ED"/>
    <w:rsid w:val="00603272"/>
    <w:rsid w:val="00603DB9"/>
    <w:rsid w:val="00603EBD"/>
    <w:rsid w:val="00604032"/>
    <w:rsid w:val="0060412D"/>
    <w:rsid w:val="006045BB"/>
    <w:rsid w:val="0060583F"/>
    <w:rsid w:val="00605B1C"/>
    <w:rsid w:val="00605D71"/>
    <w:rsid w:val="00606C7D"/>
    <w:rsid w:val="00606CF0"/>
    <w:rsid w:val="00606FBA"/>
    <w:rsid w:val="00607143"/>
    <w:rsid w:val="00607669"/>
    <w:rsid w:val="006076F4"/>
    <w:rsid w:val="00607A44"/>
    <w:rsid w:val="00607AFD"/>
    <w:rsid w:val="00607BD6"/>
    <w:rsid w:val="00607E23"/>
    <w:rsid w:val="00607F1A"/>
    <w:rsid w:val="0061048F"/>
    <w:rsid w:val="006106A6"/>
    <w:rsid w:val="006106E5"/>
    <w:rsid w:val="0061094B"/>
    <w:rsid w:val="00610993"/>
    <w:rsid w:val="0061107A"/>
    <w:rsid w:val="0061211F"/>
    <w:rsid w:val="006122A0"/>
    <w:rsid w:val="00612485"/>
    <w:rsid w:val="00612A11"/>
    <w:rsid w:val="00612A9E"/>
    <w:rsid w:val="00612F97"/>
    <w:rsid w:val="00613001"/>
    <w:rsid w:val="006131E8"/>
    <w:rsid w:val="0061345D"/>
    <w:rsid w:val="0061386E"/>
    <w:rsid w:val="00614006"/>
    <w:rsid w:val="0061549B"/>
    <w:rsid w:val="00615869"/>
    <w:rsid w:val="0061595B"/>
    <w:rsid w:val="006164D6"/>
    <w:rsid w:val="00616535"/>
    <w:rsid w:val="006165E0"/>
    <w:rsid w:val="00616802"/>
    <w:rsid w:val="00616ACB"/>
    <w:rsid w:val="00617E12"/>
    <w:rsid w:val="006203F5"/>
    <w:rsid w:val="00620C25"/>
    <w:rsid w:val="00621477"/>
    <w:rsid w:val="00621569"/>
    <w:rsid w:val="006219B6"/>
    <w:rsid w:val="00621ADA"/>
    <w:rsid w:val="0062242A"/>
    <w:rsid w:val="00622B2B"/>
    <w:rsid w:val="00623F7B"/>
    <w:rsid w:val="00624063"/>
    <w:rsid w:val="006240D2"/>
    <w:rsid w:val="00624326"/>
    <w:rsid w:val="00624329"/>
    <w:rsid w:val="006243CA"/>
    <w:rsid w:val="006244CB"/>
    <w:rsid w:val="006247C0"/>
    <w:rsid w:val="006250AD"/>
    <w:rsid w:val="00625269"/>
    <w:rsid w:val="00625335"/>
    <w:rsid w:val="00625711"/>
    <w:rsid w:val="00625987"/>
    <w:rsid w:val="00625B21"/>
    <w:rsid w:val="00626434"/>
    <w:rsid w:val="00626EDC"/>
    <w:rsid w:val="006276DC"/>
    <w:rsid w:val="00627A8A"/>
    <w:rsid w:val="00630030"/>
    <w:rsid w:val="00630060"/>
    <w:rsid w:val="0063021F"/>
    <w:rsid w:val="00630D6D"/>
    <w:rsid w:val="00630FF0"/>
    <w:rsid w:val="00631315"/>
    <w:rsid w:val="0063158F"/>
    <w:rsid w:val="006315D9"/>
    <w:rsid w:val="00631996"/>
    <w:rsid w:val="00631D6B"/>
    <w:rsid w:val="00632030"/>
    <w:rsid w:val="00632183"/>
    <w:rsid w:val="006324D6"/>
    <w:rsid w:val="006330A1"/>
    <w:rsid w:val="006341B9"/>
    <w:rsid w:val="00634282"/>
    <w:rsid w:val="0063479F"/>
    <w:rsid w:val="00634E82"/>
    <w:rsid w:val="00635157"/>
    <w:rsid w:val="006353F0"/>
    <w:rsid w:val="00635455"/>
    <w:rsid w:val="006357B5"/>
    <w:rsid w:val="00635D64"/>
    <w:rsid w:val="00636304"/>
    <w:rsid w:val="006364A1"/>
    <w:rsid w:val="0063678E"/>
    <w:rsid w:val="00636C15"/>
    <w:rsid w:val="00636D09"/>
    <w:rsid w:val="006370E8"/>
    <w:rsid w:val="006372A9"/>
    <w:rsid w:val="00637ABA"/>
    <w:rsid w:val="00637B02"/>
    <w:rsid w:val="00637BFD"/>
    <w:rsid w:val="006404B1"/>
    <w:rsid w:val="00640712"/>
    <w:rsid w:val="00640D1C"/>
    <w:rsid w:val="006414EB"/>
    <w:rsid w:val="00641AD0"/>
    <w:rsid w:val="00641C4E"/>
    <w:rsid w:val="00641E1A"/>
    <w:rsid w:val="00641FB3"/>
    <w:rsid w:val="006425AB"/>
    <w:rsid w:val="00642920"/>
    <w:rsid w:val="006429AD"/>
    <w:rsid w:val="0064357B"/>
    <w:rsid w:val="0064434C"/>
    <w:rsid w:val="00645056"/>
    <w:rsid w:val="0064511A"/>
    <w:rsid w:val="00645B1F"/>
    <w:rsid w:val="00645ED8"/>
    <w:rsid w:val="00646F74"/>
    <w:rsid w:val="006471CC"/>
    <w:rsid w:val="00647731"/>
    <w:rsid w:val="006478C4"/>
    <w:rsid w:val="006478E1"/>
    <w:rsid w:val="006479DA"/>
    <w:rsid w:val="00647A29"/>
    <w:rsid w:val="00647CE7"/>
    <w:rsid w:val="00647E19"/>
    <w:rsid w:val="0065079F"/>
    <w:rsid w:val="00650911"/>
    <w:rsid w:val="0065117E"/>
    <w:rsid w:val="006523B1"/>
    <w:rsid w:val="00652A28"/>
    <w:rsid w:val="00653768"/>
    <w:rsid w:val="0065379F"/>
    <w:rsid w:val="00653E2D"/>
    <w:rsid w:val="006542B3"/>
    <w:rsid w:val="00656188"/>
    <w:rsid w:val="006566FC"/>
    <w:rsid w:val="006567D9"/>
    <w:rsid w:val="0065715A"/>
    <w:rsid w:val="00657257"/>
    <w:rsid w:val="00657425"/>
    <w:rsid w:val="00657CF5"/>
    <w:rsid w:val="0066053B"/>
    <w:rsid w:val="006610F1"/>
    <w:rsid w:val="0066161F"/>
    <w:rsid w:val="00661C6B"/>
    <w:rsid w:val="0066290D"/>
    <w:rsid w:val="00662ADC"/>
    <w:rsid w:val="006632F3"/>
    <w:rsid w:val="006637F6"/>
    <w:rsid w:val="00663950"/>
    <w:rsid w:val="00663CC1"/>
    <w:rsid w:val="006644A0"/>
    <w:rsid w:val="00664630"/>
    <w:rsid w:val="006647C5"/>
    <w:rsid w:val="006648B1"/>
    <w:rsid w:val="00664D85"/>
    <w:rsid w:val="00664EA3"/>
    <w:rsid w:val="006659E9"/>
    <w:rsid w:val="00665D34"/>
    <w:rsid w:val="00666071"/>
    <w:rsid w:val="006663C2"/>
    <w:rsid w:val="00666E53"/>
    <w:rsid w:val="006675A2"/>
    <w:rsid w:val="00667777"/>
    <w:rsid w:val="00667B7B"/>
    <w:rsid w:val="00667FF1"/>
    <w:rsid w:val="0067024A"/>
    <w:rsid w:val="00670876"/>
    <w:rsid w:val="00670A02"/>
    <w:rsid w:val="00670C73"/>
    <w:rsid w:val="00670DC4"/>
    <w:rsid w:val="00671004"/>
    <w:rsid w:val="0067117E"/>
    <w:rsid w:val="00671413"/>
    <w:rsid w:val="00671534"/>
    <w:rsid w:val="00672234"/>
    <w:rsid w:val="006724F8"/>
    <w:rsid w:val="00672646"/>
    <w:rsid w:val="00672672"/>
    <w:rsid w:val="00673DAB"/>
    <w:rsid w:val="00674E42"/>
    <w:rsid w:val="0067573B"/>
    <w:rsid w:val="00675AB5"/>
    <w:rsid w:val="00675D7C"/>
    <w:rsid w:val="006761F7"/>
    <w:rsid w:val="0067627D"/>
    <w:rsid w:val="006768AC"/>
    <w:rsid w:val="0067695D"/>
    <w:rsid w:val="0067722B"/>
    <w:rsid w:val="00677946"/>
    <w:rsid w:val="00677957"/>
    <w:rsid w:val="00677BB7"/>
    <w:rsid w:val="0068034A"/>
    <w:rsid w:val="006803E3"/>
    <w:rsid w:val="00681219"/>
    <w:rsid w:val="006813F8"/>
    <w:rsid w:val="006814E1"/>
    <w:rsid w:val="00681A52"/>
    <w:rsid w:val="00682112"/>
    <w:rsid w:val="006822B9"/>
    <w:rsid w:val="0068247C"/>
    <w:rsid w:val="0068272E"/>
    <w:rsid w:val="006828D2"/>
    <w:rsid w:val="00682B4C"/>
    <w:rsid w:val="00682BA6"/>
    <w:rsid w:val="006832D1"/>
    <w:rsid w:val="006836A1"/>
    <w:rsid w:val="00684568"/>
    <w:rsid w:val="006847C7"/>
    <w:rsid w:val="00685037"/>
    <w:rsid w:val="006855B3"/>
    <w:rsid w:val="00686628"/>
    <w:rsid w:val="006866E5"/>
    <w:rsid w:val="00686957"/>
    <w:rsid w:val="00686F92"/>
    <w:rsid w:val="006872BA"/>
    <w:rsid w:val="0068764E"/>
    <w:rsid w:val="006903CD"/>
    <w:rsid w:val="00690795"/>
    <w:rsid w:val="00690B25"/>
    <w:rsid w:val="00691648"/>
    <w:rsid w:val="006917D7"/>
    <w:rsid w:val="00691B90"/>
    <w:rsid w:val="00692B9B"/>
    <w:rsid w:val="00692C32"/>
    <w:rsid w:val="00692E5B"/>
    <w:rsid w:val="006936E6"/>
    <w:rsid w:val="0069394C"/>
    <w:rsid w:val="00693FC3"/>
    <w:rsid w:val="006940C7"/>
    <w:rsid w:val="00694277"/>
    <w:rsid w:val="0069434C"/>
    <w:rsid w:val="0069464C"/>
    <w:rsid w:val="00694F44"/>
    <w:rsid w:val="00695183"/>
    <w:rsid w:val="00695577"/>
    <w:rsid w:val="00695E06"/>
    <w:rsid w:val="00695FA6"/>
    <w:rsid w:val="00696806"/>
    <w:rsid w:val="00696CC7"/>
    <w:rsid w:val="00696F51"/>
    <w:rsid w:val="006979A5"/>
    <w:rsid w:val="00697C64"/>
    <w:rsid w:val="00697D47"/>
    <w:rsid w:val="006A0720"/>
    <w:rsid w:val="006A07F9"/>
    <w:rsid w:val="006A0BD9"/>
    <w:rsid w:val="006A158F"/>
    <w:rsid w:val="006A185B"/>
    <w:rsid w:val="006A2108"/>
    <w:rsid w:val="006A2189"/>
    <w:rsid w:val="006A2578"/>
    <w:rsid w:val="006A2FB1"/>
    <w:rsid w:val="006A3950"/>
    <w:rsid w:val="006A3BC9"/>
    <w:rsid w:val="006A3E4B"/>
    <w:rsid w:val="006A3F30"/>
    <w:rsid w:val="006A4699"/>
    <w:rsid w:val="006A49FC"/>
    <w:rsid w:val="006A4DAC"/>
    <w:rsid w:val="006A4FD8"/>
    <w:rsid w:val="006A5BB8"/>
    <w:rsid w:val="006A6098"/>
    <w:rsid w:val="006A6B99"/>
    <w:rsid w:val="006A6BC3"/>
    <w:rsid w:val="006A6D71"/>
    <w:rsid w:val="006A6D8B"/>
    <w:rsid w:val="006A7587"/>
    <w:rsid w:val="006A76FA"/>
    <w:rsid w:val="006A7E5F"/>
    <w:rsid w:val="006B0C5B"/>
    <w:rsid w:val="006B155A"/>
    <w:rsid w:val="006B17B0"/>
    <w:rsid w:val="006B19D0"/>
    <w:rsid w:val="006B245C"/>
    <w:rsid w:val="006B25BE"/>
    <w:rsid w:val="006B261B"/>
    <w:rsid w:val="006B2797"/>
    <w:rsid w:val="006B29CB"/>
    <w:rsid w:val="006B2C90"/>
    <w:rsid w:val="006B2F71"/>
    <w:rsid w:val="006B30C0"/>
    <w:rsid w:val="006B321E"/>
    <w:rsid w:val="006B32A7"/>
    <w:rsid w:val="006B3388"/>
    <w:rsid w:val="006B35E6"/>
    <w:rsid w:val="006B3E29"/>
    <w:rsid w:val="006B3EA9"/>
    <w:rsid w:val="006B465A"/>
    <w:rsid w:val="006B48BC"/>
    <w:rsid w:val="006B555E"/>
    <w:rsid w:val="006B5921"/>
    <w:rsid w:val="006B5FAA"/>
    <w:rsid w:val="006B6472"/>
    <w:rsid w:val="006B6DD0"/>
    <w:rsid w:val="006B74D7"/>
    <w:rsid w:val="006C0399"/>
    <w:rsid w:val="006C0400"/>
    <w:rsid w:val="006C1512"/>
    <w:rsid w:val="006C1987"/>
    <w:rsid w:val="006C2278"/>
    <w:rsid w:val="006C2501"/>
    <w:rsid w:val="006C2A29"/>
    <w:rsid w:val="006C2A8E"/>
    <w:rsid w:val="006C3255"/>
    <w:rsid w:val="006C3CF4"/>
    <w:rsid w:val="006C3F26"/>
    <w:rsid w:val="006C41A4"/>
    <w:rsid w:val="006C43B6"/>
    <w:rsid w:val="006C4596"/>
    <w:rsid w:val="006C487B"/>
    <w:rsid w:val="006C4AFC"/>
    <w:rsid w:val="006C4B5A"/>
    <w:rsid w:val="006C4CA2"/>
    <w:rsid w:val="006C4D3E"/>
    <w:rsid w:val="006C508B"/>
    <w:rsid w:val="006C5412"/>
    <w:rsid w:val="006C6061"/>
    <w:rsid w:val="006C63EA"/>
    <w:rsid w:val="006C6F3A"/>
    <w:rsid w:val="006D03CB"/>
    <w:rsid w:val="006D048E"/>
    <w:rsid w:val="006D0D17"/>
    <w:rsid w:val="006D155A"/>
    <w:rsid w:val="006D195D"/>
    <w:rsid w:val="006D2499"/>
    <w:rsid w:val="006D2E90"/>
    <w:rsid w:val="006D307C"/>
    <w:rsid w:val="006D32CD"/>
    <w:rsid w:val="006D3320"/>
    <w:rsid w:val="006D33A8"/>
    <w:rsid w:val="006D38C0"/>
    <w:rsid w:val="006D3C7D"/>
    <w:rsid w:val="006D4659"/>
    <w:rsid w:val="006D52FB"/>
    <w:rsid w:val="006D5D5F"/>
    <w:rsid w:val="006D62AC"/>
    <w:rsid w:val="006D63AB"/>
    <w:rsid w:val="006D6832"/>
    <w:rsid w:val="006D68FB"/>
    <w:rsid w:val="006D6D2E"/>
    <w:rsid w:val="006D72E7"/>
    <w:rsid w:val="006D769D"/>
    <w:rsid w:val="006D7925"/>
    <w:rsid w:val="006E01CD"/>
    <w:rsid w:val="006E01F0"/>
    <w:rsid w:val="006E0350"/>
    <w:rsid w:val="006E0556"/>
    <w:rsid w:val="006E08C4"/>
    <w:rsid w:val="006E1281"/>
    <w:rsid w:val="006E16C2"/>
    <w:rsid w:val="006E1A18"/>
    <w:rsid w:val="006E1C57"/>
    <w:rsid w:val="006E20F1"/>
    <w:rsid w:val="006E2559"/>
    <w:rsid w:val="006E2868"/>
    <w:rsid w:val="006E28C8"/>
    <w:rsid w:val="006E2A99"/>
    <w:rsid w:val="006E3104"/>
    <w:rsid w:val="006E350E"/>
    <w:rsid w:val="006E366A"/>
    <w:rsid w:val="006E3B47"/>
    <w:rsid w:val="006E3C59"/>
    <w:rsid w:val="006E3F77"/>
    <w:rsid w:val="006E45C9"/>
    <w:rsid w:val="006E53E0"/>
    <w:rsid w:val="006E5952"/>
    <w:rsid w:val="006E59E7"/>
    <w:rsid w:val="006E5B5E"/>
    <w:rsid w:val="006E5D95"/>
    <w:rsid w:val="006E60C3"/>
    <w:rsid w:val="006E612E"/>
    <w:rsid w:val="006E6644"/>
    <w:rsid w:val="006E6837"/>
    <w:rsid w:val="006E6B8A"/>
    <w:rsid w:val="006E6BFB"/>
    <w:rsid w:val="006E6CB9"/>
    <w:rsid w:val="006E6CBC"/>
    <w:rsid w:val="006E6F7B"/>
    <w:rsid w:val="006E7AA9"/>
    <w:rsid w:val="006E7B0C"/>
    <w:rsid w:val="006E7DD0"/>
    <w:rsid w:val="006F0020"/>
    <w:rsid w:val="006F033A"/>
    <w:rsid w:val="006F07B0"/>
    <w:rsid w:val="006F0CB8"/>
    <w:rsid w:val="006F0CF0"/>
    <w:rsid w:val="006F1524"/>
    <w:rsid w:val="006F1C35"/>
    <w:rsid w:val="006F1FFE"/>
    <w:rsid w:val="006F20EF"/>
    <w:rsid w:val="006F21D8"/>
    <w:rsid w:val="006F24C2"/>
    <w:rsid w:val="006F28B6"/>
    <w:rsid w:val="006F295D"/>
    <w:rsid w:val="006F2E2E"/>
    <w:rsid w:val="006F306C"/>
    <w:rsid w:val="006F3207"/>
    <w:rsid w:val="006F3C6E"/>
    <w:rsid w:val="006F3F43"/>
    <w:rsid w:val="006F4C97"/>
    <w:rsid w:val="006F4DFE"/>
    <w:rsid w:val="006F55DA"/>
    <w:rsid w:val="006F5A2E"/>
    <w:rsid w:val="006F5D93"/>
    <w:rsid w:val="006F63A5"/>
    <w:rsid w:val="006F6417"/>
    <w:rsid w:val="006F6AE4"/>
    <w:rsid w:val="006F758B"/>
    <w:rsid w:val="006F7BCE"/>
    <w:rsid w:val="007004AE"/>
    <w:rsid w:val="00700948"/>
    <w:rsid w:val="0070142B"/>
    <w:rsid w:val="00701474"/>
    <w:rsid w:val="007020BA"/>
    <w:rsid w:val="007021AB"/>
    <w:rsid w:val="0070263D"/>
    <w:rsid w:val="0070276E"/>
    <w:rsid w:val="00702A53"/>
    <w:rsid w:val="00702F8F"/>
    <w:rsid w:val="00702FFF"/>
    <w:rsid w:val="007031E9"/>
    <w:rsid w:val="007031F3"/>
    <w:rsid w:val="00705066"/>
    <w:rsid w:val="00705504"/>
    <w:rsid w:val="00705E11"/>
    <w:rsid w:val="007061D5"/>
    <w:rsid w:val="00706564"/>
    <w:rsid w:val="007071B6"/>
    <w:rsid w:val="00707864"/>
    <w:rsid w:val="007079FC"/>
    <w:rsid w:val="00707B72"/>
    <w:rsid w:val="00710678"/>
    <w:rsid w:val="00710702"/>
    <w:rsid w:val="00710E2C"/>
    <w:rsid w:val="00710F40"/>
    <w:rsid w:val="0071172C"/>
    <w:rsid w:val="00711A36"/>
    <w:rsid w:val="00711C43"/>
    <w:rsid w:val="00711FC8"/>
    <w:rsid w:val="00712A5D"/>
    <w:rsid w:val="00712A78"/>
    <w:rsid w:val="00712BD3"/>
    <w:rsid w:val="00712DAF"/>
    <w:rsid w:val="00712E26"/>
    <w:rsid w:val="00713401"/>
    <w:rsid w:val="00713421"/>
    <w:rsid w:val="0071387E"/>
    <w:rsid w:val="00713D33"/>
    <w:rsid w:val="00713F68"/>
    <w:rsid w:val="00714501"/>
    <w:rsid w:val="0071499B"/>
    <w:rsid w:val="00714C26"/>
    <w:rsid w:val="0071529C"/>
    <w:rsid w:val="007157A4"/>
    <w:rsid w:val="00716451"/>
    <w:rsid w:val="007164F0"/>
    <w:rsid w:val="007168AC"/>
    <w:rsid w:val="00716D57"/>
    <w:rsid w:val="007170DA"/>
    <w:rsid w:val="007172AD"/>
    <w:rsid w:val="00717412"/>
    <w:rsid w:val="0071750D"/>
    <w:rsid w:val="0071755E"/>
    <w:rsid w:val="007176CA"/>
    <w:rsid w:val="00717883"/>
    <w:rsid w:val="00717DEF"/>
    <w:rsid w:val="00720272"/>
    <w:rsid w:val="007203BB"/>
    <w:rsid w:val="0072064D"/>
    <w:rsid w:val="00720801"/>
    <w:rsid w:val="00720944"/>
    <w:rsid w:val="00721B89"/>
    <w:rsid w:val="00721FEF"/>
    <w:rsid w:val="00722B1B"/>
    <w:rsid w:val="0072311C"/>
    <w:rsid w:val="00723224"/>
    <w:rsid w:val="00723290"/>
    <w:rsid w:val="007232DF"/>
    <w:rsid w:val="007235E9"/>
    <w:rsid w:val="00723CDF"/>
    <w:rsid w:val="0072416F"/>
    <w:rsid w:val="00724B67"/>
    <w:rsid w:val="00724BA8"/>
    <w:rsid w:val="00725531"/>
    <w:rsid w:val="0072582E"/>
    <w:rsid w:val="00725A9E"/>
    <w:rsid w:val="00725DD3"/>
    <w:rsid w:val="00725F29"/>
    <w:rsid w:val="007265A9"/>
    <w:rsid w:val="00726931"/>
    <w:rsid w:val="00727C94"/>
    <w:rsid w:val="007304FA"/>
    <w:rsid w:val="0073063C"/>
    <w:rsid w:val="007312D7"/>
    <w:rsid w:val="00731519"/>
    <w:rsid w:val="00731693"/>
    <w:rsid w:val="00731B0A"/>
    <w:rsid w:val="00731EAE"/>
    <w:rsid w:val="007320DF"/>
    <w:rsid w:val="00732290"/>
    <w:rsid w:val="00732826"/>
    <w:rsid w:val="0073291E"/>
    <w:rsid w:val="00732C05"/>
    <w:rsid w:val="00732D8A"/>
    <w:rsid w:val="00733073"/>
    <w:rsid w:val="00733963"/>
    <w:rsid w:val="00733B88"/>
    <w:rsid w:val="00733CBF"/>
    <w:rsid w:val="00733E56"/>
    <w:rsid w:val="007347EF"/>
    <w:rsid w:val="0073489A"/>
    <w:rsid w:val="00734993"/>
    <w:rsid w:val="00734A72"/>
    <w:rsid w:val="00735022"/>
    <w:rsid w:val="00735033"/>
    <w:rsid w:val="00735328"/>
    <w:rsid w:val="00735806"/>
    <w:rsid w:val="00735822"/>
    <w:rsid w:val="00736164"/>
    <w:rsid w:val="00736676"/>
    <w:rsid w:val="0073685B"/>
    <w:rsid w:val="00736ADE"/>
    <w:rsid w:val="0073782F"/>
    <w:rsid w:val="00737AE3"/>
    <w:rsid w:val="00737F53"/>
    <w:rsid w:val="00737FBA"/>
    <w:rsid w:val="00740211"/>
    <w:rsid w:val="007404D2"/>
    <w:rsid w:val="007407F0"/>
    <w:rsid w:val="0074165F"/>
    <w:rsid w:val="00741662"/>
    <w:rsid w:val="00741EEC"/>
    <w:rsid w:val="00742276"/>
    <w:rsid w:val="00742328"/>
    <w:rsid w:val="00742732"/>
    <w:rsid w:val="00742877"/>
    <w:rsid w:val="00743927"/>
    <w:rsid w:val="00743A83"/>
    <w:rsid w:val="007442A6"/>
    <w:rsid w:val="00744901"/>
    <w:rsid w:val="007449BF"/>
    <w:rsid w:val="00745036"/>
    <w:rsid w:val="007451AC"/>
    <w:rsid w:val="0074554B"/>
    <w:rsid w:val="00745872"/>
    <w:rsid w:val="00745F1D"/>
    <w:rsid w:val="00746482"/>
    <w:rsid w:val="007468B2"/>
    <w:rsid w:val="00746BC0"/>
    <w:rsid w:val="0075009A"/>
    <w:rsid w:val="00750484"/>
    <w:rsid w:val="00750654"/>
    <w:rsid w:val="00750F2F"/>
    <w:rsid w:val="007510B4"/>
    <w:rsid w:val="00751A4A"/>
    <w:rsid w:val="00752142"/>
    <w:rsid w:val="007523F9"/>
    <w:rsid w:val="007527A2"/>
    <w:rsid w:val="007527F5"/>
    <w:rsid w:val="00752CBE"/>
    <w:rsid w:val="00752F93"/>
    <w:rsid w:val="0075357E"/>
    <w:rsid w:val="007539C1"/>
    <w:rsid w:val="00754258"/>
    <w:rsid w:val="00754415"/>
    <w:rsid w:val="0075443F"/>
    <w:rsid w:val="00754445"/>
    <w:rsid w:val="00755032"/>
    <w:rsid w:val="007554B6"/>
    <w:rsid w:val="00755938"/>
    <w:rsid w:val="007559CA"/>
    <w:rsid w:val="00755C58"/>
    <w:rsid w:val="00755F87"/>
    <w:rsid w:val="0075614B"/>
    <w:rsid w:val="00756CC1"/>
    <w:rsid w:val="00756E31"/>
    <w:rsid w:val="007570A4"/>
    <w:rsid w:val="007573E8"/>
    <w:rsid w:val="00757702"/>
    <w:rsid w:val="00757992"/>
    <w:rsid w:val="00757D69"/>
    <w:rsid w:val="00760ACE"/>
    <w:rsid w:val="00760C4E"/>
    <w:rsid w:val="00760F9E"/>
    <w:rsid w:val="00761105"/>
    <w:rsid w:val="00761294"/>
    <w:rsid w:val="00761423"/>
    <w:rsid w:val="00761673"/>
    <w:rsid w:val="00761EE6"/>
    <w:rsid w:val="00762720"/>
    <w:rsid w:val="007627BE"/>
    <w:rsid w:val="00762A84"/>
    <w:rsid w:val="007631D4"/>
    <w:rsid w:val="00763268"/>
    <w:rsid w:val="00763580"/>
    <w:rsid w:val="0076360B"/>
    <w:rsid w:val="007638CE"/>
    <w:rsid w:val="00763A1D"/>
    <w:rsid w:val="00763B35"/>
    <w:rsid w:val="00764131"/>
    <w:rsid w:val="007646B4"/>
    <w:rsid w:val="00764A83"/>
    <w:rsid w:val="00764DE9"/>
    <w:rsid w:val="00764F03"/>
    <w:rsid w:val="00765B1A"/>
    <w:rsid w:val="00765C2D"/>
    <w:rsid w:val="00766C98"/>
    <w:rsid w:val="00767051"/>
    <w:rsid w:val="00770F6A"/>
    <w:rsid w:val="00771598"/>
    <w:rsid w:val="007716A3"/>
    <w:rsid w:val="00771718"/>
    <w:rsid w:val="007717F1"/>
    <w:rsid w:val="00771EB4"/>
    <w:rsid w:val="00771FB9"/>
    <w:rsid w:val="00772206"/>
    <w:rsid w:val="007729E4"/>
    <w:rsid w:val="00772ADF"/>
    <w:rsid w:val="00772AED"/>
    <w:rsid w:val="00772C3A"/>
    <w:rsid w:val="00772FD9"/>
    <w:rsid w:val="00773989"/>
    <w:rsid w:val="00774405"/>
    <w:rsid w:val="00774603"/>
    <w:rsid w:val="00774CA4"/>
    <w:rsid w:val="007750B9"/>
    <w:rsid w:val="00775BFA"/>
    <w:rsid w:val="00775D3B"/>
    <w:rsid w:val="00776587"/>
    <w:rsid w:val="00776F8F"/>
    <w:rsid w:val="00777152"/>
    <w:rsid w:val="00777335"/>
    <w:rsid w:val="00777722"/>
    <w:rsid w:val="0077798C"/>
    <w:rsid w:val="00777F08"/>
    <w:rsid w:val="007809E1"/>
    <w:rsid w:val="00780DB1"/>
    <w:rsid w:val="00780DC1"/>
    <w:rsid w:val="007810C9"/>
    <w:rsid w:val="0078118B"/>
    <w:rsid w:val="00781968"/>
    <w:rsid w:val="00781CEC"/>
    <w:rsid w:val="00782E30"/>
    <w:rsid w:val="00783E1C"/>
    <w:rsid w:val="007843F2"/>
    <w:rsid w:val="00784608"/>
    <w:rsid w:val="00784C34"/>
    <w:rsid w:val="00784D46"/>
    <w:rsid w:val="00784EEE"/>
    <w:rsid w:val="007857D8"/>
    <w:rsid w:val="00785861"/>
    <w:rsid w:val="00785A9F"/>
    <w:rsid w:val="00785AB3"/>
    <w:rsid w:val="007866BF"/>
    <w:rsid w:val="00786C2B"/>
    <w:rsid w:val="00786FEC"/>
    <w:rsid w:val="00787167"/>
    <w:rsid w:val="0078792B"/>
    <w:rsid w:val="0079106E"/>
    <w:rsid w:val="00791306"/>
    <w:rsid w:val="00791767"/>
    <w:rsid w:val="007925DF"/>
    <w:rsid w:val="00792C28"/>
    <w:rsid w:val="00792C49"/>
    <w:rsid w:val="00792FDF"/>
    <w:rsid w:val="00793271"/>
    <w:rsid w:val="007943B3"/>
    <w:rsid w:val="00794ECC"/>
    <w:rsid w:val="00795208"/>
    <w:rsid w:val="007959B8"/>
    <w:rsid w:val="00795C4A"/>
    <w:rsid w:val="00796442"/>
    <w:rsid w:val="00796B54"/>
    <w:rsid w:val="00796C45"/>
    <w:rsid w:val="00796DDF"/>
    <w:rsid w:val="0079746B"/>
    <w:rsid w:val="007975B3"/>
    <w:rsid w:val="00797B26"/>
    <w:rsid w:val="007A03D7"/>
    <w:rsid w:val="007A059A"/>
    <w:rsid w:val="007A08AA"/>
    <w:rsid w:val="007A0978"/>
    <w:rsid w:val="007A0A12"/>
    <w:rsid w:val="007A0B68"/>
    <w:rsid w:val="007A0EAC"/>
    <w:rsid w:val="007A0F05"/>
    <w:rsid w:val="007A0FC6"/>
    <w:rsid w:val="007A132D"/>
    <w:rsid w:val="007A1345"/>
    <w:rsid w:val="007A1851"/>
    <w:rsid w:val="007A1A8E"/>
    <w:rsid w:val="007A1E21"/>
    <w:rsid w:val="007A2010"/>
    <w:rsid w:val="007A2791"/>
    <w:rsid w:val="007A2912"/>
    <w:rsid w:val="007A2D79"/>
    <w:rsid w:val="007A2DDB"/>
    <w:rsid w:val="007A340D"/>
    <w:rsid w:val="007A39D3"/>
    <w:rsid w:val="007A51FC"/>
    <w:rsid w:val="007A5664"/>
    <w:rsid w:val="007A5ECF"/>
    <w:rsid w:val="007A5F1F"/>
    <w:rsid w:val="007A69D2"/>
    <w:rsid w:val="007A70BA"/>
    <w:rsid w:val="007A7746"/>
    <w:rsid w:val="007A78C7"/>
    <w:rsid w:val="007B0D68"/>
    <w:rsid w:val="007B1260"/>
    <w:rsid w:val="007B24EE"/>
    <w:rsid w:val="007B251D"/>
    <w:rsid w:val="007B252A"/>
    <w:rsid w:val="007B2599"/>
    <w:rsid w:val="007B289E"/>
    <w:rsid w:val="007B2922"/>
    <w:rsid w:val="007B2D68"/>
    <w:rsid w:val="007B31CE"/>
    <w:rsid w:val="007B3963"/>
    <w:rsid w:val="007B3AB4"/>
    <w:rsid w:val="007B44F6"/>
    <w:rsid w:val="007B4D78"/>
    <w:rsid w:val="007B4F58"/>
    <w:rsid w:val="007B528D"/>
    <w:rsid w:val="007B559C"/>
    <w:rsid w:val="007B5720"/>
    <w:rsid w:val="007B5BEA"/>
    <w:rsid w:val="007B5C21"/>
    <w:rsid w:val="007B5C29"/>
    <w:rsid w:val="007B5EC5"/>
    <w:rsid w:val="007B63CA"/>
    <w:rsid w:val="007B6902"/>
    <w:rsid w:val="007B6E15"/>
    <w:rsid w:val="007B71D1"/>
    <w:rsid w:val="007B739D"/>
    <w:rsid w:val="007B77D1"/>
    <w:rsid w:val="007B7F40"/>
    <w:rsid w:val="007C0185"/>
    <w:rsid w:val="007C0227"/>
    <w:rsid w:val="007C07C7"/>
    <w:rsid w:val="007C0BA4"/>
    <w:rsid w:val="007C1033"/>
    <w:rsid w:val="007C11F4"/>
    <w:rsid w:val="007C1418"/>
    <w:rsid w:val="007C1528"/>
    <w:rsid w:val="007C1CD9"/>
    <w:rsid w:val="007C2167"/>
    <w:rsid w:val="007C245F"/>
    <w:rsid w:val="007C2C17"/>
    <w:rsid w:val="007C30D4"/>
    <w:rsid w:val="007C32EF"/>
    <w:rsid w:val="007C361D"/>
    <w:rsid w:val="007C3685"/>
    <w:rsid w:val="007C4644"/>
    <w:rsid w:val="007C46DD"/>
    <w:rsid w:val="007C46FC"/>
    <w:rsid w:val="007C4B84"/>
    <w:rsid w:val="007C4E46"/>
    <w:rsid w:val="007C55EF"/>
    <w:rsid w:val="007C57F1"/>
    <w:rsid w:val="007C6A7E"/>
    <w:rsid w:val="007C70FF"/>
    <w:rsid w:val="007C7461"/>
    <w:rsid w:val="007C76D3"/>
    <w:rsid w:val="007C7C25"/>
    <w:rsid w:val="007C7EF9"/>
    <w:rsid w:val="007D004F"/>
    <w:rsid w:val="007D048E"/>
    <w:rsid w:val="007D0B38"/>
    <w:rsid w:val="007D0EFC"/>
    <w:rsid w:val="007D0F02"/>
    <w:rsid w:val="007D188F"/>
    <w:rsid w:val="007D18D1"/>
    <w:rsid w:val="007D1BA0"/>
    <w:rsid w:val="007D316B"/>
    <w:rsid w:val="007D3A2B"/>
    <w:rsid w:val="007D3F31"/>
    <w:rsid w:val="007D3FC3"/>
    <w:rsid w:val="007D4588"/>
    <w:rsid w:val="007D5188"/>
    <w:rsid w:val="007D5440"/>
    <w:rsid w:val="007D561B"/>
    <w:rsid w:val="007D5723"/>
    <w:rsid w:val="007D5AC8"/>
    <w:rsid w:val="007D5C28"/>
    <w:rsid w:val="007D6600"/>
    <w:rsid w:val="007D6659"/>
    <w:rsid w:val="007D6693"/>
    <w:rsid w:val="007D6843"/>
    <w:rsid w:val="007D69EB"/>
    <w:rsid w:val="007E0890"/>
    <w:rsid w:val="007E128F"/>
    <w:rsid w:val="007E1B4F"/>
    <w:rsid w:val="007E2254"/>
    <w:rsid w:val="007E2A5B"/>
    <w:rsid w:val="007E2C6B"/>
    <w:rsid w:val="007E2F56"/>
    <w:rsid w:val="007E4A55"/>
    <w:rsid w:val="007E50B9"/>
    <w:rsid w:val="007E514B"/>
    <w:rsid w:val="007E549A"/>
    <w:rsid w:val="007E59FF"/>
    <w:rsid w:val="007E6710"/>
    <w:rsid w:val="007F04F9"/>
    <w:rsid w:val="007F0F64"/>
    <w:rsid w:val="007F1017"/>
    <w:rsid w:val="007F1113"/>
    <w:rsid w:val="007F1A11"/>
    <w:rsid w:val="007F2204"/>
    <w:rsid w:val="007F22BD"/>
    <w:rsid w:val="007F2BCF"/>
    <w:rsid w:val="007F2E0B"/>
    <w:rsid w:val="007F38AD"/>
    <w:rsid w:val="007F41E3"/>
    <w:rsid w:val="007F4712"/>
    <w:rsid w:val="007F496A"/>
    <w:rsid w:val="007F4A3F"/>
    <w:rsid w:val="007F4A61"/>
    <w:rsid w:val="007F4BCD"/>
    <w:rsid w:val="007F4D9D"/>
    <w:rsid w:val="007F50B7"/>
    <w:rsid w:val="007F5255"/>
    <w:rsid w:val="007F52EB"/>
    <w:rsid w:val="007F56CC"/>
    <w:rsid w:val="007F5A44"/>
    <w:rsid w:val="007F5A66"/>
    <w:rsid w:val="007F5C5A"/>
    <w:rsid w:val="007F5FC5"/>
    <w:rsid w:val="007F61C2"/>
    <w:rsid w:val="007F65ED"/>
    <w:rsid w:val="007F6CFF"/>
    <w:rsid w:val="007F6F03"/>
    <w:rsid w:val="007F705E"/>
    <w:rsid w:val="007F705F"/>
    <w:rsid w:val="007F708B"/>
    <w:rsid w:val="007F75A6"/>
    <w:rsid w:val="007F7604"/>
    <w:rsid w:val="007F7683"/>
    <w:rsid w:val="007F7F9E"/>
    <w:rsid w:val="008000C5"/>
    <w:rsid w:val="008003DC"/>
    <w:rsid w:val="00800458"/>
    <w:rsid w:val="00800A12"/>
    <w:rsid w:val="00800FDA"/>
    <w:rsid w:val="008014B2"/>
    <w:rsid w:val="008022A4"/>
    <w:rsid w:val="008022C4"/>
    <w:rsid w:val="00802EC1"/>
    <w:rsid w:val="00802F57"/>
    <w:rsid w:val="0080384D"/>
    <w:rsid w:val="0080405F"/>
    <w:rsid w:val="0080411E"/>
    <w:rsid w:val="008049C9"/>
    <w:rsid w:val="00804BBA"/>
    <w:rsid w:val="00804F67"/>
    <w:rsid w:val="00804F69"/>
    <w:rsid w:val="00805142"/>
    <w:rsid w:val="008054B0"/>
    <w:rsid w:val="00805D5E"/>
    <w:rsid w:val="00805FCE"/>
    <w:rsid w:val="0080687C"/>
    <w:rsid w:val="00807A8B"/>
    <w:rsid w:val="00807D87"/>
    <w:rsid w:val="00807EC3"/>
    <w:rsid w:val="00807F8C"/>
    <w:rsid w:val="00810830"/>
    <w:rsid w:val="00810A15"/>
    <w:rsid w:val="00810B9E"/>
    <w:rsid w:val="00810CCD"/>
    <w:rsid w:val="00810D1C"/>
    <w:rsid w:val="00810F1B"/>
    <w:rsid w:val="00811383"/>
    <w:rsid w:val="0081159A"/>
    <w:rsid w:val="00811A54"/>
    <w:rsid w:val="00812149"/>
    <w:rsid w:val="008129A1"/>
    <w:rsid w:val="00812CAC"/>
    <w:rsid w:val="00812F62"/>
    <w:rsid w:val="00813AEF"/>
    <w:rsid w:val="00813B2F"/>
    <w:rsid w:val="00813C8C"/>
    <w:rsid w:val="00813C98"/>
    <w:rsid w:val="00813D36"/>
    <w:rsid w:val="008144D9"/>
    <w:rsid w:val="00814548"/>
    <w:rsid w:val="00814617"/>
    <w:rsid w:val="00814E42"/>
    <w:rsid w:val="0081500D"/>
    <w:rsid w:val="00815603"/>
    <w:rsid w:val="0081568E"/>
    <w:rsid w:val="00815B1C"/>
    <w:rsid w:val="00816361"/>
    <w:rsid w:val="0081641A"/>
    <w:rsid w:val="00816442"/>
    <w:rsid w:val="008166EF"/>
    <w:rsid w:val="00816744"/>
    <w:rsid w:val="00816911"/>
    <w:rsid w:val="00816FEF"/>
    <w:rsid w:val="008172E8"/>
    <w:rsid w:val="0081756E"/>
    <w:rsid w:val="0081791E"/>
    <w:rsid w:val="008203A2"/>
    <w:rsid w:val="00820A8C"/>
    <w:rsid w:val="008215FB"/>
    <w:rsid w:val="00821CE1"/>
    <w:rsid w:val="00821F97"/>
    <w:rsid w:val="008220BA"/>
    <w:rsid w:val="0082258A"/>
    <w:rsid w:val="00822934"/>
    <w:rsid w:val="00823174"/>
    <w:rsid w:val="008235D8"/>
    <w:rsid w:val="008236CC"/>
    <w:rsid w:val="00823C04"/>
    <w:rsid w:val="00824404"/>
    <w:rsid w:val="00824487"/>
    <w:rsid w:val="008246D7"/>
    <w:rsid w:val="008248E9"/>
    <w:rsid w:val="00824CCC"/>
    <w:rsid w:val="00824D7E"/>
    <w:rsid w:val="008251CA"/>
    <w:rsid w:val="008255B5"/>
    <w:rsid w:val="00825751"/>
    <w:rsid w:val="00825B4A"/>
    <w:rsid w:val="00825B89"/>
    <w:rsid w:val="00825EC2"/>
    <w:rsid w:val="0082635D"/>
    <w:rsid w:val="008263B7"/>
    <w:rsid w:val="008264EB"/>
    <w:rsid w:val="008275AA"/>
    <w:rsid w:val="008277EF"/>
    <w:rsid w:val="00827D3B"/>
    <w:rsid w:val="00830809"/>
    <w:rsid w:val="00830A1C"/>
    <w:rsid w:val="00830C06"/>
    <w:rsid w:val="00830D7F"/>
    <w:rsid w:val="00830E88"/>
    <w:rsid w:val="008315A5"/>
    <w:rsid w:val="00831A47"/>
    <w:rsid w:val="00831CFE"/>
    <w:rsid w:val="00832854"/>
    <w:rsid w:val="00832C3E"/>
    <w:rsid w:val="00832D93"/>
    <w:rsid w:val="00833514"/>
    <w:rsid w:val="00833B05"/>
    <w:rsid w:val="008340EA"/>
    <w:rsid w:val="0083441D"/>
    <w:rsid w:val="00834809"/>
    <w:rsid w:val="0083487F"/>
    <w:rsid w:val="00834A9F"/>
    <w:rsid w:val="00834AC7"/>
    <w:rsid w:val="00835452"/>
    <w:rsid w:val="00835572"/>
    <w:rsid w:val="00835774"/>
    <w:rsid w:val="008362B4"/>
    <w:rsid w:val="008368AC"/>
    <w:rsid w:val="008369B1"/>
    <w:rsid w:val="00836B24"/>
    <w:rsid w:val="00837025"/>
    <w:rsid w:val="00837720"/>
    <w:rsid w:val="0083783A"/>
    <w:rsid w:val="008405A9"/>
    <w:rsid w:val="00840945"/>
    <w:rsid w:val="00840CA2"/>
    <w:rsid w:val="008424EF"/>
    <w:rsid w:val="00842AEB"/>
    <w:rsid w:val="00842C5D"/>
    <w:rsid w:val="00842E20"/>
    <w:rsid w:val="0084374F"/>
    <w:rsid w:val="00844A22"/>
    <w:rsid w:val="00844DF9"/>
    <w:rsid w:val="00844F5A"/>
    <w:rsid w:val="0084523B"/>
    <w:rsid w:val="0084526F"/>
    <w:rsid w:val="00845E56"/>
    <w:rsid w:val="00846222"/>
    <w:rsid w:val="008468FA"/>
    <w:rsid w:val="0084698E"/>
    <w:rsid w:val="0084756F"/>
    <w:rsid w:val="00847703"/>
    <w:rsid w:val="00847B4A"/>
    <w:rsid w:val="00847C01"/>
    <w:rsid w:val="00847DF5"/>
    <w:rsid w:val="00850823"/>
    <w:rsid w:val="00850E62"/>
    <w:rsid w:val="008511D4"/>
    <w:rsid w:val="008513DF"/>
    <w:rsid w:val="0085181B"/>
    <w:rsid w:val="00851923"/>
    <w:rsid w:val="00852734"/>
    <w:rsid w:val="00852BFE"/>
    <w:rsid w:val="0085309D"/>
    <w:rsid w:val="0085333A"/>
    <w:rsid w:val="0085342D"/>
    <w:rsid w:val="008534A0"/>
    <w:rsid w:val="00853BBC"/>
    <w:rsid w:val="00853CCD"/>
    <w:rsid w:val="008542F7"/>
    <w:rsid w:val="00855489"/>
    <w:rsid w:val="00855555"/>
    <w:rsid w:val="00856444"/>
    <w:rsid w:val="00856897"/>
    <w:rsid w:val="00856AB0"/>
    <w:rsid w:val="00856D80"/>
    <w:rsid w:val="00856E9A"/>
    <w:rsid w:val="00857403"/>
    <w:rsid w:val="008576A9"/>
    <w:rsid w:val="00857C0E"/>
    <w:rsid w:val="008600F0"/>
    <w:rsid w:val="0086075D"/>
    <w:rsid w:val="008607C6"/>
    <w:rsid w:val="008614D4"/>
    <w:rsid w:val="00861543"/>
    <w:rsid w:val="00861BFA"/>
    <w:rsid w:val="00861DF5"/>
    <w:rsid w:val="00862008"/>
    <w:rsid w:val="00862099"/>
    <w:rsid w:val="00862254"/>
    <w:rsid w:val="00862502"/>
    <w:rsid w:val="008625CC"/>
    <w:rsid w:val="00862CC1"/>
    <w:rsid w:val="00862EE9"/>
    <w:rsid w:val="00862FEF"/>
    <w:rsid w:val="00863187"/>
    <w:rsid w:val="0086393D"/>
    <w:rsid w:val="00864480"/>
    <w:rsid w:val="00864600"/>
    <w:rsid w:val="00864B02"/>
    <w:rsid w:val="0086502E"/>
    <w:rsid w:val="00865474"/>
    <w:rsid w:val="00865660"/>
    <w:rsid w:val="00865EE7"/>
    <w:rsid w:val="008660D4"/>
    <w:rsid w:val="0086629F"/>
    <w:rsid w:val="00866391"/>
    <w:rsid w:val="00866470"/>
    <w:rsid w:val="008667F0"/>
    <w:rsid w:val="00866C74"/>
    <w:rsid w:val="0086798C"/>
    <w:rsid w:val="00867A8F"/>
    <w:rsid w:val="00867FD1"/>
    <w:rsid w:val="008702E4"/>
    <w:rsid w:val="00870632"/>
    <w:rsid w:val="00870953"/>
    <w:rsid w:val="00870D3C"/>
    <w:rsid w:val="00870FE6"/>
    <w:rsid w:val="0087124C"/>
    <w:rsid w:val="0087131F"/>
    <w:rsid w:val="008716B9"/>
    <w:rsid w:val="00871CCA"/>
    <w:rsid w:val="00871FA9"/>
    <w:rsid w:val="008724A9"/>
    <w:rsid w:val="008728E9"/>
    <w:rsid w:val="008730AF"/>
    <w:rsid w:val="00873D3A"/>
    <w:rsid w:val="0087490F"/>
    <w:rsid w:val="00874A48"/>
    <w:rsid w:val="00874CF9"/>
    <w:rsid w:val="00875363"/>
    <w:rsid w:val="00875704"/>
    <w:rsid w:val="00875A95"/>
    <w:rsid w:val="0087615E"/>
    <w:rsid w:val="00876DA8"/>
    <w:rsid w:val="008774C1"/>
    <w:rsid w:val="00880A6A"/>
    <w:rsid w:val="0088134C"/>
    <w:rsid w:val="0088166F"/>
    <w:rsid w:val="008817B3"/>
    <w:rsid w:val="008817EF"/>
    <w:rsid w:val="008820B5"/>
    <w:rsid w:val="00882874"/>
    <w:rsid w:val="00882B4E"/>
    <w:rsid w:val="00882B84"/>
    <w:rsid w:val="00882D0C"/>
    <w:rsid w:val="00882E3C"/>
    <w:rsid w:val="00883341"/>
    <w:rsid w:val="00883787"/>
    <w:rsid w:val="00883BFE"/>
    <w:rsid w:val="0088402F"/>
    <w:rsid w:val="00884153"/>
    <w:rsid w:val="008841E7"/>
    <w:rsid w:val="00884A71"/>
    <w:rsid w:val="008851CE"/>
    <w:rsid w:val="00885286"/>
    <w:rsid w:val="008855E4"/>
    <w:rsid w:val="00885C64"/>
    <w:rsid w:val="00885DCB"/>
    <w:rsid w:val="0088601A"/>
    <w:rsid w:val="00886A95"/>
    <w:rsid w:val="00886CD2"/>
    <w:rsid w:val="00886F9A"/>
    <w:rsid w:val="008879F9"/>
    <w:rsid w:val="00887C4A"/>
    <w:rsid w:val="00887D58"/>
    <w:rsid w:val="00890049"/>
    <w:rsid w:val="0089033D"/>
    <w:rsid w:val="008908F8"/>
    <w:rsid w:val="00890F9C"/>
    <w:rsid w:val="00891BD3"/>
    <w:rsid w:val="00891E6F"/>
    <w:rsid w:val="00891F1E"/>
    <w:rsid w:val="00891F27"/>
    <w:rsid w:val="008926B4"/>
    <w:rsid w:val="0089275D"/>
    <w:rsid w:val="00892A36"/>
    <w:rsid w:val="00893239"/>
    <w:rsid w:val="00893BFB"/>
    <w:rsid w:val="00893CE4"/>
    <w:rsid w:val="00893E24"/>
    <w:rsid w:val="00894489"/>
    <w:rsid w:val="0089483C"/>
    <w:rsid w:val="00894D50"/>
    <w:rsid w:val="008956BD"/>
    <w:rsid w:val="008963A5"/>
    <w:rsid w:val="00896BFD"/>
    <w:rsid w:val="00896D5D"/>
    <w:rsid w:val="00896E39"/>
    <w:rsid w:val="0089779A"/>
    <w:rsid w:val="008A01F9"/>
    <w:rsid w:val="008A0A4E"/>
    <w:rsid w:val="008A0E79"/>
    <w:rsid w:val="008A14BB"/>
    <w:rsid w:val="008A196D"/>
    <w:rsid w:val="008A1D84"/>
    <w:rsid w:val="008A1F3A"/>
    <w:rsid w:val="008A2759"/>
    <w:rsid w:val="008A3363"/>
    <w:rsid w:val="008A3371"/>
    <w:rsid w:val="008A3575"/>
    <w:rsid w:val="008A3C3E"/>
    <w:rsid w:val="008A44AF"/>
    <w:rsid w:val="008A453B"/>
    <w:rsid w:val="008A50DB"/>
    <w:rsid w:val="008A5A76"/>
    <w:rsid w:val="008A64F3"/>
    <w:rsid w:val="008A6557"/>
    <w:rsid w:val="008A6B26"/>
    <w:rsid w:val="008A79DE"/>
    <w:rsid w:val="008B0384"/>
    <w:rsid w:val="008B08D0"/>
    <w:rsid w:val="008B0E1A"/>
    <w:rsid w:val="008B1757"/>
    <w:rsid w:val="008B19A9"/>
    <w:rsid w:val="008B1A2E"/>
    <w:rsid w:val="008B229C"/>
    <w:rsid w:val="008B22FC"/>
    <w:rsid w:val="008B2D12"/>
    <w:rsid w:val="008B39CF"/>
    <w:rsid w:val="008B4326"/>
    <w:rsid w:val="008B447E"/>
    <w:rsid w:val="008B4D80"/>
    <w:rsid w:val="008B4D86"/>
    <w:rsid w:val="008B4F73"/>
    <w:rsid w:val="008B6F9A"/>
    <w:rsid w:val="008B75CF"/>
    <w:rsid w:val="008B76E8"/>
    <w:rsid w:val="008B7789"/>
    <w:rsid w:val="008B7859"/>
    <w:rsid w:val="008B7992"/>
    <w:rsid w:val="008B7D7E"/>
    <w:rsid w:val="008C0026"/>
    <w:rsid w:val="008C0523"/>
    <w:rsid w:val="008C0854"/>
    <w:rsid w:val="008C175D"/>
    <w:rsid w:val="008C19F4"/>
    <w:rsid w:val="008C2386"/>
    <w:rsid w:val="008C25B6"/>
    <w:rsid w:val="008C26F6"/>
    <w:rsid w:val="008C4249"/>
    <w:rsid w:val="008C42D7"/>
    <w:rsid w:val="008C476A"/>
    <w:rsid w:val="008C47BA"/>
    <w:rsid w:val="008C548F"/>
    <w:rsid w:val="008C5610"/>
    <w:rsid w:val="008C5739"/>
    <w:rsid w:val="008C5C01"/>
    <w:rsid w:val="008C62DE"/>
    <w:rsid w:val="008C654B"/>
    <w:rsid w:val="008C65A8"/>
    <w:rsid w:val="008C66D3"/>
    <w:rsid w:val="008C6C4E"/>
    <w:rsid w:val="008C7ECB"/>
    <w:rsid w:val="008C7F3C"/>
    <w:rsid w:val="008D07B9"/>
    <w:rsid w:val="008D089F"/>
    <w:rsid w:val="008D14D4"/>
    <w:rsid w:val="008D1FC6"/>
    <w:rsid w:val="008D20A4"/>
    <w:rsid w:val="008D22DC"/>
    <w:rsid w:val="008D3211"/>
    <w:rsid w:val="008D3B86"/>
    <w:rsid w:val="008D4755"/>
    <w:rsid w:val="008D4BF5"/>
    <w:rsid w:val="008D4C3D"/>
    <w:rsid w:val="008D51A0"/>
    <w:rsid w:val="008D58A5"/>
    <w:rsid w:val="008D5CE1"/>
    <w:rsid w:val="008D651F"/>
    <w:rsid w:val="008D695E"/>
    <w:rsid w:val="008D6D5B"/>
    <w:rsid w:val="008D70F8"/>
    <w:rsid w:val="008D71D5"/>
    <w:rsid w:val="008D7417"/>
    <w:rsid w:val="008D743C"/>
    <w:rsid w:val="008E035C"/>
    <w:rsid w:val="008E0AF1"/>
    <w:rsid w:val="008E0C2D"/>
    <w:rsid w:val="008E0D3C"/>
    <w:rsid w:val="008E16AA"/>
    <w:rsid w:val="008E1B9E"/>
    <w:rsid w:val="008E1C56"/>
    <w:rsid w:val="008E2963"/>
    <w:rsid w:val="008E2B74"/>
    <w:rsid w:val="008E2CDC"/>
    <w:rsid w:val="008E2DAE"/>
    <w:rsid w:val="008E3E1B"/>
    <w:rsid w:val="008E3E6A"/>
    <w:rsid w:val="008E4095"/>
    <w:rsid w:val="008E42E4"/>
    <w:rsid w:val="008E497C"/>
    <w:rsid w:val="008E4989"/>
    <w:rsid w:val="008E4B02"/>
    <w:rsid w:val="008E4EA0"/>
    <w:rsid w:val="008E5246"/>
    <w:rsid w:val="008E5508"/>
    <w:rsid w:val="008E55AB"/>
    <w:rsid w:val="008E570A"/>
    <w:rsid w:val="008E5B57"/>
    <w:rsid w:val="008E5FC0"/>
    <w:rsid w:val="008E65F8"/>
    <w:rsid w:val="008E77D2"/>
    <w:rsid w:val="008E78F5"/>
    <w:rsid w:val="008E7AB7"/>
    <w:rsid w:val="008F084C"/>
    <w:rsid w:val="008F120A"/>
    <w:rsid w:val="008F1F35"/>
    <w:rsid w:val="008F20A5"/>
    <w:rsid w:val="008F22B6"/>
    <w:rsid w:val="008F27E0"/>
    <w:rsid w:val="008F28D3"/>
    <w:rsid w:val="008F2E5E"/>
    <w:rsid w:val="008F3A84"/>
    <w:rsid w:val="008F41F6"/>
    <w:rsid w:val="008F48EB"/>
    <w:rsid w:val="008F4BCB"/>
    <w:rsid w:val="008F4F0B"/>
    <w:rsid w:val="008F5030"/>
    <w:rsid w:val="008F58F7"/>
    <w:rsid w:val="008F5FFB"/>
    <w:rsid w:val="008F672B"/>
    <w:rsid w:val="008F6E15"/>
    <w:rsid w:val="008F70B9"/>
    <w:rsid w:val="008F7138"/>
    <w:rsid w:val="008F71E8"/>
    <w:rsid w:val="008F7BD0"/>
    <w:rsid w:val="0090009B"/>
    <w:rsid w:val="00900948"/>
    <w:rsid w:val="00901C7C"/>
    <w:rsid w:val="00901CDD"/>
    <w:rsid w:val="00902059"/>
    <w:rsid w:val="00902167"/>
    <w:rsid w:val="009023F5"/>
    <w:rsid w:val="00902F98"/>
    <w:rsid w:val="00902FA3"/>
    <w:rsid w:val="00903A72"/>
    <w:rsid w:val="00903AE2"/>
    <w:rsid w:val="0090462F"/>
    <w:rsid w:val="009046C4"/>
    <w:rsid w:val="00904FF2"/>
    <w:rsid w:val="00905596"/>
    <w:rsid w:val="009057BC"/>
    <w:rsid w:val="00905D79"/>
    <w:rsid w:val="00906180"/>
    <w:rsid w:val="009062A5"/>
    <w:rsid w:val="00906543"/>
    <w:rsid w:val="0090787D"/>
    <w:rsid w:val="00907AB4"/>
    <w:rsid w:val="00907AC8"/>
    <w:rsid w:val="00907CA0"/>
    <w:rsid w:val="0091010D"/>
    <w:rsid w:val="00910D64"/>
    <w:rsid w:val="00910F90"/>
    <w:rsid w:val="00910FA7"/>
    <w:rsid w:val="00911272"/>
    <w:rsid w:val="00911D8D"/>
    <w:rsid w:val="00912338"/>
    <w:rsid w:val="00912C46"/>
    <w:rsid w:val="00912CB6"/>
    <w:rsid w:val="00913021"/>
    <w:rsid w:val="009135D6"/>
    <w:rsid w:val="00913BC8"/>
    <w:rsid w:val="00913F97"/>
    <w:rsid w:val="00913FBD"/>
    <w:rsid w:val="009142C2"/>
    <w:rsid w:val="00914778"/>
    <w:rsid w:val="00914C77"/>
    <w:rsid w:val="00914D07"/>
    <w:rsid w:val="00914F56"/>
    <w:rsid w:val="00914F70"/>
    <w:rsid w:val="009155D2"/>
    <w:rsid w:val="0091655B"/>
    <w:rsid w:val="009168CF"/>
    <w:rsid w:val="00917B70"/>
    <w:rsid w:val="009200BE"/>
    <w:rsid w:val="00920449"/>
    <w:rsid w:val="00920CA2"/>
    <w:rsid w:val="00921ACB"/>
    <w:rsid w:val="00921F86"/>
    <w:rsid w:val="0092203D"/>
    <w:rsid w:val="0092276F"/>
    <w:rsid w:val="00922BB1"/>
    <w:rsid w:val="009232F8"/>
    <w:rsid w:val="0092369B"/>
    <w:rsid w:val="00924267"/>
    <w:rsid w:val="009248B1"/>
    <w:rsid w:val="00924A51"/>
    <w:rsid w:val="00924D6B"/>
    <w:rsid w:val="009253D0"/>
    <w:rsid w:val="00925C1D"/>
    <w:rsid w:val="00925E11"/>
    <w:rsid w:val="009267A3"/>
    <w:rsid w:val="00926D6B"/>
    <w:rsid w:val="009279C7"/>
    <w:rsid w:val="009301F8"/>
    <w:rsid w:val="00930744"/>
    <w:rsid w:val="00930A4D"/>
    <w:rsid w:val="00930AE9"/>
    <w:rsid w:val="00930D13"/>
    <w:rsid w:val="00932B3E"/>
    <w:rsid w:val="00932E56"/>
    <w:rsid w:val="00933202"/>
    <w:rsid w:val="009334DB"/>
    <w:rsid w:val="0093384F"/>
    <w:rsid w:val="00933A64"/>
    <w:rsid w:val="0093417B"/>
    <w:rsid w:val="009341F5"/>
    <w:rsid w:val="0093429F"/>
    <w:rsid w:val="00934640"/>
    <w:rsid w:val="00934720"/>
    <w:rsid w:val="00934988"/>
    <w:rsid w:val="00934C1C"/>
    <w:rsid w:val="00934DD8"/>
    <w:rsid w:val="0093540A"/>
    <w:rsid w:val="00935857"/>
    <w:rsid w:val="00935A5D"/>
    <w:rsid w:val="009360E4"/>
    <w:rsid w:val="009361C3"/>
    <w:rsid w:val="009362B5"/>
    <w:rsid w:val="009363DF"/>
    <w:rsid w:val="00936470"/>
    <w:rsid w:val="009365F2"/>
    <w:rsid w:val="0093698D"/>
    <w:rsid w:val="00936BF1"/>
    <w:rsid w:val="00936C5C"/>
    <w:rsid w:val="00937089"/>
    <w:rsid w:val="00937B17"/>
    <w:rsid w:val="00937E18"/>
    <w:rsid w:val="009405BA"/>
    <w:rsid w:val="00940600"/>
    <w:rsid w:val="009406ED"/>
    <w:rsid w:val="00940C91"/>
    <w:rsid w:val="00940EC3"/>
    <w:rsid w:val="009413F7"/>
    <w:rsid w:val="009417EC"/>
    <w:rsid w:val="009427BA"/>
    <w:rsid w:val="00942CF6"/>
    <w:rsid w:val="00943627"/>
    <w:rsid w:val="009448B9"/>
    <w:rsid w:val="00944F8A"/>
    <w:rsid w:val="00945163"/>
    <w:rsid w:val="009453C7"/>
    <w:rsid w:val="009453F0"/>
    <w:rsid w:val="00945EFD"/>
    <w:rsid w:val="0094641B"/>
    <w:rsid w:val="0094688A"/>
    <w:rsid w:val="00946DC9"/>
    <w:rsid w:val="00946F34"/>
    <w:rsid w:val="00947489"/>
    <w:rsid w:val="0094754E"/>
    <w:rsid w:val="00947CE9"/>
    <w:rsid w:val="00950830"/>
    <w:rsid w:val="009510A2"/>
    <w:rsid w:val="00951275"/>
    <w:rsid w:val="009516E2"/>
    <w:rsid w:val="00951D08"/>
    <w:rsid w:val="00951D45"/>
    <w:rsid w:val="00951ED0"/>
    <w:rsid w:val="0095253A"/>
    <w:rsid w:val="00952554"/>
    <w:rsid w:val="00953257"/>
    <w:rsid w:val="00953662"/>
    <w:rsid w:val="009538B2"/>
    <w:rsid w:val="0095474C"/>
    <w:rsid w:val="00955C73"/>
    <w:rsid w:val="00956129"/>
    <w:rsid w:val="0095645F"/>
    <w:rsid w:val="0095685D"/>
    <w:rsid w:val="00957464"/>
    <w:rsid w:val="00957620"/>
    <w:rsid w:val="00957871"/>
    <w:rsid w:val="00960065"/>
    <w:rsid w:val="00960198"/>
    <w:rsid w:val="0096136F"/>
    <w:rsid w:val="00961A9D"/>
    <w:rsid w:val="00962079"/>
    <w:rsid w:val="009625C3"/>
    <w:rsid w:val="00962BBF"/>
    <w:rsid w:val="00962CB9"/>
    <w:rsid w:val="00963237"/>
    <w:rsid w:val="00963407"/>
    <w:rsid w:val="009634A5"/>
    <w:rsid w:val="00963C72"/>
    <w:rsid w:val="00964312"/>
    <w:rsid w:val="00964AEC"/>
    <w:rsid w:val="0096551D"/>
    <w:rsid w:val="0096556D"/>
    <w:rsid w:val="00965A4C"/>
    <w:rsid w:val="00965B8A"/>
    <w:rsid w:val="009671E4"/>
    <w:rsid w:val="009702A6"/>
    <w:rsid w:val="0097071F"/>
    <w:rsid w:val="00970BB8"/>
    <w:rsid w:val="00970C74"/>
    <w:rsid w:val="009710E6"/>
    <w:rsid w:val="0097117A"/>
    <w:rsid w:val="00971180"/>
    <w:rsid w:val="009717AC"/>
    <w:rsid w:val="009719FE"/>
    <w:rsid w:val="009728BD"/>
    <w:rsid w:val="00972A8D"/>
    <w:rsid w:val="00973504"/>
    <w:rsid w:val="009736D6"/>
    <w:rsid w:val="00973C9D"/>
    <w:rsid w:val="009741D0"/>
    <w:rsid w:val="00974680"/>
    <w:rsid w:val="00974779"/>
    <w:rsid w:val="00974FBA"/>
    <w:rsid w:val="009751AF"/>
    <w:rsid w:val="009751C1"/>
    <w:rsid w:val="00975429"/>
    <w:rsid w:val="00975BD1"/>
    <w:rsid w:val="009760CE"/>
    <w:rsid w:val="00977246"/>
    <w:rsid w:val="00977345"/>
    <w:rsid w:val="0098000D"/>
    <w:rsid w:val="00980B9E"/>
    <w:rsid w:val="009811F1"/>
    <w:rsid w:val="0098178D"/>
    <w:rsid w:val="00981E97"/>
    <w:rsid w:val="00981EE7"/>
    <w:rsid w:val="00982C0F"/>
    <w:rsid w:val="0098325F"/>
    <w:rsid w:val="00983A83"/>
    <w:rsid w:val="00983C38"/>
    <w:rsid w:val="00983E57"/>
    <w:rsid w:val="00984902"/>
    <w:rsid w:val="00984BC1"/>
    <w:rsid w:val="009857F5"/>
    <w:rsid w:val="009859D4"/>
    <w:rsid w:val="00985CFF"/>
    <w:rsid w:val="00985D6A"/>
    <w:rsid w:val="00985DE2"/>
    <w:rsid w:val="00986193"/>
    <w:rsid w:val="0098675D"/>
    <w:rsid w:val="009872FD"/>
    <w:rsid w:val="009875B2"/>
    <w:rsid w:val="00987920"/>
    <w:rsid w:val="00987B93"/>
    <w:rsid w:val="00990473"/>
    <w:rsid w:val="0099058B"/>
    <w:rsid w:val="0099064A"/>
    <w:rsid w:val="009926E0"/>
    <w:rsid w:val="009929A2"/>
    <w:rsid w:val="00993F60"/>
    <w:rsid w:val="00994094"/>
    <w:rsid w:val="00994258"/>
    <w:rsid w:val="0099451E"/>
    <w:rsid w:val="0099480F"/>
    <w:rsid w:val="00994B61"/>
    <w:rsid w:val="0099534A"/>
    <w:rsid w:val="0099590F"/>
    <w:rsid w:val="00996898"/>
    <w:rsid w:val="00996960"/>
    <w:rsid w:val="00996B1A"/>
    <w:rsid w:val="009979C1"/>
    <w:rsid w:val="00997E2E"/>
    <w:rsid w:val="009A00DC"/>
    <w:rsid w:val="009A045C"/>
    <w:rsid w:val="009A0F29"/>
    <w:rsid w:val="009A165D"/>
    <w:rsid w:val="009A234A"/>
    <w:rsid w:val="009A2709"/>
    <w:rsid w:val="009A28E4"/>
    <w:rsid w:val="009A2A56"/>
    <w:rsid w:val="009A2DCC"/>
    <w:rsid w:val="009A2FFC"/>
    <w:rsid w:val="009A30FB"/>
    <w:rsid w:val="009A4191"/>
    <w:rsid w:val="009A506C"/>
    <w:rsid w:val="009A5216"/>
    <w:rsid w:val="009A561D"/>
    <w:rsid w:val="009A5802"/>
    <w:rsid w:val="009A59F0"/>
    <w:rsid w:val="009A5ABC"/>
    <w:rsid w:val="009A635F"/>
    <w:rsid w:val="009A677A"/>
    <w:rsid w:val="009A6799"/>
    <w:rsid w:val="009A6FCE"/>
    <w:rsid w:val="009A740F"/>
    <w:rsid w:val="009A7470"/>
    <w:rsid w:val="009A7740"/>
    <w:rsid w:val="009A7F10"/>
    <w:rsid w:val="009B02E4"/>
    <w:rsid w:val="009B04E0"/>
    <w:rsid w:val="009B08FC"/>
    <w:rsid w:val="009B0D8F"/>
    <w:rsid w:val="009B0F5F"/>
    <w:rsid w:val="009B1179"/>
    <w:rsid w:val="009B127E"/>
    <w:rsid w:val="009B2314"/>
    <w:rsid w:val="009B2499"/>
    <w:rsid w:val="009B2F2E"/>
    <w:rsid w:val="009B3140"/>
    <w:rsid w:val="009B39E4"/>
    <w:rsid w:val="009B3E26"/>
    <w:rsid w:val="009B4630"/>
    <w:rsid w:val="009B4F92"/>
    <w:rsid w:val="009B522C"/>
    <w:rsid w:val="009B56A7"/>
    <w:rsid w:val="009B69B5"/>
    <w:rsid w:val="009B6A62"/>
    <w:rsid w:val="009B75C4"/>
    <w:rsid w:val="009B77FA"/>
    <w:rsid w:val="009B79D9"/>
    <w:rsid w:val="009B7AAA"/>
    <w:rsid w:val="009B7DD2"/>
    <w:rsid w:val="009C01CB"/>
    <w:rsid w:val="009C1122"/>
    <w:rsid w:val="009C19DF"/>
    <w:rsid w:val="009C1E27"/>
    <w:rsid w:val="009C22C8"/>
    <w:rsid w:val="009C2758"/>
    <w:rsid w:val="009C2C27"/>
    <w:rsid w:val="009C3706"/>
    <w:rsid w:val="009C3A3A"/>
    <w:rsid w:val="009C3E99"/>
    <w:rsid w:val="009C3F8B"/>
    <w:rsid w:val="009C485F"/>
    <w:rsid w:val="009C4BF7"/>
    <w:rsid w:val="009C5A24"/>
    <w:rsid w:val="009C5C3F"/>
    <w:rsid w:val="009C5D73"/>
    <w:rsid w:val="009C5F62"/>
    <w:rsid w:val="009C6455"/>
    <w:rsid w:val="009C68EE"/>
    <w:rsid w:val="009C6CEA"/>
    <w:rsid w:val="009C73C2"/>
    <w:rsid w:val="009C7417"/>
    <w:rsid w:val="009C74A1"/>
    <w:rsid w:val="009C7636"/>
    <w:rsid w:val="009C7723"/>
    <w:rsid w:val="009C7B85"/>
    <w:rsid w:val="009C7BFE"/>
    <w:rsid w:val="009D00E3"/>
    <w:rsid w:val="009D0254"/>
    <w:rsid w:val="009D0404"/>
    <w:rsid w:val="009D067B"/>
    <w:rsid w:val="009D0A2A"/>
    <w:rsid w:val="009D0CAE"/>
    <w:rsid w:val="009D1A64"/>
    <w:rsid w:val="009D1D23"/>
    <w:rsid w:val="009D1EE4"/>
    <w:rsid w:val="009D2A1C"/>
    <w:rsid w:val="009D2AF3"/>
    <w:rsid w:val="009D2B04"/>
    <w:rsid w:val="009D2F98"/>
    <w:rsid w:val="009D308C"/>
    <w:rsid w:val="009D4548"/>
    <w:rsid w:val="009D5741"/>
    <w:rsid w:val="009D592B"/>
    <w:rsid w:val="009D5A53"/>
    <w:rsid w:val="009D5B91"/>
    <w:rsid w:val="009D6657"/>
    <w:rsid w:val="009D6E03"/>
    <w:rsid w:val="009D6EFB"/>
    <w:rsid w:val="009D71E3"/>
    <w:rsid w:val="009D7379"/>
    <w:rsid w:val="009D792E"/>
    <w:rsid w:val="009E016A"/>
    <w:rsid w:val="009E0DFE"/>
    <w:rsid w:val="009E173E"/>
    <w:rsid w:val="009E2407"/>
    <w:rsid w:val="009E244A"/>
    <w:rsid w:val="009E26A7"/>
    <w:rsid w:val="009E26C7"/>
    <w:rsid w:val="009E2E06"/>
    <w:rsid w:val="009E30F7"/>
    <w:rsid w:val="009E3104"/>
    <w:rsid w:val="009E31F6"/>
    <w:rsid w:val="009E31FE"/>
    <w:rsid w:val="009E34A6"/>
    <w:rsid w:val="009E3B66"/>
    <w:rsid w:val="009E457C"/>
    <w:rsid w:val="009E4C07"/>
    <w:rsid w:val="009E5550"/>
    <w:rsid w:val="009E567B"/>
    <w:rsid w:val="009E5BC7"/>
    <w:rsid w:val="009E5E57"/>
    <w:rsid w:val="009E6020"/>
    <w:rsid w:val="009E6113"/>
    <w:rsid w:val="009E723B"/>
    <w:rsid w:val="009F00A7"/>
    <w:rsid w:val="009F028A"/>
    <w:rsid w:val="009F02A6"/>
    <w:rsid w:val="009F02FF"/>
    <w:rsid w:val="009F0348"/>
    <w:rsid w:val="009F052D"/>
    <w:rsid w:val="009F0FA3"/>
    <w:rsid w:val="009F1292"/>
    <w:rsid w:val="009F1A5B"/>
    <w:rsid w:val="009F1BE0"/>
    <w:rsid w:val="009F2383"/>
    <w:rsid w:val="009F30DB"/>
    <w:rsid w:val="009F375E"/>
    <w:rsid w:val="009F37B1"/>
    <w:rsid w:val="009F4445"/>
    <w:rsid w:val="009F48F8"/>
    <w:rsid w:val="009F4C4F"/>
    <w:rsid w:val="009F4EC3"/>
    <w:rsid w:val="009F4F46"/>
    <w:rsid w:val="009F5FF3"/>
    <w:rsid w:val="009F60A7"/>
    <w:rsid w:val="009F681D"/>
    <w:rsid w:val="009F68B4"/>
    <w:rsid w:val="009F6932"/>
    <w:rsid w:val="009F6B06"/>
    <w:rsid w:val="009F6E86"/>
    <w:rsid w:val="009F7848"/>
    <w:rsid w:val="009F7C55"/>
    <w:rsid w:val="00A00A6F"/>
    <w:rsid w:val="00A00CF2"/>
    <w:rsid w:val="00A00D1E"/>
    <w:rsid w:val="00A01184"/>
    <w:rsid w:val="00A01AF8"/>
    <w:rsid w:val="00A01EBE"/>
    <w:rsid w:val="00A023B8"/>
    <w:rsid w:val="00A024C5"/>
    <w:rsid w:val="00A032E8"/>
    <w:rsid w:val="00A032FA"/>
    <w:rsid w:val="00A037C2"/>
    <w:rsid w:val="00A0380A"/>
    <w:rsid w:val="00A03D43"/>
    <w:rsid w:val="00A0420A"/>
    <w:rsid w:val="00A04380"/>
    <w:rsid w:val="00A046C4"/>
    <w:rsid w:val="00A05472"/>
    <w:rsid w:val="00A059CE"/>
    <w:rsid w:val="00A05C31"/>
    <w:rsid w:val="00A05C32"/>
    <w:rsid w:val="00A05F67"/>
    <w:rsid w:val="00A0642B"/>
    <w:rsid w:val="00A0653F"/>
    <w:rsid w:val="00A06E21"/>
    <w:rsid w:val="00A07920"/>
    <w:rsid w:val="00A10296"/>
    <w:rsid w:val="00A106FA"/>
    <w:rsid w:val="00A11290"/>
    <w:rsid w:val="00A11622"/>
    <w:rsid w:val="00A11CD0"/>
    <w:rsid w:val="00A11D9D"/>
    <w:rsid w:val="00A121D2"/>
    <w:rsid w:val="00A12386"/>
    <w:rsid w:val="00A1238F"/>
    <w:rsid w:val="00A1287F"/>
    <w:rsid w:val="00A12CB7"/>
    <w:rsid w:val="00A13104"/>
    <w:rsid w:val="00A13795"/>
    <w:rsid w:val="00A13799"/>
    <w:rsid w:val="00A13948"/>
    <w:rsid w:val="00A14194"/>
    <w:rsid w:val="00A14B45"/>
    <w:rsid w:val="00A14D33"/>
    <w:rsid w:val="00A15073"/>
    <w:rsid w:val="00A154E2"/>
    <w:rsid w:val="00A1555B"/>
    <w:rsid w:val="00A155C5"/>
    <w:rsid w:val="00A155F4"/>
    <w:rsid w:val="00A15C1A"/>
    <w:rsid w:val="00A15C4B"/>
    <w:rsid w:val="00A16AD8"/>
    <w:rsid w:val="00A17238"/>
    <w:rsid w:val="00A2049B"/>
    <w:rsid w:val="00A20537"/>
    <w:rsid w:val="00A20DDB"/>
    <w:rsid w:val="00A210F3"/>
    <w:rsid w:val="00A21141"/>
    <w:rsid w:val="00A214E3"/>
    <w:rsid w:val="00A21634"/>
    <w:rsid w:val="00A21C95"/>
    <w:rsid w:val="00A21CF3"/>
    <w:rsid w:val="00A2220E"/>
    <w:rsid w:val="00A22C97"/>
    <w:rsid w:val="00A231CF"/>
    <w:rsid w:val="00A23405"/>
    <w:rsid w:val="00A23AF6"/>
    <w:rsid w:val="00A23C4C"/>
    <w:rsid w:val="00A23CE2"/>
    <w:rsid w:val="00A23E77"/>
    <w:rsid w:val="00A247B8"/>
    <w:rsid w:val="00A24813"/>
    <w:rsid w:val="00A248A7"/>
    <w:rsid w:val="00A2492C"/>
    <w:rsid w:val="00A2497C"/>
    <w:rsid w:val="00A24A4E"/>
    <w:rsid w:val="00A2507A"/>
    <w:rsid w:val="00A26E7A"/>
    <w:rsid w:val="00A27457"/>
    <w:rsid w:val="00A27AEC"/>
    <w:rsid w:val="00A3016C"/>
    <w:rsid w:val="00A306B4"/>
    <w:rsid w:val="00A30899"/>
    <w:rsid w:val="00A30C77"/>
    <w:rsid w:val="00A30D66"/>
    <w:rsid w:val="00A30EA0"/>
    <w:rsid w:val="00A319D8"/>
    <w:rsid w:val="00A320DB"/>
    <w:rsid w:val="00A32B1C"/>
    <w:rsid w:val="00A342C0"/>
    <w:rsid w:val="00A3456B"/>
    <w:rsid w:val="00A34FA1"/>
    <w:rsid w:val="00A35A2E"/>
    <w:rsid w:val="00A35A67"/>
    <w:rsid w:val="00A35CD4"/>
    <w:rsid w:val="00A35D16"/>
    <w:rsid w:val="00A3624D"/>
    <w:rsid w:val="00A362B8"/>
    <w:rsid w:val="00A362E5"/>
    <w:rsid w:val="00A3691B"/>
    <w:rsid w:val="00A373C6"/>
    <w:rsid w:val="00A374B8"/>
    <w:rsid w:val="00A37BC4"/>
    <w:rsid w:val="00A37BCD"/>
    <w:rsid w:val="00A402D7"/>
    <w:rsid w:val="00A4065C"/>
    <w:rsid w:val="00A41689"/>
    <w:rsid w:val="00A41C74"/>
    <w:rsid w:val="00A42592"/>
    <w:rsid w:val="00A425F9"/>
    <w:rsid w:val="00A42E06"/>
    <w:rsid w:val="00A42F89"/>
    <w:rsid w:val="00A42FC6"/>
    <w:rsid w:val="00A43014"/>
    <w:rsid w:val="00A4317E"/>
    <w:rsid w:val="00A4338D"/>
    <w:rsid w:val="00A43C59"/>
    <w:rsid w:val="00A44325"/>
    <w:rsid w:val="00A444D7"/>
    <w:rsid w:val="00A44901"/>
    <w:rsid w:val="00A45484"/>
    <w:rsid w:val="00A45767"/>
    <w:rsid w:val="00A45B08"/>
    <w:rsid w:val="00A45B86"/>
    <w:rsid w:val="00A45B98"/>
    <w:rsid w:val="00A471A6"/>
    <w:rsid w:val="00A4737A"/>
    <w:rsid w:val="00A476AF"/>
    <w:rsid w:val="00A47ABF"/>
    <w:rsid w:val="00A47C31"/>
    <w:rsid w:val="00A47CCA"/>
    <w:rsid w:val="00A47E69"/>
    <w:rsid w:val="00A47E7C"/>
    <w:rsid w:val="00A5016C"/>
    <w:rsid w:val="00A502F5"/>
    <w:rsid w:val="00A50ECD"/>
    <w:rsid w:val="00A518F3"/>
    <w:rsid w:val="00A52729"/>
    <w:rsid w:val="00A52A91"/>
    <w:rsid w:val="00A5321B"/>
    <w:rsid w:val="00A53675"/>
    <w:rsid w:val="00A536C0"/>
    <w:rsid w:val="00A537D4"/>
    <w:rsid w:val="00A53954"/>
    <w:rsid w:val="00A53984"/>
    <w:rsid w:val="00A53A3C"/>
    <w:rsid w:val="00A53B04"/>
    <w:rsid w:val="00A53B8E"/>
    <w:rsid w:val="00A5499C"/>
    <w:rsid w:val="00A55243"/>
    <w:rsid w:val="00A564D7"/>
    <w:rsid w:val="00A56B6A"/>
    <w:rsid w:val="00A57014"/>
    <w:rsid w:val="00A574B1"/>
    <w:rsid w:val="00A57620"/>
    <w:rsid w:val="00A576FB"/>
    <w:rsid w:val="00A578DC"/>
    <w:rsid w:val="00A5790B"/>
    <w:rsid w:val="00A57BD7"/>
    <w:rsid w:val="00A57E3D"/>
    <w:rsid w:val="00A57ED7"/>
    <w:rsid w:val="00A6004A"/>
    <w:rsid w:val="00A60268"/>
    <w:rsid w:val="00A603F9"/>
    <w:rsid w:val="00A607C6"/>
    <w:rsid w:val="00A6089A"/>
    <w:rsid w:val="00A61303"/>
    <w:rsid w:val="00A61711"/>
    <w:rsid w:val="00A619A2"/>
    <w:rsid w:val="00A62346"/>
    <w:rsid w:val="00A62875"/>
    <w:rsid w:val="00A632BD"/>
    <w:rsid w:val="00A63492"/>
    <w:rsid w:val="00A63AD7"/>
    <w:rsid w:val="00A63F1D"/>
    <w:rsid w:val="00A64007"/>
    <w:rsid w:val="00A640E2"/>
    <w:rsid w:val="00A64424"/>
    <w:rsid w:val="00A64A94"/>
    <w:rsid w:val="00A64D65"/>
    <w:rsid w:val="00A650F4"/>
    <w:rsid w:val="00A65158"/>
    <w:rsid w:val="00A655A1"/>
    <w:rsid w:val="00A656DA"/>
    <w:rsid w:val="00A657C2"/>
    <w:rsid w:val="00A65AEA"/>
    <w:rsid w:val="00A66506"/>
    <w:rsid w:val="00A670E5"/>
    <w:rsid w:val="00A6725B"/>
    <w:rsid w:val="00A676D9"/>
    <w:rsid w:val="00A70247"/>
    <w:rsid w:val="00A70605"/>
    <w:rsid w:val="00A70A47"/>
    <w:rsid w:val="00A71DFE"/>
    <w:rsid w:val="00A7245E"/>
    <w:rsid w:val="00A72752"/>
    <w:rsid w:val="00A72EB0"/>
    <w:rsid w:val="00A73134"/>
    <w:rsid w:val="00A73409"/>
    <w:rsid w:val="00A74967"/>
    <w:rsid w:val="00A74D58"/>
    <w:rsid w:val="00A74DF1"/>
    <w:rsid w:val="00A76001"/>
    <w:rsid w:val="00A76210"/>
    <w:rsid w:val="00A76E0B"/>
    <w:rsid w:val="00A76E31"/>
    <w:rsid w:val="00A777B2"/>
    <w:rsid w:val="00A77B27"/>
    <w:rsid w:val="00A80384"/>
    <w:rsid w:val="00A8065C"/>
    <w:rsid w:val="00A80AD1"/>
    <w:rsid w:val="00A80C99"/>
    <w:rsid w:val="00A80FA5"/>
    <w:rsid w:val="00A815BA"/>
    <w:rsid w:val="00A81D43"/>
    <w:rsid w:val="00A825D4"/>
    <w:rsid w:val="00A828F6"/>
    <w:rsid w:val="00A82B73"/>
    <w:rsid w:val="00A82D17"/>
    <w:rsid w:val="00A83258"/>
    <w:rsid w:val="00A83518"/>
    <w:rsid w:val="00A83976"/>
    <w:rsid w:val="00A8490C"/>
    <w:rsid w:val="00A861B3"/>
    <w:rsid w:val="00A868AC"/>
    <w:rsid w:val="00A86BD1"/>
    <w:rsid w:val="00A86E8B"/>
    <w:rsid w:val="00A86EE5"/>
    <w:rsid w:val="00A870E8"/>
    <w:rsid w:val="00A87164"/>
    <w:rsid w:val="00A87691"/>
    <w:rsid w:val="00A87CD7"/>
    <w:rsid w:val="00A90EE1"/>
    <w:rsid w:val="00A910ED"/>
    <w:rsid w:val="00A91310"/>
    <w:rsid w:val="00A91932"/>
    <w:rsid w:val="00A91A19"/>
    <w:rsid w:val="00A91F4D"/>
    <w:rsid w:val="00A92440"/>
    <w:rsid w:val="00A924D2"/>
    <w:rsid w:val="00A92972"/>
    <w:rsid w:val="00A92975"/>
    <w:rsid w:val="00A92AAB"/>
    <w:rsid w:val="00A93072"/>
    <w:rsid w:val="00A934B8"/>
    <w:rsid w:val="00A938BD"/>
    <w:rsid w:val="00A93953"/>
    <w:rsid w:val="00A93D11"/>
    <w:rsid w:val="00A93FE7"/>
    <w:rsid w:val="00A9411F"/>
    <w:rsid w:val="00A946C4"/>
    <w:rsid w:val="00A94F29"/>
    <w:rsid w:val="00A94FCA"/>
    <w:rsid w:val="00A9516B"/>
    <w:rsid w:val="00A95492"/>
    <w:rsid w:val="00A9585C"/>
    <w:rsid w:val="00A959D8"/>
    <w:rsid w:val="00A95C40"/>
    <w:rsid w:val="00A966F8"/>
    <w:rsid w:val="00A96AA5"/>
    <w:rsid w:val="00A9746B"/>
    <w:rsid w:val="00A97581"/>
    <w:rsid w:val="00A97968"/>
    <w:rsid w:val="00A97D82"/>
    <w:rsid w:val="00AA02D7"/>
    <w:rsid w:val="00AA0A2E"/>
    <w:rsid w:val="00AA113D"/>
    <w:rsid w:val="00AA17C7"/>
    <w:rsid w:val="00AA1F71"/>
    <w:rsid w:val="00AA225F"/>
    <w:rsid w:val="00AA2269"/>
    <w:rsid w:val="00AA2489"/>
    <w:rsid w:val="00AA2F11"/>
    <w:rsid w:val="00AA4DFE"/>
    <w:rsid w:val="00AA65FD"/>
    <w:rsid w:val="00AA6BD5"/>
    <w:rsid w:val="00AA6BD8"/>
    <w:rsid w:val="00AA6C7D"/>
    <w:rsid w:val="00AA6F70"/>
    <w:rsid w:val="00AA7812"/>
    <w:rsid w:val="00AA7FD6"/>
    <w:rsid w:val="00AB042A"/>
    <w:rsid w:val="00AB06F3"/>
    <w:rsid w:val="00AB0D89"/>
    <w:rsid w:val="00AB11DB"/>
    <w:rsid w:val="00AB19EF"/>
    <w:rsid w:val="00AB1E6C"/>
    <w:rsid w:val="00AB265C"/>
    <w:rsid w:val="00AB271F"/>
    <w:rsid w:val="00AB28C9"/>
    <w:rsid w:val="00AB2933"/>
    <w:rsid w:val="00AB2B0C"/>
    <w:rsid w:val="00AB2D34"/>
    <w:rsid w:val="00AB322E"/>
    <w:rsid w:val="00AB3430"/>
    <w:rsid w:val="00AB37B9"/>
    <w:rsid w:val="00AB3D95"/>
    <w:rsid w:val="00AB3F9A"/>
    <w:rsid w:val="00AB401B"/>
    <w:rsid w:val="00AB4391"/>
    <w:rsid w:val="00AB483D"/>
    <w:rsid w:val="00AB4AD1"/>
    <w:rsid w:val="00AB4AE5"/>
    <w:rsid w:val="00AB4D44"/>
    <w:rsid w:val="00AB552E"/>
    <w:rsid w:val="00AB56E2"/>
    <w:rsid w:val="00AB5C99"/>
    <w:rsid w:val="00AB5E07"/>
    <w:rsid w:val="00AB6DF6"/>
    <w:rsid w:val="00AB6E99"/>
    <w:rsid w:val="00AB735D"/>
    <w:rsid w:val="00AB7911"/>
    <w:rsid w:val="00AB7CFA"/>
    <w:rsid w:val="00AB7DB6"/>
    <w:rsid w:val="00AB7DDD"/>
    <w:rsid w:val="00AB7EEA"/>
    <w:rsid w:val="00AC158D"/>
    <w:rsid w:val="00AC159E"/>
    <w:rsid w:val="00AC168E"/>
    <w:rsid w:val="00AC18C6"/>
    <w:rsid w:val="00AC1F0B"/>
    <w:rsid w:val="00AC2042"/>
    <w:rsid w:val="00AC209A"/>
    <w:rsid w:val="00AC2763"/>
    <w:rsid w:val="00AC2BC8"/>
    <w:rsid w:val="00AC2D45"/>
    <w:rsid w:val="00AC2E82"/>
    <w:rsid w:val="00AC3DC4"/>
    <w:rsid w:val="00AC4AD9"/>
    <w:rsid w:val="00AC4B32"/>
    <w:rsid w:val="00AC4D3C"/>
    <w:rsid w:val="00AC5B48"/>
    <w:rsid w:val="00AC651B"/>
    <w:rsid w:val="00AC6854"/>
    <w:rsid w:val="00AC6A98"/>
    <w:rsid w:val="00AC71F4"/>
    <w:rsid w:val="00AC7281"/>
    <w:rsid w:val="00AC739B"/>
    <w:rsid w:val="00AC777C"/>
    <w:rsid w:val="00AC7AB6"/>
    <w:rsid w:val="00AC7F32"/>
    <w:rsid w:val="00AD0144"/>
    <w:rsid w:val="00AD019D"/>
    <w:rsid w:val="00AD037D"/>
    <w:rsid w:val="00AD05FE"/>
    <w:rsid w:val="00AD0F42"/>
    <w:rsid w:val="00AD110A"/>
    <w:rsid w:val="00AD1450"/>
    <w:rsid w:val="00AD1AD3"/>
    <w:rsid w:val="00AD1DF0"/>
    <w:rsid w:val="00AD224A"/>
    <w:rsid w:val="00AD255D"/>
    <w:rsid w:val="00AD2985"/>
    <w:rsid w:val="00AD2D20"/>
    <w:rsid w:val="00AD3F02"/>
    <w:rsid w:val="00AD4AA8"/>
    <w:rsid w:val="00AD51BF"/>
    <w:rsid w:val="00AD5663"/>
    <w:rsid w:val="00AD56F6"/>
    <w:rsid w:val="00AD5D82"/>
    <w:rsid w:val="00AD6502"/>
    <w:rsid w:val="00AD6A67"/>
    <w:rsid w:val="00AD72B5"/>
    <w:rsid w:val="00AE00B9"/>
    <w:rsid w:val="00AE0695"/>
    <w:rsid w:val="00AE1143"/>
    <w:rsid w:val="00AE1A3A"/>
    <w:rsid w:val="00AE1C9E"/>
    <w:rsid w:val="00AE1E83"/>
    <w:rsid w:val="00AE2D50"/>
    <w:rsid w:val="00AE2FBC"/>
    <w:rsid w:val="00AE3688"/>
    <w:rsid w:val="00AE3E7E"/>
    <w:rsid w:val="00AE48FA"/>
    <w:rsid w:val="00AE4C0C"/>
    <w:rsid w:val="00AE581B"/>
    <w:rsid w:val="00AE59E1"/>
    <w:rsid w:val="00AE5B2F"/>
    <w:rsid w:val="00AE5E6B"/>
    <w:rsid w:val="00AE6044"/>
    <w:rsid w:val="00AE63BF"/>
    <w:rsid w:val="00AE68CB"/>
    <w:rsid w:val="00AE6B5A"/>
    <w:rsid w:val="00AE7551"/>
    <w:rsid w:val="00AE7604"/>
    <w:rsid w:val="00AE7680"/>
    <w:rsid w:val="00AE7914"/>
    <w:rsid w:val="00AE7AD9"/>
    <w:rsid w:val="00AE7E5B"/>
    <w:rsid w:val="00AF0BD0"/>
    <w:rsid w:val="00AF1070"/>
    <w:rsid w:val="00AF1315"/>
    <w:rsid w:val="00AF15D3"/>
    <w:rsid w:val="00AF15F6"/>
    <w:rsid w:val="00AF167D"/>
    <w:rsid w:val="00AF170C"/>
    <w:rsid w:val="00AF19BF"/>
    <w:rsid w:val="00AF1B74"/>
    <w:rsid w:val="00AF1F58"/>
    <w:rsid w:val="00AF26C2"/>
    <w:rsid w:val="00AF2DC3"/>
    <w:rsid w:val="00AF2FB7"/>
    <w:rsid w:val="00AF311C"/>
    <w:rsid w:val="00AF36C7"/>
    <w:rsid w:val="00AF3AA5"/>
    <w:rsid w:val="00AF40AC"/>
    <w:rsid w:val="00AF430D"/>
    <w:rsid w:val="00AF4C83"/>
    <w:rsid w:val="00AF4DB5"/>
    <w:rsid w:val="00AF5566"/>
    <w:rsid w:val="00AF5A24"/>
    <w:rsid w:val="00AF663F"/>
    <w:rsid w:val="00AF6A59"/>
    <w:rsid w:val="00AF6D6E"/>
    <w:rsid w:val="00AF7793"/>
    <w:rsid w:val="00AF7FEA"/>
    <w:rsid w:val="00B00B77"/>
    <w:rsid w:val="00B01154"/>
    <w:rsid w:val="00B01452"/>
    <w:rsid w:val="00B0160B"/>
    <w:rsid w:val="00B01BFA"/>
    <w:rsid w:val="00B023B2"/>
    <w:rsid w:val="00B02B55"/>
    <w:rsid w:val="00B02F4D"/>
    <w:rsid w:val="00B02FEB"/>
    <w:rsid w:val="00B033E5"/>
    <w:rsid w:val="00B03A63"/>
    <w:rsid w:val="00B04025"/>
    <w:rsid w:val="00B041C6"/>
    <w:rsid w:val="00B04E37"/>
    <w:rsid w:val="00B05AF6"/>
    <w:rsid w:val="00B05B25"/>
    <w:rsid w:val="00B05CEC"/>
    <w:rsid w:val="00B0617F"/>
    <w:rsid w:val="00B061B6"/>
    <w:rsid w:val="00B062AF"/>
    <w:rsid w:val="00B064A3"/>
    <w:rsid w:val="00B06608"/>
    <w:rsid w:val="00B0784D"/>
    <w:rsid w:val="00B07BFE"/>
    <w:rsid w:val="00B07CB6"/>
    <w:rsid w:val="00B12527"/>
    <w:rsid w:val="00B12B70"/>
    <w:rsid w:val="00B12F70"/>
    <w:rsid w:val="00B134D9"/>
    <w:rsid w:val="00B138BA"/>
    <w:rsid w:val="00B14233"/>
    <w:rsid w:val="00B15141"/>
    <w:rsid w:val="00B15193"/>
    <w:rsid w:val="00B151B0"/>
    <w:rsid w:val="00B1557A"/>
    <w:rsid w:val="00B1592B"/>
    <w:rsid w:val="00B15A3A"/>
    <w:rsid w:val="00B1668E"/>
    <w:rsid w:val="00B16CD3"/>
    <w:rsid w:val="00B175B7"/>
    <w:rsid w:val="00B1792D"/>
    <w:rsid w:val="00B201A4"/>
    <w:rsid w:val="00B201D1"/>
    <w:rsid w:val="00B20528"/>
    <w:rsid w:val="00B213A6"/>
    <w:rsid w:val="00B213FB"/>
    <w:rsid w:val="00B21D9E"/>
    <w:rsid w:val="00B21E70"/>
    <w:rsid w:val="00B2241E"/>
    <w:rsid w:val="00B22F05"/>
    <w:rsid w:val="00B234EC"/>
    <w:rsid w:val="00B235B0"/>
    <w:rsid w:val="00B235F5"/>
    <w:rsid w:val="00B237A4"/>
    <w:rsid w:val="00B23980"/>
    <w:rsid w:val="00B23F20"/>
    <w:rsid w:val="00B23F2F"/>
    <w:rsid w:val="00B240C6"/>
    <w:rsid w:val="00B24276"/>
    <w:rsid w:val="00B2443B"/>
    <w:rsid w:val="00B24901"/>
    <w:rsid w:val="00B24B69"/>
    <w:rsid w:val="00B24DBD"/>
    <w:rsid w:val="00B24DF6"/>
    <w:rsid w:val="00B24F8E"/>
    <w:rsid w:val="00B24F93"/>
    <w:rsid w:val="00B25CD7"/>
    <w:rsid w:val="00B25F8C"/>
    <w:rsid w:val="00B26966"/>
    <w:rsid w:val="00B26BA5"/>
    <w:rsid w:val="00B26DA8"/>
    <w:rsid w:val="00B27569"/>
    <w:rsid w:val="00B304BF"/>
    <w:rsid w:val="00B3051C"/>
    <w:rsid w:val="00B30993"/>
    <w:rsid w:val="00B30B34"/>
    <w:rsid w:val="00B31262"/>
    <w:rsid w:val="00B31FE6"/>
    <w:rsid w:val="00B320D9"/>
    <w:rsid w:val="00B32267"/>
    <w:rsid w:val="00B323AA"/>
    <w:rsid w:val="00B3240D"/>
    <w:rsid w:val="00B32BB3"/>
    <w:rsid w:val="00B349F1"/>
    <w:rsid w:val="00B34FAF"/>
    <w:rsid w:val="00B34FE2"/>
    <w:rsid w:val="00B35166"/>
    <w:rsid w:val="00B357D8"/>
    <w:rsid w:val="00B360F4"/>
    <w:rsid w:val="00B36A00"/>
    <w:rsid w:val="00B36CDC"/>
    <w:rsid w:val="00B36FF0"/>
    <w:rsid w:val="00B373E9"/>
    <w:rsid w:val="00B37B69"/>
    <w:rsid w:val="00B37BFC"/>
    <w:rsid w:val="00B40318"/>
    <w:rsid w:val="00B40358"/>
    <w:rsid w:val="00B40F42"/>
    <w:rsid w:val="00B413C7"/>
    <w:rsid w:val="00B415E0"/>
    <w:rsid w:val="00B41614"/>
    <w:rsid w:val="00B419AF"/>
    <w:rsid w:val="00B41CDE"/>
    <w:rsid w:val="00B41F62"/>
    <w:rsid w:val="00B42570"/>
    <w:rsid w:val="00B426D9"/>
    <w:rsid w:val="00B42755"/>
    <w:rsid w:val="00B42851"/>
    <w:rsid w:val="00B42F80"/>
    <w:rsid w:val="00B435CB"/>
    <w:rsid w:val="00B43AD6"/>
    <w:rsid w:val="00B43D84"/>
    <w:rsid w:val="00B43FAB"/>
    <w:rsid w:val="00B43FBE"/>
    <w:rsid w:val="00B44197"/>
    <w:rsid w:val="00B453EA"/>
    <w:rsid w:val="00B458CB"/>
    <w:rsid w:val="00B45E82"/>
    <w:rsid w:val="00B45EDD"/>
    <w:rsid w:val="00B45FD1"/>
    <w:rsid w:val="00B465EF"/>
    <w:rsid w:val="00B46B8B"/>
    <w:rsid w:val="00B46D29"/>
    <w:rsid w:val="00B46DC5"/>
    <w:rsid w:val="00B46EC8"/>
    <w:rsid w:val="00B479FA"/>
    <w:rsid w:val="00B47AA2"/>
    <w:rsid w:val="00B47D97"/>
    <w:rsid w:val="00B505C8"/>
    <w:rsid w:val="00B50BAC"/>
    <w:rsid w:val="00B50C75"/>
    <w:rsid w:val="00B50DB8"/>
    <w:rsid w:val="00B51515"/>
    <w:rsid w:val="00B51E01"/>
    <w:rsid w:val="00B52564"/>
    <w:rsid w:val="00B52851"/>
    <w:rsid w:val="00B53654"/>
    <w:rsid w:val="00B536A7"/>
    <w:rsid w:val="00B536C4"/>
    <w:rsid w:val="00B53905"/>
    <w:rsid w:val="00B53A91"/>
    <w:rsid w:val="00B53AAB"/>
    <w:rsid w:val="00B53CF4"/>
    <w:rsid w:val="00B54686"/>
    <w:rsid w:val="00B54937"/>
    <w:rsid w:val="00B54B5B"/>
    <w:rsid w:val="00B55616"/>
    <w:rsid w:val="00B5562E"/>
    <w:rsid w:val="00B5572C"/>
    <w:rsid w:val="00B55A5B"/>
    <w:rsid w:val="00B55D65"/>
    <w:rsid w:val="00B55EBF"/>
    <w:rsid w:val="00B55F65"/>
    <w:rsid w:val="00B57000"/>
    <w:rsid w:val="00B57766"/>
    <w:rsid w:val="00B57F4B"/>
    <w:rsid w:val="00B6024F"/>
    <w:rsid w:val="00B60939"/>
    <w:rsid w:val="00B60A6C"/>
    <w:rsid w:val="00B60AFD"/>
    <w:rsid w:val="00B61C58"/>
    <w:rsid w:val="00B62652"/>
    <w:rsid w:val="00B62715"/>
    <w:rsid w:val="00B627A1"/>
    <w:rsid w:val="00B62D7E"/>
    <w:rsid w:val="00B62E5D"/>
    <w:rsid w:val="00B64049"/>
    <w:rsid w:val="00B64479"/>
    <w:rsid w:val="00B64F77"/>
    <w:rsid w:val="00B6508E"/>
    <w:rsid w:val="00B65611"/>
    <w:rsid w:val="00B6597A"/>
    <w:rsid w:val="00B65DD2"/>
    <w:rsid w:val="00B66759"/>
    <w:rsid w:val="00B667FD"/>
    <w:rsid w:val="00B66980"/>
    <w:rsid w:val="00B669B7"/>
    <w:rsid w:val="00B66D18"/>
    <w:rsid w:val="00B67003"/>
    <w:rsid w:val="00B67EA3"/>
    <w:rsid w:val="00B70462"/>
    <w:rsid w:val="00B704F7"/>
    <w:rsid w:val="00B70D9A"/>
    <w:rsid w:val="00B70E8E"/>
    <w:rsid w:val="00B70EB7"/>
    <w:rsid w:val="00B71448"/>
    <w:rsid w:val="00B71BD7"/>
    <w:rsid w:val="00B71E71"/>
    <w:rsid w:val="00B721C4"/>
    <w:rsid w:val="00B7300E"/>
    <w:rsid w:val="00B73083"/>
    <w:rsid w:val="00B7320A"/>
    <w:rsid w:val="00B73A89"/>
    <w:rsid w:val="00B73B16"/>
    <w:rsid w:val="00B73CF7"/>
    <w:rsid w:val="00B743E8"/>
    <w:rsid w:val="00B7479C"/>
    <w:rsid w:val="00B74C79"/>
    <w:rsid w:val="00B7513C"/>
    <w:rsid w:val="00B751B1"/>
    <w:rsid w:val="00B752F4"/>
    <w:rsid w:val="00B75E4C"/>
    <w:rsid w:val="00B7618E"/>
    <w:rsid w:val="00B76513"/>
    <w:rsid w:val="00B76C92"/>
    <w:rsid w:val="00B775B9"/>
    <w:rsid w:val="00B77D39"/>
    <w:rsid w:val="00B8008B"/>
    <w:rsid w:val="00B80561"/>
    <w:rsid w:val="00B80611"/>
    <w:rsid w:val="00B8123E"/>
    <w:rsid w:val="00B81345"/>
    <w:rsid w:val="00B818A4"/>
    <w:rsid w:val="00B81F9C"/>
    <w:rsid w:val="00B82EF9"/>
    <w:rsid w:val="00B83BC5"/>
    <w:rsid w:val="00B83DDE"/>
    <w:rsid w:val="00B83E04"/>
    <w:rsid w:val="00B84117"/>
    <w:rsid w:val="00B8441F"/>
    <w:rsid w:val="00B8455A"/>
    <w:rsid w:val="00B85516"/>
    <w:rsid w:val="00B858F0"/>
    <w:rsid w:val="00B85AA2"/>
    <w:rsid w:val="00B85CD9"/>
    <w:rsid w:val="00B85DA4"/>
    <w:rsid w:val="00B85DE4"/>
    <w:rsid w:val="00B85FB5"/>
    <w:rsid w:val="00B8649C"/>
    <w:rsid w:val="00B865AA"/>
    <w:rsid w:val="00B8695D"/>
    <w:rsid w:val="00B86ED9"/>
    <w:rsid w:val="00B8779E"/>
    <w:rsid w:val="00B87F0A"/>
    <w:rsid w:val="00B900A1"/>
    <w:rsid w:val="00B9020F"/>
    <w:rsid w:val="00B90A18"/>
    <w:rsid w:val="00B90BB3"/>
    <w:rsid w:val="00B90F29"/>
    <w:rsid w:val="00B91428"/>
    <w:rsid w:val="00B91B0D"/>
    <w:rsid w:val="00B92041"/>
    <w:rsid w:val="00B926C1"/>
    <w:rsid w:val="00B92CC6"/>
    <w:rsid w:val="00B92D0B"/>
    <w:rsid w:val="00B93331"/>
    <w:rsid w:val="00B933AB"/>
    <w:rsid w:val="00B9391D"/>
    <w:rsid w:val="00B93C17"/>
    <w:rsid w:val="00B93C1D"/>
    <w:rsid w:val="00B93CF0"/>
    <w:rsid w:val="00B94085"/>
    <w:rsid w:val="00B941A5"/>
    <w:rsid w:val="00B94402"/>
    <w:rsid w:val="00B94909"/>
    <w:rsid w:val="00B94945"/>
    <w:rsid w:val="00B94DD6"/>
    <w:rsid w:val="00B95101"/>
    <w:rsid w:val="00B959F0"/>
    <w:rsid w:val="00B95A6B"/>
    <w:rsid w:val="00B95EA7"/>
    <w:rsid w:val="00B97523"/>
    <w:rsid w:val="00B976A7"/>
    <w:rsid w:val="00B976C0"/>
    <w:rsid w:val="00B976E5"/>
    <w:rsid w:val="00B97768"/>
    <w:rsid w:val="00B97A4E"/>
    <w:rsid w:val="00B97BEB"/>
    <w:rsid w:val="00BA0582"/>
    <w:rsid w:val="00BA1672"/>
    <w:rsid w:val="00BA2246"/>
    <w:rsid w:val="00BA2812"/>
    <w:rsid w:val="00BA2892"/>
    <w:rsid w:val="00BA2A42"/>
    <w:rsid w:val="00BA2D6F"/>
    <w:rsid w:val="00BA322D"/>
    <w:rsid w:val="00BA3997"/>
    <w:rsid w:val="00BA3AD8"/>
    <w:rsid w:val="00BA40B5"/>
    <w:rsid w:val="00BA490D"/>
    <w:rsid w:val="00BA56AD"/>
    <w:rsid w:val="00BA623E"/>
    <w:rsid w:val="00BA63FA"/>
    <w:rsid w:val="00BA673F"/>
    <w:rsid w:val="00BA680A"/>
    <w:rsid w:val="00BA6C52"/>
    <w:rsid w:val="00BA6ECE"/>
    <w:rsid w:val="00BA7804"/>
    <w:rsid w:val="00BA7AAC"/>
    <w:rsid w:val="00BB00B3"/>
    <w:rsid w:val="00BB0BDD"/>
    <w:rsid w:val="00BB0E1A"/>
    <w:rsid w:val="00BB0E5B"/>
    <w:rsid w:val="00BB0F9D"/>
    <w:rsid w:val="00BB0FC0"/>
    <w:rsid w:val="00BB176C"/>
    <w:rsid w:val="00BB193F"/>
    <w:rsid w:val="00BB1C92"/>
    <w:rsid w:val="00BB1E80"/>
    <w:rsid w:val="00BB2A73"/>
    <w:rsid w:val="00BB3109"/>
    <w:rsid w:val="00BB3274"/>
    <w:rsid w:val="00BB32A1"/>
    <w:rsid w:val="00BB3A45"/>
    <w:rsid w:val="00BB3CF3"/>
    <w:rsid w:val="00BB439D"/>
    <w:rsid w:val="00BB4795"/>
    <w:rsid w:val="00BB4ACC"/>
    <w:rsid w:val="00BB4E26"/>
    <w:rsid w:val="00BB5381"/>
    <w:rsid w:val="00BB64B0"/>
    <w:rsid w:val="00BB65A3"/>
    <w:rsid w:val="00BB6BDF"/>
    <w:rsid w:val="00BB6F00"/>
    <w:rsid w:val="00BB703E"/>
    <w:rsid w:val="00BB732D"/>
    <w:rsid w:val="00BB7405"/>
    <w:rsid w:val="00BB7AF9"/>
    <w:rsid w:val="00BC026B"/>
    <w:rsid w:val="00BC098B"/>
    <w:rsid w:val="00BC12B3"/>
    <w:rsid w:val="00BC1426"/>
    <w:rsid w:val="00BC20E1"/>
    <w:rsid w:val="00BC24BF"/>
    <w:rsid w:val="00BC2A5B"/>
    <w:rsid w:val="00BC2D87"/>
    <w:rsid w:val="00BC302D"/>
    <w:rsid w:val="00BC33AC"/>
    <w:rsid w:val="00BC3631"/>
    <w:rsid w:val="00BC3712"/>
    <w:rsid w:val="00BC3E06"/>
    <w:rsid w:val="00BC40E5"/>
    <w:rsid w:val="00BC4476"/>
    <w:rsid w:val="00BC44F2"/>
    <w:rsid w:val="00BC4B28"/>
    <w:rsid w:val="00BC4DA8"/>
    <w:rsid w:val="00BC5888"/>
    <w:rsid w:val="00BC591F"/>
    <w:rsid w:val="00BC5D24"/>
    <w:rsid w:val="00BC6106"/>
    <w:rsid w:val="00BC631F"/>
    <w:rsid w:val="00BC6CE7"/>
    <w:rsid w:val="00BC6E30"/>
    <w:rsid w:val="00BC7048"/>
    <w:rsid w:val="00BC7D6D"/>
    <w:rsid w:val="00BD0AC0"/>
    <w:rsid w:val="00BD126C"/>
    <w:rsid w:val="00BD1802"/>
    <w:rsid w:val="00BD1F57"/>
    <w:rsid w:val="00BD20C4"/>
    <w:rsid w:val="00BD2108"/>
    <w:rsid w:val="00BD2254"/>
    <w:rsid w:val="00BD228A"/>
    <w:rsid w:val="00BD2326"/>
    <w:rsid w:val="00BD2706"/>
    <w:rsid w:val="00BD2EE4"/>
    <w:rsid w:val="00BD2F13"/>
    <w:rsid w:val="00BD30F3"/>
    <w:rsid w:val="00BD32A0"/>
    <w:rsid w:val="00BD38ED"/>
    <w:rsid w:val="00BD3A9D"/>
    <w:rsid w:val="00BD4615"/>
    <w:rsid w:val="00BD49B9"/>
    <w:rsid w:val="00BD5901"/>
    <w:rsid w:val="00BD5F6B"/>
    <w:rsid w:val="00BD621D"/>
    <w:rsid w:val="00BD68A3"/>
    <w:rsid w:val="00BD6938"/>
    <w:rsid w:val="00BD6CF3"/>
    <w:rsid w:val="00BD70F1"/>
    <w:rsid w:val="00BD7157"/>
    <w:rsid w:val="00BD76EC"/>
    <w:rsid w:val="00BD7B1B"/>
    <w:rsid w:val="00BE05B2"/>
    <w:rsid w:val="00BE0675"/>
    <w:rsid w:val="00BE0A4D"/>
    <w:rsid w:val="00BE0C62"/>
    <w:rsid w:val="00BE0CA3"/>
    <w:rsid w:val="00BE0CF3"/>
    <w:rsid w:val="00BE0ECA"/>
    <w:rsid w:val="00BE106B"/>
    <w:rsid w:val="00BE151E"/>
    <w:rsid w:val="00BE1612"/>
    <w:rsid w:val="00BE175E"/>
    <w:rsid w:val="00BE18F4"/>
    <w:rsid w:val="00BE20B0"/>
    <w:rsid w:val="00BE2180"/>
    <w:rsid w:val="00BE21F2"/>
    <w:rsid w:val="00BE255A"/>
    <w:rsid w:val="00BE2C16"/>
    <w:rsid w:val="00BE31BE"/>
    <w:rsid w:val="00BE3887"/>
    <w:rsid w:val="00BE4275"/>
    <w:rsid w:val="00BE4375"/>
    <w:rsid w:val="00BE4DF5"/>
    <w:rsid w:val="00BE4ECE"/>
    <w:rsid w:val="00BE5430"/>
    <w:rsid w:val="00BE5A5F"/>
    <w:rsid w:val="00BE66C5"/>
    <w:rsid w:val="00BE6772"/>
    <w:rsid w:val="00BE6BC1"/>
    <w:rsid w:val="00BE7033"/>
    <w:rsid w:val="00BE7042"/>
    <w:rsid w:val="00BE75B0"/>
    <w:rsid w:val="00BE7992"/>
    <w:rsid w:val="00BF06AE"/>
    <w:rsid w:val="00BF0974"/>
    <w:rsid w:val="00BF0F95"/>
    <w:rsid w:val="00BF155C"/>
    <w:rsid w:val="00BF1D39"/>
    <w:rsid w:val="00BF2178"/>
    <w:rsid w:val="00BF2433"/>
    <w:rsid w:val="00BF27B5"/>
    <w:rsid w:val="00BF4791"/>
    <w:rsid w:val="00BF4C3B"/>
    <w:rsid w:val="00BF4CB3"/>
    <w:rsid w:val="00BF4DCF"/>
    <w:rsid w:val="00BF506F"/>
    <w:rsid w:val="00BF57B0"/>
    <w:rsid w:val="00BF5B90"/>
    <w:rsid w:val="00BF5CA3"/>
    <w:rsid w:val="00BF61C9"/>
    <w:rsid w:val="00BF64CF"/>
    <w:rsid w:val="00BF6600"/>
    <w:rsid w:val="00BF67A4"/>
    <w:rsid w:val="00BF6C94"/>
    <w:rsid w:val="00BF76EE"/>
    <w:rsid w:val="00BF7718"/>
    <w:rsid w:val="00BF7928"/>
    <w:rsid w:val="00BF7A0E"/>
    <w:rsid w:val="00BF7E59"/>
    <w:rsid w:val="00BF7ED1"/>
    <w:rsid w:val="00BF7EE4"/>
    <w:rsid w:val="00BF7F6C"/>
    <w:rsid w:val="00C00213"/>
    <w:rsid w:val="00C00424"/>
    <w:rsid w:val="00C00A2E"/>
    <w:rsid w:val="00C00EFD"/>
    <w:rsid w:val="00C0167B"/>
    <w:rsid w:val="00C02197"/>
    <w:rsid w:val="00C02AE4"/>
    <w:rsid w:val="00C02DBD"/>
    <w:rsid w:val="00C0323C"/>
    <w:rsid w:val="00C035E6"/>
    <w:rsid w:val="00C0391A"/>
    <w:rsid w:val="00C039FB"/>
    <w:rsid w:val="00C0478A"/>
    <w:rsid w:val="00C04B08"/>
    <w:rsid w:val="00C05BBF"/>
    <w:rsid w:val="00C05EAC"/>
    <w:rsid w:val="00C05F5E"/>
    <w:rsid w:val="00C06AD3"/>
    <w:rsid w:val="00C06B41"/>
    <w:rsid w:val="00C072F7"/>
    <w:rsid w:val="00C07301"/>
    <w:rsid w:val="00C076EE"/>
    <w:rsid w:val="00C07CCF"/>
    <w:rsid w:val="00C101D5"/>
    <w:rsid w:val="00C1039D"/>
    <w:rsid w:val="00C10423"/>
    <w:rsid w:val="00C10577"/>
    <w:rsid w:val="00C10860"/>
    <w:rsid w:val="00C10D7D"/>
    <w:rsid w:val="00C1127F"/>
    <w:rsid w:val="00C116EE"/>
    <w:rsid w:val="00C1179F"/>
    <w:rsid w:val="00C11A95"/>
    <w:rsid w:val="00C126EF"/>
    <w:rsid w:val="00C12C14"/>
    <w:rsid w:val="00C12F5A"/>
    <w:rsid w:val="00C131C4"/>
    <w:rsid w:val="00C1365D"/>
    <w:rsid w:val="00C1371A"/>
    <w:rsid w:val="00C1373A"/>
    <w:rsid w:val="00C1375A"/>
    <w:rsid w:val="00C1390E"/>
    <w:rsid w:val="00C1411C"/>
    <w:rsid w:val="00C14C45"/>
    <w:rsid w:val="00C15709"/>
    <w:rsid w:val="00C157A4"/>
    <w:rsid w:val="00C15852"/>
    <w:rsid w:val="00C15F04"/>
    <w:rsid w:val="00C15FF0"/>
    <w:rsid w:val="00C161DF"/>
    <w:rsid w:val="00C165E2"/>
    <w:rsid w:val="00C167E9"/>
    <w:rsid w:val="00C179B3"/>
    <w:rsid w:val="00C17E3F"/>
    <w:rsid w:val="00C200AA"/>
    <w:rsid w:val="00C204DF"/>
    <w:rsid w:val="00C21BCC"/>
    <w:rsid w:val="00C21E9C"/>
    <w:rsid w:val="00C22022"/>
    <w:rsid w:val="00C2251D"/>
    <w:rsid w:val="00C22826"/>
    <w:rsid w:val="00C229B7"/>
    <w:rsid w:val="00C22CEE"/>
    <w:rsid w:val="00C237ED"/>
    <w:rsid w:val="00C24281"/>
    <w:rsid w:val="00C2430A"/>
    <w:rsid w:val="00C24632"/>
    <w:rsid w:val="00C24D71"/>
    <w:rsid w:val="00C2515A"/>
    <w:rsid w:val="00C252AC"/>
    <w:rsid w:val="00C253C3"/>
    <w:rsid w:val="00C25418"/>
    <w:rsid w:val="00C25D9C"/>
    <w:rsid w:val="00C260A1"/>
    <w:rsid w:val="00C26480"/>
    <w:rsid w:val="00C266F5"/>
    <w:rsid w:val="00C267AE"/>
    <w:rsid w:val="00C2705B"/>
    <w:rsid w:val="00C27481"/>
    <w:rsid w:val="00C2778B"/>
    <w:rsid w:val="00C2787E"/>
    <w:rsid w:val="00C27975"/>
    <w:rsid w:val="00C3071E"/>
    <w:rsid w:val="00C30F98"/>
    <w:rsid w:val="00C314A4"/>
    <w:rsid w:val="00C31649"/>
    <w:rsid w:val="00C31875"/>
    <w:rsid w:val="00C322BE"/>
    <w:rsid w:val="00C32DF0"/>
    <w:rsid w:val="00C32E35"/>
    <w:rsid w:val="00C332A5"/>
    <w:rsid w:val="00C3389F"/>
    <w:rsid w:val="00C3407A"/>
    <w:rsid w:val="00C3434C"/>
    <w:rsid w:val="00C347A7"/>
    <w:rsid w:val="00C34E9F"/>
    <w:rsid w:val="00C35572"/>
    <w:rsid w:val="00C35AEE"/>
    <w:rsid w:val="00C35DC9"/>
    <w:rsid w:val="00C360BD"/>
    <w:rsid w:val="00C36469"/>
    <w:rsid w:val="00C3668E"/>
    <w:rsid w:val="00C36740"/>
    <w:rsid w:val="00C3687D"/>
    <w:rsid w:val="00C36C20"/>
    <w:rsid w:val="00C36DC0"/>
    <w:rsid w:val="00C3778E"/>
    <w:rsid w:val="00C37E55"/>
    <w:rsid w:val="00C4032A"/>
    <w:rsid w:val="00C40385"/>
    <w:rsid w:val="00C40B31"/>
    <w:rsid w:val="00C40FF7"/>
    <w:rsid w:val="00C410D9"/>
    <w:rsid w:val="00C411A5"/>
    <w:rsid w:val="00C41768"/>
    <w:rsid w:val="00C4189C"/>
    <w:rsid w:val="00C41AA6"/>
    <w:rsid w:val="00C41ADB"/>
    <w:rsid w:val="00C41DA1"/>
    <w:rsid w:val="00C41E03"/>
    <w:rsid w:val="00C425E9"/>
    <w:rsid w:val="00C42CDF"/>
    <w:rsid w:val="00C42D8F"/>
    <w:rsid w:val="00C43524"/>
    <w:rsid w:val="00C436F8"/>
    <w:rsid w:val="00C43A67"/>
    <w:rsid w:val="00C44185"/>
    <w:rsid w:val="00C44874"/>
    <w:rsid w:val="00C45126"/>
    <w:rsid w:val="00C45A66"/>
    <w:rsid w:val="00C45FAF"/>
    <w:rsid w:val="00C46023"/>
    <w:rsid w:val="00C46284"/>
    <w:rsid w:val="00C4660C"/>
    <w:rsid w:val="00C467A1"/>
    <w:rsid w:val="00C470B5"/>
    <w:rsid w:val="00C475AA"/>
    <w:rsid w:val="00C47967"/>
    <w:rsid w:val="00C47AD4"/>
    <w:rsid w:val="00C507C6"/>
    <w:rsid w:val="00C50C31"/>
    <w:rsid w:val="00C5156E"/>
    <w:rsid w:val="00C515D8"/>
    <w:rsid w:val="00C5168D"/>
    <w:rsid w:val="00C51CE4"/>
    <w:rsid w:val="00C5283E"/>
    <w:rsid w:val="00C52B3C"/>
    <w:rsid w:val="00C52FD6"/>
    <w:rsid w:val="00C53041"/>
    <w:rsid w:val="00C536AB"/>
    <w:rsid w:val="00C53C52"/>
    <w:rsid w:val="00C53C98"/>
    <w:rsid w:val="00C53F5C"/>
    <w:rsid w:val="00C54530"/>
    <w:rsid w:val="00C54B46"/>
    <w:rsid w:val="00C556C7"/>
    <w:rsid w:val="00C56BF6"/>
    <w:rsid w:val="00C56CE6"/>
    <w:rsid w:val="00C56CE8"/>
    <w:rsid w:val="00C56F63"/>
    <w:rsid w:val="00C56FCF"/>
    <w:rsid w:val="00C57B6C"/>
    <w:rsid w:val="00C57D70"/>
    <w:rsid w:val="00C600B0"/>
    <w:rsid w:val="00C607CA"/>
    <w:rsid w:val="00C6198A"/>
    <w:rsid w:val="00C628A6"/>
    <w:rsid w:val="00C630B4"/>
    <w:rsid w:val="00C6344B"/>
    <w:rsid w:val="00C634EF"/>
    <w:rsid w:val="00C6377A"/>
    <w:rsid w:val="00C637CA"/>
    <w:rsid w:val="00C6388B"/>
    <w:rsid w:val="00C63CAC"/>
    <w:rsid w:val="00C640AC"/>
    <w:rsid w:val="00C64344"/>
    <w:rsid w:val="00C64362"/>
    <w:rsid w:val="00C644E5"/>
    <w:rsid w:val="00C6461B"/>
    <w:rsid w:val="00C64A37"/>
    <w:rsid w:val="00C64C7A"/>
    <w:rsid w:val="00C64D78"/>
    <w:rsid w:val="00C64E32"/>
    <w:rsid w:val="00C65108"/>
    <w:rsid w:val="00C65187"/>
    <w:rsid w:val="00C6543F"/>
    <w:rsid w:val="00C65505"/>
    <w:rsid w:val="00C65576"/>
    <w:rsid w:val="00C657F6"/>
    <w:rsid w:val="00C65FFE"/>
    <w:rsid w:val="00C6606D"/>
    <w:rsid w:val="00C66165"/>
    <w:rsid w:val="00C669FE"/>
    <w:rsid w:val="00C66BBA"/>
    <w:rsid w:val="00C6799D"/>
    <w:rsid w:val="00C67A7A"/>
    <w:rsid w:val="00C7011E"/>
    <w:rsid w:val="00C70459"/>
    <w:rsid w:val="00C7060A"/>
    <w:rsid w:val="00C7074F"/>
    <w:rsid w:val="00C711A9"/>
    <w:rsid w:val="00C7151A"/>
    <w:rsid w:val="00C7158D"/>
    <w:rsid w:val="00C71610"/>
    <w:rsid w:val="00C717E3"/>
    <w:rsid w:val="00C71809"/>
    <w:rsid w:val="00C719E0"/>
    <w:rsid w:val="00C71F60"/>
    <w:rsid w:val="00C721AC"/>
    <w:rsid w:val="00C7220E"/>
    <w:rsid w:val="00C72241"/>
    <w:rsid w:val="00C73762"/>
    <w:rsid w:val="00C739C7"/>
    <w:rsid w:val="00C73A8D"/>
    <w:rsid w:val="00C750C8"/>
    <w:rsid w:val="00C7560F"/>
    <w:rsid w:val="00C75EB6"/>
    <w:rsid w:val="00C762E4"/>
    <w:rsid w:val="00C76524"/>
    <w:rsid w:val="00C76744"/>
    <w:rsid w:val="00C76A0C"/>
    <w:rsid w:val="00C7711C"/>
    <w:rsid w:val="00C77245"/>
    <w:rsid w:val="00C8000B"/>
    <w:rsid w:val="00C803C7"/>
    <w:rsid w:val="00C80A0E"/>
    <w:rsid w:val="00C813A0"/>
    <w:rsid w:val="00C81C5F"/>
    <w:rsid w:val="00C8201E"/>
    <w:rsid w:val="00C8213F"/>
    <w:rsid w:val="00C828F8"/>
    <w:rsid w:val="00C82913"/>
    <w:rsid w:val="00C82EB6"/>
    <w:rsid w:val="00C83701"/>
    <w:rsid w:val="00C83D25"/>
    <w:rsid w:val="00C84998"/>
    <w:rsid w:val="00C84D81"/>
    <w:rsid w:val="00C85154"/>
    <w:rsid w:val="00C851E7"/>
    <w:rsid w:val="00C8578F"/>
    <w:rsid w:val="00C85B22"/>
    <w:rsid w:val="00C86115"/>
    <w:rsid w:val="00C86572"/>
    <w:rsid w:val="00C86A2A"/>
    <w:rsid w:val="00C86D6E"/>
    <w:rsid w:val="00C87290"/>
    <w:rsid w:val="00C87392"/>
    <w:rsid w:val="00C8797A"/>
    <w:rsid w:val="00C87E10"/>
    <w:rsid w:val="00C900B8"/>
    <w:rsid w:val="00C90957"/>
    <w:rsid w:val="00C90C71"/>
    <w:rsid w:val="00C914F6"/>
    <w:rsid w:val="00C917D5"/>
    <w:rsid w:val="00C91E49"/>
    <w:rsid w:val="00C91FD1"/>
    <w:rsid w:val="00C92BD8"/>
    <w:rsid w:val="00C92D5D"/>
    <w:rsid w:val="00C92DF2"/>
    <w:rsid w:val="00C92FF9"/>
    <w:rsid w:val="00C931CF"/>
    <w:rsid w:val="00C93528"/>
    <w:rsid w:val="00C938CF"/>
    <w:rsid w:val="00C93AEA"/>
    <w:rsid w:val="00C94053"/>
    <w:rsid w:val="00C941AA"/>
    <w:rsid w:val="00C94AF2"/>
    <w:rsid w:val="00C952D3"/>
    <w:rsid w:val="00C957D4"/>
    <w:rsid w:val="00C95934"/>
    <w:rsid w:val="00C95E78"/>
    <w:rsid w:val="00C961B0"/>
    <w:rsid w:val="00C9624D"/>
    <w:rsid w:val="00C963F1"/>
    <w:rsid w:val="00C969DA"/>
    <w:rsid w:val="00C97C7C"/>
    <w:rsid w:val="00CA0457"/>
    <w:rsid w:val="00CA05DD"/>
    <w:rsid w:val="00CA0613"/>
    <w:rsid w:val="00CA0E4C"/>
    <w:rsid w:val="00CA176B"/>
    <w:rsid w:val="00CA17A0"/>
    <w:rsid w:val="00CA1E92"/>
    <w:rsid w:val="00CA2177"/>
    <w:rsid w:val="00CA230C"/>
    <w:rsid w:val="00CA26D7"/>
    <w:rsid w:val="00CA2734"/>
    <w:rsid w:val="00CA2BE0"/>
    <w:rsid w:val="00CA2C77"/>
    <w:rsid w:val="00CA2DD6"/>
    <w:rsid w:val="00CA311C"/>
    <w:rsid w:val="00CA3296"/>
    <w:rsid w:val="00CA3562"/>
    <w:rsid w:val="00CA37CF"/>
    <w:rsid w:val="00CA3868"/>
    <w:rsid w:val="00CA3BEA"/>
    <w:rsid w:val="00CA444F"/>
    <w:rsid w:val="00CA452F"/>
    <w:rsid w:val="00CA4E53"/>
    <w:rsid w:val="00CA5245"/>
    <w:rsid w:val="00CA5DBE"/>
    <w:rsid w:val="00CA6060"/>
    <w:rsid w:val="00CA62D0"/>
    <w:rsid w:val="00CA6C78"/>
    <w:rsid w:val="00CA6D12"/>
    <w:rsid w:val="00CA7029"/>
    <w:rsid w:val="00CA71F4"/>
    <w:rsid w:val="00CA728F"/>
    <w:rsid w:val="00CA7B09"/>
    <w:rsid w:val="00CB015E"/>
    <w:rsid w:val="00CB098D"/>
    <w:rsid w:val="00CB0C79"/>
    <w:rsid w:val="00CB11E5"/>
    <w:rsid w:val="00CB12A5"/>
    <w:rsid w:val="00CB1CAC"/>
    <w:rsid w:val="00CB1DCF"/>
    <w:rsid w:val="00CB21A9"/>
    <w:rsid w:val="00CB2AD4"/>
    <w:rsid w:val="00CB2B95"/>
    <w:rsid w:val="00CB2DA1"/>
    <w:rsid w:val="00CB2F2A"/>
    <w:rsid w:val="00CB3C0C"/>
    <w:rsid w:val="00CB3C44"/>
    <w:rsid w:val="00CB4523"/>
    <w:rsid w:val="00CB4C64"/>
    <w:rsid w:val="00CB4E51"/>
    <w:rsid w:val="00CB4E9F"/>
    <w:rsid w:val="00CB564B"/>
    <w:rsid w:val="00CB5859"/>
    <w:rsid w:val="00CB5B1A"/>
    <w:rsid w:val="00CB5BA6"/>
    <w:rsid w:val="00CB5D72"/>
    <w:rsid w:val="00CB62CF"/>
    <w:rsid w:val="00CB697F"/>
    <w:rsid w:val="00CB6B22"/>
    <w:rsid w:val="00CB70BB"/>
    <w:rsid w:val="00CB7256"/>
    <w:rsid w:val="00CB7582"/>
    <w:rsid w:val="00CB7748"/>
    <w:rsid w:val="00CB7F59"/>
    <w:rsid w:val="00CB7F5F"/>
    <w:rsid w:val="00CC02EE"/>
    <w:rsid w:val="00CC033E"/>
    <w:rsid w:val="00CC08BC"/>
    <w:rsid w:val="00CC1B39"/>
    <w:rsid w:val="00CC1C9D"/>
    <w:rsid w:val="00CC1EC9"/>
    <w:rsid w:val="00CC2323"/>
    <w:rsid w:val="00CC2508"/>
    <w:rsid w:val="00CC286F"/>
    <w:rsid w:val="00CC2CBD"/>
    <w:rsid w:val="00CC35EA"/>
    <w:rsid w:val="00CC3848"/>
    <w:rsid w:val="00CC4D03"/>
    <w:rsid w:val="00CC5002"/>
    <w:rsid w:val="00CC5DDC"/>
    <w:rsid w:val="00CC5EF2"/>
    <w:rsid w:val="00CC6309"/>
    <w:rsid w:val="00CC657B"/>
    <w:rsid w:val="00CC6640"/>
    <w:rsid w:val="00CC6ED3"/>
    <w:rsid w:val="00CC705D"/>
    <w:rsid w:val="00CC71F6"/>
    <w:rsid w:val="00CC72B3"/>
    <w:rsid w:val="00CC73E9"/>
    <w:rsid w:val="00CC76B2"/>
    <w:rsid w:val="00CC7A31"/>
    <w:rsid w:val="00CD1395"/>
    <w:rsid w:val="00CD15C3"/>
    <w:rsid w:val="00CD1658"/>
    <w:rsid w:val="00CD213C"/>
    <w:rsid w:val="00CD2DAA"/>
    <w:rsid w:val="00CD2F1E"/>
    <w:rsid w:val="00CD36C3"/>
    <w:rsid w:val="00CD3C53"/>
    <w:rsid w:val="00CD3F77"/>
    <w:rsid w:val="00CD488A"/>
    <w:rsid w:val="00CD497B"/>
    <w:rsid w:val="00CD4A87"/>
    <w:rsid w:val="00CD5A1A"/>
    <w:rsid w:val="00CD652C"/>
    <w:rsid w:val="00CD66F0"/>
    <w:rsid w:val="00CD6ADC"/>
    <w:rsid w:val="00CD7193"/>
    <w:rsid w:val="00CD7C9C"/>
    <w:rsid w:val="00CE0305"/>
    <w:rsid w:val="00CE0570"/>
    <w:rsid w:val="00CE0B94"/>
    <w:rsid w:val="00CE0D5A"/>
    <w:rsid w:val="00CE1AFA"/>
    <w:rsid w:val="00CE1BD6"/>
    <w:rsid w:val="00CE1E04"/>
    <w:rsid w:val="00CE249F"/>
    <w:rsid w:val="00CE2697"/>
    <w:rsid w:val="00CE2966"/>
    <w:rsid w:val="00CE3350"/>
    <w:rsid w:val="00CE3660"/>
    <w:rsid w:val="00CE38C8"/>
    <w:rsid w:val="00CE447B"/>
    <w:rsid w:val="00CE4714"/>
    <w:rsid w:val="00CE571C"/>
    <w:rsid w:val="00CE5D63"/>
    <w:rsid w:val="00CE5E92"/>
    <w:rsid w:val="00CE6274"/>
    <w:rsid w:val="00CE6708"/>
    <w:rsid w:val="00CE6BFE"/>
    <w:rsid w:val="00CE6F2F"/>
    <w:rsid w:val="00CE753F"/>
    <w:rsid w:val="00CE757E"/>
    <w:rsid w:val="00CE7699"/>
    <w:rsid w:val="00CE77B6"/>
    <w:rsid w:val="00CE7ABD"/>
    <w:rsid w:val="00CE7F7E"/>
    <w:rsid w:val="00CF0184"/>
    <w:rsid w:val="00CF07C8"/>
    <w:rsid w:val="00CF08B9"/>
    <w:rsid w:val="00CF0ADB"/>
    <w:rsid w:val="00CF1A34"/>
    <w:rsid w:val="00CF2787"/>
    <w:rsid w:val="00CF2B8D"/>
    <w:rsid w:val="00CF32D5"/>
    <w:rsid w:val="00CF396C"/>
    <w:rsid w:val="00CF398B"/>
    <w:rsid w:val="00CF3FAA"/>
    <w:rsid w:val="00CF442C"/>
    <w:rsid w:val="00CF456B"/>
    <w:rsid w:val="00CF4B28"/>
    <w:rsid w:val="00CF5A22"/>
    <w:rsid w:val="00CF5CB1"/>
    <w:rsid w:val="00CF694D"/>
    <w:rsid w:val="00CF6970"/>
    <w:rsid w:val="00CF6A94"/>
    <w:rsid w:val="00CF726F"/>
    <w:rsid w:val="00CF7353"/>
    <w:rsid w:val="00CF79AB"/>
    <w:rsid w:val="00D0035D"/>
    <w:rsid w:val="00D00BE9"/>
    <w:rsid w:val="00D01998"/>
    <w:rsid w:val="00D01B10"/>
    <w:rsid w:val="00D01D86"/>
    <w:rsid w:val="00D02482"/>
    <w:rsid w:val="00D0262E"/>
    <w:rsid w:val="00D02EDD"/>
    <w:rsid w:val="00D02EE0"/>
    <w:rsid w:val="00D0310E"/>
    <w:rsid w:val="00D04195"/>
    <w:rsid w:val="00D0482A"/>
    <w:rsid w:val="00D04945"/>
    <w:rsid w:val="00D04D34"/>
    <w:rsid w:val="00D05926"/>
    <w:rsid w:val="00D05B37"/>
    <w:rsid w:val="00D05BA5"/>
    <w:rsid w:val="00D05E33"/>
    <w:rsid w:val="00D05E3D"/>
    <w:rsid w:val="00D05F7A"/>
    <w:rsid w:val="00D05FF3"/>
    <w:rsid w:val="00D06139"/>
    <w:rsid w:val="00D064FE"/>
    <w:rsid w:val="00D06638"/>
    <w:rsid w:val="00D06F79"/>
    <w:rsid w:val="00D070E0"/>
    <w:rsid w:val="00D0726F"/>
    <w:rsid w:val="00D0735A"/>
    <w:rsid w:val="00D075CF"/>
    <w:rsid w:val="00D07719"/>
    <w:rsid w:val="00D07A9C"/>
    <w:rsid w:val="00D07CCA"/>
    <w:rsid w:val="00D07EF9"/>
    <w:rsid w:val="00D07FB0"/>
    <w:rsid w:val="00D10683"/>
    <w:rsid w:val="00D10986"/>
    <w:rsid w:val="00D1098F"/>
    <w:rsid w:val="00D10A4D"/>
    <w:rsid w:val="00D10C9A"/>
    <w:rsid w:val="00D10D68"/>
    <w:rsid w:val="00D110BD"/>
    <w:rsid w:val="00D11435"/>
    <w:rsid w:val="00D1144C"/>
    <w:rsid w:val="00D114F0"/>
    <w:rsid w:val="00D116AB"/>
    <w:rsid w:val="00D11740"/>
    <w:rsid w:val="00D129FA"/>
    <w:rsid w:val="00D12EFA"/>
    <w:rsid w:val="00D1346E"/>
    <w:rsid w:val="00D13675"/>
    <w:rsid w:val="00D13729"/>
    <w:rsid w:val="00D13C16"/>
    <w:rsid w:val="00D141E1"/>
    <w:rsid w:val="00D1487D"/>
    <w:rsid w:val="00D1490E"/>
    <w:rsid w:val="00D15314"/>
    <w:rsid w:val="00D157B7"/>
    <w:rsid w:val="00D158A6"/>
    <w:rsid w:val="00D15B93"/>
    <w:rsid w:val="00D16A15"/>
    <w:rsid w:val="00D172DC"/>
    <w:rsid w:val="00D17B04"/>
    <w:rsid w:val="00D17D37"/>
    <w:rsid w:val="00D17D6C"/>
    <w:rsid w:val="00D2155B"/>
    <w:rsid w:val="00D21668"/>
    <w:rsid w:val="00D21879"/>
    <w:rsid w:val="00D2223F"/>
    <w:rsid w:val="00D23B3F"/>
    <w:rsid w:val="00D23D11"/>
    <w:rsid w:val="00D244B6"/>
    <w:rsid w:val="00D2492F"/>
    <w:rsid w:val="00D24C9E"/>
    <w:rsid w:val="00D251C4"/>
    <w:rsid w:val="00D25483"/>
    <w:rsid w:val="00D2580D"/>
    <w:rsid w:val="00D25DE1"/>
    <w:rsid w:val="00D26161"/>
    <w:rsid w:val="00D270ED"/>
    <w:rsid w:val="00D2754D"/>
    <w:rsid w:val="00D27B27"/>
    <w:rsid w:val="00D27C45"/>
    <w:rsid w:val="00D27E22"/>
    <w:rsid w:val="00D301CE"/>
    <w:rsid w:val="00D3048B"/>
    <w:rsid w:val="00D305E6"/>
    <w:rsid w:val="00D30AB8"/>
    <w:rsid w:val="00D333F9"/>
    <w:rsid w:val="00D33556"/>
    <w:rsid w:val="00D338D3"/>
    <w:rsid w:val="00D33BE9"/>
    <w:rsid w:val="00D33D34"/>
    <w:rsid w:val="00D33F93"/>
    <w:rsid w:val="00D34114"/>
    <w:rsid w:val="00D34547"/>
    <w:rsid w:val="00D349F7"/>
    <w:rsid w:val="00D357FF"/>
    <w:rsid w:val="00D35E7A"/>
    <w:rsid w:val="00D3647F"/>
    <w:rsid w:val="00D36EEC"/>
    <w:rsid w:val="00D371FD"/>
    <w:rsid w:val="00D3728B"/>
    <w:rsid w:val="00D37505"/>
    <w:rsid w:val="00D37986"/>
    <w:rsid w:val="00D40C7F"/>
    <w:rsid w:val="00D4137C"/>
    <w:rsid w:val="00D42452"/>
    <w:rsid w:val="00D424C7"/>
    <w:rsid w:val="00D42591"/>
    <w:rsid w:val="00D426C4"/>
    <w:rsid w:val="00D4299C"/>
    <w:rsid w:val="00D430F1"/>
    <w:rsid w:val="00D431F9"/>
    <w:rsid w:val="00D43B2A"/>
    <w:rsid w:val="00D43D83"/>
    <w:rsid w:val="00D443C3"/>
    <w:rsid w:val="00D448A0"/>
    <w:rsid w:val="00D45164"/>
    <w:rsid w:val="00D453C9"/>
    <w:rsid w:val="00D4593A"/>
    <w:rsid w:val="00D45DBA"/>
    <w:rsid w:val="00D46765"/>
    <w:rsid w:val="00D46AD1"/>
    <w:rsid w:val="00D46C66"/>
    <w:rsid w:val="00D46CF4"/>
    <w:rsid w:val="00D47570"/>
    <w:rsid w:val="00D47575"/>
    <w:rsid w:val="00D4770C"/>
    <w:rsid w:val="00D50046"/>
    <w:rsid w:val="00D50156"/>
    <w:rsid w:val="00D501C4"/>
    <w:rsid w:val="00D50960"/>
    <w:rsid w:val="00D51F6C"/>
    <w:rsid w:val="00D5243B"/>
    <w:rsid w:val="00D524F5"/>
    <w:rsid w:val="00D5255B"/>
    <w:rsid w:val="00D533EC"/>
    <w:rsid w:val="00D5370B"/>
    <w:rsid w:val="00D537E9"/>
    <w:rsid w:val="00D5472B"/>
    <w:rsid w:val="00D5517C"/>
    <w:rsid w:val="00D55E04"/>
    <w:rsid w:val="00D55F30"/>
    <w:rsid w:val="00D568BD"/>
    <w:rsid w:val="00D56A26"/>
    <w:rsid w:val="00D56A95"/>
    <w:rsid w:val="00D572C5"/>
    <w:rsid w:val="00D572C7"/>
    <w:rsid w:val="00D574C3"/>
    <w:rsid w:val="00D601E4"/>
    <w:rsid w:val="00D60289"/>
    <w:rsid w:val="00D60538"/>
    <w:rsid w:val="00D607BE"/>
    <w:rsid w:val="00D61FB3"/>
    <w:rsid w:val="00D62302"/>
    <w:rsid w:val="00D62D52"/>
    <w:rsid w:val="00D632A1"/>
    <w:rsid w:val="00D634CE"/>
    <w:rsid w:val="00D63BFB"/>
    <w:rsid w:val="00D63E89"/>
    <w:rsid w:val="00D64AA8"/>
    <w:rsid w:val="00D64BDA"/>
    <w:rsid w:val="00D653E6"/>
    <w:rsid w:val="00D65A99"/>
    <w:rsid w:val="00D65F9A"/>
    <w:rsid w:val="00D6616C"/>
    <w:rsid w:val="00D66C51"/>
    <w:rsid w:val="00D66E4D"/>
    <w:rsid w:val="00D67288"/>
    <w:rsid w:val="00D67330"/>
    <w:rsid w:val="00D673CD"/>
    <w:rsid w:val="00D67537"/>
    <w:rsid w:val="00D67560"/>
    <w:rsid w:val="00D67610"/>
    <w:rsid w:val="00D709A3"/>
    <w:rsid w:val="00D70F16"/>
    <w:rsid w:val="00D710E4"/>
    <w:rsid w:val="00D71D9B"/>
    <w:rsid w:val="00D72443"/>
    <w:rsid w:val="00D7274B"/>
    <w:rsid w:val="00D728ED"/>
    <w:rsid w:val="00D72F57"/>
    <w:rsid w:val="00D731C0"/>
    <w:rsid w:val="00D73A92"/>
    <w:rsid w:val="00D740A2"/>
    <w:rsid w:val="00D74960"/>
    <w:rsid w:val="00D74DB8"/>
    <w:rsid w:val="00D762A0"/>
    <w:rsid w:val="00D76A44"/>
    <w:rsid w:val="00D77265"/>
    <w:rsid w:val="00D77556"/>
    <w:rsid w:val="00D77DA5"/>
    <w:rsid w:val="00D8025B"/>
    <w:rsid w:val="00D8039C"/>
    <w:rsid w:val="00D8077F"/>
    <w:rsid w:val="00D8081E"/>
    <w:rsid w:val="00D80865"/>
    <w:rsid w:val="00D80B36"/>
    <w:rsid w:val="00D80DC5"/>
    <w:rsid w:val="00D8109A"/>
    <w:rsid w:val="00D815EF"/>
    <w:rsid w:val="00D818C3"/>
    <w:rsid w:val="00D81F26"/>
    <w:rsid w:val="00D828CB"/>
    <w:rsid w:val="00D82A92"/>
    <w:rsid w:val="00D82CB5"/>
    <w:rsid w:val="00D82E4F"/>
    <w:rsid w:val="00D839FB"/>
    <w:rsid w:val="00D83AEB"/>
    <w:rsid w:val="00D83C64"/>
    <w:rsid w:val="00D83D0B"/>
    <w:rsid w:val="00D83D98"/>
    <w:rsid w:val="00D8407C"/>
    <w:rsid w:val="00D8411D"/>
    <w:rsid w:val="00D84655"/>
    <w:rsid w:val="00D84754"/>
    <w:rsid w:val="00D84818"/>
    <w:rsid w:val="00D84939"/>
    <w:rsid w:val="00D84B53"/>
    <w:rsid w:val="00D84BD7"/>
    <w:rsid w:val="00D84C5C"/>
    <w:rsid w:val="00D852D9"/>
    <w:rsid w:val="00D85438"/>
    <w:rsid w:val="00D856BA"/>
    <w:rsid w:val="00D85D93"/>
    <w:rsid w:val="00D861A3"/>
    <w:rsid w:val="00D86231"/>
    <w:rsid w:val="00D86F2C"/>
    <w:rsid w:val="00D87D74"/>
    <w:rsid w:val="00D87ED1"/>
    <w:rsid w:val="00D900D3"/>
    <w:rsid w:val="00D90BFA"/>
    <w:rsid w:val="00D90CA4"/>
    <w:rsid w:val="00D90DCC"/>
    <w:rsid w:val="00D91923"/>
    <w:rsid w:val="00D91D1B"/>
    <w:rsid w:val="00D91F88"/>
    <w:rsid w:val="00D9251E"/>
    <w:rsid w:val="00D9252B"/>
    <w:rsid w:val="00D92A35"/>
    <w:rsid w:val="00D92E54"/>
    <w:rsid w:val="00D93753"/>
    <w:rsid w:val="00D93BC6"/>
    <w:rsid w:val="00D93D7A"/>
    <w:rsid w:val="00D9426D"/>
    <w:rsid w:val="00D94277"/>
    <w:rsid w:val="00D94696"/>
    <w:rsid w:val="00D94941"/>
    <w:rsid w:val="00D95B9A"/>
    <w:rsid w:val="00D96487"/>
    <w:rsid w:val="00D96671"/>
    <w:rsid w:val="00D968F8"/>
    <w:rsid w:val="00D97E11"/>
    <w:rsid w:val="00D97E3F"/>
    <w:rsid w:val="00DA153B"/>
    <w:rsid w:val="00DA2053"/>
    <w:rsid w:val="00DA247C"/>
    <w:rsid w:val="00DA3167"/>
    <w:rsid w:val="00DA3715"/>
    <w:rsid w:val="00DA3982"/>
    <w:rsid w:val="00DA399A"/>
    <w:rsid w:val="00DA3B31"/>
    <w:rsid w:val="00DA4574"/>
    <w:rsid w:val="00DA4C39"/>
    <w:rsid w:val="00DA4DC3"/>
    <w:rsid w:val="00DA5408"/>
    <w:rsid w:val="00DA5B1C"/>
    <w:rsid w:val="00DA5BAA"/>
    <w:rsid w:val="00DA5DC2"/>
    <w:rsid w:val="00DA6ADC"/>
    <w:rsid w:val="00DA71C9"/>
    <w:rsid w:val="00DA77A5"/>
    <w:rsid w:val="00DB087B"/>
    <w:rsid w:val="00DB119C"/>
    <w:rsid w:val="00DB1DBA"/>
    <w:rsid w:val="00DB1E2E"/>
    <w:rsid w:val="00DB27A0"/>
    <w:rsid w:val="00DB2FC3"/>
    <w:rsid w:val="00DB35DA"/>
    <w:rsid w:val="00DB3618"/>
    <w:rsid w:val="00DB361C"/>
    <w:rsid w:val="00DB3AD1"/>
    <w:rsid w:val="00DB3B40"/>
    <w:rsid w:val="00DB3C01"/>
    <w:rsid w:val="00DB3C0D"/>
    <w:rsid w:val="00DB3DBF"/>
    <w:rsid w:val="00DB4623"/>
    <w:rsid w:val="00DB484F"/>
    <w:rsid w:val="00DB5130"/>
    <w:rsid w:val="00DB53B5"/>
    <w:rsid w:val="00DB5723"/>
    <w:rsid w:val="00DB5969"/>
    <w:rsid w:val="00DB6163"/>
    <w:rsid w:val="00DB654A"/>
    <w:rsid w:val="00DB6634"/>
    <w:rsid w:val="00DC04F6"/>
    <w:rsid w:val="00DC0690"/>
    <w:rsid w:val="00DC0B3D"/>
    <w:rsid w:val="00DC0C34"/>
    <w:rsid w:val="00DC17CB"/>
    <w:rsid w:val="00DC1CAF"/>
    <w:rsid w:val="00DC1D65"/>
    <w:rsid w:val="00DC1D84"/>
    <w:rsid w:val="00DC1FCC"/>
    <w:rsid w:val="00DC2191"/>
    <w:rsid w:val="00DC21F8"/>
    <w:rsid w:val="00DC2623"/>
    <w:rsid w:val="00DC2B98"/>
    <w:rsid w:val="00DC3542"/>
    <w:rsid w:val="00DC3AF9"/>
    <w:rsid w:val="00DC3C57"/>
    <w:rsid w:val="00DC547A"/>
    <w:rsid w:val="00DC5501"/>
    <w:rsid w:val="00DC5660"/>
    <w:rsid w:val="00DC56AA"/>
    <w:rsid w:val="00DC5978"/>
    <w:rsid w:val="00DC5A1D"/>
    <w:rsid w:val="00DC5A99"/>
    <w:rsid w:val="00DC6505"/>
    <w:rsid w:val="00DC6520"/>
    <w:rsid w:val="00DC667D"/>
    <w:rsid w:val="00DC67A6"/>
    <w:rsid w:val="00DC707C"/>
    <w:rsid w:val="00DC7154"/>
    <w:rsid w:val="00DC73D8"/>
    <w:rsid w:val="00DC78E9"/>
    <w:rsid w:val="00DC7B3E"/>
    <w:rsid w:val="00DC7E8A"/>
    <w:rsid w:val="00DC7F5C"/>
    <w:rsid w:val="00DD0C20"/>
    <w:rsid w:val="00DD0C48"/>
    <w:rsid w:val="00DD0EDC"/>
    <w:rsid w:val="00DD0F78"/>
    <w:rsid w:val="00DD1019"/>
    <w:rsid w:val="00DD1C3F"/>
    <w:rsid w:val="00DD2009"/>
    <w:rsid w:val="00DD2202"/>
    <w:rsid w:val="00DD273C"/>
    <w:rsid w:val="00DD2E9D"/>
    <w:rsid w:val="00DD35A7"/>
    <w:rsid w:val="00DD39B9"/>
    <w:rsid w:val="00DD3F28"/>
    <w:rsid w:val="00DD4462"/>
    <w:rsid w:val="00DD4537"/>
    <w:rsid w:val="00DD4ABD"/>
    <w:rsid w:val="00DD4E15"/>
    <w:rsid w:val="00DD5123"/>
    <w:rsid w:val="00DD5275"/>
    <w:rsid w:val="00DD551F"/>
    <w:rsid w:val="00DD5B75"/>
    <w:rsid w:val="00DD5F10"/>
    <w:rsid w:val="00DD66E1"/>
    <w:rsid w:val="00DD72CA"/>
    <w:rsid w:val="00DE00C3"/>
    <w:rsid w:val="00DE02A8"/>
    <w:rsid w:val="00DE0771"/>
    <w:rsid w:val="00DE1571"/>
    <w:rsid w:val="00DE1B51"/>
    <w:rsid w:val="00DE1F5A"/>
    <w:rsid w:val="00DE2304"/>
    <w:rsid w:val="00DE2369"/>
    <w:rsid w:val="00DE24DB"/>
    <w:rsid w:val="00DE284E"/>
    <w:rsid w:val="00DE2A66"/>
    <w:rsid w:val="00DE3138"/>
    <w:rsid w:val="00DE31F6"/>
    <w:rsid w:val="00DE3440"/>
    <w:rsid w:val="00DE37F8"/>
    <w:rsid w:val="00DE4637"/>
    <w:rsid w:val="00DE4FCB"/>
    <w:rsid w:val="00DE541B"/>
    <w:rsid w:val="00DE542D"/>
    <w:rsid w:val="00DE5692"/>
    <w:rsid w:val="00DE592B"/>
    <w:rsid w:val="00DE5D07"/>
    <w:rsid w:val="00DE72A7"/>
    <w:rsid w:val="00DE73EA"/>
    <w:rsid w:val="00DE7717"/>
    <w:rsid w:val="00DE7775"/>
    <w:rsid w:val="00DE7832"/>
    <w:rsid w:val="00DE7837"/>
    <w:rsid w:val="00DE7AE6"/>
    <w:rsid w:val="00DF0313"/>
    <w:rsid w:val="00DF09D9"/>
    <w:rsid w:val="00DF0E03"/>
    <w:rsid w:val="00DF18FC"/>
    <w:rsid w:val="00DF19A4"/>
    <w:rsid w:val="00DF1B21"/>
    <w:rsid w:val="00DF26BE"/>
    <w:rsid w:val="00DF2B36"/>
    <w:rsid w:val="00DF2E92"/>
    <w:rsid w:val="00DF2EB7"/>
    <w:rsid w:val="00DF3005"/>
    <w:rsid w:val="00DF35E6"/>
    <w:rsid w:val="00DF3794"/>
    <w:rsid w:val="00DF3A6F"/>
    <w:rsid w:val="00DF3CCD"/>
    <w:rsid w:val="00DF3D6F"/>
    <w:rsid w:val="00DF3FE4"/>
    <w:rsid w:val="00DF462B"/>
    <w:rsid w:val="00DF4B59"/>
    <w:rsid w:val="00DF5829"/>
    <w:rsid w:val="00DF5D2B"/>
    <w:rsid w:val="00DF650D"/>
    <w:rsid w:val="00DF6A4A"/>
    <w:rsid w:val="00DF6C0A"/>
    <w:rsid w:val="00DF6C45"/>
    <w:rsid w:val="00DF736F"/>
    <w:rsid w:val="00DF76AF"/>
    <w:rsid w:val="00DF7B21"/>
    <w:rsid w:val="00E0036F"/>
    <w:rsid w:val="00E006D5"/>
    <w:rsid w:val="00E008A9"/>
    <w:rsid w:val="00E00E8E"/>
    <w:rsid w:val="00E00FCF"/>
    <w:rsid w:val="00E022EF"/>
    <w:rsid w:val="00E03117"/>
    <w:rsid w:val="00E0356B"/>
    <w:rsid w:val="00E03623"/>
    <w:rsid w:val="00E03909"/>
    <w:rsid w:val="00E0458D"/>
    <w:rsid w:val="00E04752"/>
    <w:rsid w:val="00E0491F"/>
    <w:rsid w:val="00E04C4F"/>
    <w:rsid w:val="00E05019"/>
    <w:rsid w:val="00E0542C"/>
    <w:rsid w:val="00E05630"/>
    <w:rsid w:val="00E05A4E"/>
    <w:rsid w:val="00E05EBB"/>
    <w:rsid w:val="00E06121"/>
    <w:rsid w:val="00E0655F"/>
    <w:rsid w:val="00E0665D"/>
    <w:rsid w:val="00E06CEC"/>
    <w:rsid w:val="00E06DBB"/>
    <w:rsid w:val="00E07963"/>
    <w:rsid w:val="00E07DF7"/>
    <w:rsid w:val="00E1002B"/>
    <w:rsid w:val="00E10149"/>
    <w:rsid w:val="00E105FD"/>
    <w:rsid w:val="00E1084E"/>
    <w:rsid w:val="00E10B5A"/>
    <w:rsid w:val="00E10E9C"/>
    <w:rsid w:val="00E11340"/>
    <w:rsid w:val="00E11691"/>
    <w:rsid w:val="00E116BB"/>
    <w:rsid w:val="00E117B9"/>
    <w:rsid w:val="00E11A76"/>
    <w:rsid w:val="00E11A7A"/>
    <w:rsid w:val="00E122A1"/>
    <w:rsid w:val="00E125F8"/>
    <w:rsid w:val="00E12DD6"/>
    <w:rsid w:val="00E12F39"/>
    <w:rsid w:val="00E13014"/>
    <w:rsid w:val="00E138D7"/>
    <w:rsid w:val="00E13B76"/>
    <w:rsid w:val="00E14405"/>
    <w:rsid w:val="00E14601"/>
    <w:rsid w:val="00E1495F"/>
    <w:rsid w:val="00E14B48"/>
    <w:rsid w:val="00E14D85"/>
    <w:rsid w:val="00E1525D"/>
    <w:rsid w:val="00E1591B"/>
    <w:rsid w:val="00E15C10"/>
    <w:rsid w:val="00E15EF9"/>
    <w:rsid w:val="00E16372"/>
    <w:rsid w:val="00E16CAA"/>
    <w:rsid w:val="00E17A21"/>
    <w:rsid w:val="00E17A7A"/>
    <w:rsid w:val="00E20580"/>
    <w:rsid w:val="00E206CB"/>
    <w:rsid w:val="00E20711"/>
    <w:rsid w:val="00E20E4D"/>
    <w:rsid w:val="00E20ED6"/>
    <w:rsid w:val="00E211F1"/>
    <w:rsid w:val="00E211F6"/>
    <w:rsid w:val="00E21358"/>
    <w:rsid w:val="00E213CB"/>
    <w:rsid w:val="00E214D7"/>
    <w:rsid w:val="00E21500"/>
    <w:rsid w:val="00E21B5A"/>
    <w:rsid w:val="00E2249B"/>
    <w:rsid w:val="00E225BC"/>
    <w:rsid w:val="00E22A0D"/>
    <w:rsid w:val="00E23562"/>
    <w:rsid w:val="00E2385D"/>
    <w:rsid w:val="00E23AFF"/>
    <w:rsid w:val="00E24074"/>
    <w:rsid w:val="00E243BC"/>
    <w:rsid w:val="00E244F6"/>
    <w:rsid w:val="00E24C57"/>
    <w:rsid w:val="00E24D12"/>
    <w:rsid w:val="00E24D59"/>
    <w:rsid w:val="00E24E83"/>
    <w:rsid w:val="00E25BB7"/>
    <w:rsid w:val="00E267C0"/>
    <w:rsid w:val="00E271F9"/>
    <w:rsid w:val="00E2771E"/>
    <w:rsid w:val="00E27BE6"/>
    <w:rsid w:val="00E30300"/>
    <w:rsid w:val="00E311EF"/>
    <w:rsid w:val="00E315CA"/>
    <w:rsid w:val="00E31CA9"/>
    <w:rsid w:val="00E32180"/>
    <w:rsid w:val="00E324CC"/>
    <w:rsid w:val="00E32616"/>
    <w:rsid w:val="00E3317B"/>
    <w:rsid w:val="00E3332C"/>
    <w:rsid w:val="00E336B1"/>
    <w:rsid w:val="00E33D58"/>
    <w:rsid w:val="00E33F90"/>
    <w:rsid w:val="00E34191"/>
    <w:rsid w:val="00E34948"/>
    <w:rsid w:val="00E35949"/>
    <w:rsid w:val="00E359AD"/>
    <w:rsid w:val="00E35BFE"/>
    <w:rsid w:val="00E36191"/>
    <w:rsid w:val="00E36976"/>
    <w:rsid w:val="00E36A8F"/>
    <w:rsid w:val="00E36B23"/>
    <w:rsid w:val="00E36BD9"/>
    <w:rsid w:val="00E37181"/>
    <w:rsid w:val="00E372B7"/>
    <w:rsid w:val="00E37569"/>
    <w:rsid w:val="00E37C5D"/>
    <w:rsid w:val="00E37D67"/>
    <w:rsid w:val="00E40152"/>
    <w:rsid w:val="00E401B2"/>
    <w:rsid w:val="00E402CA"/>
    <w:rsid w:val="00E40F5C"/>
    <w:rsid w:val="00E41185"/>
    <w:rsid w:val="00E41E16"/>
    <w:rsid w:val="00E41E30"/>
    <w:rsid w:val="00E41E94"/>
    <w:rsid w:val="00E42029"/>
    <w:rsid w:val="00E42067"/>
    <w:rsid w:val="00E42191"/>
    <w:rsid w:val="00E42F73"/>
    <w:rsid w:val="00E43265"/>
    <w:rsid w:val="00E43350"/>
    <w:rsid w:val="00E434C9"/>
    <w:rsid w:val="00E43AF4"/>
    <w:rsid w:val="00E43D70"/>
    <w:rsid w:val="00E43FFA"/>
    <w:rsid w:val="00E4415F"/>
    <w:rsid w:val="00E44703"/>
    <w:rsid w:val="00E44E50"/>
    <w:rsid w:val="00E44FCB"/>
    <w:rsid w:val="00E4505B"/>
    <w:rsid w:val="00E45270"/>
    <w:rsid w:val="00E4546A"/>
    <w:rsid w:val="00E45729"/>
    <w:rsid w:val="00E458F4"/>
    <w:rsid w:val="00E45BA1"/>
    <w:rsid w:val="00E45EA6"/>
    <w:rsid w:val="00E4656E"/>
    <w:rsid w:val="00E46576"/>
    <w:rsid w:val="00E466F3"/>
    <w:rsid w:val="00E469C9"/>
    <w:rsid w:val="00E46CAA"/>
    <w:rsid w:val="00E47527"/>
    <w:rsid w:val="00E4772A"/>
    <w:rsid w:val="00E47AEB"/>
    <w:rsid w:val="00E47B2C"/>
    <w:rsid w:val="00E504E8"/>
    <w:rsid w:val="00E506E6"/>
    <w:rsid w:val="00E5073F"/>
    <w:rsid w:val="00E51257"/>
    <w:rsid w:val="00E51560"/>
    <w:rsid w:val="00E51B95"/>
    <w:rsid w:val="00E521BD"/>
    <w:rsid w:val="00E525BC"/>
    <w:rsid w:val="00E528C7"/>
    <w:rsid w:val="00E5334E"/>
    <w:rsid w:val="00E53385"/>
    <w:rsid w:val="00E536DD"/>
    <w:rsid w:val="00E53BC0"/>
    <w:rsid w:val="00E53FC8"/>
    <w:rsid w:val="00E540B3"/>
    <w:rsid w:val="00E54347"/>
    <w:rsid w:val="00E54DC3"/>
    <w:rsid w:val="00E55328"/>
    <w:rsid w:val="00E55424"/>
    <w:rsid w:val="00E556C4"/>
    <w:rsid w:val="00E55915"/>
    <w:rsid w:val="00E55BB5"/>
    <w:rsid w:val="00E55F37"/>
    <w:rsid w:val="00E56162"/>
    <w:rsid w:val="00E56446"/>
    <w:rsid w:val="00E56639"/>
    <w:rsid w:val="00E56649"/>
    <w:rsid w:val="00E56D24"/>
    <w:rsid w:val="00E5735D"/>
    <w:rsid w:val="00E5767B"/>
    <w:rsid w:val="00E57918"/>
    <w:rsid w:val="00E57AD3"/>
    <w:rsid w:val="00E6042D"/>
    <w:rsid w:val="00E60B3A"/>
    <w:rsid w:val="00E60DF4"/>
    <w:rsid w:val="00E60EB7"/>
    <w:rsid w:val="00E61944"/>
    <w:rsid w:val="00E61C16"/>
    <w:rsid w:val="00E61CC2"/>
    <w:rsid w:val="00E62BC7"/>
    <w:rsid w:val="00E62BF1"/>
    <w:rsid w:val="00E63220"/>
    <w:rsid w:val="00E63488"/>
    <w:rsid w:val="00E635AA"/>
    <w:rsid w:val="00E63ACF"/>
    <w:rsid w:val="00E64ADA"/>
    <w:rsid w:val="00E64DFE"/>
    <w:rsid w:val="00E654AB"/>
    <w:rsid w:val="00E65E79"/>
    <w:rsid w:val="00E65FC0"/>
    <w:rsid w:val="00E662A4"/>
    <w:rsid w:val="00E666D3"/>
    <w:rsid w:val="00E66BA2"/>
    <w:rsid w:val="00E66CC6"/>
    <w:rsid w:val="00E67416"/>
    <w:rsid w:val="00E67E2B"/>
    <w:rsid w:val="00E67EF8"/>
    <w:rsid w:val="00E70278"/>
    <w:rsid w:val="00E703AC"/>
    <w:rsid w:val="00E707FD"/>
    <w:rsid w:val="00E716C8"/>
    <w:rsid w:val="00E718B6"/>
    <w:rsid w:val="00E71BAC"/>
    <w:rsid w:val="00E71ED8"/>
    <w:rsid w:val="00E722B6"/>
    <w:rsid w:val="00E723BA"/>
    <w:rsid w:val="00E73409"/>
    <w:rsid w:val="00E734BD"/>
    <w:rsid w:val="00E73581"/>
    <w:rsid w:val="00E73B76"/>
    <w:rsid w:val="00E73F2B"/>
    <w:rsid w:val="00E73FF2"/>
    <w:rsid w:val="00E7431C"/>
    <w:rsid w:val="00E74322"/>
    <w:rsid w:val="00E74D77"/>
    <w:rsid w:val="00E74E69"/>
    <w:rsid w:val="00E74EDA"/>
    <w:rsid w:val="00E755C3"/>
    <w:rsid w:val="00E762D0"/>
    <w:rsid w:val="00E76993"/>
    <w:rsid w:val="00E76E3E"/>
    <w:rsid w:val="00E77100"/>
    <w:rsid w:val="00E7731F"/>
    <w:rsid w:val="00E7777E"/>
    <w:rsid w:val="00E77BC9"/>
    <w:rsid w:val="00E800F7"/>
    <w:rsid w:val="00E808D0"/>
    <w:rsid w:val="00E80E47"/>
    <w:rsid w:val="00E80E7D"/>
    <w:rsid w:val="00E814E1"/>
    <w:rsid w:val="00E81662"/>
    <w:rsid w:val="00E8186B"/>
    <w:rsid w:val="00E81A44"/>
    <w:rsid w:val="00E81D3A"/>
    <w:rsid w:val="00E82172"/>
    <w:rsid w:val="00E8283F"/>
    <w:rsid w:val="00E82ACB"/>
    <w:rsid w:val="00E82F67"/>
    <w:rsid w:val="00E8326E"/>
    <w:rsid w:val="00E833F7"/>
    <w:rsid w:val="00E83841"/>
    <w:rsid w:val="00E83B9C"/>
    <w:rsid w:val="00E83BDF"/>
    <w:rsid w:val="00E84722"/>
    <w:rsid w:val="00E84809"/>
    <w:rsid w:val="00E8489B"/>
    <w:rsid w:val="00E84F24"/>
    <w:rsid w:val="00E855E6"/>
    <w:rsid w:val="00E856AA"/>
    <w:rsid w:val="00E856BF"/>
    <w:rsid w:val="00E857E3"/>
    <w:rsid w:val="00E85E08"/>
    <w:rsid w:val="00E86A76"/>
    <w:rsid w:val="00E86B47"/>
    <w:rsid w:val="00E86C67"/>
    <w:rsid w:val="00E86D2C"/>
    <w:rsid w:val="00E86E03"/>
    <w:rsid w:val="00E86EF4"/>
    <w:rsid w:val="00E86F20"/>
    <w:rsid w:val="00E87A1D"/>
    <w:rsid w:val="00E9021E"/>
    <w:rsid w:val="00E907CB"/>
    <w:rsid w:val="00E9094A"/>
    <w:rsid w:val="00E909AD"/>
    <w:rsid w:val="00E90EB7"/>
    <w:rsid w:val="00E91028"/>
    <w:rsid w:val="00E91387"/>
    <w:rsid w:val="00E91482"/>
    <w:rsid w:val="00E917B8"/>
    <w:rsid w:val="00E9180B"/>
    <w:rsid w:val="00E91AB2"/>
    <w:rsid w:val="00E91D35"/>
    <w:rsid w:val="00E91E54"/>
    <w:rsid w:val="00E92536"/>
    <w:rsid w:val="00E926A5"/>
    <w:rsid w:val="00E92C47"/>
    <w:rsid w:val="00E9344C"/>
    <w:rsid w:val="00E94686"/>
    <w:rsid w:val="00E94BEE"/>
    <w:rsid w:val="00E9513D"/>
    <w:rsid w:val="00E95886"/>
    <w:rsid w:val="00E95C99"/>
    <w:rsid w:val="00E95DED"/>
    <w:rsid w:val="00E96390"/>
    <w:rsid w:val="00E964E0"/>
    <w:rsid w:val="00E96842"/>
    <w:rsid w:val="00E9700D"/>
    <w:rsid w:val="00EA0024"/>
    <w:rsid w:val="00EA0567"/>
    <w:rsid w:val="00EA0734"/>
    <w:rsid w:val="00EA09D5"/>
    <w:rsid w:val="00EA0A65"/>
    <w:rsid w:val="00EA0AF3"/>
    <w:rsid w:val="00EA17C3"/>
    <w:rsid w:val="00EA18B9"/>
    <w:rsid w:val="00EA18D9"/>
    <w:rsid w:val="00EA1988"/>
    <w:rsid w:val="00EA1BCE"/>
    <w:rsid w:val="00EA1C05"/>
    <w:rsid w:val="00EA2CAA"/>
    <w:rsid w:val="00EA2E84"/>
    <w:rsid w:val="00EA34DA"/>
    <w:rsid w:val="00EA3864"/>
    <w:rsid w:val="00EA393A"/>
    <w:rsid w:val="00EA4D59"/>
    <w:rsid w:val="00EA4EC0"/>
    <w:rsid w:val="00EA5130"/>
    <w:rsid w:val="00EA5ACD"/>
    <w:rsid w:val="00EA5D50"/>
    <w:rsid w:val="00EA5E41"/>
    <w:rsid w:val="00EA613C"/>
    <w:rsid w:val="00EA6DFB"/>
    <w:rsid w:val="00EA75CA"/>
    <w:rsid w:val="00EA7AD8"/>
    <w:rsid w:val="00EA7F1C"/>
    <w:rsid w:val="00EB0034"/>
    <w:rsid w:val="00EB03B7"/>
    <w:rsid w:val="00EB0D25"/>
    <w:rsid w:val="00EB1138"/>
    <w:rsid w:val="00EB15B6"/>
    <w:rsid w:val="00EB1A1C"/>
    <w:rsid w:val="00EB1FFC"/>
    <w:rsid w:val="00EB2173"/>
    <w:rsid w:val="00EB2BA6"/>
    <w:rsid w:val="00EB3AB3"/>
    <w:rsid w:val="00EB3D06"/>
    <w:rsid w:val="00EB4916"/>
    <w:rsid w:val="00EB49E9"/>
    <w:rsid w:val="00EB4CE0"/>
    <w:rsid w:val="00EB4D84"/>
    <w:rsid w:val="00EB5572"/>
    <w:rsid w:val="00EB6285"/>
    <w:rsid w:val="00EB6560"/>
    <w:rsid w:val="00EB664F"/>
    <w:rsid w:val="00EB6C5B"/>
    <w:rsid w:val="00EB6D6C"/>
    <w:rsid w:val="00EB74E6"/>
    <w:rsid w:val="00EB792B"/>
    <w:rsid w:val="00EB7AF3"/>
    <w:rsid w:val="00EC00C9"/>
    <w:rsid w:val="00EC0160"/>
    <w:rsid w:val="00EC0541"/>
    <w:rsid w:val="00EC0ADD"/>
    <w:rsid w:val="00EC0DD9"/>
    <w:rsid w:val="00EC10E0"/>
    <w:rsid w:val="00EC149D"/>
    <w:rsid w:val="00EC1661"/>
    <w:rsid w:val="00EC1D73"/>
    <w:rsid w:val="00EC1DDE"/>
    <w:rsid w:val="00EC22E7"/>
    <w:rsid w:val="00EC233C"/>
    <w:rsid w:val="00EC2649"/>
    <w:rsid w:val="00EC2DBA"/>
    <w:rsid w:val="00EC31ED"/>
    <w:rsid w:val="00EC34EC"/>
    <w:rsid w:val="00EC3730"/>
    <w:rsid w:val="00EC3C52"/>
    <w:rsid w:val="00EC51B5"/>
    <w:rsid w:val="00EC5836"/>
    <w:rsid w:val="00EC61F8"/>
    <w:rsid w:val="00EC65F1"/>
    <w:rsid w:val="00EC67C1"/>
    <w:rsid w:val="00EC688C"/>
    <w:rsid w:val="00EC6EF1"/>
    <w:rsid w:val="00ED0590"/>
    <w:rsid w:val="00ED0BA6"/>
    <w:rsid w:val="00ED0F08"/>
    <w:rsid w:val="00ED1245"/>
    <w:rsid w:val="00ED1940"/>
    <w:rsid w:val="00ED1AF7"/>
    <w:rsid w:val="00ED26A8"/>
    <w:rsid w:val="00ED35A8"/>
    <w:rsid w:val="00ED372E"/>
    <w:rsid w:val="00ED3DA8"/>
    <w:rsid w:val="00ED3E4F"/>
    <w:rsid w:val="00ED4BDF"/>
    <w:rsid w:val="00ED50A5"/>
    <w:rsid w:val="00ED559A"/>
    <w:rsid w:val="00ED57EA"/>
    <w:rsid w:val="00ED5B99"/>
    <w:rsid w:val="00ED5BD4"/>
    <w:rsid w:val="00ED63B4"/>
    <w:rsid w:val="00ED63CD"/>
    <w:rsid w:val="00ED7009"/>
    <w:rsid w:val="00ED7747"/>
    <w:rsid w:val="00ED7A77"/>
    <w:rsid w:val="00ED7DC9"/>
    <w:rsid w:val="00ED7FE6"/>
    <w:rsid w:val="00EE043A"/>
    <w:rsid w:val="00EE0494"/>
    <w:rsid w:val="00EE04D0"/>
    <w:rsid w:val="00EE05F7"/>
    <w:rsid w:val="00EE07D3"/>
    <w:rsid w:val="00EE11F3"/>
    <w:rsid w:val="00EE1996"/>
    <w:rsid w:val="00EE1ABA"/>
    <w:rsid w:val="00EE1C01"/>
    <w:rsid w:val="00EE223C"/>
    <w:rsid w:val="00EE22AF"/>
    <w:rsid w:val="00EE22EF"/>
    <w:rsid w:val="00EE23E8"/>
    <w:rsid w:val="00EE255F"/>
    <w:rsid w:val="00EE2657"/>
    <w:rsid w:val="00EE2C7A"/>
    <w:rsid w:val="00EE2CDB"/>
    <w:rsid w:val="00EE35BB"/>
    <w:rsid w:val="00EE36E2"/>
    <w:rsid w:val="00EE385C"/>
    <w:rsid w:val="00EE3DDB"/>
    <w:rsid w:val="00EE3E22"/>
    <w:rsid w:val="00EE51AC"/>
    <w:rsid w:val="00EE5513"/>
    <w:rsid w:val="00EE5C4E"/>
    <w:rsid w:val="00EE61F1"/>
    <w:rsid w:val="00EE62CB"/>
    <w:rsid w:val="00EE6CE4"/>
    <w:rsid w:val="00EE76A8"/>
    <w:rsid w:val="00EE78BF"/>
    <w:rsid w:val="00EE79C4"/>
    <w:rsid w:val="00EE7E55"/>
    <w:rsid w:val="00EF0171"/>
    <w:rsid w:val="00EF0D85"/>
    <w:rsid w:val="00EF0FB1"/>
    <w:rsid w:val="00EF13F5"/>
    <w:rsid w:val="00EF1AAC"/>
    <w:rsid w:val="00EF1B25"/>
    <w:rsid w:val="00EF1BF4"/>
    <w:rsid w:val="00EF1DA0"/>
    <w:rsid w:val="00EF1FC4"/>
    <w:rsid w:val="00EF2289"/>
    <w:rsid w:val="00EF2B97"/>
    <w:rsid w:val="00EF3466"/>
    <w:rsid w:val="00EF3CF1"/>
    <w:rsid w:val="00EF4747"/>
    <w:rsid w:val="00EF4980"/>
    <w:rsid w:val="00EF4B2E"/>
    <w:rsid w:val="00EF4BF8"/>
    <w:rsid w:val="00EF5065"/>
    <w:rsid w:val="00EF5069"/>
    <w:rsid w:val="00EF50A3"/>
    <w:rsid w:val="00EF5FEE"/>
    <w:rsid w:val="00EF6147"/>
    <w:rsid w:val="00EF6681"/>
    <w:rsid w:val="00EF695F"/>
    <w:rsid w:val="00EF699E"/>
    <w:rsid w:val="00EF6E56"/>
    <w:rsid w:val="00EF70A5"/>
    <w:rsid w:val="00EF7DFD"/>
    <w:rsid w:val="00F01602"/>
    <w:rsid w:val="00F01701"/>
    <w:rsid w:val="00F0178C"/>
    <w:rsid w:val="00F01BB2"/>
    <w:rsid w:val="00F01EE4"/>
    <w:rsid w:val="00F01F17"/>
    <w:rsid w:val="00F02253"/>
    <w:rsid w:val="00F02E79"/>
    <w:rsid w:val="00F038AD"/>
    <w:rsid w:val="00F03C2E"/>
    <w:rsid w:val="00F03F37"/>
    <w:rsid w:val="00F04317"/>
    <w:rsid w:val="00F045E3"/>
    <w:rsid w:val="00F04A66"/>
    <w:rsid w:val="00F04B4B"/>
    <w:rsid w:val="00F0516C"/>
    <w:rsid w:val="00F0580D"/>
    <w:rsid w:val="00F05B4E"/>
    <w:rsid w:val="00F067A2"/>
    <w:rsid w:val="00F069CA"/>
    <w:rsid w:val="00F07416"/>
    <w:rsid w:val="00F079A6"/>
    <w:rsid w:val="00F07B9E"/>
    <w:rsid w:val="00F10E1A"/>
    <w:rsid w:val="00F10E67"/>
    <w:rsid w:val="00F11050"/>
    <w:rsid w:val="00F1116F"/>
    <w:rsid w:val="00F1121E"/>
    <w:rsid w:val="00F113F5"/>
    <w:rsid w:val="00F11C2A"/>
    <w:rsid w:val="00F1263A"/>
    <w:rsid w:val="00F12A2B"/>
    <w:rsid w:val="00F12CAD"/>
    <w:rsid w:val="00F12E49"/>
    <w:rsid w:val="00F13352"/>
    <w:rsid w:val="00F13869"/>
    <w:rsid w:val="00F13ABC"/>
    <w:rsid w:val="00F141AA"/>
    <w:rsid w:val="00F1490E"/>
    <w:rsid w:val="00F14BC4"/>
    <w:rsid w:val="00F15239"/>
    <w:rsid w:val="00F1561A"/>
    <w:rsid w:val="00F15901"/>
    <w:rsid w:val="00F15B77"/>
    <w:rsid w:val="00F1654D"/>
    <w:rsid w:val="00F16A9D"/>
    <w:rsid w:val="00F16BA8"/>
    <w:rsid w:val="00F16DD5"/>
    <w:rsid w:val="00F16F5D"/>
    <w:rsid w:val="00F17227"/>
    <w:rsid w:val="00F174A9"/>
    <w:rsid w:val="00F175DD"/>
    <w:rsid w:val="00F17B44"/>
    <w:rsid w:val="00F17D41"/>
    <w:rsid w:val="00F17D95"/>
    <w:rsid w:val="00F17F1E"/>
    <w:rsid w:val="00F20108"/>
    <w:rsid w:val="00F20450"/>
    <w:rsid w:val="00F209BC"/>
    <w:rsid w:val="00F20A35"/>
    <w:rsid w:val="00F20B95"/>
    <w:rsid w:val="00F20DDE"/>
    <w:rsid w:val="00F2103E"/>
    <w:rsid w:val="00F21122"/>
    <w:rsid w:val="00F217E1"/>
    <w:rsid w:val="00F21959"/>
    <w:rsid w:val="00F2218B"/>
    <w:rsid w:val="00F22676"/>
    <w:rsid w:val="00F22841"/>
    <w:rsid w:val="00F23D6D"/>
    <w:rsid w:val="00F23DD2"/>
    <w:rsid w:val="00F24543"/>
    <w:rsid w:val="00F247E6"/>
    <w:rsid w:val="00F24837"/>
    <w:rsid w:val="00F24DC3"/>
    <w:rsid w:val="00F24E08"/>
    <w:rsid w:val="00F24E31"/>
    <w:rsid w:val="00F256AE"/>
    <w:rsid w:val="00F2575F"/>
    <w:rsid w:val="00F267A4"/>
    <w:rsid w:val="00F27233"/>
    <w:rsid w:val="00F27565"/>
    <w:rsid w:val="00F27920"/>
    <w:rsid w:val="00F30245"/>
    <w:rsid w:val="00F30DF6"/>
    <w:rsid w:val="00F310D4"/>
    <w:rsid w:val="00F31572"/>
    <w:rsid w:val="00F319D5"/>
    <w:rsid w:val="00F31C2E"/>
    <w:rsid w:val="00F31D5A"/>
    <w:rsid w:val="00F31F01"/>
    <w:rsid w:val="00F32878"/>
    <w:rsid w:val="00F32D38"/>
    <w:rsid w:val="00F33975"/>
    <w:rsid w:val="00F33DE9"/>
    <w:rsid w:val="00F3454A"/>
    <w:rsid w:val="00F34729"/>
    <w:rsid w:val="00F34C3E"/>
    <w:rsid w:val="00F351A6"/>
    <w:rsid w:val="00F354A2"/>
    <w:rsid w:val="00F359F6"/>
    <w:rsid w:val="00F35B8F"/>
    <w:rsid w:val="00F35DA1"/>
    <w:rsid w:val="00F35E42"/>
    <w:rsid w:val="00F35E6D"/>
    <w:rsid w:val="00F3619A"/>
    <w:rsid w:val="00F361B5"/>
    <w:rsid w:val="00F366A6"/>
    <w:rsid w:val="00F378DE"/>
    <w:rsid w:val="00F37A01"/>
    <w:rsid w:val="00F37B91"/>
    <w:rsid w:val="00F37D92"/>
    <w:rsid w:val="00F40AAA"/>
    <w:rsid w:val="00F40AEB"/>
    <w:rsid w:val="00F40BA7"/>
    <w:rsid w:val="00F40F9D"/>
    <w:rsid w:val="00F4111E"/>
    <w:rsid w:val="00F41ACD"/>
    <w:rsid w:val="00F41F7B"/>
    <w:rsid w:val="00F4210B"/>
    <w:rsid w:val="00F4371D"/>
    <w:rsid w:val="00F43D96"/>
    <w:rsid w:val="00F43EF3"/>
    <w:rsid w:val="00F44744"/>
    <w:rsid w:val="00F451F9"/>
    <w:rsid w:val="00F463F1"/>
    <w:rsid w:val="00F4651F"/>
    <w:rsid w:val="00F46CB6"/>
    <w:rsid w:val="00F4756D"/>
    <w:rsid w:val="00F47D0C"/>
    <w:rsid w:val="00F47DE8"/>
    <w:rsid w:val="00F501F2"/>
    <w:rsid w:val="00F505F6"/>
    <w:rsid w:val="00F50BEF"/>
    <w:rsid w:val="00F51B48"/>
    <w:rsid w:val="00F51DC0"/>
    <w:rsid w:val="00F51E44"/>
    <w:rsid w:val="00F5220C"/>
    <w:rsid w:val="00F52238"/>
    <w:rsid w:val="00F52AEF"/>
    <w:rsid w:val="00F52EBF"/>
    <w:rsid w:val="00F52FC7"/>
    <w:rsid w:val="00F530AC"/>
    <w:rsid w:val="00F542C1"/>
    <w:rsid w:val="00F543FE"/>
    <w:rsid w:val="00F5499E"/>
    <w:rsid w:val="00F54EAD"/>
    <w:rsid w:val="00F54F07"/>
    <w:rsid w:val="00F55E73"/>
    <w:rsid w:val="00F55EDA"/>
    <w:rsid w:val="00F560CB"/>
    <w:rsid w:val="00F56C80"/>
    <w:rsid w:val="00F56DC3"/>
    <w:rsid w:val="00F57049"/>
    <w:rsid w:val="00F57196"/>
    <w:rsid w:val="00F57A7D"/>
    <w:rsid w:val="00F57D47"/>
    <w:rsid w:val="00F60092"/>
    <w:rsid w:val="00F602F8"/>
    <w:rsid w:val="00F603EA"/>
    <w:rsid w:val="00F60962"/>
    <w:rsid w:val="00F60AA3"/>
    <w:rsid w:val="00F6127E"/>
    <w:rsid w:val="00F618E7"/>
    <w:rsid w:val="00F618FB"/>
    <w:rsid w:val="00F61C18"/>
    <w:rsid w:val="00F61CC9"/>
    <w:rsid w:val="00F6289F"/>
    <w:rsid w:val="00F63638"/>
    <w:rsid w:val="00F639CC"/>
    <w:rsid w:val="00F63ABD"/>
    <w:rsid w:val="00F63C27"/>
    <w:rsid w:val="00F643C9"/>
    <w:rsid w:val="00F6445A"/>
    <w:rsid w:val="00F649C7"/>
    <w:rsid w:val="00F64B16"/>
    <w:rsid w:val="00F64F85"/>
    <w:rsid w:val="00F65168"/>
    <w:rsid w:val="00F6553D"/>
    <w:rsid w:val="00F65D3F"/>
    <w:rsid w:val="00F65F4B"/>
    <w:rsid w:val="00F665BC"/>
    <w:rsid w:val="00F66A40"/>
    <w:rsid w:val="00F66C77"/>
    <w:rsid w:val="00F6701B"/>
    <w:rsid w:val="00F674A7"/>
    <w:rsid w:val="00F6752D"/>
    <w:rsid w:val="00F67A69"/>
    <w:rsid w:val="00F700F0"/>
    <w:rsid w:val="00F704F2"/>
    <w:rsid w:val="00F70874"/>
    <w:rsid w:val="00F70BFF"/>
    <w:rsid w:val="00F70C9D"/>
    <w:rsid w:val="00F70CDE"/>
    <w:rsid w:val="00F70F66"/>
    <w:rsid w:val="00F7104F"/>
    <w:rsid w:val="00F71490"/>
    <w:rsid w:val="00F7155A"/>
    <w:rsid w:val="00F71CF6"/>
    <w:rsid w:val="00F71EF0"/>
    <w:rsid w:val="00F71FF3"/>
    <w:rsid w:val="00F725AF"/>
    <w:rsid w:val="00F72BBC"/>
    <w:rsid w:val="00F72FF9"/>
    <w:rsid w:val="00F737F9"/>
    <w:rsid w:val="00F740D9"/>
    <w:rsid w:val="00F74218"/>
    <w:rsid w:val="00F74601"/>
    <w:rsid w:val="00F74CD9"/>
    <w:rsid w:val="00F75184"/>
    <w:rsid w:val="00F75730"/>
    <w:rsid w:val="00F76461"/>
    <w:rsid w:val="00F764AA"/>
    <w:rsid w:val="00F767A9"/>
    <w:rsid w:val="00F76882"/>
    <w:rsid w:val="00F76DAA"/>
    <w:rsid w:val="00F76EA1"/>
    <w:rsid w:val="00F773BC"/>
    <w:rsid w:val="00F775E3"/>
    <w:rsid w:val="00F778A7"/>
    <w:rsid w:val="00F77CAD"/>
    <w:rsid w:val="00F77F89"/>
    <w:rsid w:val="00F801AF"/>
    <w:rsid w:val="00F8036A"/>
    <w:rsid w:val="00F8059A"/>
    <w:rsid w:val="00F80A5E"/>
    <w:rsid w:val="00F80A7B"/>
    <w:rsid w:val="00F80ADF"/>
    <w:rsid w:val="00F80E5D"/>
    <w:rsid w:val="00F81E78"/>
    <w:rsid w:val="00F81F81"/>
    <w:rsid w:val="00F82174"/>
    <w:rsid w:val="00F822E8"/>
    <w:rsid w:val="00F82416"/>
    <w:rsid w:val="00F82A75"/>
    <w:rsid w:val="00F82B3F"/>
    <w:rsid w:val="00F82C0E"/>
    <w:rsid w:val="00F82ED1"/>
    <w:rsid w:val="00F834E7"/>
    <w:rsid w:val="00F836AF"/>
    <w:rsid w:val="00F83C26"/>
    <w:rsid w:val="00F84CAD"/>
    <w:rsid w:val="00F851CE"/>
    <w:rsid w:val="00F85DA6"/>
    <w:rsid w:val="00F861AA"/>
    <w:rsid w:val="00F86D47"/>
    <w:rsid w:val="00F873E7"/>
    <w:rsid w:val="00F8795B"/>
    <w:rsid w:val="00F87CBA"/>
    <w:rsid w:val="00F87D97"/>
    <w:rsid w:val="00F87F7C"/>
    <w:rsid w:val="00F90508"/>
    <w:rsid w:val="00F907FD"/>
    <w:rsid w:val="00F908D7"/>
    <w:rsid w:val="00F90A20"/>
    <w:rsid w:val="00F91219"/>
    <w:rsid w:val="00F91FD3"/>
    <w:rsid w:val="00F922CC"/>
    <w:rsid w:val="00F92397"/>
    <w:rsid w:val="00F92444"/>
    <w:rsid w:val="00F92EBC"/>
    <w:rsid w:val="00F9393E"/>
    <w:rsid w:val="00F9490A"/>
    <w:rsid w:val="00F956C8"/>
    <w:rsid w:val="00F95A3E"/>
    <w:rsid w:val="00F95E1F"/>
    <w:rsid w:val="00F95EE5"/>
    <w:rsid w:val="00F96434"/>
    <w:rsid w:val="00F96A09"/>
    <w:rsid w:val="00F96D5D"/>
    <w:rsid w:val="00F96FD0"/>
    <w:rsid w:val="00F97617"/>
    <w:rsid w:val="00F978B6"/>
    <w:rsid w:val="00F97A21"/>
    <w:rsid w:val="00F97A78"/>
    <w:rsid w:val="00F97C38"/>
    <w:rsid w:val="00F97CD9"/>
    <w:rsid w:val="00FA003D"/>
    <w:rsid w:val="00FA0243"/>
    <w:rsid w:val="00FA03A3"/>
    <w:rsid w:val="00FA0AF0"/>
    <w:rsid w:val="00FA0B20"/>
    <w:rsid w:val="00FA11F8"/>
    <w:rsid w:val="00FA1F0E"/>
    <w:rsid w:val="00FA24E7"/>
    <w:rsid w:val="00FA28ED"/>
    <w:rsid w:val="00FA39D6"/>
    <w:rsid w:val="00FA4189"/>
    <w:rsid w:val="00FA41CD"/>
    <w:rsid w:val="00FA425D"/>
    <w:rsid w:val="00FA4503"/>
    <w:rsid w:val="00FA4565"/>
    <w:rsid w:val="00FA516B"/>
    <w:rsid w:val="00FA5265"/>
    <w:rsid w:val="00FA5293"/>
    <w:rsid w:val="00FA53EB"/>
    <w:rsid w:val="00FA5505"/>
    <w:rsid w:val="00FA572A"/>
    <w:rsid w:val="00FA5922"/>
    <w:rsid w:val="00FA5EE6"/>
    <w:rsid w:val="00FA6400"/>
    <w:rsid w:val="00FA6431"/>
    <w:rsid w:val="00FA6638"/>
    <w:rsid w:val="00FA7956"/>
    <w:rsid w:val="00FA7C9F"/>
    <w:rsid w:val="00FB0114"/>
    <w:rsid w:val="00FB0668"/>
    <w:rsid w:val="00FB0FCA"/>
    <w:rsid w:val="00FB11EF"/>
    <w:rsid w:val="00FB13E0"/>
    <w:rsid w:val="00FB25D2"/>
    <w:rsid w:val="00FB2FCB"/>
    <w:rsid w:val="00FB4C53"/>
    <w:rsid w:val="00FB582D"/>
    <w:rsid w:val="00FB6054"/>
    <w:rsid w:val="00FB6A00"/>
    <w:rsid w:val="00FB6F21"/>
    <w:rsid w:val="00FB7265"/>
    <w:rsid w:val="00FB76DA"/>
    <w:rsid w:val="00FB7C55"/>
    <w:rsid w:val="00FC1074"/>
    <w:rsid w:val="00FC1296"/>
    <w:rsid w:val="00FC1884"/>
    <w:rsid w:val="00FC1C32"/>
    <w:rsid w:val="00FC1FD3"/>
    <w:rsid w:val="00FC2D90"/>
    <w:rsid w:val="00FC3115"/>
    <w:rsid w:val="00FC31C5"/>
    <w:rsid w:val="00FC371D"/>
    <w:rsid w:val="00FC3FD4"/>
    <w:rsid w:val="00FC40B4"/>
    <w:rsid w:val="00FC48A4"/>
    <w:rsid w:val="00FC5AB3"/>
    <w:rsid w:val="00FC5F0B"/>
    <w:rsid w:val="00FC6852"/>
    <w:rsid w:val="00FC6899"/>
    <w:rsid w:val="00FC69B3"/>
    <w:rsid w:val="00FC6FEB"/>
    <w:rsid w:val="00FD17BB"/>
    <w:rsid w:val="00FD1CFB"/>
    <w:rsid w:val="00FD2100"/>
    <w:rsid w:val="00FD2431"/>
    <w:rsid w:val="00FD24EA"/>
    <w:rsid w:val="00FD262F"/>
    <w:rsid w:val="00FD3214"/>
    <w:rsid w:val="00FD40C4"/>
    <w:rsid w:val="00FD436C"/>
    <w:rsid w:val="00FD446D"/>
    <w:rsid w:val="00FD46D6"/>
    <w:rsid w:val="00FD4950"/>
    <w:rsid w:val="00FD4B9F"/>
    <w:rsid w:val="00FD4DB1"/>
    <w:rsid w:val="00FD4DC0"/>
    <w:rsid w:val="00FD4F2C"/>
    <w:rsid w:val="00FD545C"/>
    <w:rsid w:val="00FD600F"/>
    <w:rsid w:val="00FD6394"/>
    <w:rsid w:val="00FD67C4"/>
    <w:rsid w:val="00FD6A8A"/>
    <w:rsid w:val="00FD706A"/>
    <w:rsid w:val="00FD72A4"/>
    <w:rsid w:val="00FD72BD"/>
    <w:rsid w:val="00FD7AAA"/>
    <w:rsid w:val="00FD7CD6"/>
    <w:rsid w:val="00FD7FC2"/>
    <w:rsid w:val="00FE01E7"/>
    <w:rsid w:val="00FE0C22"/>
    <w:rsid w:val="00FE0CDD"/>
    <w:rsid w:val="00FE0E6C"/>
    <w:rsid w:val="00FE0E7A"/>
    <w:rsid w:val="00FE1BBD"/>
    <w:rsid w:val="00FE1CDC"/>
    <w:rsid w:val="00FE1E3F"/>
    <w:rsid w:val="00FE256A"/>
    <w:rsid w:val="00FE32D4"/>
    <w:rsid w:val="00FE35D0"/>
    <w:rsid w:val="00FE50DC"/>
    <w:rsid w:val="00FE6D42"/>
    <w:rsid w:val="00FE70C3"/>
    <w:rsid w:val="00FE78BA"/>
    <w:rsid w:val="00FF0072"/>
    <w:rsid w:val="00FF01D6"/>
    <w:rsid w:val="00FF0461"/>
    <w:rsid w:val="00FF0A6A"/>
    <w:rsid w:val="00FF0BC2"/>
    <w:rsid w:val="00FF0BF9"/>
    <w:rsid w:val="00FF0DE4"/>
    <w:rsid w:val="00FF0F65"/>
    <w:rsid w:val="00FF1F1B"/>
    <w:rsid w:val="00FF2AD9"/>
    <w:rsid w:val="00FF2B13"/>
    <w:rsid w:val="00FF359F"/>
    <w:rsid w:val="00FF3BA1"/>
    <w:rsid w:val="00FF3D37"/>
    <w:rsid w:val="00FF3DCF"/>
    <w:rsid w:val="00FF4618"/>
    <w:rsid w:val="00FF492C"/>
    <w:rsid w:val="00FF4A21"/>
    <w:rsid w:val="00FF4AD9"/>
    <w:rsid w:val="00FF4D06"/>
    <w:rsid w:val="00FF5999"/>
    <w:rsid w:val="00FF5AA3"/>
    <w:rsid w:val="00FF5AD8"/>
    <w:rsid w:val="00FF5EA2"/>
    <w:rsid w:val="00FF7271"/>
    <w:rsid w:val="00FF78CB"/>
    <w:rsid w:val="00FF7DB6"/>
    <w:rsid w:val="6694719B"/>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80E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5B2"/>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aption2,Caption Char1 Char,Caption Char Char Char,Caption Char1 Char Char Char,Caption Char Char Char Char Char,Caption Char Char1 Char,Caption Char1 Char1,- H17,Table Caption,! Q,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APTION Char,Caption2 Char,Caption Char1 Char Char,Caption Char Char Char Char,Caption Char1 Char Char Char Char,Caption Char Char Char Char Char Char,- H17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der Table,NICE instructions,Source table_,PBAC table,new sty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aliases w:val="Annotationtext,Char, Char,Char1,Char2,Comment Text Char1 Char,Comment Text Char Char Char,list paragraph 2,Comment Text ZS"/>
    <w:basedOn w:val="Normal"/>
    <w:link w:val="CommentTextChar"/>
    <w:qFormat/>
    <w:rsid w:val="00FD2100"/>
    <w:rPr>
      <w:rFonts w:ascii="Times New Roman" w:hAnsi="Times New Roman" w:cs="Times New Roman"/>
      <w:sz w:val="20"/>
    </w:rPr>
  </w:style>
  <w:style w:type="character" w:customStyle="1" w:styleId="CommentTextChar">
    <w:name w:val="Comment Text Char"/>
    <w:aliases w:val="Annotationtext Char,Char Char, Char Char,Char1 Char,Char2 Char,Comment Text Char1 Char Char,Comment Text Char Char Char Char,list paragraph 2 Char,Comment Text ZS Char"/>
    <w:basedOn w:val="DefaultParagraphFont"/>
    <w:link w:val="CommentText"/>
    <w:rsid w:val="00FD2100"/>
    <w:rPr>
      <w:snapToGrid w:val="0"/>
      <w:lang w:eastAsia="en-US"/>
    </w:rPr>
  </w:style>
  <w:style w:type="paragraph" w:customStyle="1" w:styleId="Bulletpoints">
    <w:name w:val="Bullet points"/>
    <w:basedOn w:val="ListParagraph"/>
    <w:uiPriority w:val="99"/>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uiPriority w:val="2"/>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uiPriority w:val="99"/>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uiPriority w:val="2"/>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paragraph" w:customStyle="1" w:styleId="TableBullets">
    <w:name w:val="Table Bullets"/>
    <w:basedOn w:val="TableLeft"/>
    <w:uiPriority w:val="5"/>
    <w:qFormat/>
    <w:rsid w:val="005C3980"/>
    <w:pPr>
      <w:numPr>
        <w:numId w:val="5"/>
      </w:numPr>
      <w:jc w:val="both"/>
    </w:pPr>
    <w:rPr>
      <w:rFonts w:eastAsiaTheme="majorEastAsia" w:cstheme="majorBidi"/>
      <w:sz w:val="18"/>
      <w:lang w:bidi="en-US"/>
    </w:rPr>
  </w:style>
  <w:style w:type="table" w:customStyle="1" w:styleId="TableGrid1">
    <w:name w:val="Table Grid1"/>
    <w:basedOn w:val="TableNormal"/>
    <w:next w:val="TableGrid"/>
    <w:uiPriority w:val="59"/>
    <w:rsid w:val="005C3980"/>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
    <w:name w:val="Small"/>
    <w:basedOn w:val="DefaultParagraphFont"/>
    <w:uiPriority w:val="4"/>
    <w:qFormat/>
    <w:rsid w:val="0018644D"/>
    <w:rPr>
      <w:rFonts w:ascii="Calibri" w:hAnsi="Calibri"/>
      <w:sz w:val="20"/>
    </w:rPr>
  </w:style>
  <w:style w:type="character" w:customStyle="1" w:styleId="SmallHighlight">
    <w:name w:val="Small Highlight"/>
    <w:basedOn w:val="Small"/>
    <w:uiPriority w:val="1"/>
    <w:qFormat/>
    <w:rsid w:val="004A793B"/>
    <w:rPr>
      <w:rFonts w:ascii="Calibri" w:hAnsi="Calibri"/>
      <w:sz w:val="20"/>
      <w:bdr w:val="none" w:sz="0" w:space="0" w:color="auto"/>
      <w:shd w:val="clear" w:color="auto" w:fill="FFFF00"/>
    </w:rPr>
  </w:style>
  <w:style w:type="paragraph" w:customStyle="1" w:styleId="EndNoteBibliographyTitle">
    <w:name w:val="EndNote Bibliography Title"/>
    <w:basedOn w:val="Normal"/>
    <w:link w:val="EndNoteBibliographyTitleChar"/>
    <w:rsid w:val="002078B8"/>
    <w:pPr>
      <w:spacing w:line="276" w:lineRule="auto"/>
      <w:jc w:val="center"/>
    </w:pPr>
    <w:rPr>
      <w:rFonts w:ascii="Verdana" w:eastAsiaTheme="majorEastAsia" w:hAnsi="Verdana" w:cstheme="majorBidi"/>
      <w:noProof/>
      <w:sz w:val="26"/>
      <w:szCs w:val="22"/>
      <w:lang w:val="en-US" w:eastAsia="en-US" w:bidi="en-US"/>
    </w:rPr>
  </w:style>
  <w:style w:type="character" w:customStyle="1" w:styleId="EndNoteBibliographyTitleChar">
    <w:name w:val="EndNote Bibliography Title Char"/>
    <w:basedOn w:val="DefaultParagraphFont"/>
    <w:link w:val="EndNoteBibliographyTitle"/>
    <w:rsid w:val="002078B8"/>
    <w:rPr>
      <w:rFonts w:ascii="Verdana" w:eastAsiaTheme="majorEastAsia" w:hAnsi="Verdana" w:cstheme="majorBidi"/>
      <w:noProof/>
      <w:sz w:val="26"/>
      <w:szCs w:val="22"/>
      <w:lang w:val="en-US" w:eastAsia="en-US" w:bidi="en-US"/>
    </w:rPr>
  </w:style>
  <w:style w:type="paragraph" w:styleId="EndnoteText">
    <w:name w:val="endnote text"/>
    <w:basedOn w:val="Normal"/>
    <w:link w:val="EndnoteTextChar"/>
    <w:uiPriority w:val="99"/>
    <w:semiHidden/>
    <w:unhideWhenUsed/>
    <w:rsid w:val="007A5664"/>
    <w:rPr>
      <w:rFonts w:eastAsiaTheme="majorEastAsia" w:cstheme="majorBidi"/>
      <w:sz w:val="20"/>
      <w:szCs w:val="20"/>
      <w:lang w:eastAsia="en-US" w:bidi="en-US"/>
    </w:rPr>
  </w:style>
  <w:style w:type="character" w:customStyle="1" w:styleId="EndnoteTextChar">
    <w:name w:val="Endnote Text Char"/>
    <w:basedOn w:val="DefaultParagraphFont"/>
    <w:link w:val="EndnoteText"/>
    <w:uiPriority w:val="99"/>
    <w:semiHidden/>
    <w:rsid w:val="007A5664"/>
    <w:rPr>
      <w:rFonts w:ascii="Calibri" w:eastAsiaTheme="majorEastAsia" w:hAnsi="Calibri" w:cstheme="majorBidi"/>
      <w:lang w:eastAsia="en-US" w:bidi="en-US"/>
    </w:rPr>
  </w:style>
  <w:style w:type="character" w:styleId="PlaceholderText">
    <w:name w:val="Placeholder Text"/>
    <w:basedOn w:val="DefaultParagraphFont"/>
    <w:uiPriority w:val="99"/>
    <w:semiHidden/>
    <w:rsid w:val="000073CC"/>
    <w:rPr>
      <w:color w:val="808080"/>
    </w:rPr>
  </w:style>
  <w:style w:type="character" w:customStyle="1" w:styleId="CaptionFootnoteChar">
    <w:name w:val="Caption Footnote Char"/>
    <w:basedOn w:val="DefaultParagraphFont"/>
    <w:link w:val="CaptionFootnote"/>
    <w:rsid w:val="00A4065C"/>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A4065C"/>
    <w:rPr>
      <w:rFonts w:asciiTheme="minorHAnsi" w:hAnsiTheme="minorHAnsi" w:cs="Times New Roman"/>
      <w:kern w:val="28"/>
      <w:sz w:val="16"/>
      <w:lang w:eastAsia="en-GB"/>
    </w:rPr>
  </w:style>
  <w:style w:type="table" w:customStyle="1" w:styleId="TableGrid2">
    <w:name w:val="Table Grid2"/>
    <w:basedOn w:val="TableNormal"/>
    <w:next w:val="TableGrid"/>
    <w:uiPriority w:val="59"/>
    <w:rsid w:val="00A430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1">
    <w:name w:val="Submission standard1"/>
    <w:basedOn w:val="TableNormal"/>
    <w:uiPriority w:val="99"/>
    <w:qFormat/>
    <w:rsid w:val="007559CA"/>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table" w:customStyle="1" w:styleId="Sourcetable1">
    <w:name w:val="Source table_1"/>
    <w:basedOn w:val="TableNormal"/>
    <w:next w:val="TableGrid"/>
    <w:uiPriority w:val="59"/>
    <w:rsid w:val="00ED0BA6"/>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urcetable2">
    <w:name w:val="Source table_2"/>
    <w:basedOn w:val="TableNormal"/>
    <w:next w:val="TableGrid"/>
    <w:uiPriority w:val="59"/>
    <w:rsid w:val="00ED0BA6"/>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DB27A0"/>
  </w:style>
  <w:style w:type="table" w:customStyle="1" w:styleId="Submissionstandard">
    <w:name w:val="Submission standard"/>
    <w:basedOn w:val="TableNormal"/>
    <w:uiPriority w:val="99"/>
    <w:qFormat/>
    <w:rsid w:val="0083783A"/>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Yu Gothic UI Semilight" w:hAnsi="@Yu Gothic UI Semilight"/>
        <w:b/>
        <w:sz w:val="20"/>
      </w:rPr>
      <w:tblPr/>
      <w:tcPr>
        <w:shd w:val="clear" w:color="auto" w:fill="BFBFBF" w:themeFill="background1" w:themeFillShade="BF"/>
      </w:tcPr>
    </w:tblStylePr>
  </w:style>
  <w:style w:type="paragraph" w:customStyle="1" w:styleId="paragraph">
    <w:name w:val="paragraph"/>
    <w:basedOn w:val="Normal"/>
    <w:uiPriority w:val="99"/>
    <w:rsid w:val="0083783A"/>
    <w:pPr>
      <w:spacing w:before="100" w:beforeAutospacing="1" w:after="100" w:afterAutospacing="1"/>
      <w:jc w:val="left"/>
    </w:pPr>
    <w:rPr>
      <w:rFonts w:ascii="Times New Roman" w:eastAsia="SimSun" w:hAnsi="Times New Roman" w:cs="Times New Roman"/>
      <w:lang w:val="en-US" w:eastAsia="en-US"/>
    </w:rPr>
  </w:style>
  <w:style w:type="character" w:customStyle="1" w:styleId="normaltextrun">
    <w:name w:val="normaltextrun"/>
    <w:basedOn w:val="DefaultParagraphFont"/>
    <w:rsid w:val="0083783A"/>
  </w:style>
  <w:style w:type="character" w:customStyle="1" w:styleId="eop">
    <w:name w:val="eop"/>
    <w:basedOn w:val="DefaultParagraphFont"/>
    <w:rsid w:val="0083783A"/>
  </w:style>
  <w:style w:type="character" w:customStyle="1" w:styleId="spellingerrorsuperscript">
    <w:name w:val="spellingerrorsuperscript"/>
    <w:basedOn w:val="DefaultParagraphFont"/>
    <w:rsid w:val="0083783A"/>
  </w:style>
  <w:style w:type="paragraph" w:customStyle="1" w:styleId="InstructionalText">
    <w:name w:val="Instructional Text"/>
    <w:basedOn w:val="Normal"/>
    <w:link w:val="InstructionalTextChar"/>
    <w:uiPriority w:val="3"/>
    <w:qFormat/>
    <w:rsid w:val="0083783A"/>
    <w:pPr>
      <w:spacing w:before="120" w:after="160"/>
    </w:pPr>
    <w:rPr>
      <w:rFonts w:asciiTheme="minorHAnsi" w:hAnsiTheme="minorHAnsi" w:cs="Cordia New"/>
      <w:color w:val="0070C0"/>
      <w:szCs w:val="22"/>
      <w:lang w:eastAsia="en-US"/>
    </w:rPr>
  </w:style>
  <w:style w:type="character" w:customStyle="1" w:styleId="InstructionalTextChar">
    <w:name w:val="Instructional Text Char"/>
    <w:basedOn w:val="DefaultParagraphFont"/>
    <w:link w:val="InstructionalText"/>
    <w:uiPriority w:val="3"/>
    <w:locked/>
    <w:rsid w:val="0083783A"/>
    <w:rPr>
      <w:rFonts w:asciiTheme="minorHAnsi" w:hAnsiTheme="minorHAnsi" w:cs="Cordia New"/>
      <w:color w:val="0070C0"/>
      <w:sz w:val="24"/>
      <w:szCs w:val="22"/>
      <w:lang w:eastAsia="en-US"/>
    </w:rPr>
  </w:style>
  <w:style w:type="table" w:customStyle="1" w:styleId="Style3">
    <w:name w:val="Style3"/>
    <w:basedOn w:val="TableGrid10"/>
    <w:uiPriority w:val="99"/>
    <w:rsid w:val="0083783A"/>
    <w:rPr>
      <w:rFonts w:ascii="Arial" w:hAnsi="Arial"/>
      <w:sz w:val="21"/>
      <w:szCs w:val="21"/>
      <w:lang w:val="en-US" w:eastAsia="en-US"/>
    </w:rPr>
    <w:tblPr/>
    <w:tcPr>
      <w:shd w:val="clear" w:color="auto" w:fill="auto"/>
    </w:tcPr>
    <w:tblStylePr w:type="firstRow">
      <w:pPr>
        <w:jc w:val="center"/>
      </w:pPr>
      <w:rPr>
        <w:b/>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0">
    <w:name w:val="Table Grid 1"/>
    <w:basedOn w:val="TableNormal"/>
    <w:semiHidden/>
    <w:unhideWhenUsed/>
    <w:rsid w:val="0083783A"/>
    <w:pPr>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uiPriority w:val="99"/>
    <w:rsid w:val="0083783A"/>
    <w:pPr>
      <w:autoSpaceDE w:val="0"/>
      <w:autoSpaceDN w:val="0"/>
      <w:adjustRightInd w:val="0"/>
    </w:pPr>
    <w:rPr>
      <w:rFonts w:ascii="Calibri" w:eastAsia="Batang" w:hAnsi="Calibri" w:cs="Calibri"/>
      <w:color w:val="000000"/>
      <w:sz w:val="24"/>
      <w:szCs w:val="24"/>
      <w:lang w:val="en-US" w:eastAsia="en-US"/>
    </w:rPr>
  </w:style>
  <w:style w:type="paragraph" w:styleId="FootnoteText">
    <w:name w:val="footnote text"/>
    <w:basedOn w:val="Normal"/>
    <w:link w:val="FootnoteTextChar"/>
    <w:uiPriority w:val="99"/>
    <w:semiHidden/>
    <w:unhideWhenUsed/>
    <w:rsid w:val="0083783A"/>
    <w:rPr>
      <w:rFonts w:eastAsia="SimSun"/>
      <w:sz w:val="20"/>
      <w:szCs w:val="20"/>
    </w:rPr>
  </w:style>
  <w:style w:type="character" w:customStyle="1" w:styleId="FootnoteTextChar">
    <w:name w:val="Footnote Text Char"/>
    <w:basedOn w:val="DefaultParagraphFont"/>
    <w:link w:val="FootnoteText"/>
    <w:uiPriority w:val="99"/>
    <w:semiHidden/>
    <w:rsid w:val="0083783A"/>
    <w:rPr>
      <w:rFonts w:ascii="Calibri" w:eastAsia="SimSun" w:hAnsi="Calibri" w:cs="Arial"/>
    </w:rPr>
  </w:style>
  <w:style w:type="character" w:styleId="FootnoteReference">
    <w:name w:val="footnote reference"/>
    <w:basedOn w:val="DefaultParagraphFont"/>
    <w:semiHidden/>
    <w:unhideWhenUsed/>
    <w:rsid w:val="0083783A"/>
    <w:rPr>
      <w:vertAlign w:val="superscript"/>
    </w:rPr>
  </w:style>
  <w:style w:type="character" w:customStyle="1" w:styleId="FontBold">
    <w:name w:val="Font Bold"/>
    <w:basedOn w:val="DefaultParagraphFont"/>
    <w:uiPriority w:val="1"/>
    <w:qFormat/>
    <w:rsid w:val="00EB0D25"/>
    <w:rPr>
      <w:rFonts w:ascii="Calibri" w:hAnsi="Calibri"/>
      <w:b/>
      <w:i w:val="0"/>
      <w:sz w:val="24"/>
    </w:rPr>
  </w:style>
  <w:style w:type="character" w:customStyle="1" w:styleId="Heading1Char">
    <w:name w:val="Heading 1 Char"/>
    <w:basedOn w:val="DefaultParagraphFont"/>
    <w:link w:val="Heading1"/>
    <w:rsid w:val="00A15C4B"/>
    <w:rPr>
      <w:rFonts w:ascii="Calibri" w:hAnsi="Calibri" w:cs="Arial"/>
      <w:b/>
      <w:caps/>
      <w:sz w:val="32"/>
      <w:szCs w:val="24"/>
    </w:rPr>
  </w:style>
  <w:style w:type="character" w:customStyle="1" w:styleId="Heading3Char">
    <w:name w:val="Heading 3 Char"/>
    <w:basedOn w:val="DefaultParagraphFont"/>
    <w:link w:val="Heading3"/>
    <w:rsid w:val="00A15C4B"/>
    <w:rPr>
      <w:rFonts w:ascii="Calibri" w:hAnsi="Calibri" w:cs="Arial"/>
      <w:sz w:val="24"/>
      <w:szCs w:val="24"/>
      <w:u w:val="single"/>
    </w:rPr>
  </w:style>
  <w:style w:type="character" w:customStyle="1" w:styleId="Heading4Char">
    <w:name w:val="Heading 4 Char"/>
    <w:basedOn w:val="DefaultParagraphFont"/>
    <w:link w:val="Heading4"/>
    <w:rsid w:val="00A15C4B"/>
    <w:rPr>
      <w:rFonts w:ascii="Calibri" w:hAnsi="Calibri" w:cs="Arial"/>
      <w:b/>
      <w:bCs/>
      <w:i/>
      <w:sz w:val="26"/>
      <w:szCs w:val="28"/>
    </w:rPr>
  </w:style>
  <w:style w:type="character" w:customStyle="1" w:styleId="Heading5Char">
    <w:name w:val="Heading 5 Char"/>
    <w:basedOn w:val="DefaultParagraphFont"/>
    <w:link w:val="Heading5"/>
    <w:rsid w:val="00A15C4B"/>
    <w:rPr>
      <w:rFonts w:ascii="Calibri" w:hAnsi="Calibri" w:cs="Arial"/>
      <w:b/>
      <w:bCs/>
      <w:iCs/>
      <w:sz w:val="26"/>
      <w:szCs w:val="26"/>
    </w:rPr>
  </w:style>
  <w:style w:type="character" w:customStyle="1" w:styleId="Heading6Char">
    <w:name w:val="Heading 6 Char"/>
    <w:basedOn w:val="DefaultParagraphFont"/>
    <w:link w:val="Heading6"/>
    <w:rsid w:val="00A15C4B"/>
    <w:rPr>
      <w:rFonts w:ascii="Calibri" w:hAnsi="Calibri" w:cs="Arial"/>
      <w:b/>
      <w:bCs/>
      <w:i/>
      <w:sz w:val="24"/>
      <w:szCs w:val="24"/>
    </w:rPr>
  </w:style>
  <w:style w:type="paragraph" w:customStyle="1" w:styleId="msonormal0">
    <w:name w:val="msonormal"/>
    <w:basedOn w:val="Normal"/>
    <w:uiPriority w:val="99"/>
    <w:rsid w:val="00A15C4B"/>
    <w:pPr>
      <w:snapToGrid w:val="0"/>
      <w:spacing w:before="100" w:after="100"/>
      <w:jc w:val="left"/>
    </w:pPr>
    <w:rPr>
      <w:rFonts w:ascii="Times New Roman" w:hAnsi="Times New Roman" w:cs="Times New Roman"/>
      <w:lang w:val="en-GB"/>
    </w:rPr>
  </w:style>
  <w:style w:type="character" w:customStyle="1" w:styleId="CommentTextChar1">
    <w:name w:val="Comment Text Char1"/>
    <w:aliases w:val="Annotationtext Char1,Char Char1,Char1 Char1,Char2 Char1,Comment Text Char1 Char Char1,Comment Text Char Char Char Char1,list paragraph 2 Char1,Comment Text ZS Char1"/>
    <w:basedOn w:val="DefaultParagraphFont"/>
    <w:uiPriority w:val="99"/>
    <w:semiHidden/>
    <w:rsid w:val="00A15C4B"/>
    <w:rPr>
      <w:rFonts w:ascii="Calibri" w:hAnsi="Calibri" w:cs="Arial"/>
    </w:rPr>
  </w:style>
  <w:style w:type="character" w:customStyle="1" w:styleId="HeaderChar1">
    <w:name w:val="Header Char1"/>
    <w:aliases w:val="Page Header Char1,Header title Char1,he=header Char1,cntr/bld Char1"/>
    <w:basedOn w:val="DefaultParagraphFont"/>
    <w:semiHidden/>
    <w:rsid w:val="00A15C4B"/>
    <w:rPr>
      <w:rFonts w:ascii="Calibri" w:hAnsi="Calibri" w:cs="Arial"/>
      <w:sz w:val="24"/>
      <w:szCs w:val="24"/>
    </w:rPr>
  </w:style>
  <w:style w:type="character" w:customStyle="1" w:styleId="UnresolvedMention1">
    <w:name w:val="Unresolved Mention1"/>
    <w:basedOn w:val="DefaultParagraphFont"/>
    <w:uiPriority w:val="99"/>
    <w:unhideWhenUsed/>
    <w:rsid w:val="00426735"/>
    <w:rPr>
      <w:color w:val="605E5C"/>
      <w:shd w:val="clear" w:color="auto" w:fill="E1DFDD"/>
    </w:rPr>
  </w:style>
  <w:style w:type="character" w:customStyle="1" w:styleId="Mention1">
    <w:name w:val="Mention1"/>
    <w:basedOn w:val="DefaultParagraphFont"/>
    <w:uiPriority w:val="99"/>
    <w:unhideWhenUsed/>
    <w:rsid w:val="004267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74">
      <w:bodyDiv w:val="1"/>
      <w:marLeft w:val="0"/>
      <w:marRight w:val="0"/>
      <w:marTop w:val="0"/>
      <w:marBottom w:val="0"/>
      <w:divBdr>
        <w:top w:val="none" w:sz="0" w:space="0" w:color="auto"/>
        <w:left w:val="none" w:sz="0" w:space="0" w:color="auto"/>
        <w:bottom w:val="none" w:sz="0" w:space="0" w:color="auto"/>
        <w:right w:val="none" w:sz="0" w:space="0" w:color="auto"/>
      </w:divBdr>
    </w:div>
    <w:div w:id="9067505">
      <w:bodyDiv w:val="1"/>
      <w:marLeft w:val="0"/>
      <w:marRight w:val="0"/>
      <w:marTop w:val="0"/>
      <w:marBottom w:val="0"/>
      <w:divBdr>
        <w:top w:val="none" w:sz="0" w:space="0" w:color="auto"/>
        <w:left w:val="none" w:sz="0" w:space="0" w:color="auto"/>
        <w:bottom w:val="none" w:sz="0" w:space="0" w:color="auto"/>
        <w:right w:val="none" w:sz="0" w:space="0" w:color="auto"/>
      </w:divBdr>
    </w:div>
    <w:div w:id="50660642">
      <w:bodyDiv w:val="1"/>
      <w:marLeft w:val="0"/>
      <w:marRight w:val="0"/>
      <w:marTop w:val="0"/>
      <w:marBottom w:val="0"/>
      <w:divBdr>
        <w:top w:val="none" w:sz="0" w:space="0" w:color="auto"/>
        <w:left w:val="none" w:sz="0" w:space="0" w:color="auto"/>
        <w:bottom w:val="none" w:sz="0" w:space="0" w:color="auto"/>
        <w:right w:val="none" w:sz="0" w:space="0" w:color="auto"/>
      </w:divBdr>
    </w:div>
    <w:div w:id="58679063">
      <w:bodyDiv w:val="1"/>
      <w:marLeft w:val="0"/>
      <w:marRight w:val="0"/>
      <w:marTop w:val="0"/>
      <w:marBottom w:val="0"/>
      <w:divBdr>
        <w:top w:val="none" w:sz="0" w:space="0" w:color="auto"/>
        <w:left w:val="none" w:sz="0" w:space="0" w:color="auto"/>
        <w:bottom w:val="none" w:sz="0" w:space="0" w:color="auto"/>
        <w:right w:val="none" w:sz="0" w:space="0" w:color="auto"/>
      </w:divBdr>
    </w:div>
    <w:div w:id="78214153">
      <w:bodyDiv w:val="1"/>
      <w:marLeft w:val="0"/>
      <w:marRight w:val="0"/>
      <w:marTop w:val="0"/>
      <w:marBottom w:val="0"/>
      <w:divBdr>
        <w:top w:val="none" w:sz="0" w:space="0" w:color="auto"/>
        <w:left w:val="none" w:sz="0" w:space="0" w:color="auto"/>
        <w:bottom w:val="none" w:sz="0" w:space="0" w:color="auto"/>
        <w:right w:val="none" w:sz="0" w:space="0" w:color="auto"/>
      </w:divBdr>
    </w:div>
    <w:div w:id="10060825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4856921">
      <w:bodyDiv w:val="1"/>
      <w:marLeft w:val="0"/>
      <w:marRight w:val="0"/>
      <w:marTop w:val="0"/>
      <w:marBottom w:val="0"/>
      <w:divBdr>
        <w:top w:val="none" w:sz="0" w:space="0" w:color="auto"/>
        <w:left w:val="none" w:sz="0" w:space="0" w:color="auto"/>
        <w:bottom w:val="none" w:sz="0" w:space="0" w:color="auto"/>
        <w:right w:val="none" w:sz="0" w:space="0" w:color="auto"/>
      </w:divBdr>
    </w:div>
    <w:div w:id="200171026">
      <w:bodyDiv w:val="1"/>
      <w:marLeft w:val="0"/>
      <w:marRight w:val="0"/>
      <w:marTop w:val="0"/>
      <w:marBottom w:val="0"/>
      <w:divBdr>
        <w:top w:val="none" w:sz="0" w:space="0" w:color="auto"/>
        <w:left w:val="none" w:sz="0" w:space="0" w:color="auto"/>
        <w:bottom w:val="none" w:sz="0" w:space="0" w:color="auto"/>
        <w:right w:val="none" w:sz="0" w:space="0" w:color="auto"/>
      </w:divBdr>
    </w:div>
    <w:div w:id="28188795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7314892">
      <w:bodyDiv w:val="1"/>
      <w:marLeft w:val="0"/>
      <w:marRight w:val="0"/>
      <w:marTop w:val="0"/>
      <w:marBottom w:val="0"/>
      <w:divBdr>
        <w:top w:val="none" w:sz="0" w:space="0" w:color="auto"/>
        <w:left w:val="none" w:sz="0" w:space="0" w:color="auto"/>
        <w:bottom w:val="none" w:sz="0" w:space="0" w:color="auto"/>
        <w:right w:val="none" w:sz="0" w:space="0" w:color="auto"/>
      </w:divBdr>
      <w:divsChild>
        <w:div w:id="911350296">
          <w:marLeft w:val="0"/>
          <w:marRight w:val="0"/>
          <w:marTop w:val="0"/>
          <w:marBottom w:val="0"/>
          <w:divBdr>
            <w:top w:val="none" w:sz="0" w:space="0" w:color="auto"/>
            <w:left w:val="none" w:sz="0" w:space="0" w:color="auto"/>
            <w:bottom w:val="none" w:sz="0" w:space="0" w:color="auto"/>
            <w:right w:val="none" w:sz="0" w:space="0" w:color="auto"/>
          </w:divBdr>
          <w:divsChild>
            <w:div w:id="1764062568">
              <w:marLeft w:val="0"/>
              <w:marRight w:val="0"/>
              <w:marTop w:val="0"/>
              <w:marBottom w:val="0"/>
              <w:divBdr>
                <w:top w:val="none" w:sz="0" w:space="0" w:color="auto"/>
                <w:left w:val="none" w:sz="0" w:space="0" w:color="auto"/>
                <w:bottom w:val="none" w:sz="0" w:space="0" w:color="auto"/>
                <w:right w:val="none" w:sz="0" w:space="0" w:color="auto"/>
              </w:divBdr>
              <w:divsChild>
                <w:div w:id="46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00693">
      <w:bodyDiv w:val="1"/>
      <w:marLeft w:val="0"/>
      <w:marRight w:val="0"/>
      <w:marTop w:val="0"/>
      <w:marBottom w:val="0"/>
      <w:divBdr>
        <w:top w:val="none" w:sz="0" w:space="0" w:color="auto"/>
        <w:left w:val="none" w:sz="0" w:space="0" w:color="auto"/>
        <w:bottom w:val="none" w:sz="0" w:space="0" w:color="auto"/>
        <w:right w:val="none" w:sz="0" w:space="0" w:color="auto"/>
      </w:divBdr>
    </w:div>
    <w:div w:id="514348613">
      <w:bodyDiv w:val="1"/>
      <w:marLeft w:val="0"/>
      <w:marRight w:val="0"/>
      <w:marTop w:val="0"/>
      <w:marBottom w:val="0"/>
      <w:divBdr>
        <w:top w:val="none" w:sz="0" w:space="0" w:color="auto"/>
        <w:left w:val="none" w:sz="0" w:space="0" w:color="auto"/>
        <w:bottom w:val="none" w:sz="0" w:space="0" w:color="auto"/>
        <w:right w:val="none" w:sz="0" w:space="0" w:color="auto"/>
      </w:divBdr>
    </w:div>
    <w:div w:id="549803600">
      <w:bodyDiv w:val="1"/>
      <w:marLeft w:val="0"/>
      <w:marRight w:val="0"/>
      <w:marTop w:val="0"/>
      <w:marBottom w:val="0"/>
      <w:divBdr>
        <w:top w:val="none" w:sz="0" w:space="0" w:color="auto"/>
        <w:left w:val="none" w:sz="0" w:space="0" w:color="auto"/>
        <w:bottom w:val="none" w:sz="0" w:space="0" w:color="auto"/>
        <w:right w:val="none" w:sz="0" w:space="0" w:color="auto"/>
      </w:divBdr>
    </w:div>
    <w:div w:id="607350044">
      <w:bodyDiv w:val="1"/>
      <w:marLeft w:val="0"/>
      <w:marRight w:val="0"/>
      <w:marTop w:val="0"/>
      <w:marBottom w:val="0"/>
      <w:divBdr>
        <w:top w:val="none" w:sz="0" w:space="0" w:color="auto"/>
        <w:left w:val="none" w:sz="0" w:space="0" w:color="auto"/>
        <w:bottom w:val="none" w:sz="0" w:space="0" w:color="auto"/>
        <w:right w:val="none" w:sz="0" w:space="0" w:color="auto"/>
      </w:divBdr>
    </w:div>
    <w:div w:id="700205904">
      <w:bodyDiv w:val="1"/>
      <w:marLeft w:val="0"/>
      <w:marRight w:val="0"/>
      <w:marTop w:val="0"/>
      <w:marBottom w:val="0"/>
      <w:divBdr>
        <w:top w:val="none" w:sz="0" w:space="0" w:color="auto"/>
        <w:left w:val="none" w:sz="0" w:space="0" w:color="auto"/>
        <w:bottom w:val="none" w:sz="0" w:space="0" w:color="auto"/>
        <w:right w:val="none" w:sz="0" w:space="0" w:color="auto"/>
      </w:divBdr>
    </w:div>
    <w:div w:id="798491961">
      <w:bodyDiv w:val="1"/>
      <w:marLeft w:val="0"/>
      <w:marRight w:val="0"/>
      <w:marTop w:val="0"/>
      <w:marBottom w:val="0"/>
      <w:divBdr>
        <w:top w:val="none" w:sz="0" w:space="0" w:color="auto"/>
        <w:left w:val="none" w:sz="0" w:space="0" w:color="auto"/>
        <w:bottom w:val="none" w:sz="0" w:space="0" w:color="auto"/>
        <w:right w:val="none" w:sz="0" w:space="0" w:color="auto"/>
      </w:divBdr>
    </w:div>
    <w:div w:id="804932610">
      <w:bodyDiv w:val="1"/>
      <w:marLeft w:val="0"/>
      <w:marRight w:val="0"/>
      <w:marTop w:val="0"/>
      <w:marBottom w:val="0"/>
      <w:divBdr>
        <w:top w:val="none" w:sz="0" w:space="0" w:color="auto"/>
        <w:left w:val="none" w:sz="0" w:space="0" w:color="auto"/>
        <w:bottom w:val="none" w:sz="0" w:space="0" w:color="auto"/>
        <w:right w:val="none" w:sz="0" w:space="0" w:color="auto"/>
      </w:divBdr>
      <w:divsChild>
        <w:div w:id="463430881">
          <w:marLeft w:val="0"/>
          <w:marRight w:val="0"/>
          <w:marTop w:val="0"/>
          <w:marBottom w:val="0"/>
          <w:divBdr>
            <w:top w:val="none" w:sz="0" w:space="0" w:color="auto"/>
            <w:left w:val="none" w:sz="0" w:space="0" w:color="auto"/>
            <w:bottom w:val="none" w:sz="0" w:space="0" w:color="auto"/>
            <w:right w:val="none" w:sz="0" w:space="0" w:color="auto"/>
          </w:divBdr>
          <w:divsChild>
            <w:div w:id="123043069">
              <w:marLeft w:val="0"/>
              <w:marRight w:val="0"/>
              <w:marTop w:val="0"/>
              <w:marBottom w:val="0"/>
              <w:divBdr>
                <w:top w:val="none" w:sz="0" w:space="0" w:color="auto"/>
                <w:left w:val="none" w:sz="0" w:space="0" w:color="auto"/>
                <w:bottom w:val="none" w:sz="0" w:space="0" w:color="auto"/>
                <w:right w:val="none" w:sz="0" w:space="0" w:color="auto"/>
              </w:divBdr>
              <w:divsChild>
                <w:div w:id="13201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02787">
      <w:bodyDiv w:val="1"/>
      <w:marLeft w:val="0"/>
      <w:marRight w:val="0"/>
      <w:marTop w:val="0"/>
      <w:marBottom w:val="0"/>
      <w:divBdr>
        <w:top w:val="none" w:sz="0" w:space="0" w:color="auto"/>
        <w:left w:val="none" w:sz="0" w:space="0" w:color="auto"/>
        <w:bottom w:val="none" w:sz="0" w:space="0" w:color="auto"/>
        <w:right w:val="none" w:sz="0" w:space="0" w:color="auto"/>
      </w:divBdr>
    </w:div>
    <w:div w:id="914049314">
      <w:bodyDiv w:val="1"/>
      <w:marLeft w:val="0"/>
      <w:marRight w:val="0"/>
      <w:marTop w:val="0"/>
      <w:marBottom w:val="0"/>
      <w:divBdr>
        <w:top w:val="none" w:sz="0" w:space="0" w:color="auto"/>
        <w:left w:val="none" w:sz="0" w:space="0" w:color="auto"/>
        <w:bottom w:val="none" w:sz="0" w:space="0" w:color="auto"/>
        <w:right w:val="none" w:sz="0" w:space="0" w:color="auto"/>
      </w:divBdr>
    </w:div>
    <w:div w:id="1080711522">
      <w:bodyDiv w:val="1"/>
      <w:marLeft w:val="0"/>
      <w:marRight w:val="0"/>
      <w:marTop w:val="0"/>
      <w:marBottom w:val="0"/>
      <w:divBdr>
        <w:top w:val="none" w:sz="0" w:space="0" w:color="auto"/>
        <w:left w:val="none" w:sz="0" w:space="0" w:color="auto"/>
        <w:bottom w:val="none" w:sz="0" w:space="0" w:color="auto"/>
        <w:right w:val="none" w:sz="0" w:space="0" w:color="auto"/>
      </w:divBdr>
      <w:divsChild>
        <w:div w:id="2086761915">
          <w:marLeft w:val="0"/>
          <w:marRight w:val="0"/>
          <w:marTop w:val="0"/>
          <w:marBottom w:val="0"/>
          <w:divBdr>
            <w:top w:val="none" w:sz="0" w:space="0" w:color="auto"/>
            <w:left w:val="none" w:sz="0" w:space="0" w:color="auto"/>
            <w:bottom w:val="none" w:sz="0" w:space="0" w:color="auto"/>
            <w:right w:val="none" w:sz="0" w:space="0" w:color="auto"/>
          </w:divBdr>
          <w:divsChild>
            <w:div w:id="245848327">
              <w:marLeft w:val="0"/>
              <w:marRight w:val="0"/>
              <w:marTop w:val="0"/>
              <w:marBottom w:val="0"/>
              <w:divBdr>
                <w:top w:val="none" w:sz="0" w:space="0" w:color="auto"/>
                <w:left w:val="none" w:sz="0" w:space="0" w:color="auto"/>
                <w:bottom w:val="none" w:sz="0" w:space="0" w:color="auto"/>
                <w:right w:val="none" w:sz="0" w:space="0" w:color="auto"/>
              </w:divBdr>
              <w:divsChild>
                <w:div w:id="8816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0665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51055">
      <w:bodyDiv w:val="1"/>
      <w:marLeft w:val="0"/>
      <w:marRight w:val="0"/>
      <w:marTop w:val="0"/>
      <w:marBottom w:val="0"/>
      <w:divBdr>
        <w:top w:val="none" w:sz="0" w:space="0" w:color="auto"/>
        <w:left w:val="none" w:sz="0" w:space="0" w:color="auto"/>
        <w:bottom w:val="none" w:sz="0" w:space="0" w:color="auto"/>
        <w:right w:val="none" w:sz="0" w:space="0" w:color="auto"/>
      </w:divBdr>
    </w:div>
    <w:div w:id="1263883143">
      <w:bodyDiv w:val="1"/>
      <w:marLeft w:val="0"/>
      <w:marRight w:val="0"/>
      <w:marTop w:val="0"/>
      <w:marBottom w:val="0"/>
      <w:divBdr>
        <w:top w:val="none" w:sz="0" w:space="0" w:color="auto"/>
        <w:left w:val="none" w:sz="0" w:space="0" w:color="auto"/>
        <w:bottom w:val="none" w:sz="0" w:space="0" w:color="auto"/>
        <w:right w:val="none" w:sz="0" w:space="0" w:color="auto"/>
      </w:divBdr>
    </w:div>
    <w:div w:id="1357998919">
      <w:bodyDiv w:val="1"/>
      <w:marLeft w:val="0"/>
      <w:marRight w:val="0"/>
      <w:marTop w:val="0"/>
      <w:marBottom w:val="0"/>
      <w:divBdr>
        <w:top w:val="none" w:sz="0" w:space="0" w:color="auto"/>
        <w:left w:val="none" w:sz="0" w:space="0" w:color="auto"/>
        <w:bottom w:val="none" w:sz="0" w:space="0" w:color="auto"/>
        <w:right w:val="none" w:sz="0" w:space="0" w:color="auto"/>
      </w:divBdr>
    </w:div>
    <w:div w:id="1397971480">
      <w:bodyDiv w:val="1"/>
      <w:marLeft w:val="0"/>
      <w:marRight w:val="0"/>
      <w:marTop w:val="0"/>
      <w:marBottom w:val="0"/>
      <w:divBdr>
        <w:top w:val="none" w:sz="0" w:space="0" w:color="auto"/>
        <w:left w:val="none" w:sz="0" w:space="0" w:color="auto"/>
        <w:bottom w:val="none" w:sz="0" w:space="0" w:color="auto"/>
        <w:right w:val="none" w:sz="0" w:space="0" w:color="auto"/>
      </w:divBdr>
    </w:div>
    <w:div w:id="1458328538">
      <w:bodyDiv w:val="1"/>
      <w:marLeft w:val="0"/>
      <w:marRight w:val="0"/>
      <w:marTop w:val="0"/>
      <w:marBottom w:val="0"/>
      <w:divBdr>
        <w:top w:val="none" w:sz="0" w:space="0" w:color="auto"/>
        <w:left w:val="none" w:sz="0" w:space="0" w:color="auto"/>
        <w:bottom w:val="none" w:sz="0" w:space="0" w:color="auto"/>
        <w:right w:val="none" w:sz="0" w:space="0" w:color="auto"/>
      </w:divBdr>
    </w:div>
    <w:div w:id="1484275207">
      <w:bodyDiv w:val="1"/>
      <w:marLeft w:val="0"/>
      <w:marRight w:val="0"/>
      <w:marTop w:val="0"/>
      <w:marBottom w:val="0"/>
      <w:divBdr>
        <w:top w:val="none" w:sz="0" w:space="0" w:color="auto"/>
        <w:left w:val="none" w:sz="0" w:space="0" w:color="auto"/>
        <w:bottom w:val="none" w:sz="0" w:space="0" w:color="auto"/>
        <w:right w:val="none" w:sz="0" w:space="0" w:color="auto"/>
      </w:divBdr>
      <w:divsChild>
        <w:div w:id="158665424">
          <w:marLeft w:val="0"/>
          <w:marRight w:val="0"/>
          <w:marTop w:val="0"/>
          <w:marBottom w:val="0"/>
          <w:divBdr>
            <w:top w:val="none" w:sz="0" w:space="0" w:color="auto"/>
            <w:left w:val="none" w:sz="0" w:space="0" w:color="auto"/>
            <w:bottom w:val="none" w:sz="0" w:space="0" w:color="auto"/>
            <w:right w:val="none" w:sz="0" w:space="0" w:color="auto"/>
          </w:divBdr>
          <w:divsChild>
            <w:div w:id="1880432542">
              <w:marLeft w:val="0"/>
              <w:marRight w:val="0"/>
              <w:marTop w:val="0"/>
              <w:marBottom w:val="0"/>
              <w:divBdr>
                <w:top w:val="none" w:sz="0" w:space="0" w:color="auto"/>
                <w:left w:val="none" w:sz="0" w:space="0" w:color="auto"/>
                <w:bottom w:val="none" w:sz="0" w:space="0" w:color="auto"/>
                <w:right w:val="none" w:sz="0" w:space="0" w:color="auto"/>
              </w:divBdr>
              <w:divsChild>
                <w:div w:id="248276592">
                  <w:marLeft w:val="0"/>
                  <w:marRight w:val="0"/>
                  <w:marTop w:val="0"/>
                  <w:marBottom w:val="0"/>
                  <w:divBdr>
                    <w:top w:val="none" w:sz="0" w:space="0" w:color="auto"/>
                    <w:left w:val="none" w:sz="0" w:space="0" w:color="auto"/>
                    <w:bottom w:val="none" w:sz="0" w:space="0" w:color="auto"/>
                    <w:right w:val="none" w:sz="0" w:space="0" w:color="auto"/>
                  </w:divBdr>
                  <w:divsChild>
                    <w:div w:id="393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434025">
      <w:bodyDiv w:val="1"/>
      <w:marLeft w:val="0"/>
      <w:marRight w:val="0"/>
      <w:marTop w:val="0"/>
      <w:marBottom w:val="0"/>
      <w:divBdr>
        <w:top w:val="none" w:sz="0" w:space="0" w:color="auto"/>
        <w:left w:val="none" w:sz="0" w:space="0" w:color="auto"/>
        <w:bottom w:val="none" w:sz="0" w:space="0" w:color="auto"/>
        <w:right w:val="none" w:sz="0" w:space="0" w:color="auto"/>
      </w:divBdr>
    </w:div>
    <w:div w:id="1538152732">
      <w:bodyDiv w:val="1"/>
      <w:marLeft w:val="0"/>
      <w:marRight w:val="0"/>
      <w:marTop w:val="0"/>
      <w:marBottom w:val="0"/>
      <w:divBdr>
        <w:top w:val="none" w:sz="0" w:space="0" w:color="auto"/>
        <w:left w:val="none" w:sz="0" w:space="0" w:color="auto"/>
        <w:bottom w:val="none" w:sz="0" w:space="0" w:color="auto"/>
        <w:right w:val="none" w:sz="0" w:space="0" w:color="auto"/>
      </w:divBdr>
    </w:div>
    <w:div w:id="1700928484">
      <w:bodyDiv w:val="1"/>
      <w:marLeft w:val="0"/>
      <w:marRight w:val="0"/>
      <w:marTop w:val="0"/>
      <w:marBottom w:val="0"/>
      <w:divBdr>
        <w:top w:val="none" w:sz="0" w:space="0" w:color="auto"/>
        <w:left w:val="none" w:sz="0" w:space="0" w:color="auto"/>
        <w:bottom w:val="none" w:sz="0" w:space="0" w:color="auto"/>
        <w:right w:val="none" w:sz="0" w:space="0" w:color="auto"/>
      </w:divBdr>
    </w:div>
    <w:div w:id="1718700764">
      <w:bodyDiv w:val="1"/>
      <w:marLeft w:val="0"/>
      <w:marRight w:val="0"/>
      <w:marTop w:val="0"/>
      <w:marBottom w:val="0"/>
      <w:divBdr>
        <w:top w:val="none" w:sz="0" w:space="0" w:color="auto"/>
        <w:left w:val="none" w:sz="0" w:space="0" w:color="auto"/>
        <w:bottom w:val="none" w:sz="0" w:space="0" w:color="auto"/>
        <w:right w:val="none" w:sz="0" w:space="0" w:color="auto"/>
      </w:divBdr>
    </w:div>
    <w:div w:id="1741051793">
      <w:bodyDiv w:val="1"/>
      <w:marLeft w:val="0"/>
      <w:marRight w:val="0"/>
      <w:marTop w:val="0"/>
      <w:marBottom w:val="0"/>
      <w:divBdr>
        <w:top w:val="none" w:sz="0" w:space="0" w:color="auto"/>
        <w:left w:val="none" w:sz="0" w:space="0" w:color="auto"/>
        <w:bottom w:val="none" w:sz="0" w:space="0" w:color="auto"/>
        <w:right w:val="none" w:sz="0" w:space="0" w:color="auto"/>
      </w:divBdr>
    </w:div>
    <w:div w:id="177258285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6403742">
      <w:bodyDiv w:val="1"/>
      <w:marLeft w:val="0"/>
      <w:marRight w:val="0"/>
      <w:marTop w:val="0"/>
      <w:marBottom w:val="0"/>
      <w:divBdr>
        <w:top w:val="none" w:sz="0" w:space="0" w:color="auto"/>
        <w:left w:val="none" w:sz="0" w:space="0" w:color="auto"/>
        <w:bottom w:val="none" w:sz="0" w:space="0" w:color="auto"/>
        <w:right w:val="none" w:sz="0" w:space="0" w:color="auto"/>
      </w:divBdr>
    </w:div>
    <w:div w:id="2040929623">
      <w:bodyDiv w:val="1"/>
      <w:marLeft w:val="0"/>
      <w:marRight w:val="0"/>
      <w:marTop w:val="0"/>
      <w:marBottom w:val="0"/>
      <w:divBdr>
        <w:top w:val="none" w:sz="0" w:space="0" w:color="auto"/>
        <w:left w:val="none" w:sz="0" w:space="0" w:color="auto"/>
        <w:bottom w:val="none" w:sz="0" w:space="0" w:color="auto"/>
        <w:right w:val="none" w:sz="0" w:space="0" w:color="auto"/>
      </w:divBdr>
    </w:div>
    <w:div w:id="2088916261">
      <w:bodyDiv w:val="1"/>
      <w:marLeft w:val="0"/>
      <w:marRight w:val="0"/>
      <w:marTop w:val="0"/>
      <w:marBottom w:val="0"/>
      <w:divBdr>
        <w:top w:val="none" w:sz="0" w:space="0" w:color="auto"/>
        <w:left w:val="none" w:sz="0" w:space="0" w:color="auto"/>
        <w:bottom w:val="none" w:sz="0" w:space="0" w:color="auto"/>
        <w:right w:val="none" w:sz="0" w:space="0" w:color="auto"/>
      </w:divBdr>
      <w:divsChild>
        <w:div w:id="1378120498">
          <w:marLeft w:val="0"/>
          <w:marRight w:val="0"/>
          <w:marTop w:val="0"/>
          <w:marBottom w:val="0"/>
          <w:divBdr>
            <w:top w:val="none" w:sz="0" w:space="0" w:color="auto"/>
            <w:left w:val="none" w:sz="0" w:space="0" w:color="auto"/>
            <w:bottom w:val="none" w:sz="0" w:space="0" w:color="auto"/>
            <w:right w:val="none" w:sz="0" w:space="0" w:color="auto"/>
          </w:divBdr>
          <w:divsChild>
            <w:div w:id="1300038568">
              <w:marLeft w:val="0"/>
              <w:marRight w:val="0"/>
              <w:marTop w:val="0"/>
              <w:marBottom w:val="0"/>
              <w:divBdr>
                <w:top w:val="none" w:sz="0" w:space="0" w:color="auto"/>
                <w:left w:val="none" w:sz="0" w:space="0" w:color="auto"/>
                <w:bottom w:val="none" w:sz="0" w:space="0" w:color="auto"/>
                <w:right w:val="none" w:sz="0" w:space="0" w:color="auto"/>
              </w:divBdr>
              <w:divsChild>
                <w:div w:id="7530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32D4E-F60A-49EE-885A-37ACA527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17526</Words>
  <Characters>94806</Characters>
  <Application>Microsoft Office Word</Application>
  <DocSecurity>0</DocSecurity>
  <Lines>790</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112108</CharactersWithSpaces>
  <SharedDoc>false</SharedDoc>
  <HLinks>
    <vt:vector size="510" baseType="variant">
      <vt:variant>
        <vt:i4>6815841</vt:i4>
      </vt:variant>
      <vt:variant>
        <vt:i4>952</vt:i4>
      </vt:variant>
      <vt:variant>
        <vt:i4>0</vt:i4>
      </vt:variant>
      <vt:variant>
        <vt:i4>5</vt:i4>
      </vt:variant>
      <vt:variant>
        <vt:lpwstr>http://apps.who.int/trialsearch/Trial.aspx</vt:lpwstr>
      </vt:variant>
      <vt:variant>
        <vt:lpwstr/>
      </vt:variant>
      <vt:variant>
        <vt:i4>5308508</vt:i4>
      </vt:variant>
      <vt:variant>
        <vt:i4>949</vt:i4>
      </vt:variant>
      <vt:variant>
        <vt:i4>0</vt:i4>
      </vt:variant>
      <vt:variant>
        <vt:i4>5</vt:i4>
      </vt:variant>
      <vt:variant>
        <vt:lpwstr>http://www.anzctr.org.au/Default.aspx</vt:lpwstr>
      </vt:variant>
      <vt:variant>
        <vt:lpwstr/>
      </vt:variant>
      <vt:variant>
        <vt:i4>2031665</vt:i4>
      </vt:variant>
      <vt:variant>
        <vt:i4>464</vt:i4>
      </vt:variant>
      <vt:variant>
        <vt:i4>0</vt:i4>
      </vt:variant>
      <vt:variant>
        <vt:i4>5</vt:i4>
      </vt:variant>
      <vt:variant>
        <vt:lpwstr/>
      </vt:variant>
      <vt:variant>
        <vt:lpwstr>_Toc69735755</vt:lpwstr>
      </vt:variant>
      <vt:variant>
        <vt:i4>1966129</vt:i4>
      </vt:variant>
      <vt:variant>
        <vt:i4>458</vt:i4>
      </vt:variant>
      <vt:variant>
        <vt:i4>0</vt:i4>
      </vt:variant>
      <vt:variant>
        <vt:i4>5</vt:i4>
      </vt:variant>
      <vt:variant>
        <vt:lpwstr/>
      </vt:variant>
      <vt:variant>
        <vt:lpwstr>_Toc69735754</vt:lpwstr>
      </vt:variant>
      <vt:variant>
        <vt:i4>1638449</vt:i4>
      </vt:variant>
      <vt:variant>
        <vt:i4>452</vt:i4>
      </vt:variant>
      <vt:variant>
        <vt:i4>0</vt:i4>
      </vt:variant>
      <vt:variant>
        <vt:i4>5</vt:i4>
      </vt:variant>
      <vt:variant>
        <vt:lpwstr/>
      </vt:variant>
      <vt:variant>
        <vt:lpwstr>_Toc69735753</vt:lpwstr>
      </vt:variant>
      <vt:variant>
        <vt:i4>1572913</vt:i4>
      </vt:variant>
      <vt:variant>
        <vt:i4>446</vt:i4>
      </vt:variant>
      <vt:variant>
        <vt:i4>0</vt:i4>
      </vt:variant>
      <vt:variant>
        <vt:i4>5</vt:i4>
      </vt:variant>
      <vt:variant>
        <vt:lpwstr/>
      </vt:variant>
      <vt:variant>
        <vt:lpwstr>_Toc69735752</vt:lpwstr>
      </vt:variant>
      <vt:variant>
        <vt:i4>1769521</vt:i4>
      </vt:variant>
      <vt:variant>
        <vt:i4>440</vt:i4>
      </vt:variant>
      <vt:variant>
        <vt:i4>0</vt:i4>
      </vt:variant>
      <vt:variant>
        <vt:i4>5</vt:i4>
      </vt:variant>
      <vt:variant>
        <vt:lpwstr/>
      </vt:variant>
      <vt:variant>
        <vt:lpwstr>_Toc69735751</vt:lpwstr>
      </vt:variant>
      <vt:variant>
        <vt:i4>1703985</vt:i4>
      </vt:variant>
      <vt:variant>
        <vt:i4>434</vt:i4>
      </vt:variant>
      <vt:variant>
        <vt:i4>0</vt:i4>
      </vt:variant>
      <vt:variant>
        <vt:i4>5</vt:i4>
      </vt:variant>
      <vt:variant>
        <vt:lpwstr/>
      </vt:variant>
      <vt:variant>
        <vt:lpwstr>_Toc69735750</vt:lpwstr>
      </vt:variant>
      <vt:variant>
        <vt:i4>1245232</vt:i4>
      </vt:variant>
      <vt:variant>
        <vt:i4>428</vt:i4>
      </vt:variant>
      <vt:variant>
        <vt:i4>0</vt:i4>
      </vt:variant>
      <vt:variant>
        <vt:i4>5</vt:i4>
      </vt:variant>
      <vt:variant>
        <vt:lpwstr/>
      </vt:variant>
      <vt:variant>
        <vt:lpwstr>_Toc69735749</vt:lpwstr>
      </vt:variant>
      <vt:variant>
        <vt:i4>1179696</vt:i4>
      </vt:variant>
      <vt:variant>
        <vt:i4>422</vt:i4>
      </vt:variant>
      <vt:variant>
        <vt:i4>0</vt:i4>
      </vt:variant>
      <vt:variant>
        <vt:i4>5</vt:i4>
      </vt:variant>
      <vt:variant>
        <vt:lpwstr/>
      </vt:variant>
      <vt:variant>
        <vt:lpwstr>_Toc69735748</vt:lpwstr>
      </vt:variant>
      <vt:variant>
        <vt:i4>1900592</vt:i4>
      </vt:variant>
      <vt:variant>
        <vt:i4>416</vt:i4>
      </vt:variant>
      <vt:variant>
        <vt:i4>0</vt:i4>
      </vt:variant>
      <vt:variant>
        <vt:i4>5</vt:i4>
      </vt:variant>
      <vt:variant>
        <vt:lpwstr/>
      </vt:variant>
      <vt:variant>
        <vt:lpwstr>_Toc69735747</vt:lpwstr>
      </vt:variant>
      <vt:variant>
        <vt:i4>1835056</vt:i4>
      </vt:variant>
      <vt:variant>
        <vt:i4>410</vt:i4>
      </vt:variant>
      <vt:variant>
        <vt:i4>0</vt:i4>
      </vt:variant>
      <vt:variant>
        <vt:i4>5</vt:i4>
      </vt:variant>
      <vt:variant>
        <vt:lpwstr/>
      </vt:variant>
      <vt:variant>
        <vt:lpwstr>_Toc69735746</vt:lpwstr>
      </vt:variant>
      <vt:variant>
        <vt:i4>2031664</vt:i4>
      </vt:variant>
      <vt:variant>
        <vt:i4>404</vt:i4>
      </vt:variant>
      <vt:variant>
        <vt:i4>0</vt:i4>
      </vt:variant>
      <vt:variant>
        <vt:i4>5</vt:i4>
      </vt:variant>
      <vt:variant>
        <vt:lpwstr/>
      </vt:variant>
      <vt:variant>
        <vt:lpwstr>_Toc69735745</vt:lpwstr>
      </vt:variant>
      <vt:variant>
        <vt:i4>1966128</vt:i4>
      </vt:variant>
      <vt:variant>
        <vt:i4>398</vt:i4>
      </vt:variant>
      <vt:variant>
        <vt:i4>0</vt:i4>
      </vt:variant>
      <vt:variant>
        <vt:i4>5</vt:i4>
      </vt:variant>
      <vt:variant>
        <vt:lpwstr/>
      </vt:variant>
      <vt:variant>
        <vt:lpwstr>_Toc69735744</vt:lpwstr>
      </vt:variant>
      <vt:variant>
        <vt:i4>1638448</vt:i4>
      </vt:variant>
      <vt:variant>
        <vt:i4>392</vt:i4>
      </vt:variant>
      <vt:variant>
        <vt:i4>0</vt:i4>
      </vt:variant>
      <vt:variant>
        <vt:i4>5</vt:i4>
      </vt:variant>
      <vt:variant>
        <vt:lpwstr/>
      </vt:variant>
      <vt:variant>
        <vt:lpwstr>_Toc69735743</vt:lpwstr>
      </vt:variant>
      <vt:variant>
        <vt:i4>1572912</vt:i4>
      </vt:variant>
      <vt:variant>
        <vt:i4>386</vt:i4>
      </vt:variant>
      <vt:variant>
        <vt:i4>0</vt:i4>
      </vt:variant>
      <vt:variant>
        <vt:i4>5</vt:i4>
      </vt:variant>
      <vt:variant>
        <vt:lpwstr/>
      </vt:variant>
      <vt:variant>
        <vt:lpwstr>_Toc69735742</vt:lpwstr>
      </vt:variant>
      <vt:variant>
        <vt:i4>1769520</vt:i4>
      </vt:variant>
      <vt:variant>
        <vt:i4>380</vt:i4>
      </vt:variant>
      <vt:variant>
        <vt:i4>0</vt:i4>
      </vt:variant>
      <vt:variant>
        <vt:i4>5</vt:i4>
      </vt:variant>
      <vt:variant>
        <vt:lpwstr/>
      </vt:variant>
      <vt:variant>
        <vt:lpwstr>_Toc69735741</vt:lpwstr>
      </vt:variant>
      <vt:variant>
        <vt:i4>1703984</vt:i4>
      </vt:variant>
      <vt:variant>
        <vt:i4>374</vt:i4>
      </vt:variant>
      <vt:variant>
        <vt:i4>0</vt:i4>
      </vt:variant>
      <vt:variant>
        <vt:i4>5</vt:i4>
      </vt:variant>
      <vt:variant>
        <vt:lpwstr/>
      </vt:variant>
      <vt:variant>
        <vt:lpwstr>_Toc69735740</vt:lpwstr>
      </vt:variant>
      <vt:variant>
        <vt:i4>1245239</vt:i4>
      </vt:variant>
      <vt:variant>
        <vt:i4>368</vt:i4>
      </vt:variant>
      <vt:variant>
        <vt:i4>0</vt:i4>
      </vt:variant>
      <vt:variant>
        <vt:i4>5</vt:i4>
      </vt:variant>
      <vt:variant>
        <vt:lpwstr/>
      </vt:variant>
      <vt:variant>
        <vt:lpwstr>_Toc69735739</vt:lpwstr>
      </vt:variant>
      <vt:variant>
        <vt:i4>1179703</vt:i4>
      </vt:variant>
      <vt:variant>
        <vt:i4>362</vt:i4>
      </vt:variant>
      <vt:variant>
        <vt:i4>0</vt:i4>
      </vt:variant>
      <vt:variant>
        <vt:i4>5</vt:i4>
      </vt:variant>
      <vt:variant>
        <vt:lpwstr/>
      </vt:variant>
      <vt:variant>
        <vt:lpwstr>_Toc69735738</vt:lpwstr>
      </vt:variant>
      <vt:variant>
        <vt:i4>1900599</vt:i4>
      </vt:variant>
      <vt:variant>
        <vt:i4>356</vt:i4>
      </vt:variant>
      <vt:variant>
        <vt:i4>0</vt:i4>
      </vt:variant>
      <vt:variant>
        <vt:i4>5</vt:i4>
      </vt:variant>
      <vt:variant>
        <vt:lpwstr/>
      </vt:variant>
      <vt:variant>
        <vt:lpwstr>_Toc69735737</vt:lpwstr>
      </vt:variant>
      <vt:variant>
        <vt:i4>1835063</vt:i4>
      </vt:variant>
      <vt:variant>
        <vt:i4>350</vt:i4>
      </vt:variant>
      <vt:variant>
        <vt:i4>0</vt:i4>
      </vt:variant>
      <vt:variant>
        <vt:i4>5</vt:i4>
      </vt:variant>
      <vt:variant>
        <vt:lpwstr/>
      </vt:variant>
      <vt:variant>
        <vt:lpwstr>_Toc69735736</vt:lpwstr>
      </vt:variant>
      <vt:variant>
        <vt:i4>2031671</vt:i4>
      </vt:variant>
      <vt:variant>
        <vt:i4>344</vt:i4>
      </vt:variant>
      <vt:variant>
        <vt:i4>0</vt:i4>
      </vt:variant>
      <vt:variant>
        <vt:i4>5</vt:i4>
      </vt:variant>
      <vt:variant>
        <vt:lpwstr/>
      </vt:variant>
      <vt:variant>
        <vt:lpwstr>_Toc69735735</vt:lpwstr>
      </vt:variant>
      <vt:variant>
        <vt:i4>1966135</vt:i4>
      </vt:variant>
      <vt:variant>
        <vt:i4>338</vt:i4>
      </vt:variant>
      <vt:variant>
        <vt:i4>0</vt:i4>
      </vt:variant>
      <vt:variant>
        <vt:i4>5</vt:i4>
      </vt:variant>
      <vt:variant>
        <vt:lpwstr/>
      </vt:variant>
      <vt:variant>
        <vt:lpwstr>_Toc69735734</vt:lpwstr>
      </vt:variant>
      <vt:variant>
        <vt:i4>1638455</vt:i4>
      </vt:variant>
      <vt:variant>
        <vt:i4>332</vt:i4>
      </vt:variant>
      <vt:variant>
        <vt:i4>0</vt:i4>
      </vt:variant>
      <vt:variant>
        <vt:i4>5</vt:i4>
      </vt:variant>
      <vt:variant>
        <vt:lpwstr/>
      </vt:variant>
      <vt:variant>
        <vt:lpwstr>_Toc69735733</vt:lpwstr>
      </vt:variant>
      <vt:variant>
        <vt:i4>1572919</vt:i4>
      </vt:variant>
      <vt:variant>
        <vt:i4>326</vt:i4>
      </vt:variant>
      <vt:variant>
        <vt:i4>0</vt:i4>
      </vt:variant>
      <vt:variant>
        <vt:i4>5</vt:i4>
      </vt:variant>
      <vt:variant>
        <vt:lpwstr/>
      </vt:variant>
      <vt:variant>
        <vt:lpwstr>_Toc69735732</vt:lpwstr>
      </vt:variant>
      <vt:variant>
        <vt:i4>1769527</vt:i4>
      </vt:variant>
      <vt:variant>
        <vt:i4>320</vt:i4>
      </vt:variant>
      <vt:variant>
        <vt:i4>0</vt:i4>
      </vt:variant>
      <vt:variant>
        <vt:i4>5</vt:i4>
      </vt:variant>
      <vt:variant>
        <vt:lpwstr/>
      </vt:variant>
      <vt:variant>
        <vt:lpwstr>_Toc69735731</vt:lpwstr>
      </vt:variant>
      <vt:variant>
        <vt:i4>1703991</vt:i4>
      </vt:variant>
      <vt:variant>
        <vt:i4>314</vt:i4>
      </vt:variant>
      <vt:variant>
        <vt:i4>0</vt:i4>
      </vt:variant>
      <vt:variant>
        <vt:i4>5</vt:i4>
      </vt:variant>
      <vt:variant>
        <vt:lpwstr/>
      </vt:variant>
      <vt:variant>
        <vt:lpwstr>_Toc69735730</vt:lpwstr>
      </vt:variant>
      <vt:variant>
        <vt:i4>1245238</vt:i4>
      </vt:variant>
      <vt:variant>
        <vt:i4>308</vt:i4>
      </vt:variant>
      <vt:variant>
        <vt:i4>0</vt:i4>
      </vt:variant>
      <vt:variant>
        <vt:i4>5</vt:i4>
      </vt:variant>
      <vt:variant>
        <vt:lpwstr/>
      </vt:variant>
      <vt:variant>
        <vt:lpwstr>_Toc69735729</vt:lpwstr>
      </vt:variant>
      <vt:variant>
        <vt:i4>1179702</vt:i4>
      </vt:variant>
      <vt:variant>
        <vt:i4>302</vt:i4>
      </vt:variant>
      <vt:variant>
        <vt:i4>0</vt:i4>
      </vt:variant>
      <vt:variant>
        <vt:i4>5</vt:i4>
      </vt:variant>
      <vt:variant>
        <vt:lpwstr/>
      </vt:variant>
      <vt:variant>
        <vt:lpwstr>_Toc69735728</vt:lpwstr>
      </vt:variant>
      <vt:variant>
        <vt:i4>1900598</vt:i4>
      </vt:variant>
      <vt:variant>
        <vt:i4>296</vt:i4>
      </vt:variant>
      <vt:variant>
        <vt:i4>0</vt:i4>
      </vt:variant>
      <vt:variant>
        <vt:i4>5</vt:i4>
      </vt:variant>
      <vt:variant>
        <vt:lpwstr/>
      </vt:variant>
      <vt:variant>
        <vt:lpwstr>_Toc69735727</vt:lpwstr>
      </vt:variant>
      <vt:variant>
        <vt:i4>1835062</vt:i4>
      </vt:variant>
      <vt:variant>
        <vt:i4>290</vt:i4>
      </vt:variant>
      <vt:variant>
        <vt:i4>0</vt:i4>
      </vt:variant>
      <vt:variant>
        <vt:i4>5</vt:i4>
      </vt:variant>
      <vt:variant>
        <vt:lpwstr/>
      </vt:variant>
      <vt:variant>
        <vt:lpwstr>_Toc69735726</vt:lpwstr>
      </vt:variant>
      <vt:variant>
        <vt:i4>2031670</vt:i4>
      </vt:variant>
      <vt:variant>
        <vt:i4>284</vt:i4>
      </vt:variant>
      <vt:variant>
        <vt:i4>0</vt:i4>
      </vt:variant>
      <vt:variant>
        <vt:i4>5</vt:i4>
      </vt:variant>
      <vt:variant>
        <vt:lpwstr/>
      </vt:variant>
      <vt:variant>
        <vt:lpwstr>_Toc69735725</vt:lpwstr>
      </vt:variant>
      <vt:variant>
        <vt:i4>1966134</vt:i4>
      </vt:variant>
      <vt:variant>
        <vt:i4>278</vt:i4>
      </vt:variant>
      <vt:variant>
        <vt:i4>0</vt:i4>
      </vt:variant>
      <vt:variant>
        <vt:i4>5</vt:i4>
      </vt:variant>
      <vt:variant>
        <vt:lpwstr/>
      </vt:variant>
      <vt:variant>
        <vt:lpwstr>_Toc69735724</vt:lpwstr>
      </vt:variant>
      <vt:variant>
        <vt:i4>1638454</vt:i4>
      </vt:variant>
      <vt:variant>
        <vt:i4>272</vt:i4>
      </vt:variant>
      <vt:variant>
        <vt:i4>0</vt:i4>
      </vt:variant>
      <vt:variant>
        <vt:i4>5</vt:i4>
      </vt:variant>
      <vt:variant>
        <vt:lpwstr/>
      </vt:variant>
      <vt:variant>
        <vt:lpwstr>_Toc69735723</vt:lpwstr>
      </vt:variant>
      <vt:variant>
        <vt:i4>1572918</vt:i4>
      </vt:variant>
      <vt:variant>
        <vt:i4>266</vt:i4>
      </vt:variant>
      <vt:variant>
        <vt:i4>0</vt:i4>
      </vt:variant>
      <vt:variant>
        <vt:i4>5</vt:i4>
      </vt:variant>
      <vt:variant>
        <vt:lpwstr/>
      </vt:variant>
      <vt:variant>
        <vt:lpwstr>_Toc69735722</vt:lpwstr>
      </vt:variant>
      <vt:variant>
        <vt:i4>1769526</vt:i4>
      </vt:variant>
      <vt:variant>
        <vt:i4>260</vt:i4>
      </vt:variant>
      <vt:variant>
        <vt:i4>0</vt:i4>
      </vt:variant>
      <vt:variant>
        <vt:i4>5</vt:i4>
      </vt:variant>
      <vt:variant>
        <vt:lpwstr/>
      </vt:variant>
      <vt:variant>
        <vt:lpwstr>_Toc69735721</vt:lpwstr>
      </vt:variant>
      <vt:variant>
        <vt:i4>1703990</vt:i4>
      </vt:variant>
      <vt:variant>
        <vt:i4>254</vt:i4>
      </vt:variant>
      <vt:variant>
        <vt:i4>0</vt:i4>
      </vt:variant>
      <vt:variant>
        <vt:i4>5</vt:i4>
      </vt:variant>
      <vt:variant>
        <vt:lpwstr/>
      </vt:variant>
      <vt:variant>
        <vt:lpwstr>_Toc69735720</vt:lpwstr>
      </vt:variant>
      <vt:variant>
        <vt:i4>1245237</vt:i4>
      </vt:variant>
      <vt:variant>
        <vt:i4>248</vt:i4>
      </vt:variant>
      <vt:variant>
        <vt:i4>0</vt:i4>
      </vt:variant>
      <vt:variant>
        <vt:i4>5</vt:i4>
      </vt:variant>
      <vt:variant>
        <vt:lpwstr/>
      </vt:variant>
      <vt:variant>
        <vt:lpwstr>_Toc69735719</vt:lpwstr>
      </vt:variant>
      <vt:variant>
        <vt:i4>1179701</vt:i4>
      </vt:variant>
      <vt:variant>
        <vt:i4>242</vt:i4>
      </vt:variant>
      <vt:variant>
        <vt:i4>0</vt:i4>
      </vt:variant>
      <vt:variant>
        <vt:i4>5</vt:i4>
      </vt:variant>
      <vt:variant>
        <vt:lpwstr/>
      </vt:variant>
      <vt:variant>
        <vt:lpwstr>_Toc69735718</vt:lpwstr>
      </vt:variant>
      <vt:variant>
        <vt:i4>1900597</vt:i4>
      </vt:variant>
      <vt:variant>
        <vt:i4>236</vt:i4>
      </vt:variant>
      <vt:variant>
        <vt:i4>0</vt:i4>
      </vt:variant>
      <vt:variant>
        <vt:i4>5</vt:i4>
      </vt:variant>
      <vt:variant>
        <vt:lpwstr/>
      </vt:variant>
      <vt:variant>
        <vt:lpwstr>_Toc69735717</vt:lpwstr>
      </vt:variant>
      <vt:variant>
        <vt:i4>1835061</vt:i4>
      </vt:variant>
      <vt:variant>
        <vt:i4>230</vt:i4>
      </vt:variant>
      <vt:variant>
        <vt:i4>0</vt:i4>
      </vt:variant>
      <vt:variant>
        <vt:i4>5</vt:i4>
      </vt:variant>
      <vt:variant>
        <vt:lpwstr/>
      </vt:variant>
      <vt:variant>
        <vt:lpwstr>_Toc69735716</vt:lpwstr>
      </vt:variant>
      <vt:variant>
        <vt:i4>2031669</vt:i4>
      </vt:variant>
      <vt:variant>
        <vt:i4>224</vt:i4>
      </vt:variant>
      <vt:variant>
        <vt:i4>0</vt:i4>
      </vt:variant>
      <vt:variant>
        <vt:i4>5</vt:i4>
      </vt:variant>
      <vt:variant>
        <vt:lpwstr/>
      </vt:variant>
      <vt:variant>
        <vt:lpwstr>_Toc69735715</vt:lpwstr>
      </vt:variant>
      <vt:variant>
        <vt:i4>1966133</vt:i4>
      </vt:variant>
      <vt:variant>
        <vt:i4>218</vt:i4>
      </vt:variant>
      <vt:variant>
        <vt:i4>0</vt:i4>
      </vt:variant>
      <vt:variant>
        <vt:i4>5</vt:i4>
      </vt:variant>
      <vt:variant>
        <vt:lpwstr/>
      </vt:variant>
      <vt:variant>
        <vt:lpwstr>_Toc69735714</vt:lpwstr>
      </vt:variant>
      <vt:variant>
        <vt:i4>1638453</vt:i4>
      </vt:variant>
      <vt:variant>
        <vt:i4>212</vt:i4>
      </vt:variant>
      <vt:variant>
        <vt:i4>0</vt:i4>
      </vt:variant>
      <vt:variant>
        <vt:i4>5</vt:i4>
      </vt:variant>
      <vt:variant>
        <vt:lpwstr/>
      </vt:variant>
      <vt:variant>
        <vt:lpwstr>_Toc69735713</vt:lpwstr>
      </vt:variant>
      <vt:variant>
        <vt:i4>1572917</vt:i4>
      </vt:variant>
      <vt:variant>
        <vt:i4>206</vt:i4>
      </vt:variant>
      <vt:variant>
        <vt:i4>0</vt:i4>
      </vt:variant>
      <vt:variant>
        <vt:i4>5</vt:i4>
      </vt:variant>
      <vt:variant>
        <vt:lpwstr/>
      </vt:variant>
      <vt:variant>
        <vt:lpwstr>_Toc69735712</vt:lpwstr>
      </vt:variant>
      <vt:variant>
        <vt:i4>1769525</vt:i4>
      </vt:variant>
      <vt:variant>
        <vt:i4>200</vt:i4>
      </vt:variant>
      <vt:variant>
        <vt:i4>0</vt:i4>
      </vt:variant>
      <vt:variant>
        <vt:i4>5</vt:i4>
      </vt:variant>
      <vt:variant>
        <vt:lpwstr/>
      </vt:variant>
      <vt:variant>
        <vt:lpwstr>_Toc69735711</vt:lpwstr>
      </vt:variant>
      <vt:variant>
        <vt:i4>1703989</vt:i4>
      </vt:variant>
      <vt:variant>
        <vt:i4>194</vt:i4>
      </vt:variant>
      <vt:variant>
        <vt:i4>0</vt:i4>
      </vt:variant>
      <vt:variant>
        <vt:i4>5</vt:i4>
      </vt:variant>
      <vt:variant>
        <vt:lpwstr/>
      </vt:variant>
      <vt:variant>
        <vt:lpwstr>_Toc69735710</vt:lpwstr>
      </vt:variant>
      <vt:variant>
        <vt:i4>1245236</vt:i4>
      </vt:variant>
      <vt:variant>
        <vt:i4>188</vt:i4>
      </vt:variant>
      <vt:variant>
        <vt:i4>0</vt:i4>
      </vt:variant>
      <vt:variant>
        <vt:i4>5</vt:i4>
      </vt:variant>
      <vt:variant>
        <vt:lpwstr/>
      </vt:variant>
      <vt:variant>
        <vt:lpwstr>_Toc69735709</vt:lpwstr>
      </vt:variant>
      <vt:variant>
        <vt:i4>1179700</vt:i4>
      </vt:variant>
      <vt:variant>
        <vt:i4>182</vt:i4>
      </vt:variant>
      <vt:variant>
        <vt:i4>0</vt:i4>
      </vt:variant>
      <vt:variant>
        <vt:i4>5</vt:i4>
      </vt:variant>
      <vt:variant>
        <vt:lpwstr/>
      </vt:variant>
      <vt:variant>
        <vt:lpwstr>_Toc69735708</vt:lpwstr>
      </vt:variant>
      <vt:variant>
        <vt:i4>1900596</vt:i4>
      </vt:variant>
      <vt:variant>
        <vt:i4>176</vt:i4>
      </vt:variant>
      <vt:variant>
        <vt:i4>0</vt:i4>
      </vt:variant>
      <vt:variant>
        <vt:i4>5</vt:i4>
      </vt:variant>
      <vt:variant>
        <vt:lpwstr/>
      </vt:variant>
      <vt:variant>
        <vt:lpwstr>_Toc69735707</vt:lpwstr>
      </vt:variant>
      <vt:variant>
        <vt:i4>1835060</vt:i4>
      </vt:variant>
      <vt:variant>
        <vt:i4>170</vt:i4>
      </vt:variant>
      <vt:variant>
        <vt:i4>0</vt:i4>
      </vt:variant>
      <vt:variant>
        <vt:i4>5</vt:i4>
      </vt:variant>
      <vt:variant>
        <vt:lpwstr/>
      </vt:variant>
      <vt:variant>
        <vt:lpwstr>_Toc69735706</vt:lpwstr>
      </vt:variant>
      <vt:variant>
        <vt:i4>2031668</vt:i4>
      </vt:variant>
      <vt:variant>
        <vt:i4>164</vt:i4>
      </vt:variant>
      <vt:variant>
        <vt:i4>0</vt:i4>
      </vt:variant>
      <vt:variant>
        <vt:i4>5</vt:i4>
      </vt:variant>
      <vt:variant>
        <vt:lpwstr/>
      </vt:variant>
      <vt:variant>
        <vt:lpwstr>_Toc69735705</vt:lpwstr>
      </vt:variant>
      <vt:variant>
        <vt:i4>1966132</vt:i4>
      </vt:variant>
      <vt:variant>
        <vt:i4>158</vt:i4>
      </vt:variant>
      <vt:variant>
        <vt:i4>0</vt:i4>
      </vt:variant>
      <vt:variant>
        <vt:i4>5</vt:i4>
      </vt:variant>
      <vt:variant>
        <vt:lpwstr/>
      </vt:variant>
      <vt:variant>
        <vt:lpwstr>_Toc69735704</vt:lpwstr>
      </vt:variant>
      <vt:variant>
        <vt:i4>1638452</vt:i4>
      </vt:variant>
      <vt:variant>
        <vt:i4>152</vt:i4>
      </vt:variant>
      <vt:variant>
        <vt:i4>0</vt:i4>
      </vt:variant>
      <vt:variant>
        <vt:i4>5</vt:i4>
      </vt:variant>
      <vt:variant>
        <vt:lpwstr/>
      </vt:variant>
      <vt:variant>
        <vt:lpwstr>_Toc69735703</vt:lpwstr>
      </vt:variant>
      <vt:variant>
        <vt:i4>1572916</vt:i4>
      </vt:variant>
      <vt:variant>
        <vt:i4>146</vt:i4>
      </vt:variant>
      <vt:variant>
        <vt:i4>0</vt:i4>
      </vt:variant>
      <vt:variant>
        <vt:i4>5</vt:i4>
      </vt:variant>
      <vt:variant>
        <vt:lpwstr/>
      </vt:variant>
      <vt:variant>
        <vt:lpwstr>_Toc69735702</vt:lpwstr>
      </vt:variant>
      <vt:variant>
        <vt:i4>1769524</vt:i4>
      </vt:variant>
      <vt:variant>
        <vt:i4>140</vt:i4>
      </vt:variant>
      <vt:variant>
        <vt:i4>0</vt:i4>
      </vt:variant>
      <vt:variant>
        <vt:i4>5</vt:i4>
      </vt:variant>
      <vt:variant>
        <vt:lpwstr/>
      </vt:variant>
      <vt:variant>
        <vt:lpwstr>_Toc69735701</vt:lpwstr>
      </vt:variant>
      <vt:variant>
        <vt:i4>1703988</vt:i4>
      </vt:variant>
      <vt:variant>
        <vt:i4>134</vt:i4>
      </vt:variant>
      <vt:variant>
        <vt:i4>0</vt:i4>
      </vt:variant>
      <vt:variant>
        <vt:i4>5</vt:i4>
      </vt:variant>
      <vt:variant>
        <vt:lpwstr/>
      </vt:variant>
      <vt:variant>
        <vt:lpwstr>_Toc69735700</vt:lpwstr>
      </vt:variant>
      <vt:variant>
        <vt:i4>1179709</vt:i4>
      </vt:variant>
      <vt:variant>
        <vt:i4>128</vt:i4>
      </vt:variant>
      <vt:variant>
        <vt:i4>0</vt:i4>
      </vt:variant>
      <vt:variant>
        <vt:i4>5</vt:i4>
      </vt:variant>
      <vt:variant>
        <vt:lpwstr/>
      </vt:variant>
      <vt:variant>
        <vt:lpwstr>_Toc69735699</vt:lpwstr>
      </vt:variant>
      <vt:variant>
        <vt:i4>1245245</vt:i4>
      </vt:variant>
      <vt:variant>
        <vt:i4>122</vt:i4>
      </vt:variant>
      <vt:variant>
        <vt:i4>0</vt:i4>
      </vt:variant>
      <vt:variant>
        <vt:i4>5</vt:i4>
      </vt:variant>
      <vt:variant>
        <vt:lpwstr/>
      </vt:variant>
      <vt:variant>
        <vt:lpwstr>_Toc69735698</vt:lpwstr>
      </vt:variant>
      <vt:variant>
        <vt:i4>1835069</vt:i4>
      </vt:variant>
      <vt:variant>
        <vt:i4>116</vt:i4>
      </vt:variant>
      <vt:variant>
        <vt:i4>0</vt:i4>
      </vt:variant>
      <vt:variant>
        <vt:i4>5</vt:i4>
      </vt:variant>
      <vt:variant>
        <vt:lpwstr/>
      </vt:variant>
      <vt:variant>
        <vt:lpwstr>_Toc69735697</vt:lpwstr>
      </vt:variant>
      <vt:variant>
        <vt:i4>1900605</vt:i4>
      </vt:variant>
      <vt:variant>
        <vt:i4>110</vt:i4>
      </vt:variant>
      <vt:variant>
        <vt:i4>0</vt:i4>
      </vt:variant>
      <vt:variant>
        <vt:i4>5</vt:i4>
      </vt:variant>
      <vt:variant>
        <vt:lpwstr/>
      </vt:variant>
      <vt:variant>
        <vt:lpwstr>_Toc69735696</vt:lpwstr>
      </vt:variant>
      <vt:variant>
        <vt:i4>1966141</vt:i4>
      </vt:variant>
      <vt:variant>
        <vt:i4>104</vt:i4>
      </vt:variant>
      <vt:variant>
        <vt:i4>0</vt:i4>
      </vt:variant>
      <vt:variant>
        <vt:i4>5</vt:i4>
      </vt:variant>
      <vt:variant>
        <vt:lpwstr/>
      </vt:variant>
      <vt:variant>
        <vt:lpwstr>_Toc69735695</vt:lpwstr>
      </vt:variant>
      <vt:variant>
        <vt:i4>2031677</vt:i4>
      </vt:variant>
      <vt:variant>
        <vt:i4>98</vt:i4>
      </vt:variant>
      <vt:variant>
        <vt:i4>0</vt:i4>
      </vt:variant>
      <vt:variant>
        <vt:i4>5</vt:i4>
      </vt:variant>
      <vt:variant>
        <vt:lpwstr/>
      </vt:variant>
      <vt:variant>
        <vt:lpwstr>_Toc69735694</vt:lpwstr>
      </vt:variant>
      <vt:variant>
        <vt:i4>1572925</vt:i4>
      </vt:variant>
      <vt:variant>
        <vt:i4>92</vt:i4>
      </vt:variant>
      <vt:variant>
        <vt:i4>0</vt:i4>
      </vt:variant>
      <vt:variant>
        <vt:i4>5</vt:i4>
      </vt:variant>
      <vt:variant>
        <vt:lpwstr/>
      </vt:variant>
      <vt:variant>
        <vt:lpwstr>_Toc69735693</vt:lpwstr>
      </vt:variant>
      <vt:variant>
        <vt:i4>1638461</vt:i4>
      </vt:variant>
      <vt:variant>
        <vt:i4>86</vt:i4>
      </vt:variant>
      <vt:variant>
        <vt:i4>0</vt:i4>
      </vt:variant>
      <vt:variant>
        <vt:i4>5</vt:i4>
      </vt:variant>
      <vt:variant>
        <vt:lpwstr/>
      </vt:variant>
      <vt:variant>
        <vt:lpwstr>_Toc69735692</vt:lpwstr>
      </vt:variant>
      <vt:variant>
        <vt:i4>1703997</vt:i4>
      </vt:variant>
      <vt:variant>
        <vt:i4>80</vt:i4>
      </vt:variant>
      <vt:variant>
        <vt:i4>0</vt:i4>
      </vt:variant>
      <vt:variant>
        <vt:i4>5</vt:i4>
      </vt:variant>
      <vt:variant>
        <vt:lpwstr/>
      </vt:variant>
      <vt:variant>
        <vt:lpwstr>_Toc69735691</vt:lpwstr>
      </vt:variant>
      <vt:variant>
        <vt:i4>1769533</vt:i4>
      </vt:variant>
      <vt:variant>
        <vt:i4>74</vt:i4>
      </vt:variant>
      <vt:variant>
        <vt:i4>0</vt:i4>
      </vt:variant>
      <vt:variant>
        <vt:i4>5</vt:i4>
      </vt:variant>
      <vt:variant>
        <vt:lpwstr/>
      </vt:variant>
      <vt:variant>
        <vt:lpwstr>_Toc69735690</vt:lpwstr>
      </vt:variant>
      <vt:variant>
        <vt:i4>1179708</vt:i4>
      </vt:variant>
      <vt:variant>
        <vt:i4>68</vt:i4>
      </vt:variant>
      <vt:variant>
        <vt:i4>0</vt:i4>
      </vt:variant>
      <vt:variant>
        <vt:i4>5</vt:i4>
      </vt:variant>
      <vt:variant>
        <vt:lpwstr/>
      </vt:variant>
      <vt:variant>
        <vt:lpwstr>_Toc69735689</vt:lpwstr>
      </vt:variant>
      <vt:variant>
        <vt:i4>1245244</vt:i4>
      </vt:variant>
      <vt:variant>
        <vt:i4>62</vt:i4>
      </vt:variant>
      <vt:variant>
        <vt:i4>0</vt:i4>
      </vt:variant>
      <vt:variant>
        <vt:i4>5</vt:i4>
      </vt:variant>
      <vt:variant>
        <vt:lpwstr/>
      </vt:variant>
      <vt:variant>
        <vt:lpwstr>_Toc69735688</vt:lpwstr>
      </vt:variant>
      <vt:variant>
        <vt:i4>1835068</vt:i4>
      </vt:variant>
      <vt:variant>
        <vt:i4>56</vt:i4>
      </vt:variant>
      <vt:variant>
        <vt:i4>0</vt:i4>
      </vt:variant>
      <vt:variant>
        <vt:i4>5</vt:i4>
      </vt:variant>
      <vt:variant>
        <vt:lpwstr/>
      </vt:variant>
      <vt:variant>
        <vt:lpwstr>_Toc69735687</vt:lpwstr>
      </vt:variant>
      <vt:variant>
        <vt:i4>1900604</vt:i4>
      </vt:variant>
      <vt:variant>
        <vt:i4>50</vt:i4>
      </vt:variant>
      <vt:variant>
        <vt:i4>0</vt:i4>
      </vt:variant>
      <vt:variant>
        <vt:i4>5</vt:i4>
      </vt:variant>
      <vt:variant>
        <vt:lpwstr/>
      </vt:variant>
      <vt:variant>
        <vt:lpwstr>_Toc69735686</vt:lpwstr>
      </vt:variant>
      <vt:variant>
        <vt:i4>1966140</vt:i4>
      </vt:variant>
      <vt:variant>
        <vt:i4>44</vt:i4>
      </vt:variant>
      <vt:variant>
        <vt:i4>0</vt:i4>
      </vt:variant>
      <vt:variant>
        <vt:i4>5</vt:i4>
      </vt:variant>
      <vt:variant>
        <vt:lpwstr/>
      </vt:variant>
      <vt:variant>
        <vt:lpwstr>_Toc69735685</vt:lpwstr>
      </vt:variant>
      <vt:variant>
        <vt:i4>2031676</vt:i4>
      </vt:variant>
      <vt:variant>
        <vt:i4>38</vt:i4>
      </vt:variant>
      <vt:variant>
        <vt:i4>0</vt:i4>
      </vt:variant>
      <vt:variant>
        <vt:i4>5</vt:i4>
      </vt:variant>
      <vt:variant>
        <vt:lpwstr/>
      </vt:variant>
      <vt:variant>
        <vt:lpwstr>_Toc69735684</vt:lpwstr>
      </vt:variant>
      <vt:variant>
        <vt:i4>1572924</vt:i4>
      </vt:variant>
      <vt:variant>
        <vt:i4>32</vt:i4>
      </vt:variant>
      <vt:variant>
        <vt:i4>0</vt:i4>
      </vt:variant>
      <vt:variant>
        <vt:i4>5</vt:i4>
      </vt:variant>
      <vt:variant>
        <vt:lpwstr/>
      </vt:variant>
      <vt:variant>
        <vt:lpwstr>_Toc69735683</vt:lpwstr>
      </vt:variant>
      <vt:variant>
        <vt:i4>1638460</vt:i4>
      </vt:variant>
      <vt:variant>
        <vt:i4>26</vt:i4>
      </vt:variant>
      <vt:variant>
        <vt:i4>0</vt:i4>
      </vt:variant>
      <vt:variant>
        <vt:i4>5</vt:i4>
      </vt:variant>
      <vt:variant>
        <vt:lpwstr/>
      </vt:variant>
      <vt:variant>
        <vt:lpwstr>_Toc69735682</vt:lpwstr>
      </vt:variant>
      <vt:variant>
        <vt:i4>1703996</vt:i4>
      </vt:variant>
      <vt:variant>
        <vt:i4>20</vt:i4>
      </vt:variant>
      <vt:variant>
        <vt:i4>0</vt:i4>
      </vt:variant>
      <vt:variant>
        <vt:i4>5</vt:i4>
      </vt:variant>
      <vt:variant>
        <vt:lpwstr/>
      </vt:variant>
      <vt:variant>
        <vt:lpwstr>_Toc69735681</vt:lpwstr>
      </vt:variant>
      <vt:variant>
        <vt:i4>1769532</vt:i4>
      </vt:variant>
      <vt:variant>
        <vt:i4>14</vt:i4>
      </vt:variant>
      <vt:variant>
        <vt:i4>0</vt:i4>
      </vt:variant>
      <vt:variant>
        <vt:i4>5</vt:i4>
      </vt:variant>
      <vt:variant>
        <vt:lpwstr/>
      </vt:variant>
      <vt:variant>
        <vt:lpwstr>_Toc69735680</vt:lpwstr>
      </vt:variant>
      <vt:variant>
        <vt:i4>1179699</vt:i4>
      </vt:variant>
      <vt:variant>
        <vt:i4>8</vt:i4>
      </vt:variant>
      <vt:variant>
        <vt:i4>0</vt:i4>
      </vt:variant>
      <vt:variant>
        <vt:i4>5</vt:i4>
      </vt:variant>
      <vt:variant>
        <vt:lpwstr/>
      </vt:variant>
      <vt:variant>
        <vt:lpwstr>_Toc69735679</vt:lpwstr>
      </vt:variant>
      <vt:variant>
        <vt:i4>1245235</vt:i4>
      </vt:variant>
      <vt:variant>
        <vt:i4>2</vt:i4>
      </vt:variant>
      <vt:variant>
        <vt:i4>0</vt:i4>
      </vt:variant>
      <vt:variant>
        <vt:i4>5</vt:i4>
      </vt:variant>
      <vt:variant>
        <vt:lpwstr/>
      </vt:variant>
      <vt:variant>
        <vt:lpwstr>_Toc69735678</vt:lpwstr>
      </vt:variant>
      <vt:variant>
        <vt:i4>196702</vt:i4>
      </vt:variant>
      <vt:variant>
        <vt:i4>12</vt:i4>
      </vt:variant>
      <vt:variant>
        <vt:i4>0</vt:i4>
      </vt:variant>
      <vt:variant>
        <vt:i4>5</vt:i4>
      </vt:variant>
      <vt:variant>
        <vt:lpwstr>https://pbac.pbs.gov.au/information/checklists.html</vt:lpwstr>
      </vt:variant>
      <vt:variant>
        <vt:lpwstr>content</vt:lpwstr>
      </vt:variant>
      <vt:variant>
        <vt:i4>7798827</vt:i4>
      </vt:variant>
      <vt:variant>
        <vt:i4>9</vt:i4>
      </vt:variant>
      <vt:variant>
        <vt:i4>0</vt:i4>
      </vt:variant>
      <vt:variant>
        <vt:i4>5</vt:i4>
      </vt:variant>
      <vt:variant>
        <vt:lpwstr>https://www.pbs.gov.au/medicinestatus/document/257.html</vt:lpwstr>
      </vt:variant>
      <vt:variant>
        <vt:lpwstr/>
      </vt:variant>
      <vt:variant>
        <vt:i4>7995500</vt:i4>
      </vt:variant>
      <vt:variant>
        <vt:i4>6</vt:i4>
      </vt:variant>
      <vt:variant>
        <vt:i4>0</vt:i4>
      </vt:variant>
      <vt:variant>
        <vt:i4>5</vt:i4>
      </vt:variant>
      <vt:variant>
        <vt:lpwstr>https://investors.karyopharm.com/2021-04-26-Karyopharm-Announces-European-Medicines-Agencys-Validation-of-its-Type-II-Variation-Marketing-Authorization-Application-for-NEXPOVIO-R-selinexor-in-Combination-with-Velcade-R-bortezomib-and-Dexamethasone-for-the-Treatment-of-Adult-Patients-with?utm_campaign=press+release&amp;utm_source=facebook&amp;utm_medium=social&amp;utm_content=karyopharm_announces_euro</vt:lpwstr>
      </vt:variant>
      <vt:variant>
        <vt:lpwstr/>
      </vt:variant>
      <vt:variant>
        <vt:i4>720944</vt:i4>
      </vt:variant>
      <vt:variant>
        <vt:i4>3</vt:i4>
      </vt:variant>
      <vt:variant>
        <vt:i4>0</vt:i4>
      </vt:variant>
      <vt:variant>
        <vt:i4>5</vt:i4>
      </vt:variant>
      <vt:variant>
        <vt:lpwstr>https://www.ema.europa.eu/en/documents/smop-initial/chmp-summary-positive-opinion-nexpovio_en.pdf</vt:lpwstr>
      </vt:variant>
      <vt:variant>
        <vt:lpwstr/>
      </vt:variant>
      <vt:variant>
        <vt:i4>655465</vt:i4>
      </vt:variant>
      <vt:variant>
        <vt:i4>0</vt:i4>
      </vt:variant>
      <vt:variant>
        <vt:i4>0</vt:i4>
      </vt:variant>
      <vt:variant>
        <vt:i4>5</vt:i4>
      </vt:variant>
      <vt:variant>
        <vt:lpwstr>https://www.uptodate.com/contents/selinexor-drug-information?search=multiple+myeloma+treatment&amp;topicRef=121127&amp;source=see_link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2021-11-01T10:29:00Z</dcterms:created>
  <dcterms:modified xsi:type="dcterms:W3CDTF">2021-11-01T10:29:00Z</dcterms:modified>
</cp:coreProperties>
</file>