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F4605" w14:textId="77777777" w:rsidR="00B60939" w:rsidRPr="007C103A" w:rsidRDefault="00A640A9" w:rsidP="004A6040">
      <w:pPr>
        <w:pStyle w:val="1-MainHeading"/>
      </w:pPr>
      <w:bookmarkStart w:id="0" w:name="_Toc71312039"/>
      <w:r w:rsidRPr="007C103A">
        <w:t>5.09</w:t>
      </w:r>
      <w:r w:rsidR="00163F66" w:rsidRPr="007C103A">
        <w:tab/>
      </w:r>
      <w:r w:rsidR="00FA2299" w:rsidRPr="007C103A">
        <w:t xml:space="preserve">SELINEXOR, </w:t>
      </w:r>
      <w:r w:rsidRPr="007C103A">
        <w:br/>
      </w:r>
      <w:r w:rsidR="00FA2299" w:rsidRPr="007C103A">
        <w:t>Tablet 20</w:t>
      </w:r>
      <w:r w:rsidR="00A95179" w:rsidRPr="007C103A">
        <w:t xml:space="preserve"> </w:t>
      </w:r>
      <w:r w:rsidR="00FA2299" w:rsidRPr="007C103A">
        <w:t xml:space="preserve">mg, </w:t>
      </w:r>
      <w:r w:rsidRPr="007C103A">
        <w:br/>
      </w:r>
      <w:r w:rsidR="00FA2299" w:rsidRPr="007C103A">
        <w:t>Xpovio</w:t>
      </w:r>
      <w:r w:rsidR="00FA2299" w:rsidRPr="007C103A">
        <w:rPr>
          <w:rFonts w:cs="Calibri"/>
          <w:vertAlign w:val="superscript"/>
        </w:rPr>
        <w:t>®</w:t>
      </w:r>
      <w:r w:rsidR="00FA2299" w:rsidRPr="007C103A">
        <w:t xml:space="preserve">, </w:t>
      </w:r>
      <w:r w:rsidRPr="007C103A">
        <w:br/>
      </w:r>
      <w:r w:rsidR="00FA2299" w:rsidRPr="007C103A">
        <w:t xml:space="preserve">Antengene </w:t>
      </w:r>
      <w:r w:rsidR="002603C0" w:rsidRPr="007C103A">
        <w:t xml:space="preserve">(Aus) </w:t>
      </w:r>
      <w:r w:rsidR="00FA2299" w:rsidRPr="007C103A">
        <w:t>Pty</w:t>
      </w:r>
      <w:r w:rsidR="002603C0" w:rsidRPr="007C103A">
        <w:t>.</w:t>
      </w:r>
      <w:r w:rsidR="00FA2299" w:rsidRPr="007C103A">
        <w:t xml:space="preserve"> Ltd.</w:t>
      </w:r>
      <w:bookmarkEnd w:id="0"/>
    </w:p>
    <w:p w14:paraId="4DCE1BBC" w14:textId="77777777" w:rsidR="00B50DB8" w:rsidRPr="007C103A" w:rsidRDefault="00B50DB8" w:rsidP="004A6040">
      <w:pPr>
        <w:pStyle w:val="2-SectionHeading"/>
      </w:pPr>
      <w:bookmarkStart w:id="1" w:name="_Toc71312041"/>
      <w:r w:rsidRPr="007C103A">
        <w:t xml:space="preserve">Purpose of </w:t>
      </w:r>
      <w:bookmarkEnd w:id="1"/>
      <w:r w:rsidR="002603C0" w:rsidRPr="007C103A">
        <w:t>Application</w:t>
      </w:r>
    </w:p>
    <w:p w14:paraId="770AE70A" w14:textId="77777777" w:rsidR="002C2775" w:rsidRPr="007C103A" w:rsidRDefault="00F97FF4" w:rsidP="004E18E9">
      <w:pPr>
        <w:pStyle w:val="3-BodyText"/>
      </w:pPr>
      <w:r w:rsidRPr="007C103A">
        <w:t xml:space="preserve">The </w:t>
      </w:r>
      <w:r w:rsidR="009B4EB5" w:rsidRPr="007C103A">
        <w:t xml:space="preserve">Category 1 </w:t>
      </w:r>
      <w:r w:rsidRPr="007C103A">
        <w:t xml:space="preserve">submission requested Section 100 listing for selinexor for the treatment of adult patients with relapsed and/or refractory (RR) diffuse large B-cell lymphoma (DLBCL) </w:t>
      </w:r>
      <w:r w:rsidRPr="007C103A">
        <w:rPr>
          <w:iCs/>
        </w:rPr>
        <w:t>after at least two lines of systemic</w:t>
      </w:r>
      <w:r w:rsidRPr="007C103A">
        <w:rPr>
          <w:i/>
        </w:rPr>
        <w:t xml:space="preserve"> </w:t>
      </w:r>
      <w:r w:rsidRPr="007C103A">
        <w:t>therapy</w:t>
      </w:r>
      <w:r w:rsidR="00457EF6" w:rsidRPr="007C103A">
        <w:t xml:space="preserve">. </w:t>
      </w:r>
    </w:p>
    <w:p w14:paraId="784E727A" w14:textId="77777777" w:rsidR="00E070EE" w:rsidRPr="007C103A" w:rsidRDefault="00E070EE" w:rsidP="004E18E9">
      <w:pPr>
        <w:pStyle w:val="3-BodyText"/>
      </w:pPr>
      <w:r w:rsidRPr="007C103A">
        <w:t xml:space="preserve">Listing was requested </w:t>
      </w:r>
      <w:r w:rsidR="007651AB" w:rsidRPr="007C103A">
        <w:t>based on</w:t>
      </w:r>
      <w:r w:rsidRPr="007C103A">
        <w:t xml:space="preserve"> a cost-effectiveness analysis versus rituximab salvage therapy, specifically rituximab</w:t>
      </w:r>
      <w:r w:rsidR="00011C80" w:rsidRPr="007C103A">
        <w:t>-</w:t>
      </w:r>
      <w:r w:rsidRPr="007C103A">
        <w:t>gemcitabine</w:t>
      </w:r>
      <w:r w:rsidR="00011C80" w:rsidRPr="007C103A">
        <w:t>-</w:t>
      </w:r>
      <w:r w:rsidRPr="007C103A">
        <w:t>oxaliplatin (</w:t>
      </w:r>
      <w:proofErr w:type="spellStart"/>
      <w:r w:rsidRPr="007C103A">
        <w:t>RGemOx</w:t>
      </w:r>
      <w:proofErr w:type="spellEnd"/>
      <w:r w:rsidRPr="007C103A">
        <w:t>).</w:t>
      </w:r>
    </w:p>
    <w:p w14:paraId="748A984B" w14:textId="77777777" w:rsidR="008B1757" w:rsidRPr="007C103A" w:rsidRDefault="008B1757" w:rsidP="004A6040">
      <w:pPr>
        <w:pStyle w:val="TableFigureHeading"/>
        <w:rPr>
          <w:rStyle w:val="CommentReference"/>
          <w:b/>
          <w:szCs w:val="24"/>
        </w:rPr>
      </w:pPr>
      <w:r w:rsidRPr="007C103A">
        <w:rPr>
          <w:rStyle w:val="CommentReference"/>
          <w:b/>
          <w:szCs w:val="24"/>
        </w:rPr>
        <w:t xml:space="preserve">Table </w:t>
      </w:r>
      <w:r w:rsidR="00DE3C14" w:rsidRPr="007C103A">
        <w:rPr>
          <w:rStyle w:val="CommentReference"/>
          <w:b/>
          <w:szCs w:val="24"/>
        </w:rPr>
        <w:t>1</w:t>
      </w:r>
      <w:r w:rsidRPr="007C103A">
        <w:rPr>
          <w:rStyle w:val="CommentReference"/>
          <w:b/>
          <w:szCs w:val="24"/>
        </w:rPr>
        <w:t>:</w:t>
      </w:r>
      <w:r w:rsidR="00BC591F" w:rsidRPr="007C103A">
        <w:rPr>
          <w:rStyle w:val="CommentReference"/>
          <w:b/>
          <w:szCs w:val="24"/>
        </w:rPr>
        <w:t xml:space="preserve"> </w:t>
      </w:r>
      <w:r w:rsidRPr="007C103A">
        <w:rPr>
          <w:rStyle w:val="CommentReference"/>
          <w:b/>
          <w:szCs w:val="24"/>
        </w:rPr>
        <w:t>Key components of the clinical issue addressed by the submission</w:t>
      </w:r>
      <w:r w:rsidR="007170DA" w:rsidRPr="007C103A">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8B1757" w:rsidRPr="007C103A" w14:paraId="50C10B02" w14:textId="77777777" w:rsidTr="00945744">
        <w:trPr>
          <w:cantSplit/>
          <w:tblHeader/>
        </w:trPr>
        <w:tc>
          <w:tcPr>
            <w:tcW w:w="705" w:type="pct"/>
            <w:shd w:val="clear" w:color="auto" w:fill="auto"/>
            <w:vAlign w:val="center"/>
          </w:tcPr>
          <w:p w14:paraId="04017DB2" w14:textId="77777777" w:rsidR="008B1757" w:rsidRPr="007C103A" w:rsidRDefault="008B1757" w:rsidP="004A6040">
            <w:pPr>
              <w:pStyle w:val="In-tableHeading"/>
              <w:rPr>
                <w:szCs w:val="20"/>
                <w:lang w:val="en-AU"/>
              </w:rPr>
            </w:pPr>
            <w:r w:rsidRPr="007C103A">
              <w:rPr>
                <w:lang w:val="en-AU"/>
              </w:rPr>
              <w:t>Component</w:t>
            </w:r>
          </w:p>
        </w:tc>
        <w:tc>
          <w:tcPr>
            <w:tcW w:w="4295" w:type="pct"/>
            <w:shd w:val="clear" w:color="auto" w:fill="auto"/>
            <w:vAlign w:val="center"/>
          </w:tcPr>
          <w:p w14:paraId="483FC04C" w14:textId="77777777" w:rsidR="008B1757" w:rsidRPr="007C103A" w:rsidRDefault="008B1757" w:rsidP="004A6040">
            <w:pPr>
              <w:pStyle w:val="In-tableHeading"/>
              <w:rPr>
                <w:lang w:val="en-AU"/>
              </w:rPr>
            </w:pPr>
            <w:r w:rsidRPr="007C103A">
              <w:rPr>
                <w:lang w:val="en-AU"/>
              </w:rPr>
              <w:t>Description</w:t>
            </w:r>
          </w:p>
        </w:tc>
      </w:tr>
      <w:tr w:rsidR="00E070EE" w:rsidRPr="007C103A" w14:paraId="4EB1BB8C" w14:textId="77777777" w:rsidTr="00945744">
        <w:trPr>
          <w:cantSplit/>
        </w:trPr>
        <w:tc>
          <w:tcPr>
            <w:tcW w:w="705" w:type="pct"/>
            <w:shd w:val="clear" w:color="auto" w:fill="auto"/>
            <w:vAlign w:val="center"/>
          </w:tcPr>
          <w:p w14:paraId="18D03F0B" w14:textId="77777777" w:rsidR="00E070EE" w:rsidRPr="007C103A" w:rsidRDefault="00E070EE" w:rsidP="00E070EE">
            <w:pPr>
              <w:pStyle w:val="TableText0"/>
            </w:pPr>
            <w:r w:rsidRPr="007C103A">
              <w:t>Population</w:t>
            </w:r>
          </w:p>
        </w:tc>
        <w:tc>
          <w:tcPr>
            <w:tcW w:w="4295" w:type="pct"/>
            <w:shd w:val="clear" w:color="auto" w:fill="auto"/>
            <w:vAlign w:val="center"/>
          </w:tcPr>
          <w:p w14:paraId="080F5161" w14:textId="77777777" w:rsidR="00E070EE" w:rsidRPr="007C103A" w:rsidRDefault="00E070EE" w:rsidP="00ED53FC">
            <w:pPr>
              <w:pStyle w:val="TableText0"/>
              <w:rPr>
                <w:szCs w:val="20"/>
              </w:rPr>
            </w:pPr>
            <w:r w:rsidRPr="007C103A">
              <w:t>Adult patients with relapsed and/or refractory diffuse large B-cell lymphoma (RR DLBCL), not otherwise specified, including DLBCL arising from follicular lymphoma, after at least two lines of systemic therapy</w:t>
            </w:r>
          </w:p>
        </w:tc>
      </w:tr>
      <w:tr w:rsidR="00E070EE" w:rsidRPr="007C103A" w14:paraId="3304146F" w14:textId="77777777" w:rsidTr="00945744">
        <w:trPr>
          <w:cantSplit/>
        </w:trPr>
        <w:tc>
          <w:tcPr>
            <w:tcW w:w="705" w:type="pct"/>
            <w:shd w:val="clear" w:color="auto" w:fill="auto"/>
            <w:vAlign w:val="center"/>
          </w:tcPr>
          <w:p w14:paraId="1374C460" w14:textId="77777777" w:rsidR="00E070EE" w:rsidRPr="007C103A" w:rsidRDefault="00E070EE" w:rsidP="00E070EE">
            <w:pPr>
              <w:pStyle w:val="TableText0"/>
            </w:pPr>
            <w:r w:rsidRPr="007C103A">
              <w:t>Intervention</w:t>
            </w:r>
          </w:p>
        </w:tc>
        <w:tc>
          <w:tcPr>
            <w:tcW w:w="4295" w:type="pct"/>
            <w:shd w:val="clear" w:color="auto" w:fill="auto"/>
            <w:vAlign w:val="center"/>
          </w:tcPr>
          <w:p w14:paraId="019E5A8A" w14:textId="77777777" w:rsidR="00E070EE" w:rsidRPr="007C103A" w:rsidRDefault="00E070EE" w:rsidP="00E070EE">
            <w:pPr>
              <w:pStyle w:val="TableText0"/>
            </w:pPr>
            <w:r w:rsidRPr="007C103A">
              <w:t>Selinexor</w:t>
            </w:r>
            <w:r w:rsidR="001F40BE" w:rsidRPr="007C103A">
              <w:t xml:space="preserve"> 60 mg twice weekly until progression</w:t>
            </w:r>
          </w:p>
        </w:tc>
      </w:tr>
      <w:tr w:rsidR="00E070EE" w:rsidRPr="007C103A" w14:paraId="24282BFE" w14:textId="77777777" w:rsidTr="00945744">
        <w:trPr>
          <w:cantSplit/>
        </w:trPr>
        <w:tc>
          <w:tcPr>
            <w:tcW w:w="705" w:type="pct"/>
            <w:shd w:val="clear" w:color="auto" w:fill="auto"/>
            <w:vAlign w:val="center"/>
          </w:tcPr>
          <w:p w14:paraId="3E90B7EC" w14:textId="77777777" w:rsidR="00E070EE" w:rsidRPr="007C103A" w:rsidRDefault="00E070EE" w:rsidP="00E070EE">
            <w:pPr>
              <w:pStyle w:val="TableText0"/>
            </w:pPr>
            <w:r w:rsidRPr="007C103A">
              <w:t>Comparator</w:t>
            </w:r>
          </w:p>
        </w:tc>
        <w:tc>
          <w:tcPr>
            <w:tcW w:w="4295" w:type="pct"/>
            <w:shd w:val="clear" w:color="auto" w:fill="auto"/>
            <w:vAlign w:val="center"/>
          </w:tcPr>
          <w:p w14:paraId="50ECB6A8" w14:textId="77777777" w:rsidR="00E070EE" w:rsidRPr="007C103A" w:rsidRDefault="00E070EE" w:rsidP="00ED53FC">
            <w:pPr>
              <w:pStyle w:val="TableText0"/>
            </w:pPr>
            <w:r w:rsidRPr="007C103A">
              <w:rPr>
                <w:iCs/>
              </w:rPr>
              <w:t>Salvage chemotherapy, specifically rituximab-based (rituximab</w:t>
            </w:r>
            <w:r w:rsidR="00011C80" w:rsidRPr="007C103A">
              <w:rPr>
                <w:iCs/>
              </w:rPr>
              <w:t>-</w:t>
            </w:r>
            <w:r w:rsidRPr="007C103A">
              <w:rPr>
                <w:iCs/>
              </w:rPr>
              <w:t>gemcitabine</w:t>
            </w:r>
            <w:r w:rsidR="00011C80" w:rsidRPr="007C103A">
              <w:rPr>
                <w:iCs/>
              </w:rPr>
              <w:t>-</w:t>
            </w:r>
            <w:r w:rsidRPr="007C103A">
              <w:rPr>
                <w:iCs/>
              </w:rPr>
              <w:t>oxaliplatin (</w:t>
            </w:r>
            <w:proofErr w:type="spellStart"/>
            <w:r w:rsidRPr="007C103A">
              <w:rPr>
                <w:iCs/>
              </w:rPr>
              <w:t>RGemOx</w:t>
            </w:r>
            <w:proofErr w:type="spellEnd"/>
            <w:r w:rsidRPr="007C103A">
              <w:rPr>
                <w:iCs/>
              </w:rPr>
              <w:t>)) which is the main comparator (current clinical practice) for RR DLBCL</w:t>
            </w:r>
          </w:p>
        </w:tc>
      </w:tr>
      <w:tr w:rsidR="00E070EE" w:rsidRPr="007C103A" w14:paraId="78E2EF37" w14:textId="77777777" w:rsidTr="00945744">
        <w:trPr>
          <w:cantSplit/>
        </w:trPr>
        <w:tc>
          <w:tcPr>
            <w:tcW w:w="705" w:type="pct"/>
            <w:shd w:val="clear" w:color="auto" w:fill="auto"/>
            <w:vAlign w:val="center"/>
          </w:tcPr>
          <w:p w14:paraId="342C6466" w14:textId="77777777" w:rsidR="00E070EE" w:rsidRPr="007C103A" w:rsidRDefault="00E070EE" w:rsidP="00E070EE">
            <w:pPr>
              <w:pStyle w:val="TableText0"/>
            </w:pPr>
            <w:r w:rsidRPr="007C103A">
              <w:t>Outcomes</w:t>
            </w:r>
          </w:p>
        </w:tc>
        <w:tc>
          <w:tcPr>
            <w:tcW w:w="4295" w:type="pct"/>
            <w:shd w:val="clear" w:color="auto" w:fill="auto"/>
            <w:vAlign w:val="center"/>
          </w:tcPr>
          <w:p w14:paraId="26146E94" w14:textId="77777777" w:rsidR="00E070EE" w:rsidRPr="007C103A" w:rsidRDefault="00E070EE" w:rsidP="00E070EE">
            <w:pPr>
              <w:pStyle w:val="TableText0"/>
              <w:rPr>
                <w:iCs/>
              </w:rPr>
            </w:pPr>
            <w:r w:rsidRPr="007C103A">
              <w:rPr>
                <w:iCs/>
              </w:rPr>
              <w:t>Response rates, progression free survival and overall survival</w:t>
            </w:r>
          </w:p>
        </w:tc>
      </w:tr>
      <w:tr w:rsidR="00E070EE" w:rsidRPr="007C103A" w14:paraId="5A47E070" w14:textId="77777777" w:rsidTr="00945744">
        <w:trPr>
          <w:cantSplit/>
        </w:trPr>
        <w:tc>
          <w:tcPr>
            <w:tcW w:w="705" w:type="pct"/>
            <w:shd w:val="clear" w:color="auto" w:fill="auto"/>
            <w:vAlign w:val="center"/>
          </w:tcPr>
          <w:p w14:paraId="35000DD0" w14:textId="77777777" w:rsidR="00E070EE" w:rsidRPr="007C103A" w:rsidRDefault="00E070EE" w:rsidP="00E070EE">
            <w:pPr>
              <w:pStyle w:val="TableText0"/>
            </w:pPr>
            <w:r w:rsidRPr="007C103A">
              <w:t>Clinical claim</w:t>
            </w:r>
          </w:p>
        </w:tc>
        <w:tc>
          <w:tcPr>
            <w:tcW w:w="4295" w:type="pct"/>
            <w:shd w:val="clear" w:color="auto" w:fill="auto"/>
            <w:vAlign w:val="center"/>
          </w:tcPr>
          <w:p w14:paraId="5E1EAFB7" w14:textId="77777777" w:rsidR="00E070EE" w:rsidRPr="007C103A" w:rsidRDefault="00E070EE" w:rsidP="00ED53FC">
            <w:pPr>
              <w:pStyle w:val="TableText0"/>
              <w:rPr>
                <w:rFonts w:eastAsia="Times New Roman" w:cs="Arial"/>
                <w:bCs w:val="0"/>
                <w:snapToGrid w:val="0"/>
                <w:szCs w:val="20"/>
              </w:rPr>
            </w:pPr>
            <w:r w:rsidRPr="007C103A">
              <w:rPr>
                <w:iCs/>
              </w:rPr>
              <w:t xml:space="preserve">In adult patients with RR DLBCL after at least two lines of systemic therapy, treatment with selinexor is superior to salvage chemotherapy treatments in efficacy and safety outcomes in </w:t>
            </w:r>
            <w:r w:rsidRPr="007C103A">
              <w:t>extending progression free survival</w:t>
            </w:r>
          </w:p>
        </w:tc>
      </w:tr>
    </w:tbl>
    <w:p w14:paraId="127A042E" w14:textId="77777777" w:rsidR="004E43B2" w:rsidRPr="007C103A" w:rsidRDefault="008B1757" w:rsidP="004A6040">
      <w:pPr>
        <w:pStyle w:val="TableFigureFooter"/>
      </w:pPr>
      <w:r w:rsidRPr="007C103A">
        <w:t xml:space="preserve">Source: </w:t>
      </w:r>
      <w:r w:rsidR="00E070EE" w:rsidRPr="007C103A">
        <w:t>Table 1-1, p16 of the submission.</w:t>
      </w:r>
    </w:p>
    <w:p w14:paraId="6DFF03DE" w14:textId="77777777" w:rsidR="003B411A" w:rsidRPr="007C103A" w:rsidRDefault="003B411A" w:rsidP="004A6040">
      <w:pPr>
        <w:pStyle w:val="TableFigureFooter"/>
        <w:rPr>
          <w:sz w:val="20"/>
        </w:rPr>
      </w:pPr>
      <w:r w:rsidRPr="007C103A">
        <w:t>DLBCL</w:t>
      </w:r>
      <w:r w:rsidR="008318FD" w:rsidRPr="007C103A">
        <w:t xml:space="preserve"> </w:t>
      </w:r>
      <w:r w:rsidRPr="007C103A">
        <w:t>=</w:t>
      </w:r>
      <w:r w:rsidR="008318FD" w:rsidRPr="007C103A">
        <w:t xml:space="preserve"> </w:t>
      </w:r>
      <w:r w:rsidRPr="007C103A">
        <w:t xml:space="preserve">diffuse large B-cell lymphoma; </w:t>
      </w:r>
      <w:proofErr w:type="spellStart"/>
      <w:r w:rsidRPr="007C103A">
        <w:t>RGemOx</w:t>
      </w:r>
      <w:proofErr w:type="spellEnd"/>
      <w:r w:rsidR="008318FD" w:rsidRPr="007C103A">
        <w:t xml:space="preserve"> </w:t>
      </w:r>
      <w:r w:rsidRPr="007C103A">
        <w:t>=</w:t>
      </w:r>
      <w:r w:rsidR="008318FD" w:rsidRPr="007C103A">
        <w:t xml:space="preserve"> </w:t>
      </w:r>
      <w:r w:rsidRPr="007C103A">
        <w:t>rituximab</w:t>
      </w:r>
      <w:r w:rsidR="00011C80" w:rsidRPr="007C103A">
        <w:t>-</w:t>
      </w:r>
      <w:r w:rsidRPr="007C103A">
        <w:t>gemcitabine</w:t>
      </w:r>
      <w:r w:rsidR="00011C80" w:rsidRPr="007C103A">
        <w:t>-</w:t>
      </w:r>
      <w:r w:rsidRPr="007C103A">
        <w:t>oxaliplatin; RR</w:t>
      </w:r>
      <w:r w:rsidR="008318FD" w:rsidRPr="007C103A">
        <w:t xml:space="preserve"> </w:t>
      </w:r>
      <w:r w:rsidRPr="007C103A">
        <w:t>=</w:t>
      </w:r>
      <w:r w:rsidR="008318FD" w:rsidRPr="007C103A">
        <w:t xml:space="preserve"> </w:t>
      </w:r>
      <w:r w:rsidRPr="007C103A">
        <w:t>relapsed/refractory</w:t>
      </w:r>
    </w:p>
    <w:p w14:paraId="6B444D76" w14:textId="77777777" w:rsidR="005C25FF" w:rsidRPr="007C103A" w:rsidRDefault="005C25FF" w:rsidP="004A6040">
      <w:pPr>
        <w:pStyle w:val="2-SectionHeading"/>
      </w:pPr>
      <w:bookmarkStart w:id="2" w:name="_Toc71312042"/>
      <w:r w:rsidRPr="007C103A">
        <w:t>Background</w:t>
      </w:r>
      <w:bookmarkEnd w:id="2"/>
    </w:p>
    <w:p w14:paraId="365CA4C6" w14:textId="77777777" w:rsidR="005C25FF" w:rsidRPr="007C103A" w:rsidRDefault="005C25FF" w:rsidP="004A6040">
      <w:pPr>
        <w:pStyle w:val="4-SubsectionHeading"/>
      </w:pPr>
      <w:bookmarkStart w:id="3" w:name="_Toc22897638"/>
      <w:bookmarkStart w:id="4" w:name="_Toc71312043"/>
      <w:r w:rsidRPr="007C103A">
        <w:t>Registration status</w:t>
      </w:r>
      <w:bookmarkEnd w:id="3"/>
      <w:bookmarkEnd w:id="4"/>
    </w:p>
    <w:p w14:paraId="1B2A11FB" w14:textId="77777777" w:rsidR="004C7743" w:rsidRPr="007C103A" w:rsidRDefault="00E070EE" w:rsidP="00E070EE">
      <w:pPr>
        <w:pStyle w:val="3-BodyText"/>
      </w:pPr>
      <w:r w:rsidRPr="007C103A">
        <w:t>The submission was made under the TGA/PBAC parallel process. At the time of PBAC consideration,</w:t>
      </w:r>
      <w:r w:rsidR="004C7743" w:rsidRPr="007C103A">
        <w:t xml:space="preserve"> only the Clinical Evaluation Report was available</w:t>
      </w:r>
      <w:r w:rsidR="0096296B" w:rsidRPr="007C103A">
        <w:t>.</w:t>
      </w:r>
      <w:r w:rsidRPr="007C103A">
        <w:t xml:space="preserve"> </w:t>
      </w:r>
    </w:p>
    <w:p w14:paraId="380079B0" w14:textId="77777777" w:rsidR="004C7743" w:rsidRPr="007C103A" w:rsidRDefault="004C7743" w:rsidP="00227154">
      <w:pPr>
        <w:pStyle w:val="3-BodyText"/>
        <w:keepNext/>
      </w:pPr>
      <w:r w:rsidRPr="007C103A">
        <w:t>The proposed TGA indication is for the treatment of:</w:t>
      </w:r>
    </w:p>
    <w:p w14:paraId="054934ED" w14:textId="77777777" w:rsidR="004C7743" w:rsidRPr="007C103A" w:rsidRDefault="004C7743" w:rsidP="00991EB6">
      <w:pPr>
        <w:pStyle w:val="3-BodyText"/>
        <w:numPr>
          <w:ilvl w:val="0"/>
          <w:numId w:val="0"/>
        </w:numPr>
        <w:ind w:left="720"/>
      </w:pPr>
      <w:r w:rsidRPr="007C103A">
        <w:t>‘Adult patients with relapsed and/or refractory diffuse large B-cell lymphoma, not otherwise specified, including DLBCL arising from follicular lymphoma, after at least two lines of systemic therapy.’</w:t>
      </w:r>
    </w:p>
    <w:p w14:paraId="64800F5C" w14:textId="77777777" w:rsidR="005C25FF" w:rsidRPr="007C103A" w:rsidRDefault="00E070EE" w:rsidP="00E070EE">
      <w:pPr>
        <w:pStyle w:val="3-BodyText"/>
      </w:pPr>
      <w:r w:rsidRPr="007C103A">
        <w:t>Selinexor was approved by the US FDA for RR DLBCL in June 2020.</w:t>
      </w:r>
      <w:r w:rsidR="00665D54" w:rsidRPr="007C103A">
        <w:t xml:space="preserve"> </w:t>
      </w:r>
    </w:p>
    <w:p w14:paraId="1FDA1D28" w14:textId="77777777" w:rsidR="00791DE4" w:rsidRPr="007C103A" w:rsidRDefault="00791DE4" w:rsidP="00ED53FC">
      <w:pPr>
        <w:pStyle w:val="3-BodyText"/>
        <w:numPr>
          <w:ilvl w:val="0"/>
          <w:numId w:val="0"/>
        </w:numPr>
        <w:ind w:left="720"/>
      </w:pPr>
      <w:r w:rsidRPr="007C103A">
        <w:rPr>
          <w:i/>
        </w:rPr>
        <w:t>For more detail on PBAC’s view, see section 7 PBAC outcome.</w:t>
      </w:r>
    </w:p>
    <w:p w14:paraId="674DA193" w14:textId="55B9A926" w:rsidR="00DA10CB" w:rsidRDefault="00B50DB8" w:rsidP="00007A0D">
      <w:pPr>
        <w:pStyle w:val="2-SectionHeading"/>
      </w:pPr>
      <w:bookmarkStart w:id="5" w:name="_Toc71312044"/>
      <w:r w:rsidRPr="007C103A">
        <w:lastRenderedPageBreak/>
        <w:t>Requested listing</w:t>
      </w:r>
      <w:bookmarkEnd w:id="5"/>
    </w:p>
    <w:tbl>
      <w:tblPr>
        <w:tblW w:w="4968" w:type="pct"/>
        <w:tblInd w:w="28" w:type="dxa"/>
        <w:tblCellMar>
          <w:left w:w="28" w:type="dxa"/>
          <w:right w:w="28" w:type="dxa"/>
        </w:tblCellMar>
        <w:tblLook w:val="0000" w:firstRow="0" w:lastRow="0" w:firstColumn="0" w:lastColumn="0" w:noHBand="0" w:noVBand="0"/>
      </w:tblPr>
      <w:tblGrid>
        <w:gridCol w:w="1813"/>
        <w:gridCol w:w="997"/>
        <w:gridCol w:w="848"/>
        <w:gridCol w:w="992"/>
        <w:gridCol w:w="2553"/>
        <w:gridCol w:w="1701"/>
        <w:gridCol w:w="65"/>
      </w:tblGrid>
      <w:tr w:rsidR="003517F9" w:rsidRPr="007C103A" w14:paraId="30B5B09F" w14:textId="77777777" w:rsidTr="00D9080F">
        <w:trPr>
          <w:cantSplit/>
          <w:trHeight w:val="463"/>
        </w:trPr>
        <w:tc>
          <w:tcPr>
            <w:tcW w:w="1567" w:type="pct"/>
            <w:gridSpan w:val="2"/>
            <w:tcBorders>
              <w:top w:val="single" w:sz="4" w:space="0" w:color="auto"/>
              <w:bottom w:val="single" w:sz="4" w:space="0" w:color="auto"/>
            </w:tcBorders>
            <w:vAlign w:val="center"/>
          </w:tcPr>
          <w:p w14:paraId="66CA8C6B" w14:textId="147BAAA1" w:rsidR="00617E12" w:rsidRPr="007C103A" w:rsidRDefault="00617E12" w:rsidP="00007A0D">
            <w:pPr>
              <w:keepNext/>
              <w:keepLines/>
              <w:widowControl w:val="0"/>
              <w:jc w:val="left"/>
              <w:rPr>
                <w:rFonts w:ascii="Arial Narrow" w:hAnsi="Arial Narrow"/>
                <w:b/>
                <w:sz w:val="20"/>
              </w:rPr>
            </w:pPr>
            <w:r w:rsidRPr="007C103A">
              <w:rPr>
                <w:rFonts w:ascii="Arial Narrow" w:hAnsi="Arial Narrow"/>
                <w:b/>
                <w:sz w:val="20"/>
              </w:rPr>
              <w:t>Name, Restriction,</w:t>
            </w:r>
          </w:p>
          <w:p w14:paraId="0379D591" w14:textId="77777777" w:rsidR="00617E12" w:rsidRPr="007C103A" w:rsidRDefault="00617E12" w:rsidP="00007A0D">
            <w:pPr>
              <w:keepNext/>
              <w:keepLines/>
              <w:widowControl w:val="0"/>
              <w:jc w:val="left"/>
              <w:rPr>
                <w:rFonts w:ascii="Arial Narrow" w:hAnsi="Arial Narrow"/>
                <w:b/>
                <w:sz w:val="20"/>
              </w:rPr>
            </w:pPr>
            <w:r w:rsidRPr="007C103A">
              <w:rPr>
                <w:rFonts w:ascii="Arial Narrow" w:hAnsi="Arial Narrow"/>
                <w:b/>
                <w:sz w:val="20"/>
              </w:rPr>
              <w:t>Manner of administration and form</w:t>
            </w:r>
          </w:p>
        </w:tc>
        <w:tc>
          <w:tcPr>
            <w:tcW w:w="473" w:type="pct"/>
            <w:tcBorders>
              <w:top w:val="single" w:sz="4" w:space="0" w:color="auto"/>
              <w:bottom w:val="single" w:sz="4" w:space="0" w:color="auto"/>
            </w:tcBorders>
            <w:vAlign w:val="center"/>
          </w:tcPr>
          <w:p w14:paraId="7402D657" w14:textId="77777777" w:rsidR="00617E12" w:rsidRPr="007C103A" w:rsidRDefault="00617E12" w:rsidP="00007A0D">
            <w:pPr>
              <w:keepNext/>
              <w:keepLines/>
              <w:widowControl w:val="0"/>
              <w:jc w:val="center"/>
              <w:rPr>
                <w:rFonts w:ascii="Arial Narrow" w:hAnsi="Arial Narrow"/>
                <w:b/>
                <w:sz w:val="20"/>
              </w:rPr>
            </w:pPr>
            <w:r w:rsidRPr="007C103A">
              <w:rPr>
                <w:rFonts w:ascii="Arial Narrow" w:hAnsi="Arial Narrow"/>
                <w:b/>
                <w:sz w:val="20"/>
              </w:rPr>
              <w:t>Max.</w:t>
            </w:r>
          </w:p>
          <w:p w14:paraId="2BE5D06D" w14:textId="77777777" w:rsidR="00617E12" w:rsidRPr="007C103A" w:rsidRDefault="00617E12" w:rsidP="00007A0D">
            <w:pPr>
              <w:keepNext/>
              <w:keepLines/>
              <w:widowControl w:val="0"/>
              <w:jc w:val="center"/>
              <w:rPr>
                <w:rFonts w:ascii="Arial Narrow" w:hAnsi="Arial Narrow"/>
                <w:b/>
                <w:sz w:val="20"/>
              </w:rPr>
            </w:pPr>
            <w:r w:rsidRPr="007C103A">
              <w:rPr>
                <w:rFonts w:ascii="Arial Narrow" w:hAnsi="Arial Narrow"/>
                <w:b/>
                <w:sz w:val="20"/>
              </w:rPr>
              <w:t>Qty</w:t>
            </w:r>
            <w:r w:rsidR="00591957" w:rsidRPr="007C103A">
              <w:rPr>
                <w:rFonts w:ascii="Arial Narrow" w:hAnsi="Arial Narrow"/>
                <w:b/>
                <w:sz w:val="20"/>
              </w:rPr>
              <w:t xml:space="preserve"> </w:t>
            </w:r>
          </w:p>
        </w:tc>
        <w:tc>
          <w:tcPr>
            <w:tcW w:w="553" w:type="pct"/>
            <w:tcBorders>
              <w:top w:val="single" w:sz="4" w:space="0" w:color="auto"/>
              <w:bottom w:val="single" w:sz="4" w:space="0" w:color="auto"/>
            </w:tcBorders>
            <w:vAlign w:val="center"/>
          </w:tcPr>
          <w:p w14:paraId="2A79B326" w14:textId="77777777" w:rsidR="00617E12" w:rsidRPr="007C103A" w:rsidRDefault="00617E12" w:rsidP="00007A0D">
            <w:pPr>
              <w:keepNext/>
              <w:keepLines/>
              <w:widowControl w:val="0"/>
              <w:jc w:val="center"/>
              <w:rPr>
                <w:rFonts w:ascii="Arial Narrow" w:hAnsi="Arial Narrow"/>
                <w:b/>
                <w:sz w:val="20"/>
              </w:rPr>
            </w:pPr>
            <w:r w:rsidRPr="007C103A">
              <w:rPr>
                <w:rFonts w:ascii="Arial Narrow" w:hAnsi="Arial Narrow"/>
                <w:b/>
                <w:sz w:val="20"/>
              </w:rPr>
              <w:t>№.of</w:t>
            </w:r>
          </w:p>
          <w:p w14:paraId="19DA9292" w14:textId="77777777" w:rsidR="00617E12" w:rsidRPr="007C103A" w:rsidRDefault="00617E12" w:rsidP="00007A0D">
            <w:pPr>
              <w:keepNext/>
              <w:keepLines/>
              <w:widowControl w:val="0"/>
              <w:jc w:val="center"/>
              <w:rPr>
                <w:rFonts w:ascii="Arial Narrow" w:hAnsi="Arial Narrow"/>
                <w:b/>
                <w:sz w:val="20"/>
              </w:rPr>
            </w:pPr>
            <w:r w:rsidRPr="007C103A">
              <w:rPr>
                <w:rFonts w:ascii="Arial Narrow" w:hAnsi="Arial Narrow"/>
                <w:b/>
                <w:sz w:val="20"/>
              </w:rPr>
              <w:t>Rpts</w:t>
            </w:r>
          </w:p>
        </w:tc>
        <w:tc>
          <w:tcPr>
            <w:tcW w:w="1423" w:type="pct"/>
            <w:tcBorders>
              <w:top w:val="single" w:sz="4" w:space="0" w:color="auto"/>
              <w:bottom w:val="single" w:sz="4" w:space="0" w:color="auto"/>
            </w:tcBorders>
            <w:vAlign w:val="center"/>
          </w:tcPr>
          <w:p w14:paraId="7135B5BD" w14:textId="77777777" w:rsidR="00617E12" w:rsidRPr="007C103A" w:rsidRDefault="00617E12" w:rsidP="00007A0D">
            <w:pPr>
              <w:keepNext/>
              <w:keepLines/>
              <w:widowControl w:val="0"/>
              <w:jc w:val="center"/>
              <w:rPr>
                <w:rFonts w:ascii="Arial Narrow" w:hAnsi="Arial Narrow"/>
                <w:b/>
                <w:sz w:val="20"/>
              </w:rPr>
            </w:pPr>
            <w:r w:rsidRPr="007C103A">
              <w:rPr>
                <w:rFonts w:ascii="Arial Narrow" w:hAnsi="Arial Narrow"/>
                <w:b/>
                <w:sz w:val="20"/>
              </w:rPr>
              <w:t>Dispensed Price for Max. Qty</w:t>
            </w:r>
            <w:r w:rsidR="00591957" w:rsidRPr="007C103A">
              <w:rPr>
                <w:rFonts w:ascii="Arial Narrow" w:hAnsi="Arial Narrow"/>
                <w:b/>
                <w:sz w:val="20"/>
              </w:rPr>
              <w:t xml:space="preserve"> </w:t>
            </w:r>
          </w:p>
        </w:tc>
        <w:tc>
          <w:tcPr>
            <w:tcW w:w="985" w:type="pct"/>
            <w:gridSpan w:val="2"/>
            <w:tcBorders>
              <w:top w:val="single" w:sz="4" w:space="0" w:color="auto"/>
              <w:bottom w:val="single" w:sz="4" w:space="0" w:color="auto"/>
            </w:tcBorders>
            <w:vAlign w:val="center"/>
          </w:tcPr>
          <w:p w14:paraId="348A1789" w14:textId="77777777" w:rsidR="00617E12" w:rsidRPr="007C103A" w:rsidRDefault="00617E12" w:rsidP="00007A0D">
            <w:pPr>
              <w:keepNext/>
              <w:keepLines/>
              <w:widowControl w:val="0"/>
              <w:jc w:val="center"/>
              <w:rPr>
                <w:rFonts w:ascii="Arial Narrow" w:hAnsi="Arial Narrow"/>
                <w:b/>
                <w:sz w:val="20"/>
              </w:rPr>
            </w:pPr>
            <w:r w:rsidRPr="007C103A">
              <w:rPr>
                <w:rFonts w:ascii="Arial Narrow" w:hAnsi="Arial Narrow"/>
                <w:b/>
                <w:sz w:val="20"/>
              </w:rPr>
              <w:t>Proprietary Name and Manufacturer</w:t>
            </w:r>
          </w:p>
        </w:tc>
      </w:tr>
      <w:tr w:rsidR="00785622" w:rsidRPr="007C103A" w14:paraId="7894D63A" w14:textId="77777777" w:rsidTr="00D9080F">
        <w:trPr>
          <w:cantSplit/>
          <w:trHeight w:val="567"/>
        </w:trPr>
        <w:tc>
          <w:tcPr>
            <w:tcW w:w="1567" w:type="pct"/>
            <w:gridSpan w:val="2"/>
            <w:tcBorders>
              <w:top w:val="single" w:sz="4" w:space="0" w:color="auto"/>
              <w:bottom w:val="single" w:sz="4" w:space="0" w:color="auto"/>
            </w:tcBorders>
            <w:vAlign w:val="center"/>
          </w:tcPr>
          <w:p w14:paraId="45459309" w14:textId="77777777" w:rsidR="00785622" w:rsidRPr="007C103A" w:rsidRDefault="00785622" w:rsidP="00007A0D">
            <w:pPr>
              <w:keepNext/>
              <w:keepLines/>
              <w:widowControl w:val="0"/>
              <w:jc w:val="left"/>
              <w:rPr>
                <w:rFonts w:ascii="Arial Narrow" w:hAnsi="Arial Narrow"/>
                <w:sz w:val="20"/>
              </w:rPr>
            </w:pPr>
            <w:r w:rsidRPr="007C103A">
              <w:rPr>
                <w:rFonts w:ascii="Arial Narrow" w:hAnsi="Arial Narrow"/>
                <w:smallCaps/>
                <w:sz w:val="20"/>
              </w:rPr>
              <w:t>Selinexor</w:t>
            </w:r>
          </w:p>
          <w:p w14:paraId="1926A0DB" w14:textId="77777777" w:rsidR="00785622" w:rsidRPr="007C103A" w:rsidRDefault="00785622" w:rsidP="00007A0D">
            <w:pPr>
              <w:keepNext/>
              <w:keepLines/>
              <w:widowControl w:val="0"/>
              <w:jc w:val="left"/>
              <w:rPr>
                <w:rFonts w:ascii="Arial Narrow" w:hAnsi="Arial Narrow"/>
                <w:sz w:val="20"/>
              </w:rPr>
            </w:pPr>
            <w:r w:rsidRPr="007C103A">
              <w:rPr>
                <w:rFonts w:ascii="Arial Narrow" w:hAnsi="Arial Narrow"/>
                <w:sz w:val="20"/>
              </w:rPr>
              <w:t>Tablet 20</w:t>
            </w:r>
            <w:r w:rsidR="00494F45">
              <w:rPr>
                <w:rFonts w:ascii="Arial Narrow" w:hAnsi="Arial Narrow"/>
                <w:sz w:val="20"/>
              </w:rPr>
              <w:t> </w:t>
            </w:r>
            <w:r w:rsidRPr="007C103A">
              <w:rPr>
                <w:rFonts w:ascii="Arial Narrow" w:hAnsi="Arial Narrow"/>
                <w:sz w:val="20"/>
              </w:rPr>
              <w:t>mg</w:t>
            </w:r>
          </w:p>
        </w:tc>
        <w:tc>
          <w:tcPr>
            <w:tcW w:w="473" w:type="pct"/>
            <w:tcBorders>
              <w:top w:val="single" w:sz="4" w:space="0" w:color="auto"/>
              <w:bottom w:val="single" w:sz="4" w:space="0" w:color="auto"/>
            </w:tcBorders>
            <w:vAlign w:val="center"/>
          </w:tcPr>
          <w:p w14:paraId="79F5AA34" w14:textId="77777777" w:rsidR="00785622" w:rsidRPr="007C103A" w:rsidRDefault="00785622" w:rsidP="00007A0D">
            <w:pPr>
              <w:keepNext/>
              <w:keepLines/>
              <w:widowControl w:val="0"/>
              <w:jc w:val="center"/>
              <w:rPr>
                <w:rFonts w:ascii="Arial Narrow" w:hAnsi="Arial Narrow"/>
                <w:sz w:val="20"/>
              </w:rPr>
            </w:pPr>
            <w:r w:rsidRPr="007C103A">
              <w:rPr>
                <w:rFonts w:ascii="Arial Narrow" w:hAnsi="Arial Narrow"/>
                <w:sz w:val="20"/>
              </w:rPr>
              <w:t>20</w:t>
            </w:r>
          </w:p>
        </w:tc>
        <w:tc>
          <w:tcPr>
            <w:tcW w:w="553" w:type="pct"/>
            <w:tcBorders>
              <w:top w:val="single" w:sz="4" w:space="0" w:color="auto"/>
              <w:bottom w:val="single" w:sz="4" w:space="0" w:color="auto"/>
            </w:tcBorders>
            <w:vAlign w:val="center"/>
          </w:tcPr>
          <w:p w14:paraId="608F7304" w14:textId="77777777" w:rsidR="00785622" w:rsidRPr="007C103A" w:rsidRDefault="009369DE" w:rsidP="00007A0D">
            <w:pPr>
              <w:keepNext/>
              <w:keepLines/>
              <w:widowControl w:val="0"/>
              <w:jc w:val="center"/>
              <w:rPr>
                <w:rFonts w:ascii="Arial Narrow" w:hAnsi="Arial Narrow"/>
                <w:sz w:val="20"/>
                <w:szCs w:val="20"/>
              </w:rPr>
            </w:pPr>
            <w:r w:rsidRPr="007C103A">
              <w:rPr>
                <w:rFonts w:ascii="Arial Narrow" w:hAnsi="Arial Narrow"/>
                <w:sz w:val="20"/>
                <w:szCs w:val="20"/>
              </w:rPr>
              <w:t>2</w:t>
            </w:r>
          </w:p>
        </w:tc>
        <w:tc>
          <w:tcPr>
            <w:tcW w:w="1423" w:type="pct"/>
            <w:tcBorders>
              <w:top w:val="single" w:sz="4" w:space="0" w:color="auto"/>
              <w:bottom w:val="single" w:sz="4" w:space="0" w:color="auto"/>
            </w:tcBorders>
            <w:vAlign w:val="center"/>
          </w:tcPr>
          <w:p w14:paraId="7A3C5078" w14:textId="77777777" w:rsidR="00551572" w:rsidRPr="007C103A" w:rsidRDefault="00551572" w:rsidP="00007A0D">
            <w:pPr>
              <w:pStyle w:val="Tabletext"/>
              <w:keepNext/>
              <w:keepLines/>
              <w:widowControl w:val="0"/>
            </w:pPr>
            <w:r w:rsidRPr="007C103A">
              <w:t>Published</w:t>
            </w:r>
            <w:r w:rsidR="008479AD" w:rsidRPr="007C103A">
              <w:t xml:space="preserve">: </w:t>
            </w:r>
            <w:r w:rsidRPr="007C103A">
              <w:t>Public - $</w:t>
            </w:r>
            <w:r w:rsidR="004A77F8">
              <w:rPr>
                <w:noProof/>
                <w:color w:val="000000"/>
                <w:highlight w:val="black"/>
              </w:rPr>
              <w:t>'''''''''''''''''''''''''</w:t>
            </w:r>
          </w:p>
          <w:p w14:paraId="76E7FAA2" w14:textId="77777777" w:rsidR="00551572" w:rsidRPr="007C103A" w:rsidRDefault="008479AD" w:rsidP="00007A0D">
            <w:pPr>
              <w:pStyle w:val="Tabletext"/>
              <w:keepNext/>
              <w:keepLines/>
              <w:widowControl w:val="0"/>
            </w:pPr>
            <w:r w:rsidRPr="007C103A">
              <w:t xml:space="preserve">                  </w:t>
            </w:r>
            <w:r w:rsidR="00551572" w:rsidRPr="007C103A">
              <w:t>Private - $</w:t>
            </w:r>
            <w:r w:rsidR="004A77F8">
              <w:rPr>
                <w:noProof/>
                <w:color w:val="000000"/>
                <w:highlight w:val="black"/>
              </w:rPr>
              <w:t>'''''''''''''''''''''''</w:t>
            </w:r>
          </w:p>
          <w:p w14:paraId="3C87208C" w14:textId="77777777" w:rsidR="00551572" w:rsidRPr="007C103A" w:rsidRDefault="00551572" w:rsidP="00007A0D">
            <w:pPr>
              <w:pStyle w:val="Tabletext"/>
              <w:keepNext/>
              <w:keepLines/>
              <w:widowControl w:val="0"/>
            </w:pPr>
            <w:r w:rsidRPr="007C103A">
              <w:t>Effective:</w:t>
            </w:r>
            <w:r w:rsidR="008479AD" w:rsidRPr="007C103A">
              <w:t xml:space="preserve"> </w:t>
            </w:r>
            <w:r w:rsidRPr="007C103A">
              <w:t>Public - $</w:t>
            </w:r>
            <w:r w:rsidR="004A77F8">
              <w:rPr>
                <w:noProof/>
                <w:color w:val="000000"/>
                <w:highlight w:val="black"/>
              </w:rPr>
              <w:t>''''''''''''''''''''</w:t>
            </w:r>
          </w:p>
          <w:p w14:paraId="26F872E7" w14:textId="77777777" w:rsidR="00785622" w:rsidRPr="007C103A" w:rsidRDefault="00D9080F" w:rsidP="00007A0D">
            <w:pPr>
              <w:keepNext/>
              <w:keepLines/>
              <w:widowControl w:val="0"/>
              <w:rPr>
                <w:rFonts w:ascii="Arial Narrow" w:hAnsi="Arial Narrow"/>
                <w:sz w:val="20"/>
                <w:szCs w:val="20"/>
              </w:rPr>
            </w:pPr>
            <w:r w:rsidRPr="007C103A">
              <w:rPr>
                <w:rFonts w:ascii="Arial Narrow" w:hAnsi="Arial Narrow"/>
                <w:sz w:val="20"/>
                <w:szCs w:val="20"/>
              </w:rPr>
              <w:t xml:space="preserve">                </w:t>
            </w:r>
            <w:r w:rsidR="00551572" w:rsidRPr="007C103A">
              <w:rPr>
                <w:rFonts w:ascii="Arial Narrow" w:hAnsi="Arial Narrow"/>
                <w:sz w:val="20"/>
                <w:szCs w:val="20"/>
              </w:rPr>
              <w:t>Private - $</w:t>
            </w:r>
            <w:r w:rsidR="004A77F8">
              <w:rPr>
                <w:rFonts w:ascii="Arial Narrow" w:hAnsi="Arial Narrow"/>
                <w:noProof/>
                <w:snapToGrid w:val="0"/>
                <w:color w:val="000000"/>
                <w:sz w:val="20"/>
                <w:highlight w:val="black"/>
              </w:rPr>
              <w:t>''''''''''''''''''''''</w:t>
            </w:r>
          </w:p>
        </w:tc>
        <w:tc>
          <w:tcPr>
            <w:tcW w:w="985" w:type="pct"/>
            <w:gridSpan w:val="2"/>
            <w:vMerge w:val="restart"/>
            <w:tcBorders>
              <w:top w:val="single" w:sz="4" w:space="0" w:color="auto"/>
            </w:tcBorders>
            <w:vAlign w:val="center"/>
          </w:tcPr>
          <w:p w14:paraId="245CCBCE" w14:textId="77777777" w:rsidR="00785622" w:rsidRPr="007C103A" w:rsidRDefault="00785622" w:rsidP="00007A0D">
            <w:pPr>
              <w:keepNext/>
              <w:keepLines/>
              <w:widowControl w:val="0"/>
              <w:jc w:val="center"/>
              <w:rPr>
                <w:rFonts w:ascii="Arial Narrow" w:hAnsi="Arial Narrow"/>
                <w:sz w:val="20"/>
                <w:szCs w:val="20"/>
              </w:rPr>
            </w:pPr>
            <w:r w:rsidRPr="007C103A">
              <w:rPr>
                <w:rFonts w:ascii="Arial Narrow" w:hAnsi="Arial Narrow"/>
                <w:sz w:val="20"/>
                <w:szCs w:val="20"/>
              </w:rPr>
              <w:t>XPOVIO</w:t>
            </w:r>
            <w:r w:rsidRPr="007C103A">
              <w:rPr>
                <w:rFonts w:ascii="Arial Narrow" w:hAnsi="Arial Narrow"/>
                <w:sz w:val="20"/>
                <w:szCs w:val="20"/>
                <w:vertAlign w:val="superscript"/>
              </w:rPr>
              <w:t>®</w:t>
            </w:r>
            <w:r w:rsidRPr="007C103A">
              <w:rPr>
                <w:rFonts w:ascii="Arial Narrow" w:hAnsi="Arial Narrow"/>
                <w:sz w:val="20"/>
                <w:szCs w:val="20"/>
              </w:rPr>
              <w:t xml:space="preserve">, </w:t>
            </w:r>
          </w:p>
          <w:p w14:paraId="1703670B" w14:textId="77777777" w:rsidR="00785622" w:rsidRPr="007C103A" w:rsidRDefault="00785622" w:rsidP="00007A0D">
            <w:pPr>
              <w:keepNext/>
              <w:keepLines/>
              <w:widowControl w:val="0"/>
              <w:jc w:val="center"/>
              <w:rPr>
                <w:rFonts w:ascii="Arial Narrow" w:hAnsi="Arial Narrow"/>
                <w:sz w:val="20"/>
                <w:szCs w:val="20"/>
              </w:rPr>
            </w:pPr>
            <w:r w:rsidRPr="007C103A">
              <w:rPr>
                <w:rFonts w:ascii="Arial Narrow" w:hAnsi="Arial Narrow"/>
                <w:sz w:val="20"/>
                <w:szCs w:val="20"/>
              </w:rPr>
              <w:t>Antengene</w:t>
            </w:r>
          </w:p>
        </w:tc>
      </w:tr>
      <w:tr w:rsidR="00785622" w:rsidRPr="007C103A" w14:paraId="7A36CA09" w14:textId="77777777" w:rsidTr="00D9080F">
        <w:trPr>
          <w:cantSplit/>
          <w:trHeight w:val="567"/>
        </w:trPr>
        <w:tc>
          <w:tcPr>
            <w:tcW w:w="1567" w:type="pct"/>
            <w:gridSpan w:val="2"/>
            <w:tcBorders>
              <w:top w:val="single" w:sz="4" w:space="0" w:color="auto"/>
            </w:tcBorders>
            <w:vAlign w:val="center"/>
          </w:tcPr>
          <w:p w14:paraId="00EB68FC" w14:textId="77777777" w:rsidR="00785622" w:rsidRPr="007C103A" w:rsidRDefault="00785622" w:rsidP="004A7075">
            <w:pPr>
              <w:widowControl w:val="0"/>
              <w:jc w:val="left"/>
              <w:rPr>
                <w:rFonts w:ascii="Arial Narrow" w:hAnsi="Arial Narrow"/>
                <w:sz w:val="20"/>
              </w:rPr>
            </w:pPr>
            <w:r w:rsidRPr="007C103A">
              <w:rPr>
                <w:rFonts w:ascii="Arial Narrow" w:hAnsi="Arial Narrow"/>
                <w:smallCaps/>
                <w:sz w:val="20"/>
              </w:rPr>
              <w:t>Selinexor</w:t>
            </w:r>
          </w:p>
          <w:p w14:paraId="62272D0A" w14:textId="77777777" w:rsidR="00785622" w:rsidRPr="007C103A" w:rsidRDefault="00785622" w:rsidP="004A7075">
            <w:pPr>
              <w:widowControl w:val="0"/>
              <w:jc w:val="left"/>
              <w:rPr>
                <w:rFonts w:ascii="Arial Narrow" w:hAnsi="Arial Narrow"/>
                <w:sz w:val="20"/>
              </w:rPr>
            </w:pPr>
            <w:r w:rsidRPr="007C103A">
              <w:rPr>
                <w:rFonts w:ascii="Arial Narrow" w:hAnsi="Arial Narrow"/>
                <w:sz w:val="20"/>
              </w:rPr>
              <w:t>Tablet 20</w:t>
            </w:r>
            <w:r w:rsidR="00494F45">
              <w:rPr>
                <w:rFonts w:ascii="Arial Narrow" w:hAnsi="Arial Narrow"/>
                <w:sz w:val="20"/>
              </w:rPr>
              <w:t> </w:t>
            </w:r>
            <w:r w:rsidRPr="007C103A">
              <w:rPr>
                <w:rFonts w:ascii="Arial Narrow" w:hAnsi="Arial Narrow"/>
                <w:sz w:val="20"/>
              </w:rPr>
              <w:t>mg</w:t>
            </w:r>
          </w:p>
        </w:tc>
        <w:tc>
          <w:tcPr>
            <w:tcW w:w="473" w:type="pct"/>
            <w:tcBorders>
              <w:top w:val="single" w:sz="4" w:space="0" w:color="auto"/>
            </w:tcBorders>
            <w:vAlign w:val="center"/>
          </w:tcPr>
          <w:p w14:paraId="13F7B9E5" w14:textId="77777777" w:rsidR="00785622" w:rsidRPr="007C103A" w:rsidRDefault="00785622" w:rsidP="004A7075">
            <w:pPr>
              <w:widowControl w:val="0"/>
              <w:jc w:val="center"/>
              <w:rPr>
                <w:rFonts w:ascii="Arial Narrow" w:hAnsi="Arial Narrow"/>
                <w:sz w:val="20"/>
              </w:rPr>
            </w:pPr>
            <w:r w:rsidRPr="007C103A">
              <w:rPr>
                <w:rFonts w:ascii="Arial Narrow" w:hAnsi="Arial Narrow"/>
                <w:sz w:val="20"/>
              </w:rPr>
              <w:t>24</w:t>
            </w:r>
          </w:p>
        </w:tc>
        <w:tc>
          <w:tcPr>
            <w:tcW w:w="553" w:type="pct"/>
            <w:tcBorders>
              <w:top w:val="single" w:sz="4" w:space="0" w:color="auto"/>
            </w:tcBorders>
            <w:vAlign w:val="center"/>
          </w:tcPr>
          <w:p w14:paraId="21A33C4B" w14:textId="77777777" w:rsidR="00785622" w:rsidRPr="007C103A" w:rsidRDefault="00785622" w:rsidP="004A7075">
            <w:pPr>
              <w:widowControl w:val="0"/>
              <w:jc w:val="center"/>
              <w:rPr>
                <w:rFonts w:ascii="Arial Narrow" w:hAnsi="Arial Narrow"/>
                <w:sz w:val="20"/>
              </w:rPr>
            </w:pPr>
            <w:r w:rsidRPr="007C103A">
              <w:rPr>
                <w:rFonts w:ascii="Arial Narrow" w:hAnsi="Arial Narrow"/>
                <w:sz w:val="20"/>
              </w:rPr>
              <w:t>2</w:t>
            </w:r>
          </w:p>
        </w:tc>
        <w:tc>
          <w:tcPr>
            <w:tcW w:w="1423" w:type="pct"/>
            <w:tcBorders>
              <w:top w:val="single" w:sz="4" w:space="0" w:color="auto"/>
            </w:tcBorders>
            <w:vAlign w:val="center"/>
          </w:tcPr>
          <w:p w14:paraId="0E4CC245" w14:textId="77777777" w:rsidR="00551572" w:rsidRPr="007C103A" w:rsidRDefault="00D9080F" w:rsidP="004A7075">
            <w:pPr>
              <w:pStyle w:val="Tabletext"/>
              <w:widowControl w:val="0"/>
            </w:pPr>
            <w:r w:rsidRPr="007C103A">
              <w:t>Published</w:t>
            </w:r>
            <w:r w:rsidR="00551572" w:rsidRPr="007C103A">
              <w:t>:</w:t>
            </w:r>
            <w:r w:rsidRPr="007C103A">
              <w:t xml:space="preserve"> </w:t>
            </w:r>
            <w:r w:rsidR="00551572" w:rsidRPr="007C103A">
              <w:t>Public - $</w:t>
            </w:r>
            <w:r w:rsidR="004A77F8">
              <w:rPr>
                <w:noProof/>
                <w:color w:val="000000"/>
                <w:highlight w:val="black"/>
              </w:rPr>
              <w:t>''''''''''''''''''''''</w:t>
            </w:r>
          </w:p>
          <w:p w14:paraId="31C58D4F" w14:textId="77777777" w:rsidR="00551572" w:rsidRPr="007C103A" w:rsidRDefault="00D9080F" w:rsidP="004A7075">
            <w:pPr>
              <w:pStyle w:val="Tabletext"/>
              <w:widowControl w:val="0"/>
            </w:pPr>
            <w:r w:rsidRPr="007C103A">
              <w:t xml:space="preserve">                  </w:t>
            </w:r>
            <w:r w:rsidR="00551572" w:rsidRPr="007C103A">
              <w:t>Private - $</w:t>
            </w:r>
            <w:r w:rsidR="004A77F8">
              <w:rPr>
                <w:noProof/>
                <w:color w:val="000000"/>
                <w:highlight w:val="black"/>
              </w:rPr>
              <w:t>'''''''''''''''''''''''</w:t>
            </w:r>
          </w:p>
          <w:p w14:paraId="02CAEB0A" w14:textId="77777777" w:rsidR="00551572" w:rsidRPr="007C103A" w:rsidRDefault="00551572" w:rsidP="004A7075">
            <w:pPr>
              <w:pStyle w:val="Tabletext"/>
              <w:widowControl w:val="0"/>
            </w:pPr>
            <w:r w:rsidRPr="007C103A">
              <w:t>Effective:</w:t>
            </w:r>
            <w:r w:rsidR="00D9080F" w:rsidRPr="007C103A">
              <w:t xml:space="preserve"> </w:t>
            </w:r>
            <w:r w:rsidRPr="007C103A">
              <w:t>Public - $</w:t>
            </w:r>
            <w:r w:rsidR="004A77F8">
              <w:rPr>
                <w:noProof/>
                <w:color w:val="000000"/>
                <w:highlight w:val="black"/>
              </w:rPr>
              <w:t>''''''''''''''''''''</w:t>
            </w:r>
          </w:p>
          <w:p w14:paraId="6307120A" w14:textId="510A6217" w:rsidR="00785622" w:rsidRPr="00007A0D" w:rsidRDefault="00D9080F" w:rsidP="00007A0D">
            <w:pPr>
              <w:widowControl w:val="0"/>
              <w:rPr>
                <w:rFonts w:ascii="Arial Narrow" w:hAnsi="Arial Narrow"/>
                <w:sz w:val="20"/>
                <w:szCs w:val="20"/>
              </w:rPr>
            </w:pPr>
            <w:r w:rsidRPr="007C103A">
              <w:rPr>
                <w:rFonts w:ascii="Arial Narrow" w:hAnsi="Arial Narrow"/>
                <w:sz w:val="20"/>
                <w:szCs w:val="20"/>
              </w:rPr>
              <w:t xml:space="preserve">                </w:t>
            </w:r>
            <w:r w:rsidR="00551572" w:rsidRPr="007C103A">
              <w:rPr>
                <w:rFonts w:ascii="Arial Narrow" w:hAnsi="Arial Narrow"/>
                <w:sz w:val="20"/>
                <w:szCs w:val="20"/>
              </w:rPr>
              <w:t>Private - $</w:t>
            </w:r>
            <w:r w:rsidR="004A77F8">
              <w:rPr>
                <w:rFonts w:ascii="Arial Narrow" w:hAnsi="Arial Narrow"/>
                <w:noProof/>
                <w:snapToGrid w:val="0"/>
                <w:color w:val="000000"/>
                <w:sz w:val="20"/>
                <w:highlight w:val="black"/>
              </w:rPr>
              <w:t>'''''''''''''''''''</w:t>
            </w:r>
          </w:p>
        </w:tc>
        <w:tc>
          <w:tcPr>
            <w:tcW w:w="985" w:type="pct"/>
            <w:gridSpan w:val="2"/>
            <w:vMerge/>
            <w:vAlign w:val="center"/>
          </w:tcPr>
          <w:p w14:paraId="214BF65B" w14:textId="77777777" w:rsidR="00785622" w:rsidRPr="007C103A" w:rsidRDefault="00785622" w:rsidP="004A7075">
            <w:pPr>
              <w:widowControl w:val="0"/>
              <w:jc w:val="center"/>
              <w:rPr>
                <w:rFonts w:ascii="Arial Narrow" w:hAnsi="Arial Narrow"/>
                <w:sz w:val="20"/>
              </w:rPr>
            </w:pPr>
          </w:p>
        </w:tc>
      </w:tr>
      <w:tr w:rsidR="001F1833" w:rsidRPr="007C103A" w14:paraId="61C59457" w14:textId="77777777" w:rsidTr="001F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6" w:type="pct"/>
          <w:trHeight w:val="20"/>
        </w:trPr>
        <w:tc>
          <w:tcPr>
            <w:tcW w:w="1011" w:type="pct"/>
            <w:tcBorders>
              <w:top w:val="single" w:sz="4" w:space="0" w:color="auto"/>
              <w:left w:val="single" w:sz="4" w:space="0" w:color="auto"/>
              <w:bottom w:val="single" w:sz="4" w:space="0" w:color="auto"/>
              <w:right w:val="single" w:sz="4" w:space="0" w:color="auto"/>
            </w:tcBorders>
            <w:vAlign w:val="center"/>
            <w:hideMark/>
          </w:tcPr>
          <w:p w14:paraId="22F1B854" w14:textId="77777777" w:rsidR="001F1833" w:rsidRPr="007C103A" w:rsidRDefault="001F1833" w:rsidP="004A7075">
            <w:pPr>
              <w:pStyle w:val="Tabletext"/>
              <w:keepNext/>
              <w:widowControl w:val="0"/>
              <w:rPr>
                <w:b/>
                <w:bCs/>
              </w:rPr>
            </w:pPr>
            <w:r w:rsidRPr="007C103A">
              <w:rPr>
                <w:b/>
                <w:bCs/>
              </w:rPr>
              <w:t>Category/Program:</w:t>
            </w:r>
          </w:p>
        </w:tc>
        <w:tc>
          <w:tcPr>
            <w:tcW w:w="3953" w:type="pct"/>
            <w:gridSpan w:val="5"/>
            <w:tcBorders>
              <w:top w:val="single" w:sz="4" w:space="0" w:color="auto"/>
              <w:left w:val="single" w:sz="4" w:space="0" w:color="auto"/>
              <w:bottom w:val="single" w:sz="4" w:space="0" w:color="auto"/>
              <w:right w:val="single" w:sz="4" w:space="0" w:color="auto"/>
            </w:tcBorders>
          </w:tcPr>
          <w:p w14:paraId="2E392823" w14:textId="77777777" w:rsidR="001F1833" w:rsidRPr="007C103A" w:rsidRDefault="001F1833" w:rsidP="004A7075">
            <w:pPr>
              <w:pStyle w:val="Tabletext"/>
              <w:keepNext/>
              <w:widowControl w:val="0"/>
            </w:pPr>
            <w:r w:rsidRPr="007C103A">
              <w:t>Section 100 – Highly Specialised Drugs Program</w:t>
            </w:r>
            <w:r w:rsidR="006C1E15" w:rsidRPr="007C103A">
              <w:t xml:space="preserve"> </w:t>
            </w:r>
            <w:r w:rsidR="000C7855" w:rsidRPr="007C103A">
              <w:t>(Public/Private Hospital)</w:t>
            </w:r>
          </w:p>
        </w:tc>
      </w:tr>
      <w:tr w:rsidR="001F1833" w:rsidRPr="007C103A" w14:paraId="07EB3D7A" w14:textId="77777777" w:rsidTr="001F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6" w:type="pct"/>
          <w:trHeight w:val="20"/>
        </w:trPr>
        <w:tc>
          <w:tcPr>
            <w:tcW w:w="1011" w:type="pct"/>
            <w:tcBorders>
              <w:top w:val="single" w:sz="4" w:space="0" w:color="auto"/>
              <w:left w:val="single" w:sz="4" w:space="0" w:color="auto"/>
              <w:bottom w:val="single" w:sz="4" w:space="0" w:color="auto"/>
              <w:right w:val="single" w:sz="4" w:space="0" w:color="auto"/>
            </w:tcBorders>
            <w:vAlign w:val="center"/>
          </w:tcPr>
          <w:p w14:paraId="73D8AE56" w14:textId="77777777" w:rsidR="001F1833" w:rsidRPr="007C103A" w:rsidRDefault="001F1833" w:rsidP="004A7075">
            <w:pPr>
              <w:pStyle w:val="Tabletext"/>
              <w:keepNext/>
              <w:widowControl w:val="0"/>
              <w:rPr>
                <w:b/>
                <w:bCs/>
              </w:rPr>
            </w:pPr>
            <w:r w:rsidRPr="007C103A">
              <w:rPr>
                <w:b/>
                <w:bCs/>
              </w:rPr>
              <w:t>Prescriber type:</w:t>
            </w:r>
          </w:p>
        </w:tc>
        <w:tc>
          <w:tcPr>
            <w:tcW w:w="3953" w:type="pct"/>
            <w:gridSpan w:val="5"/>
            <w:tcBorders>
              <w:top w:val="single" w:sz="4" w:space="0" w:color="auto"/>
              <w:left w:val="single" w:sz="4" w:space="0" w:color="auto"/>
              <w:bottom w:val="single" w:sz="4" w:space="0" w:color="auto"/>
              <w:right w:val="single" w:sz="4" w:space="0" w:color="auto"/>
            </w:tcBorders>
          </w:tcPr>
          <w:p w14:paraId="5AA50630" w14:textId="77777777" w:rsidR="001F1833" w:rsidRPr="007C103A" w:rsidRDefault="001F1833" w:rsidP="004A7075">
            <w:pPr>
              <w:pStyle w:val="TableText0"/>
              <w:widowControl w:val="0"/>
            </w:pPr>
            <w:r w:rsidRPr="007C103A">
              <w:fldChar w:fldCharType="begin">
                <w:ffData>
                  <w:name w:val="Check1"/>
                  <w:enabled/>
                  <w:calcOnExit w:val="0"/>
                  <w:checkBox>
                    <w:sizeAuto/>
                    <w:default w:val="0"/>
                  </w:checkBox>
                </w:ffData>
              </w:fldChar>
            </w:r>
            <w:r w:rsidRPr="007C103A">
              <w:instrText xml:space="preserve"> FORMCHECKBOX </w:instrText>
            </w:r>
            <w:r w:rsidR="00007A0D">
              <w:fldChar w:fldCharType="separate"/>
            </w:r>
            <w:r w:rsidRPr="007C103A">
              <w:fldChar w:fldCharType="end"/>
            </w:r>
            <w:r w:rsidRPr="007C103A">
              <w:t xml:space="preserve">Dental  </w:t>
            </w:r>
            <w:r w:rsidRPr="007C103A">
              <w:fldChar w:fldCharType="begin">
                <w:ffData>
                  <w:name w:val="Check1"/>
                  <w:enabled/>
                  <w:calcOnExit w:val="0"/>
                  <w:checkBox>
                    <w:sizeAuto/>
                    <w:default w:val="1"/>
                  </w:checkBox>
                </w:ffData>
              </w:fldChar>
            </w:r>
            <w:r w:rsidRPr="007C103A">
              <w:instrText xml:space="preserve"> FORMCHECKBOX </w:instrText>
            </w:r>
            <w:r w:rsidR="00007A0D">
              <w:fldChar w:fldCharType="separate"/>
            </w:r>
            <w:r w:rsidRPr="007C103A">
              <w:fldChar w:fldCharType="end"/>
            </w:r>
            <w:r w:rsidRPr="007C103A">
              <w:t xml:space="preserve">Medical Practitioners  </w:t>
            </w:r>
            <w:r w:rsidRPr="007C103A">
              <w:fldChar w:fldCharType="begin">
                <w:ffData>
                  <w:name w:val="Check1"/>
                  <w:enabled/>
                  <w:calcOnExit w:val="0"/>
                  <w:checkBox>
                    <w:sizeAuto/>
                    <w:default w:val="0"/>
                  </w:checkBox>
                </w:ffData>
              </w:fldChar>
            </w:r>
            <w:r w:rsidRPr="007C103A">
              <w:instrText xml:space="preserve"> FORMCHECKBOX </w:instrText>
            </w:r>
            <w:r w:rsidR="00007A0D">
              <w:fldChar w:fldCharType="separate"/>
            </w:r>
            <w:r w:rsidRPr="007C103A">
              <w:fldChar w:fldCharType="end"/>
            </w:r>
            <w:r w:rsidRPr="007C103A">
              <w:t xml:space="preserve">Nurse practitioners </w:t>
            </w:r>
            <w:r w:rsidRPr="007C103A">
              <w:fldChar w:fldCharType="begin">
                <w:ffData>
                  <w:name w:val="Check1"/>
                  <w:enabled/>
                  <w:calcOnExit w:val="0"/>
                  <w:checkBox>
                    <w:sizeAuto/>
                    <w:default w:val="0"/>
                  </w:checkBox>
                </w:ffData>
              </w:fldChar>
            </w:r>
            <w:r w:rsidRPr="007C103A">
              <w:instrText xml:space="preserve"> FORMCHECKBOX </w:instrText>
            </w:r>
            <w:r w:rsidR="00007A0D">
              <w:fldChar w:fldCharType="separate"/>
            </w:r>
            <w:r w:rsidRPr="007C103A">
              <w:fldChar w:fldCharType="end"/>
            </w:r>
            <w:r w:rsidRPr="007C103A">
              <w:t xml:space="preserve">Optometrists </w:t>
            </w:r>
            <w:r w:rsidRPr="007C103A">
              <w:fldChar w:fldCharType="begin">
                <w:ffData>
                  <w:name w:val="Check1"/>
                  <w:enabled/>
                  <w:calcOnExit w:val="0"/>
                  <w:checkBox>
                    <w:sizeAuto/>
                    <w:default w:val="0"/>
                  </w:checkBox>
                </w:ffData>
              </w:fldChar>
            </w:r>
            <w:r w:rsidRPr="007C103A">
              <w:instrText xml:space="preserve"> FORMCHECKBOX </w:instrText>
            </w:r>
            <w:r w:rsidR="00007A0D">
              <w:fldChar w:fldCharType="separate"/>
            </w:r>
            <w:r w:rsidRPr="007C103A">
              <w:fldChar w:fldCharType="end"/>
            </w:r>
            <w:r w:rsidRPr="007C103A">
              <w:t>Midwives</w:t>
            </w:r>
          </w:p>
        </w:tc>
      </w:tr>
      <w:tr w:rsidR="001F1833" w:rsidRPr="007C103A" w14:paraId="04BB5D59" w14:textId="77777777" w:rsidTr="001F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6" w:type="pct"/>
          <w:trHeight w:val="20"/>
        </w:trPr>
        <w:tc>
          <w:tcPr>
            <w:tcW w:w="1011" w:type="pct"/>
            <w:tcBorders>
              <w:top w:val="single" w:sz="4" w:space="0" w:color="auto"/>
              <w:left w:val="single" w:sz="4" w:space="0" w:color="auto"/>
              <w:bottom w:val="single" w:sz="4" w:space="0" w:color="auto"/>
              <w:right w:val="single" w:sz="4" w:space="0" w:color="auto"/>
            </w:tcBorders>
            <w:vAlign w:val="center"/>
          </w:tcPr>
          <w:p w14:paraId="66A22338" w14:textId="77777777" w:rsidR="001F1833" w:rsidRPr="007C103A" w:rsidRDefault="001F1833" w:rsidP="004A7075">
            <w:pPr>
              <w:pStyle w:val="Tabletext"/>
              <w:keepNext/>
              <w:widowControl w:val="0"/>
              <w:rPr>
                <w:b/>
                <w:bCs/>
              </w:rPr>
            </w:pPr>
            <w:r w:rsidRPr="007C103A">
              <w:rPr>
                <w:b/>
              </w:rPr>
              <w:t>Condition:</w:t>
            </w:r>
          </w:p>
        </w:tc>
        <w:tc>
          <w:tcPr>
            <w:tcW w:w="3953" w:type="pct"/>
            <w:gridSpan w:val="5"/>
            <w:tcBorders>
              <w:top w:val="single" w:sz="4" w:space="0" w:color="auto"/>
              <w:left w:val="single" w:sz="4" w:space="0" w:color="auto"/>
              <w:bottom w:val="single" w:sz="4" w:space="0" w:color="auto"/>
              <w:right w:val="single" w:sz="4" w:space="0" w:color="auto"/>
            </w:tcBorders>
          </w:tcPr>
          <w:p w14:paraId="752E1A7E" w14:textId="77777777" w:rsidR="001F1833" w:rsidRPr="007C103A" w:rsidRDefault="001F1833" w:rsidP="004A7075">
            <w:pPr>
              <w:pStyle w:val="Tabletext"/>
              <w:keepNext/>
              <w:widowControl w:val="0"/>
              <w:rPr>
                <w:rFonts w:cstheme="minorHAnsi"/>
              </w:rPr>
            </w:pPr>
            <w:r w:rsidRPr="007C103A">
              <w:t>Diffuse large B-cell lymphoma</w:t>
            </w:r>
          </w:p>
        </w:tc>
      </w:tr>
      <w:tr w:rsidR="001F1833" w:rsidRPr="007C103A" w14:paraId="52C258D4" w14:textId="77777777" w:rsidTr="001F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6" w:type="pct"/>
          <w:trHeight w:val="20"/>
        </w:trPr>
        <w:tc>
          <w:tcPr>
            <w:tcW w:w="1011" w:type="pct"/>
            <w:tcBorders>
              <w:top w:val="single" w:sz="4" w:space="0" w:color="auto"/>
              <w:left w:val="single" w:sz="4" w:space="0" w:color="auto"/>
              <w:bottom w:val="single" w:sz="4" w:space="0" w:color="auto"/>
              <w:right w:val="single" w:sz="4" w:space="0" w:color="auto"/>
            </w:tcBorders>
            <w:vAlign w:val="center"/>
            <w:hideMark/>
          </w:tcPr>
          <w:p w14:paraId="22F8BF54" w14:textId="77777777" w:rsidR="001F1833" w:rsidRPr="007C103A" w:rsidRDefault="001F1833" w:rsidP="004A7075">
            <w:pPr>
              <w:pStyle w:val="Tabletext"/>
              <w:keepNext/>
              <w:widowControl w:val="0"/>
              <w:rPr>
                <w:b/>
                <w:bCs/>
              </w:rPr>
            </w:pPr>
            <w:r w:rsidRPr="007C103A">
              <w:rPr>
                <w:b/>
                <w:bCs/>
              </w:rPr>
              <w:t>PBS indication:</w:t>
            </w:r>
          </w:p>
        </w:tc>
        <w:tc>
          <w:tcPr>
            <w:tcW w:w="3953" w:type="pct"/>
            <w:gridSpan w:val="5"/>
            <w:tcBorders>
              <w:top w:val="single" w:sz="4" w:space="0" w:color="auto"/>
              <w:left w:val="single" w:sz="4" w:space="0" w:color="auto"/>
              <w:bottom w:val="single" w:sz="4" w:space="0" w:color="auto"/>
              <w:right w:val="single" w:sz="4" w:space="0" w:color="auto"/>
            </w:tcBorders>
          </w:tcPr>
          <w:p w14:paraId="3BD0C27F" w14:textId="77777777" w:rsidR="001F1833" w:rsidRPr="007C103A" w:rsidRDefault="00457EF6" w:rsidP="004A7075">
            <w:pPr>
              <w:pStyle w:val="Tabletext"/>
              <w:keepNext/>
              <w:widowControl w:val="0"/>
            </w:pPr>
            <w:r w:rsidRPr="007C103A">
              <w:rPr>
                <w:rFonts w:cstheme="minorHAnsi"/>
              </w:rPr>
              <w:t>Initial and</w:t>
            </w:r>
            <w:r w:rsidR="001F1833" w:rsidRPr="007C103A">
              <w:rPr>
                <w:rFonts w:cstheme="minorHAnsi"/>
              </w:rPr>
              <w:t xml:space="preserve"> continuing treatment following at least two lines of previous drug therapy for relapsed and/or refractory diffuse large B-cell lymphoma</w:t>
            </w:r>
          </w:p>
        </w:tc>
      </w:tr>
      <w:tr w:rsidR="001F1833" w:rsidRPr="007C103A" w14:paraId="485D2EF7" w14:textId="77777777" w:rsidTr="001F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6" w:type="pct"/>
          <w:trHeight w:val="20"/>
        </w:trPr>
        <w:tc>
          <w:tcPr>
            <w:tcW w:w="1011" w:type="pct"/>
            <w:tcBorders>
              <w:top w:val="single" w:sz="4" w:space="0" w:color="auto"/>
              <w:left w:val="single" w:sz="4" w:space="0" w:color="auto"/>
              <w:bottom w:val="single" w:sz="4" w:space="0" w:color="auto"/>
              <w:right w:val="single" w:sz="4" w:space="0" w:color="auto"/>
            </w:tcBorders>
            <w:vAlign w:val="center"/>
            <w:hideMark/>
          </w:tcPr>
          <w:p w14:paraId="04D69CEE" w14:textId="77777777" w:rsidR="001F1833" w:rsidRPr="007C103A" w:rsidRDefault="001F1833" w:rsidP="004A7075">
            <w:pPr>
              <w:pStyle w:val="Tabletext"/>
              <w:widowControl w:val="0"/>
              <w:rPr>
                <w:b/>
                <w:bCs/>
              </w:rPr>
            </w:pPr>
            <w:r w:rsidRPr="007C103A">
              <w:rPr>
                <w:b/>
                <w:bCs/>
              </w:rPr>
              <w:t>Treatment phase:</w:t>
            </w:r>
          </w:p>
        </w:tc>
        <w:tc>
          <w:tcPr>
            <w:tcW w:w="3953" w:type="pct"/>
            <w:gridSpan w:val="5"/>
            <w:tcBorders>
              <w:top w:val="single" w:sz="4" w:space="0" w:color="auto"/>
              <w:left w:val="single" w:sz="4" w:space="0" w:color="auto"/>
              <w:bottom w:val="single" w:sz="4" w:space="0" w:color="auto"/>
              <w:right w:val="single" w:sz="4" w:space="0" w:color="auto"/>
            </w:tcBorders>
          </w:tcPr>
          <w:p w14:paraId="384EF6C1" w14:textId="77777777" w:rsidR="001F1833" w:rsidRPr="007C103A" w:rsidRDefault="001F1833" w:rsidP="004A7075">
            <w:pPr>
              <w:pStyle w:val="Tabletext"/>
              <w:widowControl w:val="0"/>
            </w:pPr>
            <w:r w:rsidRPr="007C103A">
              <w:t>Initial and continuing</w:t>
            </w:r>
          </w:p>
        </w:tc>
      </w:tr>
      <w:tr w:rsidR="001F1833" w:rsidRPr="007C103A" w14:paraId="7B039D2B" w14:textId="77777777" w:rsidTr="001F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6" w:type="pct"/>
          <w:trHeight w:val="20"/>
        </w:trPr>
        <w:tc>
          <w:tcPr>
            <w:tcW w:w="1011" w:type="pct"/>
            <w:tcBorders>
              <w:top w:val="single" w:sz="4" w:space="0" w:color="auto"/>
              <w:left w:val="single" w:sz="4" w:space="0" w:color="auto"/>
              <w:bottom w:val="single" w:sz="4" w:space="0" w:color="auto"/>
              <w:right w:val="single" w:sz="4" w:space="0" w:color="auto"/>
            </w:tcBorders>
            <w:vAlign w:val="center"/>
            <w:hideMark/>
          </w:tcPr>
          <w:p w14:paraId="39DFA64D" w14:textId="77777777" w:rsidR="001F1833" w:rsidRPr="007C103A" w:rsidRDefault="001F1833" w:rsidP="004A7075">
            <w:pPr>
              <w:pStyle w:val="Tabletext"/>
              <w:widowControl w:val="0"/>
              <w:rPr>
                <w:b/>
                <w:bCs/>
              </w:rPr>
            </w:pPr>
            <w:r w:rsidRPr="007C103A">
              <w:rPr>
                <w:b/>
                <w:bCs/>
              </w:rPr>
              <w:t>Restriction:</w:t>
            </w:r>
          </w:p>
        </w:tc>
        <w:tc>
          <w:tcPr>
            <w:tcW w:w="3953" w:type="pct"/>
            <w:gridSpan w:val="5"/>
            <w:tcBorders>
              <w:top w:val="single" w:sz="4" w:space="0" w:color="auto"/>
              <w:left w:val="single" w:sz="4" w:space="0" w:color="auto"/>
              <w:bottom w:val="single" w:sz="4" w:space="0" w:color="auto"/>
              <w:right w:val="single" w:sz="4" w:space="0" w:color="auto"/>
            </w:tcBorders>
          </w:tcPr>
          <w:p w14:paraId="53FBB961" w14:textId="77777777" w:rsidR="001F1833" w:rsidRPr="007C103A" w:rsidRDefault="001F1833" w:rsidP="004A7075">
            <w:pPr>
              <w:pStyle w:val="Tabletext"/>
              <w:widowControl w:val="0"/>
            </w:pPr>
            <w:r w:rsidRPr="007C103A">
              <w:fldChar w:fldCharType="begin">
                <w:ffData>
                  <w:name w:val=""/>
                  <w:enabled/>
                  <w:calcOnExit w:val="0"/>
                  <w:checkBox>
                    <w:sizeAuto/>
                    <w:default w:val="1"/>
                  </w:checkBox>
                </w:ffData>
              </w:fldChar>
            </w:r>
            <w:r w:rsidRPr="007C103A">
              <w:instrText xml:space="preserve"> FORMCHECKBOX </w:instrText>
            </w:r>
            <w:r w:rsidR="00007A0D">
              <w:fldChar w:fldCharType="separate"/>
            </w:r>
            <w:r w:rsidRPr="007C103A">
              <w:fldChar w:fldCharType="end"/>
            </w:r>
            <w:r w:rsidRPr="007C103A">
              <w:t xml:space="preserve"> Authority Required – STREAMLINED</w:t>
            </w:r>
          </w:p>
        </w:tc>
      </w:tr>
      <w:tr w:rsidR="001F1833" w:rsidRPr="007C103A" w14:paraId="7A423CC3" w14:textId="77777777" w:rsidTr="001F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6" w:type="pct"/>
          <w:trHeight w:val="20"/>
        </w:trPr>
        <w:tc>
          <w:tcPr>
            <w:tcW w:w="1011" w:type="pct"/>
            <w:tcBorders>
              <w:top w:val="single" w:sz="4" w:space="0" w:color="auto"/>
              <w:left w:val="single" w:sz="4" w:space="0" w:color="auto"/>
              <w:bottom w:val="single" w:sz="4" w:space="0" w:color="auto"/>
              <w:right w:val="single" w:sz="4" w:space="0" w:color="auto"/>
            </w:tcBorders>
            <w:vAlign w:val="center"/>
            <w:hideMark/>
          </w:tcPr>
          <w:p w14:paraId="54B18024" w14:textId="77777777" w:rsidR="001F1833" w:rsidRPr="007C103A" w:rsidRDefault="001F1833" w:rsidP="004A7075">
            <w:pPr>
              <w:pStyle w:val="Tabletext"/>
              <w:widowControl w:val="0"/>
              <w:rPr>
                <w:b/>
                <w:bCs/>
              </w:rPr>
            </w:pPr>
            <w:r w:rsidRPr="007C103A">
              <w:rPr>
                <w:b/>
                <w:bCs/>
              </w:rPr>
              <w:t>Clinical criteria:</w:t>
            </w:r>
          </w:p>
        </w:tc>
        <w:tc>
          <w:tcPr>
            <w:tcW w:w="3953" w:type="pct"/>
            <w:gridSpan w:val="5"/>
            <w:tcBorders>
              <w:top w:val="single" w:sz="4" w:space="0" w:color="auto"/>
              <w:left w:val="single" w:sz="4" w:space="0" w:color="auto"/>
              <w:bottom w:val="single" w:sz="4" w:space="0" w:color="auto"/>
              <w:right w:val="single" w:sz="4" w:space="0" w:color="auto"/>
            </w:tcBorders>
          </w:tcPr>
          <w:p w14:paraId="388DD94B" w14:textId="77777777" w:rsidR="001F1833" w:rsidRPr="007C103A" w:rsidRDefault="001F1833" w:rsidP="004A7075">
            <w:pPr>
              <w:pStyle w:val="Tabletext"/>
              <w:widowControl w:val="0"/>
            </w:pPr>
            <w:r w:rsidRPr="007C103A">
              <w:t>Patient must have received an autologous haematopoietic stem cell transplant and experienced disease relapse</w:t>
            </w:r>
          </w:p>
          <w:p w14:paraId="34D5E185" w14:textId="77777777" w:rsidR="001F1833" w:rsidRPr="007C103A" w:rsidRDefault="001F1833" w:rsidP="004A7075">
            <w:pPr>
              <w:pStyle w:val="Tabletext"/>
              <w:widowControl w:val="0"/>
            </w:pPr>
            <w:r w:rsidRPr="007C103A">
              <w:t xml:space="preserve">OR </w:t>
            </w:r>
          </w:p>
          <w:p w14:paraId="0C398BE7" w14:textId="77777777" w:rsidR="001F1833" w:rsidRPr="007C103A" w:rsidRDefault="001F1833" w:rsidP="004A7075">
            <w:pPr>
              <w:pStyle w:val="Tabletext"/>
              <w:widowControl w:val="0"/>
            </w:pPr>
            <w:r w:rsidRPr="007C103A">
              <w:t>Patient must not be eligible for stem cell transplantation</w:t>
            </w:r>
          </w:p>
          <w:p w14:paraId="16B8D591" w14:textId="77777777" w:rsidR="001F1833" w:rsidRPr="007C103A" w:rsidRDefault="001F1833" w:rsidP="004A7075">
            <w:pPr>
              <w:pStyle w:val="Tabletext"/>
              <w:widowControl w:val="0"/>
            </w:pPr>
            <w:r w:rsidRPr="007C103A">
              <w:t>AND</w:t>
            </w:r>
          </w:p>
          <w:p w14:paraId="4BE5DB70" w14:textId="77777777" w:rsidR="001F1833" w:rsidRPr="007C103A" w:rsidRDefault="001F1833" w:rsidP="004A7075">
            <w:pPr>
              <w:pStyle w:val="Tabletext"/>
              <w:widowControl w:val="0"/>
            </w:pPr>
            <w:r w:rsidRPr="007C103A">
              <w:t>The condition must be relapsed and/or refractory to at least two prior therapies.</w:t>
            </w:r>
          </w:p>
          <w:p w14:paraId="4C2047A1" w14:textId="77777777" w:rsidR="001F1833" w:rsidRPr="007C103A" w:rsidRDefault="001F1833" w:rsidP="004A7075">
            <w:pPr>
              <w:pStyle w:val="Tabletext"/>
              <w:widowControl w:val="0"/>
            </w:pPr>
            <w:r w:rsidRPr="007C103A">
              <w:t>The condition must not be central nervous system lymphoma.</w:t>
            </w:r>
          </w:p>
          <w:p w14:paraId="0D68D391" w14:textId="77777777" w:rsidR="001F1833" w:rsidRPr="007C103A" w:rsidRDefault="001F1833" w:rsidP="004A7075">
            <w:pPr>
              <w:pStyle w:val="Tabletext"/>
              <w:widowControl w:val="0"/>
            </w:pPr>
            <w:r w:rsidRPr="007C103A">
              <w:t>The treatment must be used as monotherapy</w:t>
            </w:r>
          </w:p>
          <w:p w14:paraId="0989209F" w14:textId="77777777" w:rsidR="001F1833" w:rsidRPr="007C103A" w:rsidRDefault="001F1833" w:rsidP="004A7075">
            <w:pPr>
              <w:pStyle w:val="Tabletext"/>
              <w:widowControl w:val="0"/>
            </w:pPr>
            <w:r w:rsidRPr="007C103A">
              <w:t>AND</w:t>
            </w:r>
          </w:p>
          <w:p w14:paraId="6CB5170D" w14:textId="77777777" w:rsidR="001F1833" w:rsidRPr="007C103A" w:rsidRDefault="001F1833" w:rsidP="004A7075">
            <w:pPr>
              <w:pStyle w:val="Tabletext"/>
              <w:widowControl w:val="0"/>
            </w:pPr>
            <w:r w:rsidRPr="007C103A">
              <w:t>The treatment must be discontinued in patients who experience disease progression whilst on treatment.</w:t>
            </w:r>
          </w:p>
        </w:tc>
      </w:tr>
      <w:tr w:rsidR="001F1833" w:rsidRPr="007C103A" w14:paraId="45FCDE73" w14:textId="77777777" w:rsidTr="001F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6" w:type="pct"/>
          <w:trHeight w:val="20"/>
        </w:trPr>
        <w:tc>
          <w:tcPr>
            <w:tcW w:w="1011" w:type="pct"/>
            <w:tcBorders>
              <w:top w:val="single" w:sz="4" w:space="0" w:color="auto"/>
              <w:left w:val="single" w:sz="4" w:space="0" w:color="auto"/>
              <w:bottom w:val="single" w:sz="4" w:space="0" w:color="auto"/>
              <w:right w:val="single" w:sz="4" w:space="0" w:color="auto"/>
            </w:tcBorders>
            <w:vAlign w:val="center"/>
            <w:hideMark/>
          </w:tcPr>
          <w:p w14:paraId="5A220C89" w14:textId="77777777" w:rsidR="001F1833" w:rsidRPr="007C103A" w:rsidRDefault="001F1833" w:rsidP="004A7075">
            <w:pPr>
              <w:pStyle w:val="Tabletext"/>
              <w:widowControl w:val="0"/>
            </w:pPr>
            <w:r w:rsidRPr="007C103A">
              <w:rPr>
                <w:b/>
              </w:rPr>
              <w:t>Definitions:</w:t>
            </w:r>
          </w:p>
        </w:tc>
        <w:tc>
          <w:tcPr>
            <w:tcW w:w="3953" w:type="pct"/>
            <w:gridSpan w:val="5"/>
            <w:tcBorders>
              <w:top w:val="single" w:sz="4" w:space="0" w:color="auto"/>
              <w:left w:val="single" w:sz="4" w:space="0" w:color="auto"/>
              <w:bottom w:val="single" w:sz="4" w:space="0" w:color="auto"/>
              <w:right w:val="single" w:sz="4" w:space="0" w:color="auto"/>
            </w:tcBorders>
          </w:tcPr>
          <w:p w14:paraId="6747BBCF" w14:textId="77777777" w:rsidR="001F1833" w:rsidRPr="007C103A" w:rsidRDefault="001F1833" w:rsidP="004A7075">
            <w:pPr>
              <w:pStyle w:val="Tabletext"/>
              <w:widowControl w:val="0"/>
            </w:pPr>
            <w:r w:rsidRPr="007C103A">
              <w:t>Refractory disease is defined as progressive disease less than 6 months (if no previous autologous stem-cell transplantation) or less than 12 months (if previous autologous stem-cell transplantation) from end of treatment.</w:t>
            </w:r>
          </w:p>
        </w:tc>
      </w:tr>
    </w:tbl>
    <w:p w14:paraId="10EEAAFC" w14:textId="77777777" w:rsidR="00B60939" w:rsidRPr="007C103A" w:rsidRDefault="00B60939" w:rsidP="004B1CB4"/>
    <w:p w14:paraId="2F224AC8" w14:textId="77777777" w:rsidR="00591957" w:rsidRPr="007C103A" w:rsidRDefault="00785622" w:rsidP="004E18E9">
      <w:pPr>
        <w:pStyle w:val="3-BodyText"/>
      </w:pPr>
      <w:r w:rsidRPr="007C103A">
        <w:t>The submission proposed a special pricing arrangement.</w:t>
      </w:r>
      <w:r w:rsidR="0084060B" w:rsidRPr="007C103A">
        <w:t xml:space="preserve"> </w:t>
      </w:r>
      <w:r w:rsidRPr="007C103A">
        <w:t>The proposed effective and published prices are shown in the in the table above.</w:t>
      </w:r>
    </w:p>
    <w:p w14:paraId="519BAE33" w14:textId="77777777" w:rsidR="00347EBA" w:rsidRPr="007C103A" w:rsidRDefault="00F643CF" w:rsidP="00347EBA">
      <w:pPr>
        <w:pStyle w:val="3-BodyText"/>
        <w:rPr>
          <w:iCs/>
        </w:rPr>
      </w:pPr>
      <w:r w:rsidRPr="007C103A">
        <w:rPr>
          <w:iCs/>
        </w:rPr>
        <w:t xml:space="preserve">The requested restrictions </w:t>
      </w:r>
      <w:r w:rsidR="00EE5C42" w:rsidRPr="007C103A">
        <w:rPr>
          <w:iCs/>
        </w:rPr>
        <w:t>we</w:t>
      </w:r>
      <w:r w:rsidRPr="007C103A">
        <w:rPr>
          <w:iCs/>
        </w:rPr>
        <w:t>re consistent with the proposed TGA indication.</w:t>
      </w:r>
    </w:p>
    <w:p w14:paraId="5C76C8AC" w14:textId="77777777" w:rsidR="00053D52" w:rsidRPr="007C103A" w:rsidRDefault="00347EBA" w:rsidP="00227154">
      <w:pPr>
        <w:pStyle w:val="3-BodyText"/>
        <w:keepNext/>
        <w:keepLines/>
        <w:rPr>
          <w:iCs/>
        </w:rPr>
      </w:pPr>
      <w:r w:rsidRPr="007C103A">
        <w:t xml:space="preserve">DUSC noted that the submission requested listing of two packs sizes of 20 mg tablets 20- and 24-packs, and that a 16- and 32-pack sizes were included in the TGA submission. The dose of selinexor, as per the draft Product Information, is 60 mg (3 x 20 mg tablets) on Days 1 and 3 of each week. Thus, the 24-tablet pack would allow for 4 weeks treatment. The 20-tablet pack is intended for use if dose reductions are required. </w:t>
      </w:r>
      <w:r w:rsidRPr="007C103A">
        <w:rPr>
          <w:iCs/>
        </w:rPr>
        <w:t>In its pre-Sub-Committee Response (PSCR), the sponsor confirmed that all four pack sizes are intended to be listed on the PBS. DUSC considered it very likely that nearly all patients would be supplied the 24</w:t>
      </w:r>
      <w:r w:rsidR="0039100E" w:rsidRPr="007C103A">
        <w:rPr>
          <w:iCs/>
        </w:rPr>
        <w:t>-</w:t>
      </w:r>
      <w:r w:rsidRPr="007C103A">
        <w:rPr>
          <w:iCs/>
        </w:rPr>
        <w:t>pack size, self-modify the dose if necessary, and refill prescriptions less frequently.</w:t>
      </w:r>
    </w:p>
    <w:p w14:paraId="53FD48C6" w14:textId="77777777" w:rsidR="00053D52" w:rsidRPr="007C103A" w:rsidRDefault="00053D52" w:rsidP="00053D52">
      <w:pPr>
        <w:pStyle w:val="3-BodyText"/>
        <w:rPr>
          <w:iCs/>
        </w:rPr>
      </w:pPr>
      <w:r w:rsidRPr="007C103A">
        <w:rPr>
          <w:iCs/>
        </w:rPr>
        <w:t xml:space="preserve">The PBAC noted that the submission requested an Authority Required – Streamlined listing for initial, continuing and grandfather treatment. The PBAC considered that an </w:t>
      </w:r>
      <w:r w:rsidRPr="007C103A">
        <w:rPr>
          <w:iCs/>
        </w:rPr>
        <w:lastRenderedPageBreak/>
        <w:t xml:space="preserve">Authority Required (telephone/electronic) listing would be more appropriate, given selinexor is a new chemical entity and a first in class </w:t>
      </w:r>
      <w:r w:rsidR="00B00740" w:rsidRPr="007C103A">
        <w:rPr>
          <w:iCs/>
        </w:rPr>
        <w:t xml:space="preserve">medicine </w:t>
      </w:r>
      <w:r w:rsidRPr="007C103A">
        <w:rPr>
          <w:iCs/>
        </w:rPr>
        <w:t>for which there is no prior experience on the PBS</w:t>
      </w:r>
      <w:r w:rsidR="00B00740" w:rsidRPr="007C103A">
        <w:rPr>
          <w:iCs/>
        </w:rPr>
        <w:t>,</w:t>
      </w:r>
      <w:r w:rsidRPr="007C103A">
        <w:rPr>
          <w:iCs/>
        </w:rPr>
        <w:t xml:space="preserve"> and given </w:t>
      </w:r>
      <w:r w:rsidR="00B00740" w:rsidRPr="007C103A">
        <w:rPr>
          <w:iCs/>
        </w:rPr>
        <w:t>its</w:t>
      </w:r>
      <w:r w:rsidRPr="007C103A">
        <w:rPr>
          <w:iCs/>
        </w:rPr>
        <w:t xml:space="preserve"> potential safety concerns.</w:t>
      </w:r>
    </w:p>
    <w:p w14:paraId="36DDA90D" w14:textId="77777777" w:rsidR="00791DE4" w:rsidRPr="007C103A" w:rsidRDefault="00791DE4" w:rsidP="00053D52">
      <w:pPr>
        <w:pStyle w:val="3-BodyText"/>
        <w:numPr>
          <w:ilvl w:val="0"/>
          <w:numId w:val="0"/>
        </w:numPr>
        <w:ind w:left="720"/>
        <w:rPr>
          <w:iCs/>
        </w:rPr>
      </w:pPr>
      <w:r w:rsidRPr="007C103A">
        <w:rPr>
          <w:i/>
        </w:rPr>
        <w:t>For more detail on PBAC’s view, see section 7 PBAC outcome.</w:t>
      </w:r>
    </w:p>
    <w:p w14:paraId="70AB1862" w14:textId="77777777" w:rsidR="00B50DB8" w:rsidRPr="007C103A" w:rsidRDefault="00203181" w:rsidP="004E18E9">
      <w:pPr>
        <w:pStyle w:val="2-SectionHeading"/>
      </w:pPr>
      <w:bookmarkStart w:id="6" w:name="_Toc71312045"/>
      <w:r w:rsidRPr="007C103A">
        <w:t xml:space="preserve">Population and </w:t>
      </w:r>
      <w:r w:rsidR="008E0D3C" w:rsidRPr="007C103A">
        <w:t>d</w:t>
      </w:r>
      <w:r w:rsidRPr="007C103A">
        <w:t>isease</w:t>
      </w:r>
      <w:bookmarkEnd w:id="6"/>
    </w:p>
    <w:p w14:paraId="6ED35E6F" w14:textId="77777777" w:rsidR="00894489" w:rsidRPr="007C103A" w:rsidRDefault="00BF2545" w:rsidP="004E18E9">
      <w:pPr>
        <w:pStyle w:val="3-BodyText"/>
      </w:pPr>
      <w:r w:rsidRPr="007C103A">
        <w:t>The submission stated that</w:t>
      </w:r>
      <w:r w:rsidR="00013E51" w:rsidRPr="007C103A">
        <w:t xml:space="preserve"> non-Hodgkin’s lymphoma</w:t>
      </w:r>
      <w:r w:rsidRPr="007C103A">
        <w:t xml:space="preserve"> </w:t>
      </w:r>
      <w:r w:rsidR="00013E51" w:rsidRPr="007C103A">
        <w:t>(</w:t>
      </w:r>
      <w:r w:rsidRPr="007C103A">
        <w:t>NHL</w:t>
      </w:r>
      <w:r w:rsidR="00013E51" w:rsidRPr="007C103A">
        <w:t>)</w:t>
      </w:r>
      <w:r w:rsidRPr="007C103A">
        <w:t xml:space="preserve"> accounts for 90% of all types of lymphomas</w:t>
      </w:r>
      <w:r w:rsidRPr="007C103A">
        <w:rPr>
          <w:shd w:val="clear" w:color="auto" w:fill="FFFFFF"/>
        </w:rPr>
        <w:t xml:space="preserve"> and </w:t>
      </w:r>
      <w:r w:rsidR="007660B4" w:rsidRPr="007C103A">
        <w:rPr>
          <w:shd w:val="clear" w:color="auto" w:fill="FFFFFF"/>
        </w:rPr>
        <w:t xml:space="preserve">that </w:t>
      </w:r>
      <w:r w:rsidRPr="007C103A">
        <w:t xml:space="preserve">DLBCLs and </w:t>
      </w:r>
      <w:r w:rsidR="007E0182" w:rsidRPr="007C103A">
        <w:t>follicular lymphoma (</w:t>
      </w:r>
      <w:r w:rsidRPr="007C103A">
        <w:t>FL</w:t>
      </w:r>
      <w:r w:rsidR="007E0182" w:rsidRPr="007C103A">
        <w:t>)</w:t>
      </w:r>
      <w:r w:rsidRPr="007C103A">
        <w:t xml:space="preserve"> are the most common subtypes of B-cell NHLs in adults. DLBCL is the most common, accounting for approximately 20-40% of all NHL cases and histologic transformation of FL to DLBCL (TFL) occurs in approximately 15% of patients and is generally associated with a poor clinical outcome. In Australia, NHL is diagnosed in approximately 6</w:t>
      </w:r>
      <w:r w:rsidR="007660B4" w:rsidRPr="007C103A">
        <w:t>,</w:t>
      </w:r>
      <w:r w:rsidRPr="007C103A">
        <w:t>000 individuals annually, with over 1</w:t>
      </w:r>
      <w:r w:rsidR="007660B4" w:rsidRPr="007C103A">
        <w:t>,</w:t>
      </w:r>
      <w:r w:rsidRPr="007C103A">
        <w:t xml:space="preserve">500 deaths each year. DLBCL may affect any age group, including adolescents and children, </w:t>
      </w:r>
      <w:r w:rsidR="00B00740" w:rsidRPr="007C103A">
        <w:t xml:space="preserve">but </w:t>
      </w:r>
      <w:r w:rsidRPr="007C103A">
        <w:t>primarily occurs in adults over the age of 60.</w:t>
      </w:r>
    </w:p>
    <w:p w14:paraId="3DDACBD3" w14:textId="77777777" w:rsidR="00BF2545" w:rsidRPr="007C103A" w:rsidRDefault="00BF2545" w:rsidP="004E18E9">
      <w:pPr>
        <w:pStyle w:val="3-BodyText"/>
      </w:pPr>
      <w:r w:rsidRPr="007C103A">
        <w:t xml:space="preserve">Currently the only potentially curative treatment options for patients with RR DLBCL are </w:t>
      </w:r>
      <w:r w:rsidR="007E0182" w:rsidRPr="007C103A">
        <w:t>autologous stem cell transplant (</w:t>
      </w:r>
      <w:r w:rsidRPr="007C103A">
        <w:t>ASCT</w:t>
      </w:r>
      <w:r w:rsidR="007E0182" w:rsidRPr="007C103A">
        <w:t>)</w:t>
      </w:r>
      <w:r w:rsidRPr="007C103A">
        <w:t xml:space="preserve"> or treatment with anti-CD19-chimeric antigen receptor modified T cells (CAR-T). Accessibility to these treatments also presents additional burden for patients with both </w:t>
      </w:r>
      <w:r w:rsidR="007660B4" w:rsidRPr="007C103A">
        <w:t xml:space="preserve">ASCT and </w:t>
      </w:r>
      <w:r w:rsidRPr="007C103A">
        <w:t xml:space="preserve">CAR-T requiring hospitalisation at a limited number of specialist </w:t>
      </w:r>
      <w:r w:rsidR="00F52173" w:rsidRPr="007C103A">
        <w:t>centres</w:t>
      </w:r>
      <w:r w:rsidRPr="007C103A">
        <w:t>, with potentially prolonged stays.</w:t>
      </w:r>
    </w:p>
    <w:p w14:paraId="0DCA2F1A" w14:textId="77777777" w:rsidR="00BF2545" w:rsidRPr="007C103A" w:rsidRDefault="00BF2545" w:rsidP="004E18E9">
      <w:pPr>
        <w:pStyle w:val="3-BodyText"/>
      </w:pPr>
      <w:r w:rsidRPr="007C103A">
        <w:t>Approximately 50% of patients fail these treatment modalities and require further therapy and a large proportion of patients who fail first-line treatment are not eligible for second-line curative therapy due to age, frailty and/or multiple comorbidities, and therefore are not ‘fit’ enough to tolerate such intensive treatment.</w:t>
      </w:r>
    </w:p>
    <w:p w14:paraId="207DBCEF" w14:textId="77777777" w:rsidR="00BF2545" w:rsidRPr="007C103A" w:rsidRDefault="00BF2545" w:rsidP="004E18E9">
      <w:pPr>
        <w:pStyle w:val="3-BodyText"/>
      </w:pPr>
      <w:r w:rsidRPr="007C103A">
        <w:t>The PBAC considered a submission for this population in November 2019 (polatuzumab vedotin).</w:t>
      </w:r>
    </w:p>
    <w:p w14:paraId="12C5D10D" w14:textId="77777777" w:rsidR="00BF2545" w:rsidRPr="007C103A" w:rsidRDefault="00BF2545" w:rsidP="004E18E9">
      <w:pPr>
        <w:pStyle w:val="3-BodyText"/>
      </w:pPr>
      <w:r w:rsidRPr="007C103A">
        <w:t>The algorithms suggest that selinexor can be used as either third</w:t>
      </w:r>
      <w:r w:rsidR="006F0181" w:rsidRPr="007C103A">
        <w:t>-</w:t>
      </w:r>
      <w:r w:rsidRPr="007C103A">
        <w:t xml:space="preserve"> or fourth</w:t>
      </w:r>
      <w:r w:rsidR="006F0181" w:rsidRPr="007C103A">
        <w:t>-</w:t>
      </w:r>
      <w:r w:rsidRPr="007C103A">
        <w:t>line therapy which is consistent with the proposed listing.</w:t>
      </w:r>
    </w:p>
    <w:p w14:paraId="49F1AA5A" w14:textId="77777777" w:rsidR="00BF2545" w:rsidRPr="007C103A" w:rsidRDefault="00BF2545" w:rsidP="004E18E9">
      <w:pPr>
        <w:pStyle w:val="3-BodyText"/>
      </w:pPr>
      <w:r w:rsidRPr="007C103A">
        <w:t>Selinexor is an oral, first-in-class, potent, selective inhibitor of nuclear export (SINE) that specifically blocks exportin 1 (XPO1). Inhibition of XPO1 leads, amongst other mechanisms, to the nuclear accumulation and activation of tumour suppressor proteins (TSPs), which leads to apoptosis in cancer cells.</w:t>
      </w:r>
    </w:p>
    <w:p w14:paraId="5721153D" w14:textId="77777777" w:rsidR="00791DE4" w:rsidRPr="007C103A" w:rsidRDefault="00791DE4" w:rsidP="00791DE4">
      <w:pPr>
        <w:pStyle w:val="3-BodyText"/>
        <w:numPr>
          <w:ilvl w:val="0"/>
          <w:numId w:val="0"/>
        </w:numPr>
        <w:ind w:left="720"/>
      </w:pPr>
      <w:r w:rsidRPr="007C103A">
        <w:rPr>
          <w:i/>
        </w:rPr>
        <w:t>For more detail on PBAC’s view, see section 7 PBAC outcome.</w:t>
      </w:r>
    </w:p>
    <w:p w14:paraId="2B389722" w14:textId="77777777" w:rsidR="00B50DB8" w:rsidRPr="007C103A" w:rsidRDefault="00B50DB8" w:rsidP="004E18E9">
      <w:pPr>
        <w:pStyle w:val="2-SectionHeading"/>
      </w:pPr>
      <w:bookmarkStart w:id="7" w:name="_Toc71312046"/>
      <w:r w:rsidRPr="007C103A">
        <w:t>Comparator</w:t>
      </w:r>
      <w:bookmarkEnd w:id="7"/>
    </w:p>
    <w:p w14:paraId="350AC241" w14:textId="77777777" w:rsidR="00A05472" w:rsidRPr="007C103A" w:rsidRDefault="00BF2545" w:rsidP="00882E3C">
      <w:pPr>
        <w:pStyle w:val="3-BodyText"/>
        <w:rPr>
          <w:snapToGrid/>
        </w:rPr>
      </w:pPr>
      <w:r w:rsidRPr="007C103A">
        <w:t xml:space="preserve">The submission nominated </w:t>
      </w:r>
      <w:proofErr w:type="spellStart"/>
      <w:r w:rsidR="007E0182" w:rsidRPr="007C103A">
        <w:t>RGemOx</w:t>
      </w:r>
      <w:proofErr w:type="spellEnd"/>
      <w:r w:rsidRPr="007C103A">
        <w:t xml:space="preserve"> as the comparator regimen to represent all rituximab-based salvage chemotherapies. The main arguments provided in support of this nomination were that this population is unsuitable for CAR-T or ASCT and therefore the current guidelines used in Australia recommend rituximab salvage </w:t>
      </w:r>
      <w:r w:rsidRPr="007C103A">
        <w:lastRenderedPageBreak/>
        <w:t>regimens or participation in a clinical trial.</w:t>
      </w:r>
      <w:r w:rsidR="00B91312" w:rsidRPr="007C103A">
        <w:t xml:space="preserve"> The ESC considered that patients </w:t>
      </w:r>
      <w:r w:rsidR="00A52813" w:rsidRPr="007C103A">
        <w:t>considered suitable for CAR-T or ASCT were unlikely to be considered for treatment with selinexor</w:t>
      </w:r>
      <w:r w:rsidR="00B91312" w:rsidRPr="007C103A">
        <w:t>.</w:t>
      </w:r>
    </w:p>
    <w:p w14:paraId="78CAF55A" w14:textId="77777777" w:rsidR="00BF2545" w:rsidRPr="007C103A" w:rsidRDefault="00BF2545" w:rsidP="00882E3C">
      <w:pPr>
        <w:pStyle w:val="3-BodyText"/>
        <w:rPr>
          <w:snapToGrid/>
        </w:rPr>
      </w:pPr>
      <w:r w:rsidRPr="007C103A">
        <w:t>Th</w:t>
      </w:r>
      <w:r w:rsidR="00BF6D62" w:rsidRPr="007C103A">
        <w:t xml:space="preserve">e ESC considered that </w:t>
      </w:r>
      <w:proofErr w:type="spellStart"/>
      <w:r w:rsidR="00BF6D62" w:rsidRPr="007C103A">
        <w:t>RGemOx</w:t>
      </w:r>
      <w:proofErr w:type="spellEnd"/>
      <w:r w:rsidR="00BF6D62" w:rsidRPr="007C103A">
        <w:t xml:space="preserve"> </w:t>
      </w:r>
      <w:r w:rsidR="00943B8B" w:rsidRPr="007C103A">
        <w:t>was</w:t>
      </w:r>
      <w:r w:rsidRPr="007C103A">
        <w:t xml:space="preserve"> </w:t>
      </w:r>
      <w:r w:rsidR="00BF6D62" w:rsidRPr="007C103A">
        <w:t xml:space="preserve">a </w:t>
      </w:r>
      <w:r w:rsidRPr="007C103A">
        <w:t xml:space="preserve">reasonable </w:t>
      </w:r>
      <w:r w:rsidR="00BF6D62" w:rsidRPr="007C103A">
        <w:t xml:space="preserve">comparator </w:t>
      </w:r>
      <w:r w:rsidR="00943B8B" w:rsidRPr="007C103A">
        <w:t>in the third</w:t>
      </w:r>
      <w:r w:rsidR="00DD6A18" w:rsidRPr="007C103A">
        <w:t>-</w:t>
      </w:r>
      <w:r w:rsidR="00943B8B" w:rsidRPr="007C103A">
        <w:t xml:space="preserve"> or fourth</w:t>
      </w:r>
      <w:r w:rsidR="00DD6A18" w:rsidRPr="007C103A">
        <w:t>-</w:t>
      </w:r>
      <w:r w:rsidR="00943B8B" w:rsidRPr="007C103A">
        <w:t xml:space="preserve">line settings, noting that the PBAC had previously considered it to be the appropriate comparator in the assessment of </w:t>
      </w:r>
      <w:r w:rsidRPr="007C103A">
        <w:t xml:space="preserve">polatuzumab vedotin </w:t>
      </w:r>
      <w:r w:rsidR="00943B8B" w:rsidRPr="007C103A">
        <w:t xml:space="preserve">for RR DLBCL </w:t>
      </w:r>
      <w:r w:rsidRPr="007C103A">
        <w:t>(</w:t>
      </w:r>
      <w:r w:rsidR="00F52173" w:rsidRPr="007C103A">
        <w:t xml:space="preserve">paragraph 5.3, </w:t>
      </w:r>
      <w:r w:rsidR="00AC7820" w:rsidRPr="007C103A">
        <w:t xml:space="preserve">polatuzumab vedotin </w:t>
      </w:r>
      <w:r w:rsidR="00402235">
        <w:t>Public Summary Document</w:t>
      </w:r>
      <w:r w:rsidR="00402235" w:rsidRPr="007C103A">
        <w:t xml:space="preserve"> </w:t>
      </w:r>
      <w:r w:rsidR="00402235">
        <w:t>(</w:t>
      </w:r>
      <w:r w:rsidR="00AC7820" w:rsidRPr="007C103A">
        <w:t>PSD</w:t>
      </w:r>
      <w:r w:rsidR="00402235">
        <w:t>)</w:t>
      </w:r>
      <w:r w:rsidR="00AC7820" w:rsidRPr="007C103A">
        <w:t xml:space="preserve">, </w:t>
      </w:r>
      <w:r w:rsidRPr="007C103A">
        <w:t>November 2019).</w:t>
      </w:r>
    </w:p>
    <w:p w14:paraId="1D337150" w14:textId="77777777" w:rsidR="00BF2545" w:rsidRPr="007C103A" w:rsidRDefault="00943B8B" w:rsidP="00882E3C">
      <w:pPr>
        <w:pStyle w:val="3-BodyText"/>
        <w:rPr>
          <w:iCs/>
          <w:snapToGrid/>
        </w:rPr>
      </w:pPr>
      <w:r w:rsidRPr="007C103A">
        <w:rPr>
          <w:iCs/>
        </w:rPr>
        <w:t>The ESC noted that t</w:t>
      </w:r>
      <w:r w:rsidR="00BF2545" w:rsidRPr="007C103A">
        <w:rPr>
          <w:iCs/>
        </w:rPr>
        <w:t>here are multiple different chemotherapy regimens</w:t>
      </w:r>
      <w:r w:rsidR="00EE5C42" w:rsidRPr="007C103A">
        <w:rPr>
          <w:iCs/>
        </w:rPr>
        <w:t>, most of which are rituximab based, which are used as salvage chemotherapy</w:t>
      </w:r>
      <w:r w:rsidR="00BF2545" w:rsidRPr="007C103A">
        <w:rPr>
          <w:iCs/>
        </w:rPr>
        <w:t>. The most common second</w:t>
      </w:r>
      <w:r w:rsidR="00DD6A18" w:rsidRPr="007C103A">
        <w:rPr>
          <w:iCs/>
        </w:rPr>
        <w:t>-</w:t>
      </w:r>
      <w:r w:rsidR="00BF2545" w:rsidRPr="007C103A">
        <w:rPr>
          <w:iCs/>
        </w:rPr>
        <w:t xml:space="preserve"> </w:t>
      </w:r>
      <w:r w:rsidR="008318FD" w:rsidRPr="007C103A">
        <w:rPr>
          <w:iCs/>
        </w:rPr>
        <w:t>and third</w:t>
      </w:r>
      <w:r w:rsidR="00DD6A18" w:rsidRPr="007C103A">
        <w:rPr>
          <w:iCs/>
        </w:rPr>
        <w:t>-</w:t>
      </w:r>
      <w:r w:rsidR="008318FD" w:rsidRPr="007C103A">
        <w:rPr>
          <w:iCs/>
        </w:rPr>
        <w:t xml:space="preserve">line </w:t>
      </w:r>
      <w:r w:rsidR="00BF2545" w:rsidRPr="007C103A">
        <w:rPr>
          <w:iCs/>
        </w:rPr>
        <w:t>treatment appears to be ritux</w:t>
      </w:r>
      <w:r w:rsidR="008318FD" w:rsidRPr="007C103A">
        <w:rPr>
          <w:iCs/>
        </w:rPr>
        <w:t>imab,</w:t>
      </w:r>
      <w:r w:rsidR="00BF2545" w:rsidRPr="007C103A">
        <w:rPr>
          <w:iCs/>
        </w:rPr>
        <w:t xml:space="preserve"> </w:t>
      </w:r>
      <w:proofErr w:type="spellStart"/>
      <w:r w:rsidR="00BF2545" w:rsidRPr="007C103A">
        <w:rPr>
          <w:iCs/>
        </w:rPr>
        <w:t>ifosfamide</w:t>
      </w:r>
      <w:proofErr w:type="spellEnd"/>
      <w:r w:rsidR="008318FD" w:rsidRPr="007C103A">
        <w:rPr>
          <w:iCs/>
        </w:rPr>
        <w:t>,</w:t>
      </w:r>
      <w:r w:rsidR="00BF2545" w:rsidRPr="007C103A">
        <w:rPr>
          <w:iCs/>
        </w:rPr>
        <w:t xml:space="preserve"> carboplatin and etoposide</w:t>
      </w:r>
      <w:r w:rsidR="0004160F" w:rsidRPr="007C103A">
        <w:rPr>
          <w:iCs/>
        </w:rPr>
        <w:t xml:space="preserve"> (R-ICE</w:t>
      </w:r>
      <w:r w:rsidR="00BF2545" w:rsidRPr="007C103A">
        <w:rPr>
          <w:iCs/>
        </w:rPr>
        <w:t>).</w:t>
      </w:r>
      <w:r w:rsidR="0084060B" w:rsidRPr="007C103A">
        <w:rPr>
          <w:iCs/>
        </w:rPr>
        <w:t xml:space="preserve"> </w:t>
      </w:r>
      <w:r w:rsidR="00BF2545" w:rsidRPr="007C103A">
        <w:rPr>
          <w:iCs/>
        </w:rPr>
        <w:t>Other combinations include rituximab</w:t>
      </w:r>
      <w:r w:rsidR="008318FD" w:rsidRPr="007C103A">
        <w:rPr>
          <w:iCs/>
        </w:rPr>
        <w:t>,</w:t>
      </w:r>
      <w:r w:rsidR="00BF2545" w:rsidRPr="007C103A">
        <w:rPr>
          <w:iCs/>
        </w:rPr>
        <w:t xml:space="preserve"> dexamethasone</w:t>
      </w:r>
      <w:r w:rsidR="008318FD" w:rsidRPr="007C103A">
        <w:rPr>
          <w:iCs/>
        </w:rPr>
        <w:t xml:space="preserve">, </w:t>
      </w:r>
      <w:r w:rsidR="00BF2545" w:rsidRPr="007C103A">
        <w:rPr>
          <w:iCs/>
        </w:rPr>
        <w:t>cytarabine</w:t>
      </w:r>
      <w:r w:rsidR="008318FD" w:rsidRPr="007C103A">
        <w:rPr>
          <w:iCs/>
        </w:rPr>
        <w:t xml:space="preserve">, and </w:t>
      </w:r>
      <w:r w:rsidR="00BF2545" w:rsidRPr="007C103A">
        <w:rPr>
          <w:iCs/>
        </w:rPr>
        <w:t>cisplatin</w:t>
      </w:r>
      <w:r w:rsidR="0004160F" w:rsidRPr="007C103A">
        <w:rPr>
          <w:iCs/>
        </w:rPr>
        <w:t xml:space="preserve"> (R-DH</w:t>
      </w:r>
      <w:r w:rsidR="00443FAF">
        <w:rPr>
          <w:iCs/>
        </w:rPr>
        <w:t>A</w:t>
      </w:r>
      <w:r w:rsidR="0004160F" w:rsidRPr="007C103A">
        <w:rPr>
          <w:iCs/>
        </w:rPr>
        <w:t>P</w:t>
      </w:r>
      <w:r w:rsidR="008318FD" w:rsidRPr="007C103A">
        <w:rPr>
          <w:iCs/>
        </w:rPr>
        <w:t>)</w:t>
      </w:r>
      <w:r w:rsidR="00BF2545" w:rsidRPr="007C103A">
        <w:rPr>
          <w:iCs/>
        </w:rPr>
        <w:t xml:space="preserve"> and rituximab</w:t>
      </w:r>
      <w:r w:rsidR="008318FD" w:rsidRPr="007C103A">
        <w:rPr>
          <w:iCs/>
        </w:rPr>
        <w:t xml:space="preserve">, </w:t>
      </w:r>
      <w:r w:rsidR="00BF2545" w:rsidRPr="007C103A">
        <w:rPr>
          <w:iCs/>
        </w:rPr>
        <w:t>gemcitabine</w:t>
      </w:r>
      <w:r w:rsidR="008318FD" w:rsidRPr="007C103A">
        <w:rPr>
          <w:iCs/>
        </w:rPr>
        <w:t xml:space="preserve">, </w:t>
      </w:r>
      <w:proofErr w:type="gramStart"/>
      <w:r w:rsidR="00BF2545" w:rsidRPr="007C103A">
        <w:rPr>
          <w:iCs/>
        </w:rPr>
        <w:t>dexamethasone</w:t>
      </w:r>
      <w:proofErr w:type="gramEnd"/>
      <w:r w:rsidR="008318FD" w:rsidRPr="007C103A">
        <w:rPr>
          <w:iCs/>
        </w:rPr>
        <w:t xml:space="preserve"> and</w:t>
      </w:r>
      <w:r w:rsidR="00BF2545" w:rsidRPr="007C103A">
        <w:rPr>
          <w:iCs/>
        </w:rPr>
        <w:t xml:space="preserve"> cisplatin</w:t>
      </w:r>
      <w:r w:rsidR="0004160F" w:rsidRPr="007C103A">
        <w:rPr>
          <w:iCs/>
        </w:rPr>
        <w:t xml:space="preserve"> (R-GDP</w:t>
      </w:r>
      <w:r w:rsidR="008318FD" w:rsidRPr="007C103A">
        <w:rPr>
          <w:iCs/>
        </w:rPr>
        <w:t>)</w:t>
      </w:r>
      <w:r w:rsidR="00BF2545" w:rsidRPr="007C103A">
        <w:rPr>
          <w:iCs/>
        </w:rPr>
        <w:t xml:space="preserve">. </w:t>
      </w:r>
      <w:r w:rsidR="00EE5C42" w:rsidRPr="007C103A">
        <w:rPr>
          <w:iCs/>
        </w:rPr>
        <w:t xml:space="preserve">The ESC considered that </w:t>
      </w:r>
      <w:proofErr w:type="spellStart"/>
      <w:r w:rsidR="00EE5C42" w:rsidRPr="007C103A">
        <w:rPr>
          <w:iCs/>
        </w:rPr>
        <w:t>RGemOx</w:t>
      </w:r>
      <w:proofErr w:type="spellEnd"/>
      <w:r w:rsidR="00EE5C42" w:rsidRPr="007C103A">
        <w:rPr>
          <w:iCs/>
        </w:rPr>
        <w:t xml:space="preserve"> was </w:t>
      </w:r>
      <w:r w:rsidR="00522507" w:rsidRPr="007C103A">
        <w:rPr>
          <w:iCs/>
        </w:rPr>
        <w:t xml:space="preserve">reasonably </w:t>
      </w:r>
      <w:r w:rsidR="00EE5C42" w:rsidRPr="007C103A">
        <w:rPr>
          <w:iCs/>
        </w:rPr>
        <w:t xml:space="preserve">representative of rituximab-based salvage chemotherapy. </w:t>
      </w:r>
    </w:p>
    <w:p w14:paraId="598EC807" w14:textId="77777777" w:rsidR="00791DE4" w:rsidRPr="007C103A" w:rsidRDefault="00791DE4" w:rsidP="00791DE4">
      <w:pPr>
        <w:pStyle w:val="3-BodyText"/>
        <w:numPr>
          <w:ilvl w:val="0"/>
          <w:numId w:val="0"/>
        </w:numPr>
        <w:ind w:left="720"/>
        <w:rPr>
          <w:iCs/>
          <w:snapToGrid/>
        </w:rPr>
      </w:pPr>
      <w:r w:rsidRPr="007C103A">
        <w:rPr>
          <w:i/>
        </w:rPr>
        <w:t>For more detail on PBAC’s view, see section 7 PBAC outcome.</w:t>
      </w:r>
    </w:p>
    <w:p w14:paraId="559C96B3" w14:textId="77777777" w:rsidR="00223D5A" w:rsidRPr="007C103A" w:rsidRDefault="00223D5A" w:rsidP="00223D5A">
      <w:pPr>
        <w:pStyle w:val="2-SectionHeading"/>
        <w:numPr>
          <w:ilvl w:val="0"/>
          <w:numId w:val="1"/>
        </w:numPr>
      </w:pPr>
      <w:bookmarkStart w:id="8" w:name="_Toc71312047"/>
      <w:bookmarkStart w:id="9" w:name="_Toc22897640"/>
      <w:r w:rsidRPr="007C103A">
        <w:t>Consideration of the evidence</w:t>
      </w:r>
      <w:bookmarkEnd w:id="8"/>
    </w:p>
    <w:p w14:paraId="734E28EA" w14:textId="77777777" w:rsidR="00E04DB9" w:rsidRPr="007C103A" w:rsidRDefault="00E04DB9" w:rsidP="00E04DB9">
      <w:pPr>
        <w:pStyle w:val="4-SubsectionHeading"/>
        <w:rPr>
          <w:snapToGrid w:val="0"/>
        </w:rPr>
      </w:pPr>
      <w:r w:rsidRPr="007C103A">
        <w:rPr>
          <w:snapToGrid w:val="0"/>
        </w:rPr>
        <w:t>Sponsor hearing</w:t>
      </w:r>
    </w:p>
    <w:p w14:paraId="18849BAF" w14:textId="77777777" w:rsidR="00E04DB9" w:rsidRPr="007C103A" w:rsidRDefault="00E04DB9" w:rsidP="00E04DB9">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sponsor </w:t>
      </w:r>
      <w:r w:rsidR="00FA5388" w:rsidRPr="007C103A">
        <w:rPr>
          <w:rFonts w:asciiTheme="minorHAnsi" w:hAnsiTheme="minorHAnsi" w:cs="Arial"/>
          <w:bCs/>
          <w:snapToGrid w:val="0"/>
        </w:rPr>
        <w:t>provided</w:t>
      </w:r>
      <w:r w:rsidRPr="007C103A">
        <w:rPr>
          <w:rFonts w:asciiTheme="minorHAnsi" w:hAnsiTheme="minorHAnsi" w:cs="Arial"/>
          <w:bCs/>
          <w:snapToGrid w:val="0"/>
        </w:rPr>
        <w:t xml:space="preserve"> a hearing for this item</w:t>
      </w:r>
      <w:r w:rsidR="00457EF6" w:rsidRPr="007C103A">
        <w:rPr>
          <w:rFonts w:asciiTheme="minorHAnsi" w:hAnsiTheme="minorHAnsi" w:cs="Arial"/>
          <w:bCs/>
          <w:snapToGrid w:val="0"/>
        </w:rPr>
        <w:t xml:space="preserve">. </w:t>
      </w:r>
      <w:r w:rsidRPr="007C103A">
        <w:rPr>
          <w:rFonts w:asciiTheme="minorHAnsi" w:hAnsiTheme="minorHAnsi" w:cs="Arial"/>
          <w:bCs/>
          <w:snapToGrid w:val="0"/>
        </w:rPr>
        <w:t>The clinician pr</w:t>
      </w:r>
      <w:r w:rsidR="00534368" w:rsidRPr="007C103A">
        <w:rPr>
          <w:rFonts w:asciiTheme="minorHAnsi" w:hAnsiTheme="minorHAnsi" w:cs="Arial"/>
          <w:bCs/>
          <w:snapToGrid w:val="0"/>
        </w:rPr>
        <w:t>ovided information on the lack of current treatment options for patients with RR DLBCL and described the benefits that selinexor provide</w:t>
      </w:r>
      <w:r w:rsidR="00B00740" w:rsidRPr="007C103A">
        <w:rPr>
          <w:rFonts w:asciiTheme="minorHAnsi" w:hAnsiTheme="minorHAnsi" w:cs="Arial"/>
          <w:bCs/>
          <w:snapToGrid w:val="0"/>
        </w:rPr>
        <w:t>s</w:t>
      </w:r>
      <w:r w:rsidR="00534368" w:rsidRPr="007C103A">
        <w:rPr>
          <w:rFonts w:asciiTheme="minorHAnsi" w:hAnsiTheme="minorHAnsi" w:cs="Arial"/>
          <w:bCs/>
          <w:snapToGrid w:val="0"/>
        </w:rPr>
        <w:t xml:space="preserve"> due to its alternate mode of action compared to chemotherapy, how it would be used in practice and manage</w:t>
      </w:r>
      <w:r w:rsidR="006F0181" w:rsidRPr="007C103A">
        <w:rPr>
          <w:rFonts w:asciiTheme="minorHAnsi" w:hAnsiTheme="minorHAnsi" w:cs="Arial"/>
          <w:bCs/>
          <w:snapToGrid w:val="0"/>
        </w:rPr>
        <w:t>ment of</w:t>
      </w:r>
      <w:r w:rsidR="00534368" w:rsidRPr="007C103A">
        <w:rPr>
          <w:rFonts w:asciiTheme="minorHAnsi" w:hAnsiTheme="minorHAnsi" w:cs="Arial"/>
          <w:bCs/>
          <w:snapToGrid w:val="0"/>
        </w:rPr>
        <w:t xml:space="preserve"> the potential adverse events associated with treatment. </w:t>
      </w:r>
      <w:r w:rsidRPr="007C103A">
        <w:rPr>
          <w:rFonts w:asciiTheme="minorHAnsi" w:hAnsiTheme="minorHAnsi" w:cs="Arial"/>
          <w:bCs/>
          <w:snapToGrid w:val="0"/>
        </w:rPr>
        <w:t>The PBAC considered that the hearing was informative as it provided a clinical perspective on treating this uncommon disease.</w:t>
      </w:r>
    </w:p>
    <w:p w14:paraId="32555A06" w14:textId="77777777" w:rsidR="00E04DB9" w:rsidRPr="007C103A" w:rsidRDefault="00E04DB9" w:rsidP="00E04DB9">
      <w:pPr>
        <w:pStyle w:val="4-SubsectionHeading"/>
        <w:rPr>
          <w:snapToGrid w:val="0"/>
        </w:rPr>
      </w:pPr>
      <w:r w:rsidRPr="007C103A">
        <w:rPr>
          <w:snapToGrid w:val="0"/>
        </w:rPr>
        <w:t>Consumer comments</w:t>
      </w:r>
    </w:p>
    <w:p w14:paraId="0F6B5CAB" w14:textId="77777777" w:rsidR="000D18AD" w:rsidRPr="007C103A" w:rsidRDefault="00E04DB9" w:rsidP="00C60E49">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The PBAC noted and welcomed the input from health care professionals (1) and organisations (</w:t>
      </w:r>
      <w:r w:rsidR="008059B6" w:rsidRPr="007C103A">
        <w:rPr>
          <w:rFonts w:asciiTheme="minorHAnsi" w:hAnsiTheme="minorHAnsi" w:cs="Arial"/>
          <w:bCs/>
          <w:snapToGrid w:val="0"/>
        </w:rPr>
        <w:t>3</w:t>
      </w:r>
      <w:r w:rsidRPr="007C103A">
        <w:rPr>
          <w:rFonts w:asciiTheme="minorHAnsi" w:hAnsiTheme="minorHAnsi" w:cs="Arial"/>
          <w:bCs/>
          <w:snapToGrid w:val="0"/>
        </w:rPr>
        <w:t>) via the Consumer Comments facility on the PBS website</w:t>
      </w:r>
      <w:r w:rsidR="00457EF6" w:rsidRPr="007C103A">
        <w:rPr>
          <w:rFonts w:asciiTheme="minorHAnsi" w:hAnsiTheme="minorHAnsi" w:cs="Arial"/>
          <w:bCs/>
          <w:snapToGrid w:val="0"/>
        </w:rPr>
        <w:t xml:space="preserve">. </w:t>
      </w:r>
      <w:r w:rsidRPr="007C103A">
        <w:rPr>
          <w:rFonts w:asciiTheme="minorHAnsi" w:hAnsiTheme="minorHAnsi" w:cs="Arial"/>
          <w:bCs/>
          <w:snapToGrid w:val="0"/>
        </w:rPr>
        <w:t>The comment</w:t>
      </w:r>
      <w:r w:rsidR="008059B6" w:rsidRPr="007C103A">
        <w:rPr>
          <w:rFonts w:asciiTheme="minorHAnsi" w:hAnsiTheme="minorHAnsi" w:cs="Arial"/>
          <w:bCs/>
          <w:snapToGrid w:val="0"/>
        </w:rPr>
        <w:t xml:space="preserve"> from the health care professional </w:t>
      </w:r>
      <w:r w:rsidRPr="007C103A">
        <w:rPr>
          <w:rFonts w:asciiTheme="minorHAnsi" w:hAnsiTheme="minorHAnsi" w:cs="Arial"/>
          <w:bCs/>
          <w:snapToGrid w:val="0"/>
        </w:rPr>
        <w:t xml:space="preserve">described </w:t>
      </w:r>
      <w:r w:rsidR="008059B6" w:rsidRPr="007C103A">
        <w:rPr>
          <w:rFonts w:asciiTheme="minorHAnsi" w:hAnsiTheme="minorHAnsi" w:cs="Arial"/>
          <w:bCs/>
          <w:snapToGrid w:val="0"/>
        </w:rPr>
        <w:t>the lack of treatment options for patients with RR DLBCL and noted that an oral treatment option would be desirable, particularly for patients living in rural and remote locations</w:t>
      </w:r>
      <w:r w:rsidR="00457EF6" w:rsidRPr="007C103A">
        <w:rPr>
          <w:rFonts w:asciiTheme="minorHAnsi" w:hAnsiTheme="minorHAnsi" w:cs="Arial"/>
          <w:bCs/>
          <w:snapToGrid w:val="0"/>
        </w:rPr>
        <w:t xml:space="preserve">. </w:t>
      </w:r>
    </w:p>
    <w:p w14:paraId="24CEC059" w14:textId="77777777" w:rsidR="00E04DB9" w:rsidRPr="007C103A" w:rsidRDefault="00E04DB9" w:rsidP="00C60E49">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PBAC noted the advice received from </w:t>
      </w:r>
      <w:r w:rsidR="008059B6" w:rsidRPr="007C103A">
        <w:rPr>
          <w:rFonts w:asciiTheme="minorHAnsi" w:hAnsiTheme="minorHAnsi" w:cs="Arial"/>
          <w:bCs/>
          <w:snapToGrid w:val="0"/>
        </w:rPr>
        <w:t xml:space="preserve">(i) Rare Cancers Australia, (ii) Lymphoma Australia, and (iii) the Leukaemia Foundation which described the high clinical need for new therapies, such as selinexor, for patients with RR DLBCL. The organisations also noted the benefits of having an oral treatment available, particularly for elderly, rural and remote patients. </w:t>
      </w:r>
    </w:p>
    <w:p w14:paraId="2AB5E0F6" w14:textId="77777777" w:rsidR="00B60939" w:rsidRPr="007C103A" w:rsidRDefault="00B60939" w:rsidP="002E4F02">
      <w:pPr>
        <w:pStyle w:val="4-SubsectionHeading"/>
      </w:pPr>
      <w:bookmarkStart w:id="10" w:name="_Toc71312048"/>
      <w:r w:rsidRPr="007C103A">
        <w:t xml:space="preserve">Clinical </w:t>
      </w:r>
      <w:r w:rsidR="00D5243B" w:rsidRPr="007C103A">
        <w:t>studie</w:t>
      </w:r>
      <w:bookmarkEnd w:id="9"/>
      <w:r w:rsidR="00C51C2C" w:rsidRPr="007C103A">
        <w:t>s</w:t>
      </w:r>
      <w:bookmarkEnd w:id="10"/>
    </w:p>
    <w:p w14:paraId="1E8413E9" w14:textId="77777777" w:rsidR="007F1017" w:rsidRPr="007C103A" w:rsidRDefault="001602EB" w:rsidP="002E4F02">
      <w:pPr>
        <w:pStyle w:val="3-BodyText"/>
      </w:pPr>
      <w:r w:rsidRPr="007C103A">
        <w:rPr>
          <w:snapToGrid/>
        </w:rPr>
        <w:t>The submission presented on</w:t>
      </w:r>
      <w:r w:rsidR="000A4BF2" w:rsidRPr="007C103A">
        <w:rPr>
          <w:snapToGrid/>
        </w:rPr>
        <w:t>e open label single arm study for</w:t>
      </w:r>
      <w:r w:rsidRPr="007C103A">
        <w:rPr>
          <w:snapToGrid/>
        </w:rPr>
        <w:t xml:space="preserve"> selinexor</w:t>
      </w:r>
      <w:r w:rsidR="00E774DC" w:rsidRPr="007C103A">
        <w:rPr>
          <w:snapToGrid/>
        </w:rPr>
        <w:t xml:space="preserve"> (SADAL)</w:t>
      </w:r>
      <w:r w:rsidR="000A4BF2" w:rsidRPr="007C103A">
        <w:rPr>
          <w:snapToGrid/>
        </w:rPr>
        <w:t>. For the com</w:t>
      </w:r>
      <w:r w:rsidR="00E774DC" w:rsidRPr="007C103A">
        <w:rPr>
          <w:snapToGrid/>
        </w:rPr>
        <w:t>parator</w:t>
      </w:r>
      <w:r w:rsidR="000A4BF2" w:rsidRPr="007C103A">
        <w:rPr>
          <w:snapToGrid/>
        </w:rPr>
        <w:t>,</w:t>
      </w:r>
      <w:r w:rsidR="00E774DC" w:rsidRPr="007C103A">
        <w:rPr>
          <w:snapToGrid/>
        </w:rPr>
        <w:t xml:space="preserve"> </w:t>
      </w:r>
      <w:r w:rsidRPr="007C103A">
        <w:rPr>
          <w:snapToGrid/>
        </w:rPr>
        <w:t xml:space="preserve">a published paper describing pooled patient data from four </w:t>
      </w:r>
      <w:r w:rsidRPr="007C103A">
        <w:rPr>
          <w:snapToGrid/>
        </w:rPr>
        <w:lastRenderedPageBreak/>
        <w:t xml:space="preserve">databases (SCHOLAR-1, Crump 2017) and a cohort from an Australian </w:t>
      </w:r>
      <w:r w:rsidR="000E223A" w:rsidRPr="007C103A">
        <w:rPr>
          <w:snapToGrid/>
        </w:rPr>
        <w:t xml:space="preserve">registry </w:t>
      </w:r>
      <w:r w:rsidRPr="007C103A">
        <w:rPr>
          <w:snapToGrid/>
        </w:rPr>
        <w:t>database (L</w:t>
      </w:r>
      <w:r w:rsidR="00BF1AB4" w:rsidRPr="007C103A">
        <w:rPr>
          <w:snapToGrid/>
        </w:rPr>
        <w:t>aR</w:t>
      </w:r>
      <w:r w:rsidRPr="007C103A">
        <w:rPr>
          <w:snapToGrid/>
        </w:rPr>
        <w:t>DR, unpublished)</w:t>
      </w:r>
      <w:r w:rsidR="000A4BF2" w:rsidRPr="007C103A">
        <w:rPr>
          <w:snapToGrid/>
        </w:rPr>
        <w:t xml:space="preserve"> were presented.</w:t>
      </w:r>
      <w:r w:rsidRPr="007C103A">
        <w:rPr>
          <w:snapToGrid/>
        </w:rPr>
        <w:t xml:space="preserve"> The </w:t>
      </w:r>
      <w:r w:rsidR="006F0181" w:rsidRPr="007C103A">
        <w:rPr>
          <w:snapToGrid/>
        </w:rPr>
        <w:t xml:space="preserve">PBAC noted that </w:t>
      </w:r>
      <w:r w:rsidRPr="007C103A">
        <w:rPr>
          <w:snapToGrid/>
        </w:rPr>
        <w:t xml:space="preserve">comparison of selinexor with rituximab salvage therapy was based on graphically overlaying the survival curves from these sources and </w:t>
      </w:r>
      <w:r w:rsidR="00AA05DA" w:rsidRPr="007C103A">
        <w:rPr>
          <w:snapToGrid/>
        </w:rPr>
        <w:t xml:space="preserve">digitising </w:t>
      </w:r>
      <w:r w:rsidRPr="007C103A">
        <w:rPr>
          <w:snapToGrid/>
        </w:rPr>
        <w:t>a survival estimate.</w:t>
      </w:r>
      <w:r w:rsidR="0084060B" w:rsidRPr="007C103A">
        <w:rPr>
          <w:snapToGrid/>
        </w:rPr>
        <w:t xml:space="preserve"> </w:t>
      </w:r>
    </w:p>
    <w:p w14:paraId="4BFCA39E" w14:textId="77777777" w:rsidR="00862502" w:rsidRPr="007C103A" w:rsidRDefault="001602EB" w:rsidP="002E4F02">
      <w:pPr>
        <w:pStyle w:val="3-BodyText"/>
      </w:pPr>
      <w:r w:rsidRPr="007C103A">
        <w:rPr>
          <w:snapToGrid/>
        </w:rPr>
        <w:t>Details of the studies presented in the submission are provided in the table below.</w:t>
      </w:r>
    </w:p>
    <w:p w14:paraId="361DB34D" w14:textId="77777777" w:rsidR="008E0D3C" w:rsidRPr="007C103A" w:rsidRDefault="008E0D3C" w:rsidP="002E4F02">
      <w:pPr>
        <w:pStyle w:val="TableFigureHeading"/>
        <w:rPr>
          <w:rStyle w:val="CommentReference"/>
          <w:b/>
          <w:szCs w:val="24"/>
        </w:rPr>
      </w:pPr>
      <w:r w:rsidRPr="007C103A">
        <w:rPr>
          <w:rStyle w:val="CommentReference"/>
          <w:b/>
          <w:szCs w:val="24"/>
        </w:rPr>
        <w:t xml:space="preserve">Table </w:t>
      </w:r>
      <w:r w:rsidR="00DE3C14" w:rsidRPr="007C103A">
        <w:rPr>
          <w:rStyle w:val="CommentReference"/>
          <w:b/>
          <w:szCs w:val="24"/>
        </w:rPr>
        <w:t>2</w:t>
      </w:r>
      <w:r w:rsidRPr="007C103A">
        <w:rPr>
          <w:rStyle w:val="CommentReference"/>
          <w:b/>
          <w:szCs w:val="24"/>
        </w:rPr>
        <w:t>:</w:t>
      </w:r>
      <w:r w:rsidR="00BC591F" w:rsidRPr="007C103A">
        <w:rPr>
          <w:rStyle w:val="CommentReference"/>
          <w:b/>
          <w:szCs w:val="24"/>
        </w:rPr>
        <w:t xml:space="preserve"> </w:t>
      </w:r>
      <w:r w:rsidR="001602EB" w:rsidRPr="007C103A">
        <w:rPr>
          <w:rStyle w:val="CommentReference"/>
          <w:b/>
          <w:szCs w:val="24"/>
        </w:rPr>
        <w:t>S</w:t>
      </w:r>
      <w:r w:rsidR="00D5243B" w:rsidRPr="007C103A">
        <w:rPr>
          <w:rStyle w:val="CommentReference"/>
          <w:b/>
          <w:szCs w:val="24"/>
        </w:rPr>
        <w:t>tudies</w:t>
      </w:r>
      <w:r w:rsidRPr="007C103A">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670"/>
        <w:gridCol w:w="2076"/>
      </w:tblGrid>
      <w:tr w:rsidR="005B697D" w:rsidRPr="007C103A" w14:paraId="1C8C55A1" w14:textId="77777777" w:rsidTr="00945744">
        <w:trPr>
          <w:cantSplit/>
          <w:tblHeader/>
        </w:trPr>
        <w:tc>
          <w:tcPr>
            <w:tcW w:w="705" w:type="pct"/>
            <w:tcBorders>
              <w:bottom w:val="single" w:sz="4" w:space="0" w:color="auto"/>
            </w:tcBorders>
            <w:vAlign w:val="center"/>
          </w:tcPr>
          <w:p w14:paraId="2C744EB7" w14:textId="77777777" w:rsidR="008E0D3C" w:rsidRPr="007C103A" w:rsidRDefault="000D18AD" w:rsidP="00EC5836">
            <w:pPr>
              <w:pStyle w:val="In-tableHeading"/>
              <w:jc w:val="center"/>
              <w:rPr>
                <w:lang w:val="en-AU"/>
              </w:rPr>
            </w:pPr>
            <w:r w:rsidRPr="007C103A">
              <w:rPr>
                <w:lang w:val="en-AU"/>
              </w:rPr>
              <w:t>Study</w:t>
            </w:r>
            <w:r w:rsidR="008E0D3C" w:rsidRPr="007C103A">
              <w:rPr>
                <w:lang w:val="en-AU"/>
              </w:rPr>
              <w:t xml:space="preserve"> ID</w:t>
            </w:r>
          </w:p>
        </w:tc>
        <w:tc>
          <w:tcPr>
            <w:tcW w:w="3144" w:type="pct"/>
            <w:tcBorders>
              <w:bottom w:val="single" w:sz="4" w:space="0" w:color="auto"/>
            </w:tcBorders>
            <w:vAlign w:val="center"/>
          </w:tcPr>
          <w:p w14:paraId="04FC8FBC" w14:textId="77777777" w:rsidR="008E0D3C" w:rsidRPr="007C103A" w:rsidRDefault="008E0D3C" w:rsidP="001602EB">
            <w:pPr>
              <w:pStyle w:val="In-tableHeading"/>
              <w:jc w:val="center"/>
              <w:rPr>
                <w:lang w:val="en-AU"/>
              </w:rPr>
            </w:pPr>
            <w:r w:rsidRPr="007C103A">
              <w:rPr>
                <w:lang w:val="en-AU"/>
              </w:rPr>
              <w:t>Protocol title/ Publication title</w:t>
            </w:r>
          </w:p>
        </w:tc>
        <w:tc>
          <w:tcPr>
            <w:tcW w:w="1151" w:type="pct"/>
            <w:tcBorders>
              <w:bottom w:val="single" w:sz="4" w:space="0" w:color="auto"/>
            </w:tcBorders>
            <w:vAlign w:val="center"/>
          </w:tcPr>
          <w:p w14:paraId="6822DD2F" w14:textId="77777777" w:rsidR="008E0D3C" w:rsidRPr="007C103A" w:rsidRDefault="008E0D3C" w:rsidP="001602EB">
            <w:pPr>
              <w:pStyle w:val="In-tableHeading"/>
              <w:jc w:val="center"/>
              <w:rPr>
                <w:lang w:val="en-AU"/>
              </w:rPr>
            </w:pPr>
            <w:r w:rsidRPr="007C103A">
              <w:rPr>
                <w:lang w:val="en-AU"/>
              </w:rPr>
              <w:t>Publication citation</w:t>
            </w:r>
          </w:p>
        </w:tc>
      </w:tr>
      <w:tr w:rsidR="005B697D" w:rsidRPr="007C103A" w14:paraId="307CD24E" w14:textId="77777777" w:rsidTr="00945744">
        <w:trPr>
          <w:cantSplit/>
        </w:trPr>
        <w:tc>
          <w:tcPr>
            <w:tcW w:w="705" w:type="pct"/>
            <w:tcBorders>
              <w:bottom w:val="nil"/>
            </w:tcBorders>
          </w:tcPr>
          <w:p w14:paraId="4EBDB723" w14:textId="77777777" w:rsidR="001602EB" w:rsidRPr="007C103A" w:rsidRDefault="001602EB" w:rsidP="001602EB">
            <w:pPr>
              <w:pStyle w:val="TableText0"/>
            </w:pPr>
          </w:p>
        </w:tc>
        <w:tc>
          <w:tcPr>
            <w:tcW w:w="3144" w:type="pct"/>
            <w:tcBorders>
              <w:bottom w:val="nil"/>
            </w:tcBorders>
          </w:tcPr>
          <w:p w14:paraId="5F2795A6" w14:textId="77777777" w:rsidR="001602EB" w:rsidRPr="007C103A" w:rsidRDefault="001602EB" w:rsidP="001602EB">
            <w:pPr>
              <w:pStyle w:val="TableText0"/>
              <w:rPr>
                <w:szCs w:val="18"/>
              </w:rPr>
            </w:pPr>
            <w:r w:rsidRPr="007C103A">
              <w:rPr>
                <w:szCs w:val="18"/>
              </w:rPr>
              <w:t xml:space="preserve">KCP-330-009 A Phase 2b open-label study of selinexor (KPT-330) in patients with relapsed/refractory diffuse large B-cell lymphoma (DLBCL) </w:t>
            </w:r>
          </w:p>
        </w:tc>
        <w:tc>
          <w:tcPr>
            <w:tcW w:w="1151" w:type="pct"/>
            <w:tcBorders>
              <w:bottom w:val="nil"/>
            </w:tcBorders>
          </w:tcPr>
          <w:p w14:paraId="0CA4FCA4" w14:textId="77777777" w:rsidR="001602EB" w:rsidRPr="007C103A" w:rsidRDefault="001602EB" w:rsidP="001602EB">
            <w:pPr>
              <w:pStyle w:val="TableText0"/>
              <w:rPr>
                <w:rFonts w:ascii="Times" w:hAnsi="Times"/>
              </w:rPr>
            </w:pPr>
            <w:r w:rsidRPr="007C103A">
              <w:rPr>
                <w:szCs w:val="18"/>
              </w:rPr>
              <w:t>December 2019</w:t>
            </w:r>
          </w:p>
        </w:tc>
      </w:tr>
      <w:tr w:rsidR="005B697D" w:rsidRPr="007C103A" w14:paraId="659ED596" w14:textId="77777777" w:rsidTr="00945744">
        <w:trPr>
          <w:cantSplit/>
        </w:trPr>
        <w:tc>
          <w:tcPr>
            <w:tcW w:w="705" w:type="pct"/>
            <w:tcBorders>
              <w:top w:val="nil"/>
              <w:bottom w:val="single" w:sz="4" w:space="0" w:color="auto"/>
            </w:tcBorders>
          </w:tcPr>
          <w:p w14:paraId="3F9CD30D" w14:textId="77777777" w:rsidR="002E4F02" w:rsidRPr="007C103A" w:rsidRDefault="00D6606F" w:rsidP="00BA5C92">
            <w:pPr>
              <w:pStyle w:val="TableText0"/>
              <w:rPr>
                <w:rFonts w:ascii="Times" w:hAnsi="Times"/>
              </w:rPr>
            </w:pPr>
            <w:r w:rsidRPr="007C103A">
              <w:t>SADAL</w:t>
            </w:r>
          </w:p>
        </w:tc>
        <w:tc>
          <w:tcPr>
            <w:tcW w:w="3144" w:type="pct"/>
            <w:tcBorders>
              <w:top w:val="nil"/>
              <w:bottom w:val="single" w:sz="4" w:space="0" w:color="auto"/>
            </w:tcBorders>
            <w:vAlign w:val="center"/>
          </w:tcPr>
          <w:p w14:paraId="7E5975F5" w14:textId="77777777" w:rsidR="002E4F02" w:rsidRPr="007C103A" w:rsidRDefault="00BA5C92" w:rsidP="00A55722">
            <w:pPr>
              <w:pStyle w:val="TableText0"/>
              <w:rPr>
                <w:rFonts w:ascii="Times" w:hAnsi="Times"/>
              </w:rPr>
            </w:pPr>
            <w:proofErr w:type="spellStart"/>
            <w:r w:rsidRPr="007C103A">
              <w:t>Kalakonda</w:t>
            </w:r>
            <w:proofErr w:type="spellEnd"/>
            <w:r w:rsidRPr="007C103A">
              <w:t xml:space="preserve"> N, </w:t>
            </w:r>
            <w:proofErr w:type="spellStart"/>
            <w:r w:rsidRPr="007C103A">
              <w:t>Maerevoet</w:t>
            </w:r>
            <w:proofErr w:type="spellEnd"/>
            <w:r w:rsidRPr="007C103A">
              <w:t xml:space="preserve"> M, Cavallo F, et al. </w:t>
            </w:r>
            <w:r w:rsidRPr="007C103A">
              <w:rPr>
                <w:szCs w:val="18"/>
              </w:rPr>
              <w:t>Selinexor in patients with relapsed or refractory diffuse large B-cell lymphoma (SADAL): a single-arm, multinational, multicentre, open-label, phase 2 trial.</w:t>
            </w:r>
          </w:p>
        </w:tc>
        <w:tc>
          <w:tcPr>
            <w:tcW w:w="1151" w:type="pct"/>
            <w:tcBorders>
              <w:top w:val="nil"/>
              <w:bottom w:val="single" w:sz="4" w:space="0" w:color="auto"/>
            </w:tcBorders>
            <w:vAlign w:val="center"/>
          </w:tcPr>
          <w:p w14:paraId="490F28D8" w14:textId="77777777" w:rsidR="002E4F02" w:rsidRPr="007C103A" w:rsidRDefault="00BA5C92" w:rsidP="00EC5836">
            <w:pPr>
              <w:pStyle w:val="TableText0"/>
            </w:pPr>
            <w:r w:rsidRPr="007C103A">
              <w:rPr>
                <w:i/>
                <w:iCs/>
                <w:szCs w:val="18"/>
              </w:rPr>
              <w:t xml:space="preserve">Lancet </w:t>
            </w:r>
            <w:proofErr w:type="spellStart"/>
            <w:r w:rsidRPr="007C103A">
              <w:rPr>
                <w:i/>
                <w:iCs/>
                <w:szCs w:val="18"/>
              </w:rPr>
              <w:t>Haematol</w:t>
            </w:r>
            <w:proofErr w:type="spellEnd"/>
            <w:r w:rsidRPr="007C103A">
              <w:rPr>
                <w:szCs w:val="18"/>
              </w:rPr>
              <w:t>. 2020; e511-e522.</w:t>
            </w:r>
          </w:p>
        </w:tc>
      </w:tr>
      <w:tr w:rsidR="005B697D" w:rsidRPr="007C103A" w14:paraId="6A1E04FD" w14:textId="77777777" w:rsidTr="00945744">
        <w:trPr>
          <w:cantSplit/>
        </w:trPr>
        <w:tc>
          <w:tcPr>
            <w:tcW w:w="705" w:type="pct"/>
            <w:tcBorders>
              <w:top w:val="single" w:sz="4" w:space="0" w:color="auto"/>
              <w:bottom w:val="single" w:sz="4" w:space="0" w:color="auto"/>
            </w:tcBorders>
            <w:vAlign w:val="center"/>
          </w:tcPr>
          <w:p w14:paraId="1974C3A5" w14:textId="77777777" w:rsidR="002E4F02" w:rsidRPr="007C103A" w:rsidRDefault="00BA5C92" w:rsidP="00BA5C92">
            <w:pPr>
              <w:pStyle w:val="TableText0"/>
            </w:pPr>
            <w:r w:rsidRPr="007C103A">
              <w:t>SCHOLAR-1</w:t>
            </w:r>
          </w:p>
        </w:tc>
        <w:tc>
          <w:tcPr>
            <w:tcW w:w="3144" w:type="pct"/>
            <w:tcBorders>
              <w:top w:val="single" w:sz="4" w:space="0" w:color="auto"/>
              <w:bottom w:val="single" w:sz="4" w:space="0" w:color="auto"/>
            </w:tcBorders>
            <w:vAlign w:val="center"/>
          </w:tcPr>
          <w:p w14:paraId="2F8256DA" w14:textId="77777777" w:rsidR="002E4F02" w:rsidRPr="007C103A" w:rsidRDefault="000A6774" w:rsidP="00A55722">
            <w:pPr>
              <w:pStyle w:val="TableText0"/>
              <w:rPr>
                <w:rFonts w:ascii="Times" w:hAnsi="Times"/>
              </w:rPr>
            </w:pPr>
            <w:r w:rsidRPr="007C103A">
              <w:t xml:space="preserve">Crump M, </w:t>
            </w:r>
            <w:proofErr w:type="spellStart"/>
            <w:r w:rsidRPr="007C103A">
              <w:t>Neelapu</w:t>
            </w:r>
            <w:proofErr w:type="spellEnd"/>
            <w:r w:rsidRPr="007C103A">
              <w:t xml:space="preserve"> SS, Farooq U, et al</w:t>
            </w:r>
            <w:r w:rsidR="00457EF6" w:rsidRPr="007C103A">
              <w:t xml:space="preserve">. </w:t>
            </w:r>
            <w:r w:rsidRPr="007C103A">
              <w:t>Outcomes in refractory diffuse large B-cell lymphoma: Results from the international SCHOLAR-1 study.</w:t>
            </w:r>
          </w:p>
        </w:tc>
        <w:tc>
          <w:tcPr>
            <w:tcW w:w="1151" w:type="pct"/>
            <w:tcBorders>
              <w:top w:val="single" w:sz="4" w:space="0" w:color="auto"/>
              <w:bottom w:val="single" w:sz="4" w:space="0" w:color="auto"/>
            </w:tcBorders>
            <w:vAlign w:val="center"/>
          </w:tcPr>
          <w:p w14:paraId="364AAEBB" w14:textId="77777777" w:rsidR="002E4F02" w:rsidRPr="007C103A" w:rsidRDefault="005B697D" w:rsidP="00EC5836">
            <w:pPr>
              <w:pStyle w:val="TableText0"/>
              <w:rPr>
                <w:rFonts w:ascii="Times" w:hAnsi="Times"/>
              </w:rPr>
            </w:pPr>
            <w:r w:rsidRPr="007C103A">
              <w:rPr>
                <w:i/>
              </w:rPr>
              <w:t xml:space="preserve">Blood </w:t>
            </w:r>
            <w:r w:rsidRPr="007C103A">
              <w:t>2017; 130(16): 1800-1808.</w:t>
            </w:r>
          </w:p>
        </w:tc>
      </w:tr>
    </w:tbl>
    <w:p w14:paraId="1CB23B93" w14:textId="77777777" w:rsidR="008E0D3C" w:rsidRPr="007C103A" w:rsidRDefault="008E0D3C" w:rsidP="00EC5836">
      <w:pPr>
        <w:pStyle w:val="TableFigureFooter"/>
        <w:rPr>
          <w:sz w:val="20"/>
        </w:rPr>
      </w:pPr>
      <w:r w:rsidRPr="007C103A">
        <w:t xml:space="preserve">Source: </w:t>
      </w:r>
      <w:r w:rsidR="00CD5F6F" w:rsidRPr="007C103A">
        <w:t>Table 2-3, p38-39; Table 2-23, p67-68 of the submission</w:t>
      </w:r>
      <w:r w:rsidRPr="007C103A">
        <w:t>.</w:t>
      </w:r>
    </w:p>
    <w:p w14:paraId="7CA42BD3" w14:textId="77777777" w:rsidR="007F1017" w:rsidRPr="007C103A" w:rsidRDefault="00BA5C92" w:rsidP="00EC5836">
      <w:pPr>
        <w:pStyle w:val="3-BodyText"/>
      </w:pPr>
      <w:r w:rsidRPr="007C103A">
        <w:t>The key features of the evidence are summarised in the table below.</w:t>
      </w:r>
    </w:p>
    <w:p w14:paraId="41322B0C" w14:textId="77777777" w:rsidR="007F1017" w:rsidRPr="007C103A" w:rsidRDefault="007F1017" w:rsidP="00EC5836">
      <w:pPr>
        <w:pStyle w:val="TableFigureHeading"/>
        <w:rPr>
          <w:rStyle w:val="CommentReference"/>
          <w:b/>
          <w:szCs w:val="24"/>
        </w:rPr>
      </w:pPr>
      <w:r w:rsidRPr="007C103A">
        <w:rPr>
          <w:rStyle w:val="CommentReference"/>
          <w:b/>
          <w:szCs w:val="24"/>
        </w:rPr>
        <w:t xml:space="preserve">Table </w:t>
      </w:r>
      <w:r w:rsidR="00DE3C14" w:rsidRPr="007C103A">
        <w:rPr>
          <w:rStyle w:val="CommentReference"/>
          <w:b/>
          <w:szCs w:val="24"/>
        </w:rPr>
        <w:t>3</w:t>
      </w:r>
      <w:r w:rsidRPr="007C103A">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5"/>
        <w:gridCol w:w="709"/>
        <w:gridCol w:w="1560"/>
        <w:gridCol w:w="853"/>
        <w:gridCol w:w="1702"/>
        <w:gridCol w:w="1697"/>
        <w:gridCol w:w="1371"/>
      </w:tblGrid>
      <w:tr w:rsidR="00B41614" w:rsidRPr="007C103A" w14:paraId="7C82FB44" w14:textId="77777777" w:rsidTr="00943B8B">
        <w:trPr>
          <w:cantSplit/>
          <w:tblHeader/>
        </w:trPr>
        <w:tc>
          <w:tcPr>
            <w:tcW w:w="624" w:type="pct"/>
            <w:shd w:val="clear" w:color="auto" w:fill="auto"/>
            <w:vAlign w:val="center"/>
          </w:tcPr>
          <w:p w14:paraId="3CAA4CB1" w14:textId="77777777" w:rsidR="007F1017" w:rsidRPr="007C103A" w:rsidRDefault="000D18AD" w:rsidP="001E34DF">
            <w:pPr>
              <w:pStyle w:val="In-tableHeading"/>
              <w:rPr>
                <w:lang w:val="en-AU"/>
              </w:rPr>
            </w:pPr>
            <w:r w:rsidRPr="007C103A">
              <w:rPr>
                <w:lang w:val="en-AU"/>
              </w:rPr>
              <w:t>Study</w:t>
            </w:r>
          </w:p>
        </w:tc>
        <w:tc>
          <w:tcPr>
            <w:tcW w:w="393" w:type="pct"/>
            <w:shd w:val="clear" w:color="auto" w:fill="auto"/>
            <w:vAlign w:val="center"/>
          </w:tcPr>
          <w:p w14:paraId="6C4CFA44" w14:textId="77777777" w:rsidR="007F1017" w:rsidRPr="007C103A" w:rsidRDefault="007F1017" w:rsidP="00EC5836">
            <w:pPr>
              <w:pStyle w:val="In-tableHeading"/>
              <w:jc w:val="center"/>
              <w:rPr>
                <w:lang w:val="en-AU"/>
              </w:rPr>
            </w:pPr>
            <w:r w:rsidRPr="007C103A">
              <w:rPr>
                <w:lang w:val="en-AU"/>
              </w:rPr>
              <w:t>N</w:t>
            </w:r>
          </w:p>
        </w:tc>
        <w:tc>
          <w:tcPr>
            <w:tcW w:w="865" w:type="pct"/>
            <w:shd w:val="clear" w:color="auto" w:fill="auto"/>
            <w:vAlign w:val="center"/>
          </w:tcPr>
          <w:p w14:paraId="6029E5FB" w14:textId="77777777" w:rsidR="007F1017" w:rsidRPr="007C103A" w:rsidRDefault="007F1017" w:rsidP="005E634A">
            <w:pPr>
              <w:pStyle w:val="In-tableHeading"/>
              <w:jc w:val="center"/>
              <w:rPr>
                <w:lang w:val="en-AU"/>
              </w:rPr>
            </w:pPr>
            <w:r w:rsidRPr="007C103A">
              <w:rPr>
                <w:lang w:val="en-AU"/>
              </w:rPr>
              <w:t>Design</w:t>
            </w:r>
          </w:p>
        </w:tc>
        <w:tc>
          <w:tcPr>
            <w:tcW w:w="473" w:type="pct"/>
            <w:shd w:val="clear" w:color="auto" w:fill="auto"/>
            <w:vAlign w:val="center"/>
          </w:tcPr>
          <w:p w14:paraId="4268C1F3" w14:textId="77777777" w:rsidR="007F1017" w:rsidRPr="007C103A" w:rsidRDefault="007F1017" w:rsidP="00EC5836">
            <w:pPr>
              <w:pStyle w:val="In-tableHeading"/>
              <w:jc w:val="center"/>
              <w:rPr>
                <w:lang w:val="en-AU"/>
              </w:rPr>
            </w:pPr>
            <w:r w:rsidRPr="007C103A">
              <w:rPr>
                <w:lang w:val="en-AU"/>
              </w:rPr>
              <w:t>Risk of bias</w:t>
            </w:r>
          </w:p>
        </w:tc>
        <w:tc>
          <w:tcPr>
            <w:tcW w:w="944" w:type="pct"/>
            <w:shd w:val="clear" w:color="auto" w:fill="auto"/>
            <w:vAlign w:val="center"/>
          </w:tcPr>
          <w:p w14:paraId="47E5531B" w14:textId="77777777" w:rsidR="007F1017" w:rsidRPr="007C103A" w:rsidRDefault="007F1017" w:rsidP="00EC5836">
            <w:pPr>
              <w:pStyle w:val="In-tableHeading"/>
              <w:jc w:val="center"/>
              <w:rPr>
                <w:lang w:val="en-AU"/>
              </w:rPr>
            </w:pPr>
            <w:r w:rsidRPr="007C103A">
              <w:rPr>
                <w:lang w:val="en-AU"/>
              </w:rPr>
              <w:t>Patient population</w:t>
            </w:r>
          </w:p>
        </w:tc>
        <w:tc>
          <w:tcPr>
            <w:tcW w:w="941" w:type="pct"/>
            <w:shd w:val="clear" w:color="auto" w:fill="auto"/>
            <w:vAlign w:val="center"/>
          </w:tcPr>
          <w:p w14:paraId="43B205C1" w14:textId="77777777" w:rsidR="007F1017" w:rsidRPr="007C103A" w:rsidRDefault="007F1017" w:rsidP="00EC5836">
            <w:pPr>
              <w:pStyle w:val="In-tableHeading"/>
              <w:jc w:val="center"/>
              <w:rPr>
                <w:lang w:val="en-AU"/>
              </w:rPr>
            </w:pPr>
            <w:r w:rsidRPr="007C103A">
              <w:rPr>
                <w:lang w:val="en-AU"/>
              </w:rPr>
              <w:t>Outcome(s)</w:t>
            </w:r>
          </w:p>
        </w:tc>
        <w:tc>
          <w:tcPr>
            <w:tcW w:w="760" w:type="pct"/>
            <w:shd w:val="clear" w:color="auto" w:fill="auto"/>
            <w:vAlign w:val="center"/>
          </w:tcPr>
          <w:p w14:paraId="1F9399E0" w14:textId="77777777" w:rsidR="007F1017" w:rsidRPr="007C103A" w:rsidRDefault="007F1017" w:rsidP="00EC5836">
            <w:pPr>
              <w:pStyle w:val="In-tableHeading"/>
              <w:jc w:val="center"/>
              <w:rPr>
                <w:lang w:val="en-AU"/>
              </w:rPr>
            </w:pPr>
            <w:r w:rsidRPr="007C103A">
              <w:rPr>
                <w:lang w:val="en-AU"/>
              </w:rPr>
              <w:t>Use in modelled evaluation</w:t>
            </w:r>
          </w:p>
        </w:tc>
      </w:tr>
      <w:tr w:rsidR="007F1017" w:rsidRPr="007C103A" w14:paraId="1DBA0647" w14:textId="77777777" w:rsidTr="00682BA6">
        <w:trPr>
          <w:cantSplit/>
        </w:trPr>
        <w:tc>
          <w:tcPr>
            <w:tcW w:w="5000" w:type="pct"/>
            <w:gridSpan w:val="7"/>
            <w:shd w:val="clear" w:color="auto" w:fill="auto"/>
            <w:vAlign w:val="center"/>
          </w:tcPr>
          <w:p w14:paraId="47EE5830" w14:textId="77777777" w:rsidR="007F1017" w:rsidRPr="007C103A" w:rsidRDefault="00BA5C92" w:rsidP="00EC5836">
            <w:pPr>
              <w:pStyle w:val="In-tableHeading"/>
              <w:rPr>
                <w:lang w:val="en-AU"/>
              </w:rPr>
            </w:pPr>
            <w:r w:rsidRPr="007C103A">
              <w:rPr>
                <w:lang w:val="en-AU"/>
              </w:rPr>
              <w:t>Selinexor</w:t>
            </w:r>
          </w:p>
        </w:tc>
      </w:tr>
      <w:tr w:rsidR="00BA5C92" w:rsidRPr="007C103A" w14:paraId="7A8A77C5" w14:textId="77777777" w:rsidTr="00943B8B">
        <w:trPr>
          <w:cantSplit/>
        </w:trPr>
        <w:tc>
          <w:tcPr>
            <w:tcW w:w="624" w:type="pct"/>
            <w:shd w:val="clear" w:color="auto" w:fill="auto"/>
            <w:vAlign w:val="center"/>
          </w:tcPr>
          <w:p w14:paraId="048F874C" w14:textId="77777777" w:rsidR="00BA5C92" w:rsidRPr="007C103A" w:rsidRDefault="00BA5C92" w:rsidP="00BA5C92">
            <w:pPr>
              <w:pStyle w:val="TableText0"/>
            </w:pPr>
            <w:r w:rsidRPr="007C103A">
              <w:t>SADAL</w:t>
            </w:r>
          </w:p>
        </w:tc>
        <w:tc>
          <w:tcPr>
            <w:tcW w:w="393" w:type="pct"/>
            <w:shd w:val="clear" w:color="auto" w:fill="auto"/>
            <w:vAlign w:val="center"/>
          </w:tcPr>
          <w:p w14:paraId="11461640" w14:textId="77777777" w:rsidR="00BA5C92" w:rsidRPr="007C103A" w:rsidRDefault="00BA5C92" w:rsidP="00BA5C92">
            <w:pPr>
              <w:pStyle w:val="TableText0"/>
              <w:jc w:val="center"/>
            </w:pPr>
            <w:r w:rsidRPr="007C103A">
              <w:t>127</w:t>
            </w:r>
          </w:p>
        </w:tc>
        <w:tc>
          <w:tcPr>
            <w:tcW w:w="865" w:type="pct"/>
            <w:shd w:val="clear" w:color="auto" w:fill="auto"/>
            <w:vAlign w:val="center"/>
          </w:tcPr>
          <w:p w14:paraId="48D04C19" w14:textId="77777777" w:rsidR="00BA5C92" w:rsidRPr="007C103A" w:rsidRDefault="00BA5C92" w:rsidP="00BA5C92">
            <w:pPr>
              <w:pStyle w:val="TableText0"/>
              <w:jc w:val="center"/>
            </w:pPr>
            <w:r w:rsidRPr="007C103A">
              <w:t>Single arm, open label</w:t>
            </w:r>
          </w:p>
        </w:tc>
        <w:tc>
          <w:tcPr>
            <w:tcW w:w="473" w:type="pct"/>
            <w:shd w:val="clear" w:color="auto" w:fill="auto"/>
            <w:vAlign w:val="center"/>
          </w:tcPr>
          <w:p w14:paraId="7A04336B" w14:textId="77777777" w:rsidR="00BA5C92" w:rsidRPr="007C103A" w:rsidRDefault="00BA5C92" w:rsidP="00BA5C92">
            <w:pPr>
              <w:pStyle w:val="TableText0"/>
              <w:jc w:val="center"/>
            </w:pPr>
            <w:r w:rsidRPr="007C103A">
              <w:t>High</w:t>
            </w:r>
          </w:p>
        </w:tc>
        <w:tc>
          <w:tcPr>
            <w:tcW w:w="944" w:type="pct"/>
            <w:shd w:val="clear" w:color="auto" w:fill="auto"/>
            <w:vAlign w:val="center"/>
          </w:tcPr>
          <w:p w14:paraId="0E3595FF" w14:textId="77777777" w:rsidR="00BA5C92" w:rsidRPr="007C103A" w:rsidRDefault="00BA5C92" w:rsidP="00BA5C92">
            <w:pPr>
              <w:pStyle w:val="TableText0"/>
              <w:jc w:val="center"/>
            </w:pPr>
            <w:r w:rsidRPr="007C103A">
              <w:t>Third line relapsing</w:t>
            </w:r>
          </w:p>
        </w:tc>
        <w:tc>
          <w:tcPr>
            <w:tcW w:w="941" w:type="pct"/>
            <w:shd w:val="clear" w:color="auto" w:fill="auto"/>
            <w:vAlign w:val="center"/>
          </w:tcPr>
          <w:p w14:paraId="38C81082" w14:textId="77777777" w:rsidR="00BA5C92" w:rsidRPr="007C103A" w:rsidRDefault="00BA5C92" w:rsidP="00BA5C92">
            <w:pPr>
              <w:pStyle w:val="TableText0"/>
              <w:jc w:val="center"/>
            </w:pPr>
            <w:r w:rsidRPr="007C103A">
              <w:t>Complete and partial response, PFS, OS</w:t>
            </w:r>
          </w:p>
        </w:tc>
        <w:tc>
          <w:tcPr>
            <w:tcW w:w="760" w:type="pct"/>
            <w:shd w:val="clear" w:color="auto" w:fill="auto"/>
            <w:vAlign w:val="center"/>
          </w:tcPr>
          <w:p w14:paraId="6E2E1FE5" w14:textId="77777777" w:rsidR="00BA5C92" w:rsidRPr="007C103A" w:rsidRDefault="008318FD" w:rsidP="00BA5C92">
            <w:pPr>
              <w:pStyle w:val="TableText0"/>
              <w:jc w:val="center"/>
            </w:pPr>
            <w:r w:rsidRPr="007C103A">
              <w:t>U</w:t>
            </w:r>
            <w:r w:rsidR="00BA5C92" w:rsidRPr="007C103A">
              <w:t>sed</w:t>
            </w:r>
          </w:p>
        </w:tc>
      </w:tr>
      <w:tr w:rsidR="00BA5C92" w:rsidRPr="007C103A" w14:paraId="7F7D7EE2" w14:textId="77777777" w:rsidTr="00BA5C92">
        <w:trPr>
          <w:cantSplit/>
        </w:trPr>
        <w:tc>
          <w:tcPr>
            <w:tcW w:w="5000" w:type="pct"/>
            <w:gridSpan w:val="7"/>
            <w:shd w:val="clear" w:color="auto" w:fill="auto"/>
            <w:vAlign w:val="center"/>
          </w:tcPr>
          <w:p w14:paraId="2D21A9D8" w14:textId="77777777" w:rsidR="00BA5C92" w:rsidRPr="007C103A" w:rsidRDefault="00BA5C92" w:rsidP="00BA5C92">
            <w:pPr>
              <w:pStyle w:val="TableText0"/>
              <w:rPr>
                <w:b/>
                <w:bCs w:val="0"/>
              </w:rPr>
            </w:pPr>
            <w:proofErr w:type="spellStart"/>
            <w:r w:rsidRPr="007C103A">
              <w:rPr>
                <w:b/>
                <w:bCs w:val="0"/>
              </w:rPr>
              <w:t>RGemOx</w:t>
            </w:r>
            <w:proofErr w:type="spellEnd"/>
          </w:p>
        </w:tc>
      </w:tr>
      <w:tr w:rsidR="00BA5C92" w:rsidRPr="007C103A" w14:paraId="36E7E931" w14:textId="77777777" w:rsidTr="00943B8B">
        <w:trPr>
          <w:cantSplit/>
        </w:trPr>
        <w:tc>
          <w:tcPr>
            <w:tcW w:w="624" w:type="pct"/>
            <w:shd w:val="clear" w:color="auto" w:fill="auto"/>
            <w:vAlign w:val="center"/>
          </w:tcPr>
          <w:p w14:paraId="0C79A5E1" w14:textId="77777777" w:rsidR="00BA5C92" w:rsidRPr="007C103A" w:rsidRDefault="00BA5C92" w:rsidP="00BA5C92">
            <w:pPr>
              <w:pStyle w:val="TableText0"/>
            </w:pPr>
            <w:r w:rsidRPr="007C103A">
              <w:t>SCHOLAR-1</w:t>
            </w:r>
          </w:p>
        </w:tc>
        <w:tc>
          <w:tcPr>
            <w:tcW w:w="393" w:type="pct"/>
            <w:shd w:val="clear" w:color="auto" w:fill="auto"/>
            <w:vAlign w:val="center"/>
          </w:tcPr>
          <w:p w14:paraId="31DD734B" w14:textId="77777777" w:rsidR="00BA5C92" w:rsidRPr="007C103A" w:rsidRDefault="00BA5C92" w:rsidP="00BA5C92">
            <w:pPr>
              <w:pStyle w:val="TableText0"/>
              <w:jc w:val="center"/>
            </w:pPr>
            <w:r w:rsidRPr="007C103A">
              <w:t>658/851</w:t>
            </w:r>
          </w:p>
        </w:tc>
        <w:tc>
          <w:tcPr>
            <w:tcW w:w="865" w:type="pct"/>
            <w:shd w:val="clear" w:color="auto" w:fill="auto"/>
            <w:vAlign w:val="center"/>
          </w:tcPr>
          <w:p w14:paraId="179CD3D3" w14:textId="77777777" w:rsidR="00BA5C92" w:rsidRPr="007C103A" w:rsidRDefault="00BA5C92" w:rsidP="00BA5C92">
            <w:pPr>
              <w:pStyle w:val="TableText0"/>
              <w:jc w:val="center"/>
            </w:pPr>
            <w:r w:rsidRPr="007C103A">
              <w:t>Pooled databases</w:t>
            </w:r>
          </w:p>
        </w:tc>
        <w:tc>
          <w:tcPr>
            <w:tcW w:w="473" w:type="pct"/>
            <w:shd w:val="clear" w:color="auto" w:fill="auto"/>
            <w:vAlign w:val="center"/>
          </w:tcPr>
          <w:p w14:paraId="7676F561" w14:textId="77777777" w:rsidR="00BA5C92" w:rsidRPr="007C103A" w:rsidRDefault="00BA5C92" w:rsidP="00BA5C92">
            <w:pPr>
              <w:pStyle w:val="TableText0"/>
              <w:jc w:val="center"/>
            </w:pPr>
            <w:r w:rsidRPr="007C103A">
              <w:t>High</w:t>
            </w:r>
          </w:p>
        </w:tc>
        <w:tc>
          <w:tcPr>
            <w:tcW w:w="944" w:type="pct"/>
            <w:shd w:val="clear" w:color="auto" w:fill="auto"/>
            <w:vAlign w:val="center"/>
          </w:tcPr>
          <w:p w14:paraId="4CB07F20" w14:textId="77777777" w:rsidR="00BA5C92" w:rsidRPr="007C103A" w:rsidRDefault="008318FD" w:rsidP="00BA5C92">
            <w:pPr>
              <w:pStyle w:val="TableText0"/>
              <w:jc w:val="center"/>
            </w:pPr>
            <w:r w:rsidRPr="007C103A">
              <w:t>M</w:t>
            </w:r>
            <w:r w:rsidR="00BA5C92" w:rsidRPr="007C103A">
              <w:t>ixed</w:t>
            </w:r>
          </w:p>
        </w:tc>
        <w:tc>
          <w:tcPr>
            <w:tcW w:w="941" w:type="pct"/>
            <w:shd w:val="clear" w:color="auto" w:fill="auto"/>
            <w:vAlign w:val="center"/>
          </w:tcPr>
          <w:p w14:paraId="2A09D641" w14:textId="77777777" w:rsidR="00BA5C92" w:rsidRPr="007C103A" w:rsidRDefault="00BA5C92" w:rsidP="00BA5C92">
            <w:pPr>
              <w:pStyle w:val="TableText0"/>
              <w:jc w:val="center"/>
            </w:pPr>
            <w:r w:rsidRPr="007C103A">
              <w:t>Response, OS</w:t>
            </w:r>
          </w:p>
        </w:tc>
        <w:tc>
          <w:tcPr>
            <w:tcW w:w="760" w:type="pct"/>
            <w:shd w:val="clear" w:color="auto" w:fill="auto"/>
            <w:vAlign w:val="center"/>
          </w:tcPr>
          <w:p w14:paraId="566D371B" w14:textId="77777777" w:rsidR="00BA5C92" w:rsidRPr="007C103A" w:rsidRDefault="008318FD" w:rsidP="00BA5C92">
            <w:pPr>
              <w:pStyle w:val="TableText0"/>
              <w:jc w:val="center"/>
            </w:pPr>
            <w:r w:rsidRPr="007C103A">
              <w:t>U</w:t>
            </w:r>
            <w:r w:rsidR="00BA5C92" w:rsidRPr="007C103A">
              <w:t>sed</w:t>
            </w:r>
          </w:p>
        </w:tc>
      </w:tr>
      <w:tr w:rsidR="001171B9" w:rsidRPr="007C103A" w14:paraId="778414D3" w14:textId="77777777" w:rsidTr="00943B8B">
        <w:trPr>
          <w:cantSplit/>
        </w:trPr>
        <w:tc>
          <w:tcPr>
            <w:tcW w:w="624" w:type="pct"/>
            <w:shd w:val="clear" w:color="auto" w:fill="auto"/>
            <w:vAlign w:val="center"/>
          </w:tcPr>
          <w:p w14:paraId="79E9C33B" w14:textId="77777777" w:rsidR="001171B9" w:rsidRPr="007C103A" w:rsidRDefault="001171B9" w:rsidP="001171B9">
            <w:pPr>
              <w:pStyle w:val="TableText0"/>
            </w:pPr>
            <w:r w:rsidRPr="007C103A">
              <w:t>LaRDR</w:t>
            </w:r>
          </w:p>
        </w:tc>
        <w:tc>
          <w:tcPr>
            <w:tcW w:w="393" w:type="pct"/>
            <w:shd w:val="clear" w:color="auto" w:fill="auto"/>
            <w:vAlign w:val="center"/>
          </w:tcPr>
          <w:p w14:paraId="17F3A4C0" w14:textId="77777777" w:rsidR="001171B9" w:rsidRPr="007C103A" w:rsidRDefault="001171B9" w:rsidP="001171B9">
            <w:pPr>
              <w:pStyle w:val="TableText0"/>
              <w:jc w:val="center"/>
            </w:pPr>
            <w:r w:rsidRPr="007C103A">
              <w:t>24</w:t>
            </w:r>
          </w:p>
        </w:tc>
        <w:tc>
          <w:tcPr>
            <w:tcW w:w="865" w:type="pct"/>
            <w:shd w:val="clear" w:color="auto" w:fill="auto"/>
            <w:vAlign w:val="center"/>
          </w:tcPr>
          <w:p w14:paraId="79040608" w14:textId="77777777" w:rsidR="001171B9" w:rsidRPr="007C103A" w:rsidRDefault="001171B9" w:rsidP="001171B9">
            <w:pPr>
              <w:pStyle w:val="TableText0"/>
              <w:jc w:val="center"/>
            </w:pPr>
            <w:r w:rsidRPr="007C103A">
              <w:t>Patient registry</w:t>
            </w:r>
          </w:p>
        </w:tc>
        <w:tc>
          <w:tcPr>
            <w:tcW w:w="473" w:type="pct"/>
            <w:shd w:val="clear" w:color="auto" w:fill="auto"/>
            <w:vAlign w:val="center"/>
          </w:tcPr>
          <w:p w14:paraId="2A684829" w14:textId="77777777" w:rsidR="001171B9" w:rsidRPr="007C103A" w:rsidRDefault="005B697D" w:rsidP="001171B9">
            <w:pPr>
              <w:pStyle w:val="TableText0"/>
              <w:jc w:val="center"/>
            </w:pPr>
            <w:r w:rsidRPr="007C103A">
              <w:t>H</w:t>
            </w:r>
            <w:r w:rsidR="001171B9" w:rsidRPr="007C103A">
              <w:t>igh</w:t>
            </w:r>
          </w:p>
        </w:tc>
        <w:tc>
          <w:tcPr>
            <w:tcW w:w="944" w:type="pct"/>
            <w:shd w:val="clear" w:color="auto" w:fill="auto"/>
            <w:vAlign w:val="center"/>
          </w:tcPr>
          <w:p w14:paraId="7DA50C0E" w14:textId="77777777" w:rsidR="001171B9" w:rsidRPr="007C103A" w:rsidRDefault="008318FD" w:rsidP="001171B9">
            <w:pPr>
              <w:pStyle w:val="TableText0"/>
              <w:jc w:val="center"/>
            </w:pPr>
            <w:r w:rsidRPr="007C103A">
              <w:t>M</w:t>
            </w:r>
            <w:r w:rsidR="001171B9" w:rsidRPr="007C103A">
              <w:t>ixed</w:t>
            </w:r>
          </w:p>
        </w:tc>
        <w:tc>
          <w:tcPr>
            <w:tcW w:w="941" w:type="pct"/>
            <w:shd w:val="clear" w:color="auto" w:fill="auto"/>
            <w:vAlign w:val="center"/>
          </w:tcPr>
          <w:p w14:paraId="3FCC7A02" w14:textId="77777777" w:rsidR="001171B9" w:rsidRPr="007C103A" w:rsidRDefault="008318FD" w:rsidP="001171B9">
            <w:pPr>
              <w:pStyle w:val="TableText0"/>
              <w:jc w:val="center"/>
            </w:pPr>
            <w:r w:rsidRPr="007C103A">
              <w:t>S</w:t>
            </w:r>
            <w:r w:rsidR="001171B9" w:rsidRPr="007C103A">
              <w:t>urvival</w:t>
            </w:r>
          </w:p>
        </w:tc>
        <w:tc>
          <w:tcPr>
            <w:tcW w:w="760" w:type="pct"/>
            <w:shd w:val="clear" w:color="auto" w:fill="auto"/>
            <w:vAlign w:val="center"/>
          </w:tcPr>
          <w:p w14:paraId="2271818F" w14:textId="77777777" w:rsidR="001171B9" w:rsidRPr="007C103A" w:rsidRDefault="001171B9" w:rsidP="001171B9">
            <w:pPr>
              <w:pStyle w:val="TableText0"/>
              <w:jc w:val="center"/>
            </w:pPr>
            <w:r w:rsidRPr="007C103A">
              <w:t>Not used</w:t>
            </w:r>
          </w:p>
        </w:tc>
      </w:tr>
    </w:tbl>
    <w:p w14:paraId="211FE69A" w14:textId="77777777" w:rsidR="00E774DC" w:rsidRPr="007C103A" w:rsidRDefault="00E774DC" w:rsidP="00EC5836">
      <w:pPr>
        <w:pStyle w:val="TableFigureFooter"/>
      </w:pPr>
      <w:r w:rsidRPr="007C103A">
        <w:t>Source: Section 2.3, p40-43; Section 2.6.1.1, p68; Section 2.6.1.2, p71-72 of the submission.</w:t>
      </w:r>
    </w:p>
    <w:p w14:paraId="5FDE76D6" w14:textId="77777777" w:rsidR="00620C25" w:rsidRPr="007C103A" w:rsidRDefault="00620C25" w:rsidP="00EC5836">
      <w:pPr>
        <w:pStyle w:val="TableFigureFooter"/>
        <w:rPr>
          <w:sz w:val="20"/>
        </w:rPr>
      </w:pPr>
      <w:r w:rsidRPr="007C103A">
        <w:t xml:space="preserve">OS = overall survival; </w:t>
      </w:r>
      <w:r w:rsidR="008318FD" w:rsidRPr="007C103A">
        <w:t xml:space="preserve">PFS = progression free survival; </w:t>
      </w:r>
      <w:proofErr w:type="spellStart"/>
      <w:r w:rsidR="008318FD" w:rsidRPr="007C103A">
        <w:t>RGemOx</w:t>
      </w:r>
      <w:proofErr w:type="spellEnd"/>
      <w:r w:rsidR="008318FD" w:rsidRPr="007C103A">
        <w:t xml:space="preserve"> = </w:t>
      </w:r>
      <w:r w:rsidR="00011C80" w:rsidRPr="007C103A">
        <w:t>rituximab-gemcitabine-oxaliplatin</w:t>
      </w:r>
    </w:p>
    <w:p w14:paraId="7481E839" w14:textId="77777777" w:rsidR="00045017" w:rsidRPr="007C103A" w:rsidRDefault="001171B9" w:rsidP="00EC5836">
      <w:pPr>
        <w:pStyle w:val="3-BodyText"/>
      </w:pPr>
      <w:r w:rsidRPr="007C103A">
        <w:t>The SADAL is a Phase 2 dose finding study in patients with RR</w:t>
      </w:r>
      <w:r w:rsidR="008318FD" w:rsidRPr="007C103A">
        <w:t xml:space="preserve"> </w:t>
      </w:r>
      <w:r w:rsidRPr="007C103A">
        <w:t>DLBCL with a randomisation step to select the dose patients received (100 or 60</w:t>
      </w:r>
      <w:r w:rsidR="008318FD" w:rsidRPr="007C103A">
        <w:t xml:space="preserve"> </w:t>
      </w:r>
      <w:r w:rsidRPr="007C103A">
        <w:t>mg of selinexor)</w:t>
      </w:r>
      <w:r w:rsidR="00F7229E" w:rsidRPr="007C103A">
        <w:t xml:space="preserve">. </w:t>
      </w:r>
      <w:r w:rsidRPr="007C103A">
        <w:t>The protocol for this study has 9 versions</w:t>
      </w:r>
      <w:r w:rsidR="008318FD" w:rsidRPr="007C103A">
        <w:t>. C</w:t>
      </w:r>
      <w:r w:rsidRPr="007C103A">
        <w:t>hange</w:t>
      </w:r>
      <w:r w:rsidR="008318FD" w:rsidRPr="007C103A">
        <w:t>s</w:t>
      </w:r>
      <w:r w:rsidRPr="007C103A">
        <w:t xml:space="preserve"> as the study </w:t>
      </w:r>
      <w:r w:rsidR="008318FD" w:rsidRPr="007C103A">
        <w:t>proceeded</w:t>
      </w:r>
      <w:r w:rsidRPr="007C103A">
        <w:t xml:space="preserve"> include</w:t>
      </w:r>
      <w:r w:rsidR="008318FD" w:rsidRPr="007C103A">
        <w:t>d</w:t>
      </w:r>
      <w:r w:rsidRPr="007C103A">
        <w:t xml:space="preserve"> changes to the primary outcome of the study, inclusion of death as an outcome, </w:t>
      </w:r>
      <w:r w:rsidR="008318FD" w:rsidRPr="007C103A">
        <w:t xml:space="preserve">the </w:t>
      </w:r>
      <w:r w:rsidRPr="007C103A">
        <w:t xml:space="preserve">type of concomitant treatment, </w:t>
      </w:r>
      <w:r w:rsidR="008318FD" w:rsidRPr="007C103A">
        <w:t xml:space="preserve">and </w:t>
      </w:r>
      <w:r w:rsidRPr="007C103A">
        <w:t>dose and dosing frequency of selinexor. Version 6 of the protocol led to the exclusion of all patients included in versions 1-5 from the results</w:t>
      </w:r>
      <w:r w:rsidR="00883299" w:rsidRPr="007C103A">
        <w:t xml:space="preserve"> </w:t>
      </w:r>
      <w:proofErr w:type="gramStart"/>
      <w:r w:rsidR="00883299" w:rsidRPr="007C103A">
        <w:t>and also</w:t>
      </w:r>
      <w:proofErr w:type="gramEnd"/>
      <w:r w:rsidR="00883299" w:rsidRPr="007C103A">
        <w:t xml:space="preserve"> modified the inclusion criteria </w:t>
      </w:r>
      <w:r w:rsidR="00AA05DA" w:rsidRPr="007C103A">
        <w:t>to require at least 60 days between the last systemic therapy and first dose of selinexor</w:t>
      </w:r>
      <w:r w:rsidRPr="007C103A">
        <w:t>.</w:t>
      </w:r>
      <w:r w:rsidR="00AA05DA" w:rsidRPr="007C103A">
        <w:t xml:space="preserve"> </w:t>
      </w:r>
      <w:r w:rsidR="00AA05DA" w:rsidRPr="007C103A">
        <w:rPr>
          <w:iCs/>
        </w:rPr>
        <w:t xml:space="preserve">This requirement would not be reflective of the proposed </w:t>
      </w:r>
      <w:r w:rsidR="00AF4E4F" w:rsidRPr="007C103A">
        <w:rPr>
          <w:iCs/>
        </w:rPr>
        <w:t>usage of the drug on the PBS</w:t>
      </w:r>
      <w:r w:rsidR="00AA05DA" w:rsidRPr="007C103A">
        <w:rPr>
          <w:iCs/>
        </w:rPr>
        <w:t>.</w:t>
      </w:r>
      <w:r w:rsidR="0084060B" w:rsidRPr="007C103A">
        <w:t xml:space="preserve"> </w:t>
      </w:r>
      <w:r w:rsidR="00457EF6" w:rsidRPr="007C103A">
        <w:t>Overall,</w:t>
      </w:r>
      <w:r w:rsidRPr="007C103A">
        <w:t xml:space="preserve"> 175 patients received selinexor 60</w:t>
      </w:r>
      <w:r w:rsidR="00F7229E" w:rsidRPr="007C103A">
        <w:t xml:space="preserve"> </w:t>
      </w:r>
      <w:r w:rsidRPr="007C103A">
        <w:t>mg</w:t>
      </w:r>
      <w:r w:rsidR="002664C7" w:rsidRPr="007C103A">
        <w:t xml:space="preserve"> twice weekly</w:t>
      </w:r>
      <w:r w:rsidRPr="007C103A">
        <w:t xml:space="preserve"> </w:t>
      </w:r>
      <w:r w:rsidR="002664C7" w:rsidRPr="007C103A">
        <w:t xml:space="preserve">(the proposed recommended dose) </w:t>
      </w:r>
      <w:r w:rsidRPr="007C103A">
        <w:t xml:space="preserve">but data for only 127 patients were presented as the basis of the results in the submission. The </w:t>
      </w:r>
      <w:r w:rsidR="0004160F" w:rsidRPr="007C103A">
        <w:t>clinical study report (</w:t>
      </w:r>
      <w:r w:rsidRPr="007C103A">
        <w:t>CSR</w:t>
      </w:r>
      <w:r w:rsidR="0004160F" w:rsidRPr="007C103A">
        <w:t>)</w:t>
      </w:r>
      <w:r w:rsidRPr="007C103A">
        <w:t xml:space="preserve"> included data on </w:t>
      </w:r>
      <w:r w:rsidR="00F7229E" w:rsidRPr="007C103A">
        <w:t xml:space="preserve">the </w:t>
      </w:r>
      <w:r w:rsidRPr="007C103A">
        <w:t xml:space="preserve">175 patients for safety. </w:t>
      </w:r>
      <w:r w:rsidRPr="007C103A">
        <w:rPr>
          <w:iCs/>
        </w:rPr>
        <w:t xml:space="preserve">There </w:t>
      </w:r>
      <w:r w:rsidR="00F7229E" w:rsidRPr="007C103A">
        <w:rPr>
          <w:iCs/>
        </w:rPr>
        <w:t>we</w:t>
      </w:r>
      <w:r w:rsidRPr="007C103A">
        <w:rPr>
          <w:iCs/>
        </w:rPr>
        <w:t>re discrepancies between the data in the CSR and those in the publication that were not possible to resolve.</w:t>
      </w:r>
    </w:p>
    <w:p w14:paraId="36B6D5E8" w14:textId="77777777" w:rsidR="001171B9" w:rsidRPr="007C103A" w:rsidRDefault="001171B9" w:rsidP="00EC5836">
      <w:pPr>
        <w:pStyle w:val="3-BodyText"/>
      </w:pPr>
      <w:r w:rsidRPr="007C103A">
        <w:rPr>
          <w:rFonts w:cs="Tahoma"/>
        </w:rPr>
        <w:t xml:space="preserve">The </w:t>
      </w:r>
      <w:r w:rsidR="00F7229E" w:rsidRPr="007C103A">
        <w:rPr>
          <w:rFonts w:cs="Tahoma"/>
        </w:rPr>
        <w:t xml:space="preserve">submission stated that the </w:t>
      </w:r>
      <w:r w:rsidRPr="007C103A">
        <w:rPr>
          <w:rFonts w:cs="Tahoma"/>
        </w:rPr>
        <w:t xml:space="preserve">SCHOLAR-1 publication (Crump </w:t>
      </w:r>
      <w:r w:rsidR="00F7229E" w:rsidRPr="007C103A">
        <w:rPr>
          <w:rFonts w:cs="Tahoma"/>
        </w:rPr>
        <w:t>2017)</w:t>
      </w:r>
      <w:r w:rsidRPr="007C103A">
        <w:rPr>
          <w:rFonts w:cs="Tahoma"/>
        </w:rPr>
        <w:t>, described as</w:t>
      </w:r>
      <w:r w:rsidRPr="007C103A">
        <w:t xml:space="preserve"> ‘</w:t>
      </w:r>
      <w:r w:rsidRPr="007C103A">
        <w:rPr>
          <w:rFonts w:cs="Tahoma"/>
        </w:rPr>
        <w:t>a patient-level, retrospective pooled analysis of response rates in patients with DLBCL from several sources</w:t>
      </w:r>
      <w:r w:rsidR="00F7229E" w:rsidRPr="007C103A">
        <w:rPr>
          <w:rFonts w:cs="Tahoma"/>
        </w:rPr>
        <w:t>’, was</w:t>
      </w:r>
      <w:r w:rsidRPr="007C103A">
        <w:rPr>
          <w:rFonts w:cs="Tahoma"/>
        </w:rPr>
        <w:t xml:space="preserve"> included to provide a rigorous assessment of response to </w:t>
      </w:r>
      <w:r w:rsidRPr="007C103A">
        <w:rPr>
          <w:rFonts w:cs="Tahoma"/>
        </w:rPr>
        <w:lastRenderedPageBreak/>
        <w:t>rituximab-based salvage chemotherapy among the patient population studied in SADAL.</w:t>
      </w:r>
      <w:r w:rsidR="000A4BF2" w:rsidRPr="007C103A">
        <w:rPr>
          <w:rFonts w:cs="Tahoma"/>
        </w:rPr>
        <w:t xml:space="preserve"> SCHOLAR-1 pooled data from two trials and two observational cohorts.</w:t>
      </w:r>
    </w:p>
    <w:p w14:paraId="1F390138" w14:textId="77777777" w:rsidR="000A4BF2" w:rsidRPr="007C103A" w:rsidRDefault="000A4BF2" w:rsidP="00EC5836">
      <w:pPr>
        <w:pStyle w:val="3-BodyText"/>
      </w:pPr>
      <w:r w:rsidRPr="007C103A">
        <w:rPr>
          <w:iCs/>
        </w:rPr>
        <w:t xml:space="preserve">The data from LaRDR, which included only </w:t>
      </w:r>
      <w:r w:rsidR="00532304">
        <w:rPr>
          <w:iCs/>
        </w:rPr>
        <w:t>&lt; 500</w:t>
      </w:r>
      <w:r w:rsidR="00532304" w:rsidRPr="007C103A">
        <w:rPr>
          <w:iCs/>
        </w:rPr>
        <w:t xml:space="preserve"> </w:t>
      </w:r>
      <w:r w:rsidRPr="007C103A">
        <w:rPr>
          <w:iCs/>
        </w:rPr>
        <w:t>patients, were not provided as a report that could be evaluated.</w:t>
      </w:r>
    </w:p>
    <w:p w14:paraId="68F0964F" w14:textId="77777777" w:rsidR="001C52D9" w:rsidRPr="007C103A" w:rsidRDefault="00EE5C42" w:rsidP="00EC5836">
      <w:pPr>
        <w:pStyle w:val="3-BodyText"/>
        <w:rPr>
          <w:iCs/>
        </w:rPr>
      </w:pPr>
      <w:r w:rsidRPr="007C103A">
        <w:rPr>
          <w:rFonts w:cs="Tahoma"/>
        </w:rPr>
        <w:t>The ESC noted that</w:t>
      </w:r>
      <w:r w:rsidRPr="007C103A">
        <w:rPr>
          <w:rFonts w:cs="Tahoma"/>
          <w:iCs/>
        </w:rPr>
        <w:t xml:space="preserve"> b</w:t>
      </w:r>
      <w:r w:rsidR="001C52D9" w:rsidRPr="007C103A">
        <w:rPr>
          <w:rFonts w:cs="Tahoma"/>
          <w:iCs/>
        </w:rPr>
        <w:t xml:space="preserve">oth the SADAL and SCHOLAR-1 studies </w:t>
      </w:r>
      <w:r w:rsidR="000A4BF2" w:rsidRPr="007C103A">
        <w:rPr>
          <w:rFonts w:cs="Tahoma"/>
          <w:iCs/>
        </w:rPr>
        <w:t>had</w:t>
      </w:r>
      <w:r w:rsidR="001C52D9" w:rsidRPr="007C103A">
        <w:rPr>
          <w:rFonts w:cs="Tahoma"/>
          <w:iCs/>
        </w:rPr>
        <w:t xml:space="preserve"> a high risk of bias</w:t>
      </w:r>
      <w:r w:rsidR="000A4BF2" w:rsidRPr="007C103A">
        <w:rPr>
          <w:rFonts w:cs="Tahoma"/>
          <w:iCs/>
        </w:rPr>
        <w:t>. T</w:t>
      </w:r>
      <w:r w:rsidR="008A3155" w:rsidRPr="007C103A">
        <w:rPr>
          <w:rFonts w:cs="Tahoma"/>
          <w:iCs/>
        </w:rPr>
        <w:t xml:space="preserve">he SADAL study was </w:t>
      </w:r>
      <w:r w:rsidR="000A4BF2" w:rsidRPr="007C103A">
        <w:rPr>
          <w:rFonts w:cs="Tahoma"/>
          <w:iCs/>
        </w:rPr>
        <w:t xml:space="preserve">a </w:t>
      </w:r>
      <w:r w:rsidR="008A3155" w:rsidRPr="007C103A">
        <w:rPr>
          <w:rFonts w:cs="Tahoma"/>
          <w:iCs/>
        </w:rPr>
        <w:t xml:space="preserve">non-randomised, single arm </w:t>
      </w:r>
      <w:r w:rsidR="000A4BF2" w:rsidRPr="007C103A">
        <w:rPr>
          <w:rFonts w:cs="Tahoma"/>
          <w:iCs/>
        </w:rPr>
        <w:t xml:space="preserve">study </w:t>
      </w:r>
      <w:r w:rsidR="008A3155" w:rsidRPr="007C103A">
        <w:rPr>
          <w:rFonts w:cs="Tahoma"/>
          <w:iCs/>
        </w:rPr>
        <w:t>and assessment of response was not blinded, although external review of data was added in a late version of the protocol</w:t>
      </w:r>
      <w:r w:rsidR="000A4BF2" w:rsidRPr="007C103A">
        <w:rPr>
          <w:rFonts w:cs="Tahoma"/>
          <w:iCs/>
        </w:rPr>
        <w:t>. Although t</w:t>
      </w:r>
      <w:r w:rsidR="008A3155" w:rsidRPr="007C103A">
        <w:rPr>
          <w:rFonts w:cs="Tahoma"/>
          <w:iCs/>
        </w:rPr>
        <w:t>wo of the trials included in SCHOLAR-1 were randomised, the two observational cohorts were not randomised and data from these groups were pooled together</w:t>
      </w:r>
      <w:r w:rsidR="000A4BF2" w:rsidRPr="007C103A">
        <w:rPr>
          <w:rFonts w:cs="Tahoma"/>
          <w:iCs/>
        </w:rPr>
        <w:t xml:space="preserve">. In addition, </w:t>
      </w:r>
      <w:r w:rsidR="00C15520" w:rsidRPr="007C103A">
        <w:rPr>
          <w:rFonts w:cs="Tahoma"/>
          <w:iCs/>
        </w:rPr>
        <w:t>no information was provided as to whether assessment was blinded</w:t>
      </w:r>
      <w:r w:rsidR="00457EF6" w:rsidRPr="007C103A">
        <w:rPr>
          <w:rFonts w:cs="Tahoma"/>
          <w:iCs/>
        </w:rPr>
        <w:t xml:space="preserve">. </w:t>
      </w:r>
      <w:r w:rsidR="000042CC" w:rsidRPr="007C103A">
        <w:rPr>
          <w:rFonts w:cs="Tahoma"/>
          <w:iCs/>
        </w:rPr>
        <w:t>The LaRDR was a patient registry with a small number of patients (N=</w:t>
      </w:r>
      <w:r w:rsidR="00532304">
        <w:rPr>
          <w:rFonts w:cs="Tahoma"/>
          <w:iCs/>
        </w:rPr>
        <w:t xml:space="preserve"> &lt; 500</w:t>
      </w:r>
      <w:r w:rsidR="000042CC" w:rsidRPr="007C103A">
        <w:rPr>
          <w:rFonts w:cs="Tahoma"/>
          <w:iCs/>
        </w:rPr>
        <w:t>)</w:t>
      </w:r>
      <w:r w:rsidR="000A4BF2" w:rsidRPr="007C103A">
        <w:rPr>
          <w:rFonts w:cs="Tahoma"/>
          <w:iCs/>
        </w:rPr>
        <w:t>. N</w:t>
      </w:r>
      <w:r w:rsidR="000042CC" w:rsidRPr="007C103A">
        <w:rPr>
          <w:rFonts w:cs="Tahoma"/>
          <w:iCs/>
        </w:rPr>
        <w:t>o information was provided on the methodology used for assessment of registry data, indicating a high risk of bias for LaRDR</w:t>
      </w:r>
      <w:r w:rsidR="00457EF6" w:rsidRPr="007C103A">
        <w:rPr>
          <w:rFonts w:cs="Tahoma"/>
          <w:iCs/>
        </w:rPr>
        <w:t xml:space="preserve">. </w:t>
      </w:r>
    </w:p>
    <w:p w14:paraId="70C35426" w14:textId="77777777" w:rsidR="00E665B3" w:rsidRPr="007C103A" w:rsidRDefault="00E665B3" w:rsidP="00EC5836">
      <w:pPr>
        <w:pStyle w:val="3-BodyText"/>
      </w:pPr>
      <w:r w:rsidRPr="007C103A">
        <w:rPr>
          <w:rFonts w:cs="Tahoma"/>
          <w:iCs/>
        </w:rPr>
        <w:t xml:space="preserve">The </w:t>
      </w:r>
      <w:r w:rsidR="00AD2124" w:rsidRPr="007C103A">
        <w:rPr>
          <w:rFonts w:cs="Tahoma"/>
          <w:iCs/>
        </w:rPr>
        <w:t xml:space="preserve">ESC considered that the </w:t>
      </w:r>
      <w:r w:rsidRPr="007C103A">
        <w:rPr>
          <w:rFonts w:cs="Tahoma"/>
          <w:iCs/>
        </w:rPr>
        <w:t xml:space="preserve">patient populations </w:t>
      </w:r>
      <w:r w:rsidR="000D37A8" w:rsidRPr="007C103A">
        <w:rPr>
          <w:rFonts w:cs="Tahoma"/>
          <w:iCs/>
        </w:rPr>
        <w:t xml:space="preserve">in </w:t>
      </w:r>
      <w:r w:rsidRPr="007C103A">
        <w:rPr>
          <w:rFonts w:cs="Tahoma"/>
          <w:iCs/>
        </w:rPr>
        <w:t>SADAL and SCHOLAR-1 were not</w:t>
      </w:r>
      <w:r w:rsidRPr="007C103A">
        <w:rPr>
          <w:iCs/>
        </w:rPr>
        <w:t xml:space="preserve"> comparable as SADAL patients were older, more heavily treated, had worse prognostic indicators but better </w:t>
      </w:r>
      <w:r w:rsidR="0004160F" w:rsidRPr="007C103A">
        <w:rPr>
          <w:iCs/>
        </w:rPr>
        <w:t>Eastern Cooperative Oncology Group (</w:t>
      </w:r>
      <w:r w:rsidRPr="007C103A">
        <w:rPr>
          <w:iCs/>
        </w:rPr>
        <w:t>ECOG</w:t>
      </w:r>
      <w:r w:rsidR="0004160F" w:rsidRPr="007C103A">
        <w:rPr>
          <w:iCs/>
        </w:rPr>
        <w:t>)</w:t>
      </w:r>
      <w:r w:rsidRPr="007C103A">
        <w:rPr>
          <w:iCs/>
        </w:rPr>
        <w:t xml:space="preserve"> status,</w:t>
      </w:r>
      <w:r w:rsidR="008C0C78" w:rsidRPr="007C103A">
        <w:rPr>
          <w:iCs/>
        </w:rPr>
        <w:t xml:space="preserve"> were ineligible for ASCT (which was not representative of </w:t>
      </w:r>
      <w:r w:rsidR="00474E17" w:rsidRPr="007C103A">
        <w:rPr>
          <w:iCs/>
        </w:rPr>
        <w:t xml:space="preserve">a portion of </w:t>
      </w:r>
      <w:r w:rsidR="008C0C78" w:rsidRPr="007C103A">
        <w:rPr>
          <w:iCs/>
        </w:rPr>
        <w:t>the proposed PBS population)</w:t>
      </w:r>
      <w:r w:rsidRPr="007C103A">
        <w:rPr>
          <w:iCs/>
        </w:rPr>
        <w:t xml:space="preserve"> and were required to have had at least 60 days since the last chemotherapy</w:t>
      </w:r>
      <w:r w:rsidR="00474E17" w:rsidRPr="007C103A">
        <w:rPr>
          <w:iCs/>
        </w:rPr>
        <w:t>.</w:t>
      </w:r>
      <w:r w:rsidR="000D37A8" w:rsidRPr="007C103A">
        <w:rPr>
          <w:iCs/>
        </w:rPr>
        <w:t xml:space="preserve"> </w:t>
      </w:r>
      <w:r w:rsidR="00474E17" w:rsidRPr="007C103A">
        <w:rPr>
          <w:iCs/>
        </w:rPr>
        <w:t>H</w:t>
      </w:r>
      <w:r w:rsidR="000D37A8" w:rsidRPr="007C103A">
        <w:rPr>
          <w:iCs/>
        </w:rPr>
        <w:t>alf of the patients included in the SCHOLAR-1 database were not refractory to second</w:t>
      </w:r>
      <w:r w:rsidR="00DD6A18" w:rsidRPr="007C103A">
        <w:rPr>
          <w:iCs/>
        </w:rPr>
        <w:t>-</w:t>
      </w:r>
      <w:r w:rsidR="000D37A8" w:rsidRPr="007C103A">
        <w:rPr>
          <w:iCs/>
        </w:rPr>
        <w:t xml:space="preserve">line therapy. </w:t>
      </w:r>
    </w:p>
    <w:p w14:paraId="108034E3" w14:textId="77777777" w:rsidR="00DC0ED1" w:rsidRPr="007C103A" w:rsidRDefault="00DC0ED1" w:rsidP="00EC5836">
      <w:pPr>
        <w:pStyle w:val="3-BodyText"/>
        <w:rPr>
          <w:iCs/>
        </w:rPr>
      </w:pPr>
      <w:r w:rsidRPr="007C103A">
        <w:rPr>
          <w:iCs/>
        </w:rPr>
        <w:t xml:space="preserve">There was also a </w:t>
      </w:r>
      <w:r w:rsidR="00110AA1" w:rsidRPr="007C103A">
        <w:rPr>
          <w:iCs/>
        </w:rPr>
        <w:t>lack of information provided by the submission on the definitions of outcomes used in the SCHOLAR-1 study and LaRDR, and it could not be determined if the outcomes were sufficiently comparable across SADAL, SCHOLAR-1 and LaRDR to infer any difference in effects of interventions.</w:t>
      </w:r>
      <w:r w:rsidR="00AD2124" w:rsidRPr="007C103A">
        <w:rPr>
          <w:iCs/>
        </w:rPr>
        <w:t xml:space="preserve"> The PSCR provided definitions for response and overall survival in the SADAL and SCHOLAR-1 studies; however, the definitions for progression free survival were not provided.</w:t>
      </w:r>
    </w:p>
    <w:p w14:paraId="21799E57" w14:textId="77777777" w:rsidR="00B60939" w:rsidRPr="007C103A" w:rsidRDefault="00B60939" w:rsidP="00EC5836">
      <w:pPr>
        <w:pStyle w:val="4-SubsectionHeading"/>
      </w:pPr>
      <w:bookmarkStart w:id="11" w:name="_Toc22897641"/>
      <w:bookmarkStart w:id="12" w:name="_Toc71312049"/>
      <w:r w:rsidRPr="007C103A">
        <w:t>Comparative effectiveness</w:t>
      </w:r>
      <w:bookmarkEnd w:id="11"/>
      <w:bookmarkEnd w:id="12"/>
    </w:p>
    <w:p w14:paraId="51BC3A15" w14:textId="77777777" w:rsidR="002C2775" w:rsidRPr="007C103A" w:rsidRDefault="00B6471D" w:rsidP="00EC5836">
      <w:pPr>
        <w:pStyle w:val="3-BodyText"/>
      </w:pPr>
      <w:r w:rsidRPr="007C103A">
        <w:rPr>
          <w:snapToGrid/>
        </w:rPr>
        <w:t>The results for the SADAL study are presented below</w:t>
      </w:r>
      <w:r w:rsidR="002D2FFF">
        <w:rPr>
          <w:snapToGrid/>
        </w:rPr>
        <w:t xml:space="preserve"> (median follow-up = 14.7 </w:t>
      </w:r>
      <w:r w:rsidR="005E634A" w:rsidRPr="007C103A">
        <w:rPr>
          <w:snapToGrid/>
        </w:rPr>
        <w:t>months)</w:t>
      </w:r>
      <w:r w:rsidRPr="007C103A">
        <w:rPr>
          <w:snapToGrid/>
        </w:rPr>
        <w:t xml:space="preserve">. </w:t>
      </w:r>
    </w:p>
    <w:p w14:paraId="3D0D2699" w14:textId="77777777" w:rsidR="00B6471D" w:rsidRPr="007C103A" w:rsidRDefault="00B6471D" w:rsidP="00007A0D">
      <w:pPr>
        <w:keepNext/>
        <w:rPr>
          <w:rFonts w:ascii="Arial Narrow" w:hAnsi="Arial Narrow"/>
          <w:b/>
          <w:sz w:val="20"/>
          <w:szCs w:val="20"/>
        </w:rPr>
      </w:pPr>
      <w:r w:rsidRPr="007C103A">
        <w:rPr>
          <w:rStyle w:val="CommentReference"/>
          <w:bCs/>
          <w:szCs w:val="20"/>
        </w:rPr>
        <w:lastRenderedPageBreak/>
        <w:t xml:space="preserve">Table </w:t>
      </w:r>
      <w:r w:rsidR="00DE3C14" w:rsidRPr="007C103A">
        <w:rPr>
          <w:rStyle w:val="CommentReference"/>
          <w:bCs/>
          <w:szCs w:val="20"/>
        </w:rPr>
        <w:t>4</w:t>
      </w:r>
      <w:r w:rsidRPr="007C103A">
        <w:rPr>
          <w:rStyle w:val="CommentReference"/>
          <w:bCs/>
          <w:szCs w:val="20"/>
        </w:rPr>
        <w:t xml:space="preserve">: </w:t>
      </w:r>
      <w:r w:rsidRPr="007C103A">
        <w:rPr>
          <w:rFonts w:ascii="Arial Narrow" w:hAnsi="Arial Narrow"/>
          <w:b/>
          <w:sz w:val="20"/>
          <w:szCs w:val="20"/>
        </w:rPr>
        <w:t>Outcomes</w:t>
      </w:r>
      <w:r w:rsidR="00A52813" w:rsidRPr="007C103A">
        <w:rPr>
          <w:rFonts w:ascii="Arial Narrow" w:hAnsi="Arial Narrow"/>
          <w:b/>
          <w:sz w:val="20"/>
          <w:szCs w:val="20"/>
        </w:rPr>
        <w:t xml:space="preserve"> from</w:t>
      </w:r>
      <w:r w:rsidRPr="007C103A">
        <w:rPr>
          <w:rFonts w:ascii="Arial Narrow" w:hAnsi="Arial Narrow"/>
          <w:b/>
          <w:sz w:val="20"/>
          <w:szCs w:val="20"/>
        </w:rPr>
        <w:t xml:space="preserve"> SADAL</w:t>
      </w:r>
    </w:p>
    <w:tbl>
      <w:tblPr>
        <w:tblStyle w:val="TableGrid"/>
        <w:tblW w:w="5000" w:type="pct"/>
        <w:tblLook w:val="04A0" w:firstRow="1" w:lastRow="0" w:firstColumn="1" w:lastColumn="0" w:noHBand="0" w:noVBand="1"/>
        <w:tblCaption w:val="Table 4: Outcomes from SADAL"/>
      </w:tblPr>
      <w:tblGrid>
        <w:gridCol w:w="5722"/>
        <w:gridCol w:w="3295"/>
      </w:tblGrid>
      <w:tr w:rsidR="004A7075" w:rsidRPr="007C103A" w14:paraId="650CAC1F" w14:textId="77777777" w:rsidTr="0034240C">
        <w:trPr>
          <w:tblHeader/>
        </w:trPr>
        <w:tc>
          <w:tcPr>
            <w:tcW w:w="3173" w:type="pct"/>
          </w:tcPr>
          <w:p w14:paraId="3C8E95CC" w14:textId="77777777" w:rsidR="00B6471D" w:rsidRPr="007C103A" w:rsidRDefault="00B6471D" w:rsidP="00007A0D">
            <w:pPr>
              <w:pStyle w:val="TableText0"/>
              <w:rPr>
                <w:b/>
                <w:bCs w:val="0"/>
              </w:rPr>
            </w:pPr>
            <w:r w:rsidRPr="007C103A">
              <w:rPr>
                <w:b/>
                <w:bCs w:val="0"/>
              </w:rPr>
              <w:t>Outcome</w:t>
            </w:r>
          </w:p>
        </w:tc>
        <w:tc>
          <w:tcPr>
            <w:tcW w:w="1827" w:type="pct"/>
            <w:vAlign w:val="center"/>
          </w:tcPr>
          <w:p w14:paraId="45158142" w14:textId="77777777" w:rsidR="00B6471D" w:rsidRPr="007C103A" w:rsidRDefault="00B6471D" w:rsidP="00007A0D">
            <w:pPr>
              <w:pStyle w:val="TableText0"/>
              <w:jc w:val="center"/>
              <w:rPr>
                <w:b/>
                <w:bCs w:val="0"/>
              </w:rPr>
            </w:pPr>
            <w:r w:rsidRPr="007C103A">
              <w:rPr>
                <w:b/>
                <w:bCs w:val="0"/>
              </w:rPr>
              <w:t>Result</w:t>
            </w:r>
          </w:p>
        </w:tc>
      </w:tr>
      <w:tr w:rsidR="004A7075" w:rsidRPr="007C103A" w14:paraId="087EE886" w14:textId="77777777" w:rsidTr="004A7075">
        <w:tc>
          <w:tcPr>
            <w:tcW w:w="3173" w:type="pct"/>
          </w:tcPr>
          <w:p w14:paraId="323417B9" w14:textId="77777777" w:rsidR="009F23EB" w:rsidRPr="007C103A" w:rsidRDefault="009F23EB" w:rsidP="00007A0D">
            <w:pPr>
              <w:pStyle w:val="TableText0"/>
            </w:pPr>
            <w:r w:rsidRPr="007C103A">
              <w:t>Overall response</w:t>
            </w:r>
          </w:p>
        </w:tc>
        <w:tc>
          <w:tcPr>
            <w:tcW w:w="1827" w:type="pct"/>
            <w:vAlign w:val="center"/>
          </w:tcPr>
          <w:p w14:paraId="137EF4B8" w14:textId="77777777" w:rsidR="009F23EB" w:rsidRPr="007C103A" w:rsidRDefault="009F23EB" w:rsidP="00007A0D">
            <w:pPr>
              <w:pStyle w:val="TableText0"/>
              <w:jc w:val="center"/>
            </w:pPr>
            <w:r w:rsidRPr="007C103A">
              <w:t>36/127 (28.3%)</w:t>
            </w:r>
          </w:p>
        </w:tc>
      </w:tr>
      <w:tr w:rsidR="004A7075" w:rsidRPr="007C103A" w14:paraId="52265A56" w14:textId="77777777" w:rsidTr="004A7075">
        <w:tc>
          <w:tcPr>
            <w:tcW w:w="3173" w:type="pct"/>
          </w:tcPr>
          <w:p w14:paraId="07AB2092" w14:textId="77777777" w:rsidR="009F23EB" w:rsidRPr="007C103A" w:rsidRDefault="009F23EB" w:rsidP="00007A0D">
            <w:pPr>
              <w:pStyle w:val="TableText0"/>
            </w:pPr>
            <w:r w:rsidRPr="007C103A">
              <w:t xml:space="preserve">Complete response </w:t>
            </w:r>
          </w:p>
        </w:tc>
        <w:tc>
          <w:tcPr>
            <w:tcW w:w="1827" w:type="pct"/>
            <w:vAlign w:val="center"/>
          </w:tcPr>
          <w:p w14:paraId="4B0D23E1" w14:textId="77777777" w:rsidR="009F23EB" w:rsidRPr="007C103A" w:rsidRDefault="009F23EB" w:rsidP="00007A0D">
            <w:pPr>
              <w:pStyle w:val="TableText0"/>
              <w:jc w:val="center"/>
            </w:pPr>
            <w:r w:rsidRPr="007C103A">
              <w:t>15/127 (11.8%)</w:t>
            </w:r>
          </w:p>
        </w:tc>
      </w:tr>
      <w:tr w:rsidR="004A7075" w:rsidRPr="007C103A" w14:paraId="2942868C" w14:textId="77777777" w:rsidTr="004A7075">
        <w:tc>
          <w:tcPr>
            <w:tcW w:w="3173" w:type="pct"/>
          </w:tcPr>
          <w:p w14:paraId="246468CA" w14:textId="77777777" w:rsidR="009F23EB" w:rsidRPr="007C103A" w:rsidRDefault="00FC79A9" w:rsidP="00007A0D">
            <w:pPr>
              <w:pStyle w:val="TableText0"/>
            </w:pPr>
            <w:r w:rsidRPr="007C103A">
              <w:t>Median d</w:t>
            </w:r>
            <w:r w:rsidR="009F23EB" w:rsidRPr="007C103A">
              <w:t>uration of complete response (months)</w:t>
            </w:r>
          </w:p>
        </w:tc>
        <w:tc>
          <w:tcPr>
            <w:tcW w:w="1827" w:type="pct"/>
            <w:vAlign w:val="center"/>
          </w:tcPr>
          <w:p w14:paraId="3B14D52A" w14:textId="77777777" w:rsidR="009F23EB" w:rsidRPr="007C103A" w:rsidRDefault="009F23EB" w:rsidP="00007A0D">
            <w:pPr>
              <w:pStyle w:val="TableText0"/>
              <w:jc w:val="center"/>
            </w:pPr>
            <w:r w:rsidRPr="007C103A">
              <w:t>23</w:t>
            </w:r>
          </w:p>
        </w:tc>
      </w:tr>
      <w:tr w:rsidR="004A7075" w:rsidRPr="007C103A" w14:paraId="63A24361" w14:textId="77777777" w:rsidTr="004A7075">
        <w:tc>
          <w:tcPr>
            <w:tcW w:w="3173" w:type="pct"/>
          </w:tcPr>
          <w:p w14:paraId="78307DFA" w14:textId="77777777" w:rsidR="009F23EB" w:rsidRPr="007C103A" w:rsidRDefault="009F23EB" w:rsidP="00007A0D">
            <w:pPr>
              <w:pStyle w:val="TableText0"/>
            </w:pPr>
            <w:r w:rsidRPr="007C103A">
              <w:t>Partial response</w:t>
            </w:r>
          </w:p>
        </w:tc>
        <w:tc>
          <w:tcPr>
            <w:tcW w:w="1827" w:type="pct"/>
            <w:vAlign w:val="center"/>
          </w:tcPr>
          <w:p w14:paraId="775DC6D8" w14:textId="77777777" w:rsidR="009F23EB" w:rsidRPr="007C103A" w:rsidRDefault="009F23EB" w:rsidP="00007A0D">
            <w:pPr>
              <w:pStyle w:val="TableText0"/>
              <w:jc w:val="center"/>
            </w:pPr>
            <w:r w:rsidRPr="007C103A">
              <w:t>21/127 (16.5%)</w:t>
            </w:r>
          </w:p>
        </w:tc>
      </w:tr>
      <w:tr w:rsidR="004A7075" w:rsidRPr="007C103A" w14:paraId="2B52ABB5" w14:textId="77777777" w:rsidTr="004A7075">
        <w:tc>
          <w:tcPr>
            <w:tcW w:w="3173" w:type="pct"/>
          </w:tcPr>
          <w:p w14:paraId="62FFC444" w14:textId="77777777" w:rsidR="009F23EB" w:rsidRPr="007C103A" w:rsidRDefault="00FC79A9" w:rsidP="00007A0D">
            <w:pPr>
              <w:pStyle w:val="TableText0"/>
            </w:pPr>
            <w:r w:rsidRPr="007C103A">
              <w:t>Median d</w:t>
            </w:r>
            <w:r w:rsidR="009F23EB" w:rsidRPr="007C103A">
              <w:t>uration of partial response (months)</w:t>
            </w:r>
          </w:p>
        </w:tc>
        <w:tc>
          <w:tcPr>
            <w:tcW w:w="1827" w:type="pct"/>
            <w:vAlign w:val="center"/>
          </w:tcPr>
          <w:p w14:paraId="0919515A" w14:textId="77777777" w:rsidR="009F23EB" w:rsidRPr="007C103A" w:rsidRDefault="009F23EB" w:rsidP="00007A0D">
            <w:pPr>
              <w:pStyle w:val="TableText0"/>
              <w:jc w:val="center"/>
            </w:pPr>
            <w:r w:rsidRPr="007C103A">
              <w:t>4.4</w:t>
            </w:r>
          </w:p>
        </w:tc>
      </w:tr>
      <w:tr w:rsidR="004A7075" w:rsidRPr="007C103A" w14:paraId="54AD74CC" w14:textId="77777777" w:rsidTr="004A7075">
        <w:tc>
          <w:tcPr>
            <w:tcW w:w="3173" w:type="pct"/>
          </w:tcPr>
          <w:p w14:paraId="1D921992" w14:textId="77777777" w:rsidR="009F23EB" w:rsidRPr="007C103A" w:rsidRDefault="00FC79A9" w:rsidP="00007A0D">
            <w:pPr>
              <w:pStyle w:val="TableText0"/>
            </w:pPr>
            <w:r w:rsidRPr="007C103A">
              <w:t>Median o</w:t>
            </w:r>
            <w:r w:rsidR="009F23EB" w:rsidRPr="007C103A">
              <w:t>verall survival</w:t>
            </w:r>
            <w:r w:rsidR="00EC752B" w:rsidRPr="007C103A">
              <w:t xml:space="preserve"> (</w:t>
            </w:r>
            <w:r w:rsidR="009F23EB" w:rsidRPr="007C103A">
              <w:t>months</w:t>
            </w:r>
            <w:r w:rsidRPr="007C103A">
              <w:t xml:space="preserve">; </w:t>
            </w:r>
            <w:r w:rsidR="009F23EB" w:rsidRPr="007C103A">
              <w:t>95% CI)</w:t>
            </w:r>
            <w:r w:rsidR="0084060B" w:rsidRPr="007C103A">
              <w:t xml:space="preserve"> </w:t>
            </w:r>
          </w:p>
        </w:tc>
        <w:tc>
          <w:tcPr>
            <w:tcW w:w="1827" w:type="pct"/>
            <w:vAlign w:val="center"/>
          </w:tcPr>
          <w:p w14:paraId="08EBAF37" w14:textId="77777777" w:rsidR="009F23EB" w:rsidRPr="007C103A" w:rsidRDefault="009F23EB" w:rsidP="00007A0D">
            <w:pPr>
              <w:pStyle w:val="TableText0"/>
              <w:jc w:val="center"/>
            </w:pPr>
            <w:r w:rsidRPr="007C103A">
              <w:t>9.1 (6.6, 15.1)</w:t>
            </w:r>
          </w:p>
        </w:tc>
      </w:tr>
      <w:tr w:rsidR="004A7075" w:rsidRPr="007C103A" w14:paraId="042DBF83" w14:textId="77777777" w:rsidTr="004A7075">
        <w:tc>
          <w:tcPr>
            <w:tcW w:w="3173" w:type="pct"/>
          </w:tcPr>
          <w:p w14:paraId="1D668935" w14:textId="77777777" w:rsidR="009F23EB" w:rsidRPr="007C103A" w:rsidRDefault="00FC79A9" w:rsidP="00007A0D">
            <w:pPr>
              <w:pStyle w:val="TableText0"/>
            </w:pPr>
            <w:r w:rsidRPr="007C103A">
              <w:t>Median p</w:t>
            </w:r>
            <w:r w:rsidR="009F23EB" w:rsidRPr="007C103A">
              <w:t>rogression-free survival</w:t>
            </w:r>
            <w:r w:rsidR="00EC752B" w:rsidRPr="007C103A">
              <w:t xml:space="preserve"> (</w:t>
            </w:r>
            <w:r w:rsidR="009F23EB" w:rsidRPr="007C103A">
              <w:t>months</w:t>
            </w:r>
            <w:r w:rsidRPr="007C103A">
              <w:t>;</w:t>
            </w:r>
            <w:r w:rsidR="009F23EB" w:rsidRPr="007C103A">
              <w:t xml:space="preserve"> 95% CI) </w:t>
            </w:r>
          </w:p>
        </w:tc>
        <w:tc>
          <w:tcPr>
            <w:tcW w:w="1827" w:type="pct"/>
            <w:vAlign w:val="center"/>
          </w:tcPr>
          <w:p w14:paraId="01AA7A98" w14:textId="77777777" w:rsidR="009F23EB" w:rsidRPr="007C103A" w:rsidRDefault="009F23EB" w:rsidP="00007A0D">
            <w:pPr>
              <w:pStyle w:val="TableText0"/>
              <w:jc w:val="center"/>
            </w:pPr>
            <w:r w:rsidRPr="007C103A">
              <w:t>2.6 (1.9, 4.0)</w:t>
            </w:r>
          </w:p>
        </w:tc>
      </w:tr>
      <w:tr w:rsidR="004A7075" w:rsidRPr="007C103A" w14:paraId="00AE43AE" w14:textId="77777777" w:rsidTr="004A7075">
        <w:tc>
          <w:tcPr>
            <w:tcW w:w="3173" w:type="pct"/>
          </w:tcPr>
          <w:p w14:paraId="6A18B119" w14:textId="77777777" w:rsidR="009F23EB" w:rsidRPr="007C103A" w:rsidRDefault="009F23EB" w:rsidP="00007A0D">
            <w:pPr>
              <w:pStyle w:val="TableText0"/>
            </w:pPr>
            <w:r w:rsidRPr="007C103A">
              <w:t>Grade 3 or 4</w:t>
            </w:r>
            <w:r w:rsidR="0084060B" w:rsidRPr="007C103A">
              <w:t xml:space="preserve"> </w:t>
            </w:r>
            <w:r w:rsidR="00FC79A9" w:rsidRPr="007C103A">
              <w:t>adverse event</w:t>
            </w:r>
            <w:r w:rsidRPr="007C103A">
              <w:t> </w:t>
            </w:r>
          </w:p>
        </w:tc>
        <w:tc>
          <w:tcPr>
            <w:tcW w:w="1827" w:type="pct"/>
            <w:vAlign w:val="center"/>
          </w:tcPr>
          <w:p w14:paraId="504EF8DE" w14:textId="77777777" w:rsidR="009F23EB" w:rsidRPr="007C103A" w:rsidRDefault="009F23EB" w:rsidP="00007A0D">
            <w:pPr>
              <w:pStyle w:val="TableText0"/>
              <w:jc w:val="center"/>
            </w:pPr>
            <w:r w:rsidRPr="007C103A">
              <w:t>102/127 (80.3%)</w:t>
            </w:r>
          </w:p>
        </w:tc>
      </w:tr>
      <w:tr w:rsidR="004A7075" w:rsidRPr="007C103A" w14:paraId="7DA42330" w14:textId="77777777" w:rsidTr="004A7075">
        <w:tc>
          <w:tcPr>
            <w:tcW w:w="3173" w:type="pct"/>
          </w:tcPr>
          <w:p w14:paraId="38671452" w14:textId="77777777" w:rsidR="009F23EB" w:rsidRPr="007C103A" w:rsidRDefault="009F23EB" w:rsidP="00007A0D">
            <w:pPr>
              <w:pStyle w:val="TableText0"/>
            </w:pPr>
            <w:r w:rsidRPr="007C103A">
              <w:t>Worst on-study ECOG status = 0-1</w:t>
            </w:r>
            <w:r w:rsidRPr="007C103A">
              <w:rPr>
                <w:vertAlign w:val="superscript"/>
              </w:rPr>
              <w:t>a</w:t>
            </w:r>
          </w:p>
        </w:tc>
        <w:tc>
          <w:tcPr>
            <w:tcW w:w="1827" w:type="pct"/>
            <w:vAlign w:val="center"/>
          </w:tcPr>
          <w:p w14:paraId="65836AC6" w14:textId="77777777" w:rsidR="009F23EB" w:rsidRPr="007C103A" w:rsidRDefault="009F23EB" w:rsidP="00007A0D">
            <w:pPr>
              <w:pStyle w:val="TableText0"/>
              <w:jc w:val="center"/>
            </w:pPr>
            <w:r w:rsidRPr="007C103A">
              <w:t>72/127 (56.7%)</w:t>
            </w:r>
          </w:p>
        </w:tc>
      </w:tr>
      <w:tr w:rsidR="004A7075" w:rsidRPr="007C103A" w14:paraId="4AECF4A9" w14:textId="77777777" w:rsidTr="004A7075">
        <w:tc>
          <w:tcPr>
            <w:tcW w:w="3173" w:type="pct"/>
          </w:tcPr>
          <w:p w14:paraId="1CE6F2E8" w14:textId="77777777" w:rsidR="009F23EB" w:rsidRPr="007C103A" w:rsidRDefault="009F23EB" w:rsidP="00007A0D">
            <w:pPr>
              <w:pStyle w:val="TableText0"/>
            </w:pPr>
            <w:r w:rsidRPr="007C103A">
              <w:t>Worst on-study ECOG status = 2-4</w:t>
            </w:r>
          </w:p>
        </w:tc>
        <w:tc>
          <w:tcPr>
            <w:tcW w:w="1827" w:type="pct"/>
            <w:vAlign w:val="center"/>
          </w:tcPr>
          <w:p w14:paraId="63017B88" w14:textId="77777777" w:rsidR="009F23EB" w:rsidRPr="007C103A" w:rsidRDefault="009F23EB" w:rsidP="00007A0D">
            <w:pPr>
              <w:pStyle w:val="TableText0"/>
              <w:jc w:val="center"/>
            </w:pPr>
            <w:r w:rsidRPr="007C103A">
              <w:t>50/127 (39.4%)</w:t>
            </w:r>
          </w:p>
        </w:tc>
      </w:tr>
    </w:tbl>
    <w:p w14:paraId="7F72D294" w14:textId="77777777" w:rsidR="00B6471D" w:rsidRPr="007C103A" w:rsidRDefault="00B6471D" w:rsidP="00007A0D">
      <w:pPr>
        <w:keepNext/>
        <w:rPr>
          <w:rFonts w:ascii="Arial Narrow" w:eastAsiaTheme="majorEastAsia" w:hAnsi="Arial Narrow"/>
          <w:sz w:val="18"/>
          <w:szCs w:val="18"/>
        </w:rPr>
      </w:pPr>
      <w:r w:rsidRPr="007C103A">
        <w:rPr>
          <w:rFonts w:ascii="Arial Narrow" w:eastAsiaTheme="majorEastAsia" w:hAnsi="Arial Narrow"/>
          <w:sz w:val="18"/>
          <w:szCs w:val="18"/>
        </w:rPr>
        <w:t>Source: CSR Table 13, p63; Table 16, p69; Table 14.3.18.1.1</w:t>
      </w:r>
    </w:p>
    <w:p w14:paraId="73057A23" w14:textId="77777777" w:rsidR="00ED53FC" w:rsidRPr="007C103A" w:rsidRDefault="00ED53FC" w:rsidP="00007A0D">
      <w:pPr>
        <w:keepNext/>
        <w:rPr>
          <w:rFonts w:ascii="Arial Narrow" w:eastAsiaTheme="majorEastAsia" w:hAnsi="Arial Narrow"/>
          <w:sz w:val="18"/>
          <w:szCs w:val="18"/>
        </w:rPr>
      </w:pPr>
      <w:r w:rsidRPr="007C103A">
        <w:rPr>
          <w:rFonts w:ascii="Arial Narrow" w:eastAsiaTheme="majorEastAsia" w:hAnsi="Arial Narrow"/>
          <w:sz w:val="18"/>
          <w:szCs w:val="18"/>
        </w:rPr>
        <w:t>CI = confidence interval; ECOG = Eastern Cooperative Oncology Group</w:t>
      </w:r>
    </w:p>
    <w:p w14:paraId="342B9304" w14:textId="77777777" w:rsidR="00B6471D" w:rsidRPr="007C103A" w:rsidRDefault="009F23EB" w:rsidP="00AE1CFD">
      <w:pPr>
        <w:tabs>
          <w:tab w:val="left" w:pos="142"/>
        </w:tabs>
        <w:spacing w:after="120"/>
        <w:rPr>
          <w:rFonts w:eastAsiaTheme="majorEastAsia"/>
          <w:b/>
        </w:rPr>
      </w:pPr>
      <w:r w:rsidRPr="007C103A">
        <w:rPr>
          <w:rFonts w:ascii="Arial Narrow" w:hAnsi="Arial Narrow"/>
          <w:sz w:val="18"/>
          <w:szCs w:val="18"/>
          <w:vertAlign w:val="superscript"/>
        </w:rPr>
        <w:t>a</w:t>
      </w:r>
      <w:r w:rsidRPr="007C103A">
        <w:rPr>
          <w:rFonts w:ascii="Arial Narrow" w:hAnsi="Arial Narrow"/>
          <w:sz w:val="18"/>
          <w:szCs w:val="18"/>
          <w:vertAlign w:val="superscript"/>
        </w:rPr>
        <w:tab/>
      </w:r>
      <w:r w:rsidR="00B6471D" w:rsidRPr="007C103A">
        <w:rPr>
          <w:rFonts w:ascii="Arial Narrow" w:eastAsiaTheme="majorEastAsia" w:hAnsi="Arial Narrow"/>
          <w:sz w:val="18"/>
          <w:szCs w:val="18"/>
        </w:rPr>
        <w:t>ECOG = 0-1 was 89.0% at baseline.</w:t>
      </w:r>
    </w:p>
    <w:p w14:paraId="06B3D580" w14:textId="77777777" w:rsidR="00DA3167" w:rsidRPr="007C103A" w:rsidRDefault="00424EF1" w:rsidP="00EC5836">
      <w:pPr>
        <w:pStyle w:val="3-BodyText"/>
      </w:pPr>
      <w:r w:rsidRPr="007C103A">
        <w:rPr>
          <w:iCs/>
        </w:rPr>
        <w:t>Given the high risk of bias of the study, the most appropriate interpretation of the data may be that the study shows that seli</w:t>
      </w:r>
      <w:r w:rsidR="00F52173" w:rsidRPr="007C103A">
        <w:rPr>
          <w:iCs/>
        </w:rPr>
        <w:t>nex</w:t>
      </w:r>
      <w:r w:rsidRPr="007C103A">
        <w:rPr>
          <w:iCs/>
        </w:rPr>
        <w:t>or has some activity in RR</w:t>
      </w:r>
      <w:r w:rsidR="00EC752B" w:rsidRPr="007C103A">
        <w:rPr>
          <w:iCs/>
        </w:rPr>
        <w:t xml:space="preserve"> </w:t>
      </w:r>
      <w:r w:rsidRPr="007C103A">
        <w:rPr>
          <w:iCs/>
        </w:rPr>
        <w:t>D</w:t>
      </w:r>
      <w:r w:rsidR="0004160F" w:rsidRPr="007C103A">
        <w:rPr>
          <w:iCs/>
        </w:rPr>
        <w:t>LB</w:t>
      </w:r>
      <w:r w:rsidRPr="007C103A">
        <w:rPr>
          <w:iCs/>
        </w:rPr>
        <w:t>CL but it is not possible to determine the extent of any effect.</w:t>
      </w:r>
      <w:r w:rsidR="002A4795" w:rsidRPr="007C103A">
        <w:rPr>
          <w:iCs/>
        </w:rPr>
        <w:t xml:space="preserve"> </w:t>
      </w:r>
    </w:p>
    <w:p w14:paraId="3C124932" w14:textId="77777777" w:rsidR="00732751" w:rsidRPr="007C103A" w:rsidRDefault="00732751" w:rsidP="00EC5836">
      <w:pPr>
        <w:pStyle w:val="3-BodyText"/>
      </w:pPr>
      <w:r w:rsidRPr="007C103A">
        <w:rPr>
          <w:iCs/>
          <w:snapToGrid/>
        </w:rPr>
        <w:t>As noted above in paragraph 6.</w:t>
      </w:r>
      <w:r w:rsidR="000D18AD" w:rsidRPr="007C103A">
        <w:rPr>
          <w:iCs/>
          <w:snapToGrid/>
        </w:rPr>
        <w:t>4</w:t>
      </w:r>
      <w:r w:rsidRPr="007C103A">
        <w:rPr>
          <w:iCs/>
          <w:snapToGrid/>
        </w:rPr>
        <w:t xml:space="preserve">, the submission did not provide an assessment of comparative effectiveness with rituximab-based therapies other than a graphical overlay of survival curves – see Figure </w:t>
      </w:r>
      <w:r w:rsidR="00E6157A" w:rsidRPr="007C103A">
        <w:rPr>
          <w:iCs/>
          <w:snapToGrid/>
        </w:rPr>
        <w:t>1</w:t>
      </w:r>
      <w:r w:rsidRPr="007C103A">
        <w:rPr>
          <w:iCs/>
          <w:snapToGrid/>
        </w:rPr>
        <w:t>.</w:t>
      </w:r>
    </w:p>
    <w:p w14:paraId="248ED7C3" w14:textId="77777777" w:rsidR="00732751" w:rsidRPr="007C103A" w:rsidRDefault="00732751" w:rsidP="005A00A2">
      <w:pPr>
        <w:pStyle w:val="TableFigureHeading"/>
      </w:pPr>
      <w:r w:rsidRPr="007C103A">
        <w:t xml:space="preserve">Figure </w:t>
      </w:r>
      <w:r w:rsidR="00E6157A" w:rsidRPr="007C103A">
        <w:t>1</w:t>
      </w:r>
      <w:r w:rsidRPr="007C103A">
        <w:t xml:space="preserve">: </w:t>
      </w:r>
      <w:r w:rsidR="005A00A2" w:rsidRPr="007C103A">
        <w:t>Kaplan-Meier curves for OS</w:t>
      </w:r>
      <w:r w:rsidRPr="007C103A">
        <w:t xml:space="preserve"> from SADAL</w:t>
      </w:r>
      <w:r w:rsidR="005A00A2" w:rsidRPr="007C103A">
        <w:t>,</w:t>
      </w:r>
      <w:r w:rsidRPr="007C103A">
        <w:t xml:space="preserve"> </w:t>
      </w:r>
      <w:r w:rsidR="005A00A2" w:rsidRPr="007C103A">
        <w:t>SCHOLAR-1 (2L+</w:t>
      </w:r>
      <w:r w:rsidR="00FC79A9" w:rsidRPr="007C103A">
        <w:t xml:space="preserve"> </w:t>
      </w:r>
      <w:r w:rsidR="005A00A2" w:rsidRPr="007C103A">
        <w:t>refractory) and LaRDR</w:t>
      </w:r>
    </w:p>
    <w:p w14:paraId="16F80A17" w14:textId="77777777" w:rsidR="00732751" w:rsidRPr="007C103A" w:rsidRDefault="005A00A2" w:rsidP="00007A0D">
      <w:pPr>
        <w:pStyle w:val="3-BodyText"/>
        <w:numPr>
          <w:ilvl w:val="0"/>
          <w:numId w:val="0"/>
        </w:numPr>
        <w:spacing w:after="0"/>
      </w:pPr>
      <w:r w:rsidRPr="007C103A">
        <w:rPr>
          <w:noProof/>
        </w:rPr>
        <w:drawing>
          <wp:inline distT="0" distB="0" distL="0" distR="0" wp14:anchorId="18911A16" wp14:editId="45481D73">
            <wp:extent cx="4800474" cy="3166281"/>
            <wp:effectExtent l="0" t="0" r="635" b="0"/>
            <wp:docPr id="9" name="Picture 3" title="Figure 1: Kaplan-Meier curves for OS from SADAL, SCHOLAR-1 (2L+ refractory) and LaRDR">
              <a:extLst xmlns:a="http://schemas.openxmlformats.org/drawingml/2006/main">
                <a:ext uri="{FF2B5EF4-FFF2-40B4-BE49-F238E27FC236}">
                  <a16:creationId xmlns:a16="http://schemas.microsoft.com/office/drawing/2014/main" id="{393E7657-8B51-4ABC-9C37-D815FE15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93E7657-8B51-4ABC-9C37-D815FE157F9F}"/>
                        </a:ext>
                      </a:extLst>
                    </pic:cNvPr>
                    <pic:cNvPicPr>
                      <a:picLocks noChangeAspect="1"/>
                    </pic:cNvPicPr>
                  </pic:nvPicPr>
                  <pic:blipFill>
                    <a:blip r:embed="rId8"/>
                    <a:stretch>
                      <a:fillRect/>
                    </a:stretch>
                  </pic:blipFill>
                  <pic:spPr>
                    <a:xfrm>
                      <a:off x="0" y="0"/>
                      <a:ext cx="4800474" cy="3166281"/>
                    </a:xfrm>
                    <a:prstGeom prst="rect">
                      <a:avLst/>
                    </a:prstGeom>
                  </pic:spPr>
                </pic:pic>
              </a:graphicData>
            </a:graphic>
          </wp:inline>
        </w:drawing>
      </w:r>
    </w:p>
    <w:p w14:paraId="44A7DB50" w14:textId="77777777" w:rsidR="005A00A2" w:rsidRPr="007C103A" w:rsidRDefault="005A00A2" w:rsidP="005A00A2">
      <w:pPr>
        <w:pStyle w:val="3-BodyText"/>
        <w:numPr>
          <w:ilvl w:val="0"/>
          <w:numId w:val="0"/>
        </w:numPr>
        <w:spacing w:after="0"/>
        <w:rPr>
          <w:rFonts w:ascii="Arial Narrow" w:hAnsi="Arial Narrow"/>
          <w:sz w:val="18"/>
          <w:szCs w:val="18"/>
        </w:rPr>
      </w:pPr>
      <w:r w:rsidRPr="007C103A">
        <w:rPr>
          <w:rFonts w:ascii="Arial Narrow" w:hAnsi="Arial Narrow"/>
          <w:sz w:val="18"/>
          <w:szCs w:val="18"/>
        </w:rPr>
        <w:t>Source: Figure 2-20, p79 of the submission</w:t>
      </w:r>
    </w:p>
    <w:p w14:paraId="7695666C" w14:textId="77777777" w:rsidR="005A00A2" w:rsidRPr="007C103A" w:rsidRDefault="005A00A2" w:rsidP="00007A0D">
      <w:pPr>
        <w:pStyle w:val="3-BodyText"/>
        <w:widowControl w:val="0"/>
        <w:numPr>
          <w:ilvl w:val="0"/>
          <w:numId w:val="0"/>
        </w:numPr>
        <w:rPr>
          <w:rFonts w:ascii="Arial Narrow" w:hAnsi="Arial Narrow"/>
          <w:sz w:val="18"/>
          <w:szCs w:val="18"/>
        </w:rPr>
      </w:pPr>
      <w:r w:rsidRPr="007C103A">
        <w:rPr>
          <w:rFonts w:ascii="Arial Narrow" w:hAnsi="Arial Narrow"/>
          <w:sz w:val="18"/>
          <w:szCs w:val="18"/>
        </w:rPr>
        <w:t>CR = complete response; ITT = intention to treat; NE = not evaluable; OS = overall survival; PD = progressive disease; PR = partial response; SD = stable disease; 2L+ = second and later</w:t>
      </w:r>
      <w:r w:rsidR="0004160F" w:rsidRPr="007C103A">
        <w:rPr>
          <w:rFonts w:ascii="Arial Narrow" w:hAnsi="Arial Narrow"/>
          <w:sz w:val="18"/>
          <w:szCs w:val="18"/>
        </w:rPr>
        <w:t xml:space="preserve"> line</w:t>
      </w:r>
    </w:p>
    <w:p w14:paraId="4BA2FF8E" w14:textId="77777777" w:rsidR="006758A2" w:rsidRPr="007C103A" w:rsidRDefault="006758A2" w:rsidP="006758A2">
      <w:pPr>
        <w:pStyle w:val="3-BodyText"/>
      </w:pPr>
      <w:r w:rsidRPr="007C103A">
        <w:rPr>
          <w:iCs/>
          <w:snapToGrid/>
        </w:rPr>
        <w:t xml:space="preserve">The submission stated that the median </w:t>
      </w:r>
      <w:r w:rsidR="0004160F" w:rsidRPr="007C103A">
        <w:rPr>
          <w:iCs/>
          <w:snapToGrid/>
        </w:rPr>
        <w:t>overall survival (</w:t>
      </w:r>
      <w:r w:rsidRPr="007C103A">
        <w:rPr>
          <w:iCs/>
          <w:snapToGrid/>
        </w:rPr>
        <w:t>OS</w:t>
      </w:r>
      <w:r w:rsidR="0004160F" w:rsidRPr="007C103A">
        <w:rPr>
          <w:iCs/>
          <w:snapToGrid/>
        </w:rPr>
        <w:t>)</w:t>
      </w:r>
      <w:r w:rsidRPr="007C103A">
        <w:rPr>
          <w:iCs/>
          <w:snapToGrid/>
        </w:rPr>
        <w:t xml:space="preserve"> for SADAL – ITT was 9.1 months compared to 6.1 months in SCHOLAR-1 and 4.6 months in LaRDR.</w:t>
      </w:r>
    </w:p>
    <w:p w14:paraId="4732C267" w14:textId="77777777" w:rsidR="006758A2" w:rsidRPr="007C103A" w:rsidRDefault="006758A2" w:rsidP="006758A2">
      <w:pPr>
        <w:pStyle w:val="TableFigureHeading"/>
        <w:rPr>
          <w:snapToGrid w:val="0"/>
        </w:rPr>
      </w:pPr>
      <w:r w:rsidRPr="007C103A">
        <w:lastRenderedPageBreak/>
        <w:t xml:space="preserve">Table </w:t>
      </w:r>
      <w:r w:rsidR="00E6157A" w:rsidRPr="007C103A">
        <w:t>5</w:t>
      </w:r>
      <w:r w:rsidRPr="007C103A">
        <w:t>: Median OS across the studies</w:t>
      </w:r>
    </w:p>
    <w:tbl>
      <w:tblPr>
        <w:tblStyle w:val="TableGrid"/>
        <w:tblW w:w="5000" w:type="pct"/>
        <w:tblLook w:val="04A0" w:firstRow="1" w:lastRow="0" w:firstColumn="1" w:lastColumn="0" w:noHBand="0" w:noVBand="1"/>
        <w:tblCaption w:val="Table 5: Median OS across the studies"/>
      </w:tblPr>
      <w:tblGrid>
        <w:gridCol w:w="4508"/>
        <w:gridCol w:w="4509"/>
      </w:tblGrid>
      <w:tr w:rsidR="004A7075" w:rsidRPr="007C103A" w14:paraId="0C6AC442" w14:textId="77777777" w:rsidTr="0034240C">
        <w:trPr>
          <w:tblHeader/>
        </w:trPr>
        <w:tc>
          <w:tcPr>
            <w:tcW w:w="2500" w:type="pct"/>
          </w:tcPr>
          <w:p w14:paraId="0158BEC4" w14:textId="77777777" w:rsidR="006758A2" w:rsidRPr="007C103A" w:rsidRDefault="006758A2" w:rsidP="006758A2">
            <w:pPr>
              <w:pStyle w:val="TableText0"/>
              <w:rPr>
                <w:b/>
              </w:rPr>
            </w:pPr>
            <w:r w:rsidRPr="007C103A">
              <w:rPr>
                <w:b/>
              </w:rPr>
              <w:t>Population</w:t>
            </w:r>
          </w:p>
        </w:tc>
        <w:tc>
          <w:tcPr>
            <w:tcW w:w="2500" w:type="pct"/>
          </w:tcPr>
          <w:p w14:paraId="449B1468" w14:textId="77777777" w:rsidR="006758A2" w:rsidRPr="007C103A" w:rsidRDefault="006758A2" w:rsidP="006758A2">
            <w:pPr>
              <w:pStyle w:val="TableText0"/>
              <w:jc w:val="center"/>
              <w:rPr>
                <w:b/>
              </w:rPr>
            </w:pPr>
            <w:r w:rsidRPr="007C103A">
              <w:rPr>
                <w:b/>
              </w:rPr>
              <w:t>Median OS</w:t>
            </w:r>
          </w:p>
        </w:tc>
      </w:tr>
      <w:tr w:rsidR="004A7075" w:rsidRPr="007C103A" w14:paraId="34E6CBFE" w14:textId="77777777" w:rsidTr="004A7075">
        <w:tc>
          <w:tcPr>
            <w:tcW w:w="2500" w:type="pct"/>
          </w:tcPr>
          <w:p w14:paraId="76F7DB2F" w14:textId="77777777" w:rsidR="006758A2" w:rsidRPr="007C103A" w:rsidRDefault="006758A2" w:rsidP="006758A2">
            <w:pPr>
              <w:pStyle w:val="TableText0"/>
            </w:pPr>
            <w:r w:rsidRPr="007C103A">
              <w:t>SADAL – ITT</w:t>
            </w:r>
          </w:p>
        </w:tc>
        <w:tc>
          <w:tcPr>
            <w:tcW w:w="2500" w:type="pct"/>
          </w:tcPr>
          <w:p w14:paraId="1DA097A8" w14:textId="77777777" w:rsidR="006758A2" w:rsidRPr="007C103A" w:rsidRDefault="006758A2" w:rsidP="006758A2">
            <w:pPr>
              <w:pStyle w:val="TableText0"/>
              <w:jc w:val="center"/>
            </w:pPr>
            <w:r w:rsidRPr="007C103A">
              <w:t>9.1 months</w:t>
            </w:r>
          </w:p>
        </w:tc>
      </w:tr>
      <w:tr w:rsidR="004A7075" w:rsidRPr="007C103A" w14:paraId="1AE761C0" w14:textId="77777777" w:rsidTr="004A7075">
        <w:tc>
          <w:tcPr>
            <w:tcW w:w="2500" w:type="pct"/>
          </w:tcPr>
          <w:p w14:paraId="152C9F73" w14:textId="77777777" w:rsidR="006758A2" w:rsidRPr="007C103A" w:rsidRDefault="006758A2" w:rsidP="006758A2">
            <w:pPr>
              <w:pStyle w:val="TableText0"/>
            </w:pPr>
            <w:r w:rsidRPr="007C103A">
              <w:t>SADAL – SD (8.7%)</w:t>
            </w:r>
          </w:p>
        </w:tc>
        <w:tc>
          <w:tcPr>
            <w:tcW w:w="2500" w:type="pct"/>
          </w:tcPr>
          <w:p w14:paraId="6BEDBFE3" w14:textId="77777777" w:rsidR="006758A2" w:rsidRPr="007C103A" w:rsidRDefault="006758A2" w:rsidP="006758A2">
            <w:pPr>
              <w:pStyle w:val="TableText0"/>
              <w:jc w:val="center"/>
            </w:pPr>
            <w:r w:rsidRPr="007C103A">
              <w:t>18.3 months</w:t>
            </w:r>
          </w:p>
        </w:tc>
      </w:tr>
      <w:tr w:rsidR="004A7075" w:rsidRPr="007C103A" w14:paraId="171419ED" w14:textId="77777777" w:rsidTr="004A7075">
        <w:tc>
          <w:tcPr>
            <w:tcW w:w="2500" w:type="pct"/>
          </w:tcPr>
          <w:p w14:paraId="399DC703" w14:textId="77777777" w:rsidR="006758A2" w:rsidRPr="007C103A" w:rsidRDefault="006758A2" w:rsidP="006758A2">
            <w:pPr>
              <w:pStyle w:val="TableText0"/>
            </w:pPr>
            <w:r w:rsidRPr="007C103A">
              <w:t>SADAL – PR/CR (28.3%)</w:t>
            </w:r>
          </w:p>
        </w:tc>
        <w:tc>
          <w:tcPr>
            <w:tcW w:w="2500" w:type="pct"/>
          </w:tcPr>
          <w:p w14:paraId="74E883C5" w14:textId="77777777" w:rsidR="006758A2" w:rsidRPr="007C103A" w:rsidRDefault="006758A2" w:rsidP="006758A2">
            <w:pPr>
              <w:pStyle w:val="TableText0"/>
              <w:jc w:val="center"/>
            </w:pPr>
            <w:r w:rsidRPr="007C103A">
              <w:t>NR</w:t>
            </w:r>
          </w:p>
        </w:tc>
      </w:tr>
      <w:tr w:rsidR="004A7075" w:rsidRPr="007C103A" w14:paraId="635D35A2" w14:textId="77777777" w:rsidTr="004A7075">
        <w:tc>
          <w:tcPr>
            <w:tcW w:w="2500" w:type="pct"/>
          </w:tcPr>
          <w:p w14:paraId="79334839" w14:textId="77777777" w:rsidR="006758A2" w:rsidRPr="007C103A" w:rsidRDefault="006758A2" w:rsidP="006758A2">
            <w:pPr>
              <w:pStyle w:val="TableText0"/>
            </w:pPr>
            <w:r w:rsidRPr="007C103A">
              <w:t>SADAL – PD/NR</w:t>
            </w:r>
          </w:p>
        </w:tc>
        <w:tc>
          <w:tcPr>
            <w:tcW w:w="2500" w:type="pct"/>
          </w:tcPr>
          <w:p w14:paraId="3F66BC93" w14:textId="77777777" w:rsidR="006758A2" w:rsidRPr="007C103A" w:rsidRDefault="006758A2" w:rsidP="006758A2">
            <w:pPr>
              <w:pStyle w:val="TableText0"/>
              <w:jc w:val="center"/>
            </w:pPr>
            <w:r w:rsidRPr="007C103A">
              <w:t>4.3 months</w:t>
            </w:r>
          </w:p>
        </w:tc>
      </w:tr>
      <w:tr w:rsidR="004A7075" w:rsidRPr="007C103A" w14:paraId="35D4A486" w14:textId="77777777" w:rsidTr="004A7075">
        <w:tc>
          <w:tcPr>
            <w:tcW w:w="2500" w:type="pct"/>
          </w:tcPr>
          <w:p w14:paraId="09DF66B7" w14:textId="77777777" w:rsidR="006758A2" w:rsidRPr="007C103A" w:rsidRDefault="006758A2" w:rsidP="006758A2">
            <w:pPr>
              <w:pStyle w:val="TableText0"/>
            </w:pPr>
            <w:r w:rsidRPr="007C103A">
              <w:t>SCHOLAR-2 – 2L+</w:t>
            </w:r>
            <w:r w:rsidR="00FC79A9" w:rsidRPr="007C103A">
              <w:t xml:space="preserve"> </w:t>
            </w:r>
            <w:r w:rsidRPr="007C103A">
              <w:t>refractory</w:t>
            </w:r>
          </w:p>
        </w:tc>
        <w:tc>
          <w:tcPr>
            <w:tcW w:w="2500" w:type="pct"/>
          </w:tcPr>
          <w:p w14:paraId="5A742C4E" w14:textId="77777777" w:rsidR="006758A2" w:rsidRPr="007C103A" w:rsidRDefault="006758A2" w:rsidP="006758A2">
            <w:pPr>
              <w:pStyle w:val="TableText0"/>
              <w:jc w:val="center"/>
            </w:pPr>
            <w:r w:rsidRPr="007C103A">
              <w:t>6.1 months</w:t>
            </w:r>
          </w:p>
        </w:tc>
      </w:tr>
      <w:tr w:rsidR="004A7075" w:rsidRPr="007C103A" w14:paraId="56F8E499" w14:textId="77777777" w:rsidTr="004A7075">
        <w:tc>
          <w:tcPr>
            <w:tcW w:w="2500" w:type="pct"/>
          </w:tcPr>
          <w:p w14:paraId="39B869A5" w14:textId="77777777" w:rsidR="006758A2" w:rsidRPr="007C103A" w:rsidRDefault="006758A2" w:rsidP="006758A2">
            <w:pPr>
              <w:pStyle w:val="TableText0"/>
            </w:pPr>
            <w:r w:rsidRPr="007C103A">
              <w:t>LaRDR</w:t>
            </w:r>
          </w:p>
        </w:tc>
        <w:tc>
          <w:tcPr>
            <w:tcW w:w="2500" w:type="pct"/>
          </w:tcPr>
          <w:p w14:paraId="72B9A4EC" w14:textId="77777777" w:rsidR="006758A2" w:rsidRPr="007C103A" w:rsidRDefault="006758A2" w:rsidP="006758A2">
            <w:pPr>
              <w:pStyle w:val="TableText0"/>
              <w:jc w:val="center"/>
            </w:pPr>
            <w:r w:rsidRPr="007C103A">
              <w:t>4.6 months</w:t>
            </w:r>
          </w:p>
        </w:tc>
      </w:tr>
    </w:tbl>
    <w:p w14:paraId="2566ACF5" w14:textId="77777777" w:rsidR="006758A2" w:rsidRPr="007C103A" w:rsidRDefault="006758A2" w:rsidP="006758A2">
      <w:pPr>
        <w:pStyle w:val="3-BodyText"/>
        <w:numPr>
          <w:ilvl w:val="0"/>
          <w:numId w:val="0"/>
        </w:numPr>
        <w:spacing w:after="0"/>
        <w:rPr>
          <w:rFonts w:ascii="Arial Narrow" w:hAnsi="Arial Narrow"/>
          <w:sz w:val="18"/>
          <w:szCs w:val="18"/>
        </w:rPr>
      </w:pPr>
      <w:r w:rsidRPr="007C103A">
        <w:rPr>
          <w:rFonts w:ascii="Arial Narrow" w:hAnsi="Arial Narrow"/>
          <w:sz w:val="18"/>
          <w:szCs w:val="18"/>
        </w:rPr>
        <w:t>Source: Table 2-27, p79 of the submission</w:t>
      </w:r>
    </w:p>
    <w:p w14:paraId="52141B16" w14:textId="6740541B" w:rsidR="006758A2" w:rsidRPr="00007A0D" w:rsidRDefault="006758A2" w:rsidP="00007A0D">
      <w:pPr>
        <w:pStyle w:val="3-BodyText"/>
        <w:numPr>
          <w:ilvl w:val="0"/>
          <w:numId w:val="0"/>
        </w:numPr>
        <w:rPr>
          <w:rFonts w:ascii="Arial Narrow" w:hAnsi="Arial Narrow"/>
          <w:sz w:val="18"/>
          <w:szCs w:val="18"/>
        </w:rPr>
      </w:pPr>
      <w:r w:rsidRPr="007C103A">
        <w:rPr>
          <w:rFonts w:ascii="Arial Narrow" w:hAnsi="Arial Narrow"/>
          <w:sz w:val="18"/>
          <w:szCs w:val="18"/>
        </w:rPr>
        <w:t>CR = complete response; ITT = intention to treat; NE = not evaluable; NR = not reported; OS = overall survival; PD = progressive disease; PR = partial response; SD = stable disease; 2L+ = second and later</w:t>
      </w:r>
      <w:r w:rsidR="0004160F" w:rsidRPr="007C103A">
        <w:rPr>
          <w:rFonts w:ascii="Arial Narrow" w:hAnsi="Arial Narrow"/>
          <w:sz w:val="18"/>
          <w:szCs w:val="18"/>
        </w:rPr>
        <w:t xml:space="preserve"> line</w:t>
      </w:r>
    </w:p>
    <w:p w14:paraId="685FF43B" w14:textId="77777777" w:rsidR="00B60939" w:rsidRPr="007C103A" w:rsidRDefault="00B60939" w:rsidP="00D86231">
      <w:pPr>
        <w:pStyle w:val="4-SubsectionHeading"/>
      </w:pPr>
      <w:bookmarkStart w:id="13" w:name="_Toc22897642"/>
      <w:bookmarkStart w:id="14" w:name="_Toc71312050"/>
      <w:r w:rsidRPr="007C103A">
        <w:t>Comparative harms</w:t>
      </w:r>
      <w:bookmarkEnd w:id="13"/>
      <w:bookmarkEnd w:id="14"/>
    </w:p>
    <w:p w14:paraId="44296216" w14:textId="77777777" w:rsidR="00B60939" w:rsidRPr="007C103A" w:rsidRDefault="00424EF1" w:rsidP="00D86231">
      <w:pPr>
        <w:pStyle w:val="3-BodyText"/>
      </w:pPr>
      <w:r w:rsidRPr="007C103A">
        <w:t xml:space="preserve">The safety data as reported in the SADAL study is summarised in Table </w:t>
      </w:r>
      <w:r w:rsidR="00E6157A" w:rsidRPr="007C103A">
        <w:t>6</w:t>
      </w:r>
      <w:r w:rsidR="00517965" w:rsidRPr="007C103A">
        <w:t xml:space="preserve"> </w:t>
      </w:r>
      <w:r w:rsidRPr="007C103A">
        <w:t>below. The submission also provided an extended assessment of safety based on its use in other indications.</w:t>
      </w:r>
    </w:p>
    <w:p w14:paraId="02A4B9FE" w14:textId="77777777" w:rsidR="00424EF1" w:rsidRPr="007C103A" w:rsidRDefault="00424EF1" w:rsidP="007D712A">
      <w:pPr>
        <w:keepNext/>
        <w:rPr>
          <w:rFonts w:ascii="Arial Narrow" w:hAnsi="Arial Narrow"/>
          <w:bCs/>
          <w:sz w:val="20"/>
          <w:szCs w:val="20"/>
        </w:rPr>
      </w:pPr>
      <w:r w:rsidRPr="007C103A">
        <w:rPr>
          <w:rStyle w:val="CommentReference"/>
          <w:bCs/>
          <w:szCs w:val="20"/>
        </w:rPr>
        <w:t xml:space="preserve">Table </w:t>
      </w:r>
      <w:r w:rsidR="00E6157A" w:rsidRPr="007C103A">
        <w:rPr>
          <w:rStyle w:val="CommentReference"/>
          <w:bCs/>
          <w:szCs w:val="20"/>
        </w:rPr>
        <w:t>6</w:t>
      </w:r>
      <w:r w:rsidRPr="007C103A">
        <w:rPr>
          <w:rStyle w:val="CommentReference"/>
          <w:bCs/>
          <w:szCs w:val="20"/>
        </w:rPr>
        <w:t xml:space="preserve">: </w:t>
      </w:r>
      <w:r w:rsidRPr="007C103A">
        <w:rPr>
          <w:rFonts w:ascii="Arial Narrow" w:hAnsi="Arial Narrow"/>
          <w:b/>
          <w:sz w:val="20"/>
          <w:szCs w:val="20"/>
        </w:rPr>
        <w:t>Summary of key adverse events in the SADAL study</w:t>
      </w:r>
    </w:p>
    <w:tbl>
      <w:tblPr>
        <w:tblStyle w:val="TableGrid"/>
        <w:tblW w:w="9011" w:type="dxa"/>
        <w:tblLook w:val="04A0" w:firstRow="1" w:lastRow="0" w:firstColumn="1" w:lastColumn="0" w:noHBand="0" w:noVBand="1"/>
        <w:tblCaption w:val="Table 6: Summary of key adverse events in the SADAL study"/>
      </w:tblPr>
      <w:tblGrid>
        <w:gridCol w:w="4505"/>
        <w:gridCol w:w="1219"/>
        <w:gridCol w:w="1217"/>
        <w:gridCol w:w="2070"/>
      </w:tblGrid>
      <w:tr w:rsidR="00424EF1" w:rsidRPr="007C103A" w14:paraId="309209F0" w14:textId="77777777" w:rsidTr="0034240C">
        <w:trPr>
          <w:tblHeader/>
        </w:trPr>
        <w:tc>
          <w:tcPr>
            <w:tcW w:w="4505" w:type="dxa"/>
          </w:tcPr>
          <w:p w14:paraId="047FEA24" w14:textId="77777777" w:rsidR="00424EF1" w:rsidRPr="007C103A" w:rsidRDefault="00424EF1" w:rsidP="007D712A">
            <w:pPr>
              <w:pStyle w:val="TableFigureHeading"/>
            </w:pPr>
            <w:r w:rsidRPr="007C103A">
              <w:t>Event</w:t>
            </w:r>
          </w:p>
        </w:tc>
        <w:tc>
          <w:tcPr>
            <w:tcW w:w="4506" w:type="dxa"/>
            <w:gridSpan w:val="3"/>
          </w:tcPr>
          <w:p w14:paraId="3A4628A5" w14:textId="77777777" w:rsidR="00424EF1" w:rsidRPr="007C103A" w:rsidRDefault="00424EF1" w:rsidP="007D712A">
            <w:pPr>
              <w:pStyle w:val="TableFigureHeading"/>
              <w:jc w:val="center"/>
            </w:pPr>
            <w:r w:rsidRPr="007C103A">
              <w:t>n (%); N=127</w:t>
            </w:r>
          </w:p>
        </w:tc>
      </w:tr>
      <w:tr w:rsidR="00424EF1" w:rsidRPr="007C103A" w14:paraId="29DD8497" w14:textId="77777777" w:rsidTr="00937A87">
        <w:tc>
          <w:tcPr>
            <w:tcW w:w="4505" w:type="dxa"/>
          </w:tcPr>
          <w:p w14:paraId="6D941C18" w14:textId="77777777" w:rsidR="00424EF1" w:rsidRPr="007C103A" w:rsidRDefault="00424EF1" w:rsidP="00A640A9">
            <w:pPr>
              <w:pStyle w:val="TableText0"/>
            </w:pPr>
            <w:r w:rsidRPr="007C103A">
              <w:t>Deaths</w:t>
            </w:r>
          </w:p>
        </w:tc>
        <w:tc>
          <w:tcPr>
            <w:tcW w:w="4506" w:type="dxa"/>
            <w:gridSpan w:val="3"/>
          </w:tcPr>
          <w:p w14:paraId="6606B1BD" w14:textId="77777777" w:rsidR="00424EF1" w:rsidRPr="007C103A" w:rsidRDefault="00424EF1" w:rsidP="002E7766">
            <w:pPr>
              <w:pStyle w:val="TableText0"/>
              <w:jc w:val="center"/>
            </w:pPr>
            <w:r w:rsidRPr="007C103A">
              <w:t>9 (7.6%)</w:t>
            </w:r>
          </w:p>
        </w:tc>
      </w:tr>
      <w:tr w:rsidR="00424EF1" w:rsidRPr="007C103A" w14:paraId="3B0AF91C" w14:textId="77777777" w:rsidTr="00937A87">
        <w:tc>
          <w:tcPr>
            <w:tcW w:w="4505" w:type="dxa"/>
          </w:tcPr>
          <w:p w14:paraId="32346208" w14:textId="77777777" w:rsidR="00424EF1" w:rsidRPr="007C103A" w:rsidRDefault="00424EF1" w:rsidP="00A640A9">
            <w:pPr>
              <w:pStyle w:val="TableText0"/>
            </w:pPr>
            <w:r w:rsidRPr="007C103A">
              <w:t xml:space="preserve">Withdrawal due to </w:t>
            </w:r>
            <w:r w:rsidR="002E7766" w:rsidRPr="007C103A">
              <w:t>d</w:t>
            </w:r>
            <w:r w:rsidRPr="007C103A">
              <w:t xml:space="preserve">isease </w:t>
            </w:r>
            <w:r w:rsidR="002E7766" w:rsidRPr="007C103A">
              <w:t>p</w:t>
            </w:r>
            <w:r w:rsidRPr="007C103A">
              <w:t>rogression</w:t>
            </w:r>
          </w:p>
        </w:tc>
        <w:tc>
          <w:tcPr>
            <w:tcW w:w="4506" w:type="dxa"/>
            <w:gridSpan w:val="3"/>
          </w:tcPr>
          <w:p w14:paraId="1EA1AA32" w14:textId="77777777" w:rsidR="00424EF1" w:rsidRPr="007C103A" w:rsidRDefault="00424EF1" w:rsidP="002E7766">
            <w:pPr>
              <w:pStyle w:val="TableText0"/>
              <w:jc w:val="center"/>
            </w:pPr>
            <w:r w:rsidRPr="007C103A">
              <w:t>80 (67.8%)</w:t>
            </w:r>
          </w:p>
        </w:tc>
      </w:tr>
      <w:tr w:rsidR="00424EF1" w:rsidRPr="007C103A" w14:paraId="7CAAFC9A" w14:textId="77777777" w:rsidTr="00937A87">
        <w:tc>
          <w:tcPr>
            <w:tcW w:w="4505" w:type="dxa"/>
          </w:tcPr>
          <w:p w14:paraId="2F0382CF" w14:textId="77777777" w:rsidR="00424EF1" w:rsidRPr="007C103A" w:rsidRDefault="00424EF1" w:rsidP="00A640A9">
            <w:pPr>
              <w:pStyle w:val="TableText0"/>
            </w:pPr>
            <w:r w:rsidRPr="007C103A">
              <w:t xml:space="preserve">Withdrawal by </w:t>
            </w:r>
            <w:r w:rsidR="002E7766" w:rsidRPr="007C103A">
              <w:t>p</w:t>
            </w:r>
            <w:r w:rsidRPr="007C103A">
              <w:t xml:space="preserve">atient </w:t>
            </w:r>
          </w:p>
        </w:tc>
        <w:tc>
          <w:tcPr>
            <w:tcW w:w="4506" w:type="dxa"/>
            <w:gridSpan w:val="3"/>
          </w:tcPr>
          <w:p w14:paraId="34BE1EA9" w14:textId="77777777" w:rsidR="00424EF1" w:rsidRPr="007C103A" w:rsidRDefault="00424EF1" w:rsidP="002E7766">
            <w:pPr>
              <w:pStyle w:val="TableText0"/>
              <w:jc w:val="center"/>
            </w:pPr>
            <w:r w:rsidRPr="007C103A">
              <w:t>13 (11.0%)</w:t>
            </w:r>
          </w:p>
        </w:tc>
      </w:tr>
      <w:tr w:rsidR="00424EF1" w:rsidRPr="007C103A" w14:paraId="32F8DE8A" w14:textId="77777777" w:rsidTr="00937A87">
        <w:tc>
          <w:tcPr>
            <w:tcW w:w="4505" w:type="dxa"/>
          </w:tcPr>
          <w:p w14:paraId="46A99D86" w14:textId="77777777" w:rsidR="00424EF1" w:rsidRPr="007C103A" w:rsidRDefault="00424EF1" w:rsidP="00A640A9">
            <w:pPr>
              <w:pStyle w:val="TableText0"/>
            </w:pPr>
            <w:r w:rsidRPr="007C103A">
              <w:t>Treatment-</w:t>
            </w:r>
            <w:r w:rsidR="002E7766" w:rsidRPr="007C103A">
              <w:t>e</w:t>
            </w:r>
            <w:r w:rsidRPr="007C103A">
              <w:t>mergent AE</w:t>
            </w:r>
          </w:p>
        </w:tc>
        <w:tc>
          <w:tcPr>
            <w:tcW w:w="4506" w:type="dxa"/>
            <w:gridSpan w:val="3"/>
          </w:tcPr>
          <w:p w14:paraId="740D0800" w14:textId="77777777" w:rsidR="00424EF1" w:rsidRPr="007C103A" w:rsidRDefault="00424EF1" w:rsidP="002E7766">
            <w:pPr>
              <w:pStyle w:val="TableText0"/>
              <w:jc w:val="center"/>
            </w:pPr>
            <w:r w:rsidRPr="007C103A">
              <w:t>125 (98.4%)</w:t>
            </w:r>
          </w:p>
        </w:tc>
      </w:tr>
      <w:tr w:rsidR="00424EF1" w:rsidRPr="007C103A" w14:paraId="5066CE3D" w14:textId="77777777" w:rsidTr="00937A87">
        <w:tc>
          <w:tcPr>
            <w:tcW w:w="4505" w:type="dxa"/>
          </w:tcPr>
          <w:p w14:paraId="107E1566" w14:textId="77777777" w:rsidR="00424EF1" w:rsidRPr="007C103A" w:rsidRDefault="00424EF1" w:rsidP="00A640A9">
            <w:pPr>
              <w:pStyle w:val="TableText0"/>
            </w:pPr>
            <w:r w:rsidRPr="007C103A">
              <w:t>Grade 3 or 4 AE</w:t>
            </w:r>
          </w:p>
        </w:tc>
        <w:tc>
          <w:tcPr>
            <w:tcW w:w="4506" w:type="dxa"/>
            <w:gridSpan w:val="3"/>
          </w:tcPr>
          <w:p w14:paraId="5007A58C" w14:textId="77777777" w:rsidR="00424EF1" w:rsidRPr="007C103A" w:rsidRDefault="00424EF1" w:rsidP="002E7766">
            <w:pPr>
              <w:pStyle w:val="TableText0"/>
              <w:jc w:val="center"/>
            </w:pPr>
            <w:r w:rsidRPr="007C103A">
              <w:t>102 (80.3%)</w:t>
            </w:r>
          </w:p>
        </w:tc>
      </w:tr>
      <w:tr w:rsidR="00424EF1" w:rsidRPr="007C103A" w14:paraId="0127A737" w14:textId="77777777" w:rsidTr="00937A87">
        <w:tc>
          <w:tcPr>
            <w:tcW w:w="4505" w:type="dxa"/>
          </w:tcPr>
          <w:p w14:paraId="1302E6F6" w14:textId="77777777" w:rsidR="00424EF1" w:rsidRPr="007C103A" w:rsidRDefault="00424EF1" w:rsidP="00A640A9">
            <w:pPr>
              <w:pStyle w:val="TableText0"/>
            </w:pPr>
            <w:r w:rsidRPr="007C103A">
              <w:t>AE with outcome of death</w:t>
            </w:r>
          </w:p>
        </w:tc>
        <w:tc>
          <w:tcPr>
            <w:tcW w:w="4506" w:type="dxa"/>
            <w:gridSpan w:val="3"/>
          </w:tcPr>
          <w:p w14:paraId="716314F3" w14:textId="77777777" w:rsidR="00424EF1" w:rsidRPr="007C103A" w:rsidRDefault="00424EF1" w:rsidP="002E7766">
            <w:pPr>
              <w:pStyle w:val="TableText0"/>
              <w:jc w:val="center"/>
            </w:pPr>
            <w:r w:rsidRPr="007C103A">
              <w:t>5 (3.9%)</w:t>
            </w:r>
          </w:p>
        </w:tc>
      </w:tr>
      <w:tr w:rsidR="00424EF1" w:rsidRPr="007C103A" w14:paraId="0C473795" w14:textId="77777777" w:rsidTr="002E7766">
        <w:tc>
          <w:tcPr>
            <w:tcW w:w="4505" w:type="dxa"/>
          </w:tcPr>
          <w:p w14:paraId="6946A30C" w14:textId="77777777" w:rsidR="00424EF1" w:rsidRPr="007C103A" w:rsidRDefault="00424EF1" w:rsidP="00A640A9">
            <w:pPr>
              <w:pStyle w:val="TableText0"/>
            </w:pPr>
            <w:r w:rsidRPr="007C103A">
              <w:t>AE leading to withdrawal</w:t>
            </w:r>
          </w:p>
        </w:tc>
        <w:tc>
          <w:tcPr>
            <w:tcW w:w="4506" w:type="dxa"/>
            <w:gridSpan w:val="3"/>
            <w:tcBorders>
              <w:bottom w:val="single" w:sz="4" w:space="0" w:color="auto"/>
            </w:tcBorders>
          </w:tcPr>
          <w:p w14:paraId="55E9FACC" w14:textId="77777777" w:rsidR="00424EF1" w:rsidRPr="007C103A" w:rsidRDefault="00424EF1" w:rsidP="002E7766">
            <w:pPr>
              <w:pStyle w:val="TableText0"/>
              <w:jc w:val="center"/>
            </w:pPr>
            <w:r w:rsidRPr="007C103A">
              <w:t>22 (17.3%)</w:t>
            </w:r>
          </w:p>
        </w:tc>
      </w:tr>
      <w:tr w:rsidR="00937A87" w:rsidRPr="007C103A" w14:paraId="51076BCB" w14:textId="77777777" w:rsidTr="002E7766">
        <w:tc>
          <w:tcPr>
            <w:tcW w:w="4505" w:type="dxa"/>
          </w:tcPr>
          <w:p w14:paraId="232C0FF2" w14:textId="77777777" w:rsidR="00937A87" w:rsidRPr="007C103A" w:rsidRDefault="00937A87" w:rsidP="00A640A9">
            <w:pPr>
              <w:pStyle w:val="TableText0"/>
            </w:pPr>
          </w:p>
        </w:tc>
        <w:tc>
          <w:tcPr>
            <w:tcW w:w="1219" w:type="dxa"/>
            <w:tcBorders>
              <w:bottom w:val="single" w:sz="4" w:space="0" w:color="auto"/>
              <w:right w:val="single" w:sz="6" w:space="0" w:color="auto"/>
            </w:tcBorders>
          </w:tcPr>
          <w:p w14:paraId="6C6C6EF5" w14:textId="77777777" w:rsidR="00937A87" w:rsidRPr="007C103A" w:rsidRDefault="00937A87" w:rsidP="00937A87">
            <w:pPr>
              <w:pStyle w:val="TableText0"/>
              <w:jc w:val="center"/>
              <w:rPr>
                <w:b/>
                <w:bCs w:val="0"/>
              </w:rPr>
            </w:pPr>
            <w:r w:rsidRPr="007C103A">
              <w:rPr>
                <w:b/>
                <w:bCs w:val="0"/>
              </w:rPr>
              <w:t>Grade 1-2</w:t>
            </w:r>
          </w:p>
        </w:tc>
        <w:tc>
          <w:tcPr>
            <w:tcW w:w="1217" w:type="dxa"/>
            <w:tcBorders>
              <w:left w:val="single" w:sz="6" w:space="0" w:color="auto"/>
              <w:bottom w:val="single" w:sz="4" w:space="0" w:color="auto"/>
              <w:right w:val="single" w:sz="6" w:space="0" w:color="auto"/>
            </w:tcBorders>
          </w:tcPr>
          <w:p w14:paraId="16E9A81D" w14:textId="77777777" w:rsidR="00937A87" w:rsidRPr="007C103A" w:rsidRDefault="00937A87" w:rsidP="00937A87">
            <w:pPr>
              <w:pStyle w:val="TableText0"/>
              <w:jc w:val="center"/>
              <w:rPr>
                <w:b/>
                <w:bCs w:val="0"/>
              </w:rPr>
            </w:pPr>
            <w:r w:rsidRPr="007C103A">
              <w:rPr>
                <w:b/>
                <w:bCs w:val="0"/>
              </w:rPr>
              <w:t>Grade 3-4</w:t>
            </w:r>
          </w:p>
        </w:tc>
        <w:tc>
          <w:tcPr>
            <w:tcW w:w="2070" w:type="dxa"/>
            <w:tcBorders>
              <w:left w:val="single" w:sz="6" w:space="0" w:color="auto"/>
              <w:bottom w:val="single" w:sz="4" w:space="0" w:color="auto"/>
            </w:tcBorders>
          </w:tcPr>
          <w:p w14:paraId="1CE324CC" w14:textId="77777777" w:rsidR="00937A87" w:rsidRPr="007C103A" w:rsidRDefault="00937A87" w:rsidP="00937A87">
            <w:pPr>
              <w:pStyle w:val="TableText0"/>
              <w:jc w:val="center"/>
              <w:rPr>
                <w:b/>
                <w:bCs w:val="0"/>
              </w:rPr>
            </w:pPr>
            <w:r w:rsidRPr="007C103A">
              <w:rPr>
                <w:b/>
                <w:bCs w:val="0"/>
              </w:rPr>
              <w:t>Leading to withdrawal</w:t>
            </w:r>
          </w:p>
        </w:tc>
      </w:tr>
      <w:tr w:rsidR="00937A87" w:rsidRPr="007C103A" w14:paraId="79F98F22" w14:textId="77777777" w:rsidTr="002E7766">
        <w:tc>
          <w:tcPr>
            <w:tcW w:w="4505" w:type="dxa"/>
          </w:tcPr>
          <w:p w14:paraId="24BF21BD" w14:textId="77777777" w:rsidR="00937A87" w:rsidRPr="007C103A" w:rsidRDefault="002E5764" w:rsidP="00937A87">
            <w:pPr>
              <w:pStyle w:val="TableText0"/>
            </w:pPr>
            <w:r w:rsidRPr="007C103A">
              <w:t>Thrombocytopenia</w:t>
            </w:r>
          </w:p>
        </w:tc>
        <w:tc>
          <w:tcPr>
            <w:tcW w:w="1219" w:type="dxa"/>
            <w:tcBorders>
              <w:top w:val="single" w:sz="4" w:space="0" w:color="auto"/>
            </w:tcBorders>
          </w:tcPr>
          <w:p w14:paraId="537E2514" w14:textId="77777777" w:rsidR="00937A87" w:rsidRPr="007C103A" w:rsidRDefault="00937A87" w:rsidP="00937A87">
            <w:pPr>
              <w:pStyle w:val="TableText0"/>
              <w:jc w:val="center"/>
              <w:rPr>
                <w:b/>
                <w:bCs w:val="0"/>
              </w:rPr>
            </w:pPr>
            <w:r w:rsidRPr="007C103A">
              <w:t>10 (7.9%)</w:t>
            </w:r>
          </w:p>
        </w:tc>
        <w:tc>
          <w:tcPr>
            <w:tcW w:w="1217" w:type="dxa"/>
            <w:tcBorders>
              <w:top w:val="single" w:sz="4" w:space="0" w:color="auto"/>
            </w:tcBorders>
          </w:tcPr>
          <w:p w14:paraId="29614CCE" w14:textId="77777777" w:rsidR="00937A87" w:rsidRPr="007C103A" w:rsidRDefault="002E7766" w:rsidP="00937A87">
            <w:pPr>
              <w:pStyle w:val="TableText0"/>
              <w:jc w:val="center"/>
              <w:rPr>
                <w:b/>
                <w:bCs w:val="0"/>
              </w:rPr>
            </w:pPr>
            <w:r w:rsidRPr="007C103A">
              <w:t xml:space="preserve">58 </w:t>
            </w:r>
            <w:r w:rsidR="00937A87" w:rsidRPr="007C103A">
              <w:t>(45.7%)</w:t>
            </w:r>
          </w:p>
        </w:tc>
        <w:tc>
          <w:tcPr>
            <w:tcW w:w="2070" w:type="dxa"/>
            <w:tcBorders>
              <w:top w:val="single" w:sz="4" w:space="0" w:color="auto"/>
            </w:tcBorders>
          </w:tcPr>
          <w:p w14:paraId="14CC3AD4" w14:textId="77777777" w:rsidR="00937A87" w:rsidRPr="007C103A" w:rsidRDefault="00937A87" w:rsidP="00937A87">
            <w:pPr>
              <w:pStyle w:val="TableText0"/>
              <w:jc w:val="center"/>
              <w:rPr>
                <w:b/>
                <w:bCs w:val="0"/>
              </w:rPr>
            </w:pPr>
            <w:r w:rsidRPr="007C103A">
              <w:t>. 3 (2.4%)</w:t>
            </w:r>
          </w:p>
        </w:tc>
      </w:tr>
      <w:tr w:rsidR="002E7766" w:rsidRPr="007C103A" w14:paraId="21C451BF" w14:textId="77777777" w:rsidTr="00937A87">
        <w:tc>
          <w:tcPr>
            <w:tcW w:w="4505" w:type="dxa"/>
          </w:tcPr>
          <w:p w14:paraId="75F50D6D" w14:textId="77777777" w:rsidR="002E7766" w:rsidRPr="007C103A" w:rsidRDefault="002E7766" w:rsidP="00937A87">
            <w:pPr>
              <w:pStyle w:val="TableText0"/>
            </w:pPr>
            <w:r w:rsidRPr="007C103A">
              <w:t>Neutropenia</w:t>
            </w:r>
          </w:p>
        </w:tc>
        <w:tc>
          <w:tcPr>
            <w:tcW w:w="1219" w:type="dxa"/>
            <w:tcBorders>
              <w:top w:val="nil"/>
            </w:tcBorders>
          </w:tcPr>
          <w:p w14:paraId="5510F506" w14:textId="77777777" w:rsidR="002E7766" w:rsidRPr="007C103A" w:rsidRDefault="002E7766" w:rsidP="002E7766">
            <w:pPr>
              <w:pStyle w:val="TableText0"/>
              <w:jc w:val="center"/>
            </w:pPr>
            <w:r w:rsidRPr="007C103A">
              <w:t>7 (5.5%)</w:t>
            </w:r>
          </w:p>
        </w:tc>
        <w:tc>
          <w:tcPr>
            <w:tcW w:w="1217" w:type="dxa"/>
            <w:tcBorders>
              <w:top w:val="nil"/>
            </w:tcBorders>
          </w:tcPr>
          <w:p w14:paraId="0694CCB6" w14:textId="77777777" w:rsidR="002E7766" w:rsidRPr="007C103A" w:rsidRDefault="002E7766" w:rsidP="002E7766">
            <w:pPr>
              <w:pStyle w:val="TableText0"/>
              <w:jc w:val="center"/>
            </w:pPr>
            <w:r w:rsidRPr="007C103A">
              <w:t>31 (24.4%</w:t>
            </w:r>
            <w:r w:rsidR="00501B71" w:rsidRPr="007C103A">
              <w:t>)</w:t>
            </w:r>
          </w:p>
        </w:tc>
        <w:tc>
          <w:tcPr>
            <w:tcW w:w="2070" w:type="dxa"/>
            <w:tcBorders>
              <w:top w:val="nil"/>
            </w:tcBorders>
          </w:tcPr>
          <w:p w14:paraId="157E1A51" w14:textId="77777777" w:rsidR="002E7766" w:rsidRPr="007C103A" w:rsidRDefault="002E7766" w:rsidP="002E7766">
            <w:pPr>
              <w:pStyle w:val="TableText0"/>
              <w:jc w:val="center"/>
            </w:pPr>
            <w:r w:rsidRPr="007C103A">
              <w:t>0 (0%)</w:t>
            </w:r>
          </w:p>
        </w:tc>
      </w:tr>
      <w:tr w:rsidR="002E7766" w:rsidRPr="007C103A" w14:paraId="58C7AD8F" w14:textId="77777777" w:rsidTr="00937A87">
        <w:tc>
          <w:tcPr>
            <w:tcW w:w="4505" w:type="dxa"/>
          </w:tcPr>
          <w:p w14:paraId="0380C855" w14:textId="77777777" w:rsidR="002E7766" w:rsidRPr="007C103A" w:rsidRDefault="002E7766" w:rsidP="00937A87">
            <w:pPr>
              <w:pStyle w:val="TableText0"/>
            </w:pPr>
            <w:r w:rsidRPr="007C103A">
              <w:t>Nausea</w:t>
            </w:r>
          </w:p>
        </w:tc>
        <w:tc>
          <w:tcPr>
            <w:tcW w:w="1219" w:type="dxa"/>
            <w:tcBorders>
              <w:top w:val="nil"/>
            </w:tcBorders>
          </w:tcPr>
          <w:p w14:paraId="7E922457" w14:textId="77777777" w:rsidR="002E7766" w:rsidRPr="007C103A" w:rsidRDefault="002E7766" w:rsidP="00937A87">
            <w:pPr>
              <w:pStyle w:val="TableText0"/>
              <w:jc w:val="center"/>
            </w:pPr>
            <w:r w:rsidRPr="007C103A">
              <w:t>66 (52.0%)</w:t>
            </w:r>
          </w:p>
        </w:tc>
        <w:tc>
          <w:tcPr>
            <w:tcW w:w="1217" w:type="dxa"/>
            <w:tcBorders>
              <w:top w:val="nil"/>
            </w:tcBorders>
          </w:tcPr>
          <w:p w14:paraId="4789180A" w14:textId="77777777" w:rsidR="002E7766" w:rsidRPr="007C103A" w:rsidRDefault="002E7766" w:rsidP="00937A87">
            <w:pPr>
              <w:pStyle w:val="TableText0"/>
              <w:jc w:val="center"/>
            </w:pPr>
            <w:r w:rsidRPr="007C103A">
              <w:t>8 (6.3%)</w:t>
            </w:r>
          </w:p>
        </w:tc>
        <w:tc>
          <w:tcPr>
            <w:tcW w:w="2070" w:type="dxa"/>
            <w:tcBorders>
              <w:top w:val="nil"/>
            </w:tcBorders>
          </w:tcPr>
          <w:p w14:paraId="716C09FA" w14:textId="77777777" w:rsidR="002E7766" w:rsidRPr="007C103A" w:rsidRDefault="002E7766" w:rsidP="00937A87">
            <w:pPr>
              <w:pStyle w:val="TableText0"/>
              <w:jc w:val="center"/>
            </w:pPr>
            <w:r w:rsidRPr="007C103A">
              <w:t>3 (2.4%)</w:t>
            </w:r>
          </w:p>
        </w:tc>
      </w:tr>
      <w:tr w:rsidR="002E7766" w:rsidRPr="007C103A" w14:paraId="63238022" w14:textId="77777777" w:rsidTr="00937A87">
        <w:tc>
          <w:tcPr>
            <w:tcW w:w="4505" w:type="dxa"/>
          </w:tcPr>
          <w:p w14:paraId="7F5A3CF5" w14:textId="77777777" w:rsidR="002E7766" w:rsidRPr="007C103A" w:rsidRDefault="002E7766" w:rsidP="00937A87">
            <w:pPr>
              <w:pStyle w:val="TableText0"/>
            </w:pPr>
            <w:r w:rsidRPr="007C103A">
              <w:t>Fatigue + asthenia</w:t>
            </w:r>
          </w:p>
        </w:tc>
        <w:tc>
          <w:tcPr>
            <w:tcW w:w="1219" w:type="dxa"/>
            <w:tcBorders>
              <w:top w:val="nil"/>
            </w:tcBorders>
          </w:tcPr>
          <w:p w14:paraId="43E1866E" w14:textId="77777777" w:rsidR="002E7766" w:rsidRPr="007C103A" w:rsidRDefault="002E7766" w:rsidP="00937A87">
            <w:pPr>
              <w:pStyle w:val="TableText0"/>
              <w:jc w:val="center"/>
            </w:pPr>
            <w:r w:rsidRPr="007C103A">
              <w:t>67 (52.8%)</w:t>
            </w:r>
          </w:p>
        </w:tc>
        <w:tc>
          <w:tcPr>
            <w:tcW w:w="1217" w:type="dxa"/>
            <w:tcBorders>
              <w:top w:val="nil"/>
            </w:tcBorders>
          </w:tcPr>
          <w:p w14:paraId="3DEEF484" w14:textId="77777777" w:rsidR="002E7766" w:rsidRPr="007C103A" w:rsidRDefault="002E7766" w:rsidP="00937A87">
            <w:pPr>
              <w:pStyle w:val="TableText0"/>
              <w:jc w:val="center"/>
            </w:pPr>
            <w:r w:rsidRPr="007C103A">
              <w:t>20 (15.7%)</w:t>
            </w:r>
          </w:p>
        </w:tc>
        <w:tc>
          <w:tcPr>
            <w:tcW w:w="2070" w:type="dxa"/>
            <w:tcBorders>
              <w:top w:val="nil"/>
            </w:tcBorders>
          </w:tcPr>
          <w:p w14:paraId="13273B88" w14:textId="77777777" w:rsidR="002E7766" w:rsidRPr="007C103A" w:rsidRDefault="002E7766" w:rsidP="00937A87">
            <w:pPr>
              <w:pStyle w:val="TableText0"/>
              <w:jc w:val="center"/>
            </w:pPr>
            <w:r w:rsidRPr="007C103A">
              <w:t>4 (3.1%)</w:t>
            </w:r>
          </w:p>
        </w:tc>
      </w:tr>
      <w:tr w:rsidR="002E7766" w:rsidRPr="007C103A" w14:paraId="1BB9F3E9" w14:textId="77777777" w:rsidTr="00937A87">
        <w:tc>
          <w:tcPr>
            <w:tcW w:w="4505" w:type="dxa"/>
          </w:tcPr>
          <w:p w14:paraId="63F78D3D" w14:textId="77777777" w:rsidR="002E7766" w:rsidRPr="007C103A" w:rsidRDefault="002E7766" w:rsidP="00937A87">
            <w:pPr>
              <w:pStyle w:val="TableText0"/>
            </w:pPr>
            <w:r w:rsidRPr="007C103A">
              <w:t>Anaemia</w:t>
            </w:r>
          </w:p>
        </w:tc>
        <w:tc>
          <w:tcPr>
            <w:tcW w:w="1219" w:type="dxa"/>
            <w:tcBorders>
              <w:top w:val="nil"/>
            </w:tcBorders>
          </w:tcPr>
          <w:p w14:paraId="2AF244CA" w14:textId="77777777" w:rsidR="002E7766" w:rsidRPr="007C103A" w:rsidRDefault="002E7766" w:rsidP="00937A87">
            <w:pPr>
              <w:pStyle w:val="TableText0"/>
              <w:jc w:val="center"/>
            </w:pPr>
            <w:r w:rsidRPr="007C103A">
              <w:t>26 (20.5%)</w:t>
            </w:r>
          </w:p>
        </w:tc>
        <w:tc>
          <w:tcPr>
            <w:tcW w:w="1217" w:type="dxa"/>
            <w:tcBorders>
              <w:top w:val="nil"/>
            </w:tcBorders>
          </w:tcPr>
          <w:p w14:paraId="2B45B4E1" w14:textId="77777777" w:rsidR="002E7766" w:rsidRPr="007C103A" w:rsidRDefault="002E7766" w:rsidP="00937A87">
            <w:pPr>
              <w:pStyle w:val="TableText0"/>
              <w:jc w:val="center"/>
            </w:pPr>
            <w:r w:rsidRPr="007C103A">
              <w:t>28 (22.0%)</w:t>
            </w:r>
          </w:p>
        </w:tc>
        <w:tc>
          <w:tcPr>
            <w:tcW w:w="2070" w:type="dxa"/>
            <w:tcBorders>
              <w:top w:val="nil"/>
            </w:tcBorders>
          </w:tcPr>
          <w:p w14:paraId="2C38D7C2" w14:textId="77777777" w:rsidR="002E7766" w:rsidRPr="007C103A" w:rsidRDefault="002E7766" w:rsidP="00937A87">
            <w:pPr>
              <w:pStyle w:val="TableText0"/>
              <w:jc w:val="center"/>
            </w:pPr>
            <w:r w:rsidRPr="007C103A">
              <w:t>1 (0.8%)</w:t>
            </w:r>
          </w:p>
        </w:tc>
      </w:tr>
      <w:tr w:rsidR="002E7766" w:rsidRPr="007C103A" w14:paraId="708F6618" w14:textId="77777777" w:rsidTr="00937A87">
        <w:tc>
          <w:tcPr>
            <w:tcW w:w="4505" w:type="dxa"/>
          </w:tcPr>
          <w:p w14:paraId="47CF0198" w14:textId="77777777" w:rsidR="002E7766" w:rsidRPr="007C103A" w:rsidRDefault="002E7766" w:rsidP="00937A87">
            <w:pPr>
              <w:pStyle w:val="TableText0"/>
            </w:pPr>
            <w:r w:rsidRPr="007C103A">
              <w:t>Diarrhoea</w:t>
            </w:r>
          </w:p>
        </w:tc>
        <w:tc>
          <w:tcPr>
            <w:tcW w:w="1219" w:type="dxa"/>
            <w:tcBorders>
              <w:top w:val="nil"/>
            </w:tcBorders>
          </w:tcPr>
          <w:p w14:paraId="6B7CF6CA" w14:textId="77777777" w:rsidR="002E7766" w:rsidRPr="007C103A" w:rsidRDefault="002E7766" w:rsidP="00937A87">
            <w:pPr>
              <w:pStyle w:val="TableText0"/>
              <w:jc w:val="center"/>
            </w:pPr>
            <w:r w:rsidRPr="007C103A">
              <w:t>41 (32.3%)</w:t>
            </w:r>
          </w:p>
        </w:tc>
        <w:tc>
          <w:tcPr>
            <w:tcW w:w="1217" w:type="dxa"/>
            <w:tcBorders>
              <w:top w:val="nil"/>
            </w:tcBorders>
          </w:tcPr>
          <w:p w14:paraId="341483AB" w14:textId="77777777" w:rsidR="002E7766" w:rsidRPr="007C103A" w:rsidRDefault="002E7766" w:rsidP="00937A87">
            <w:pPr>
              <w:pStyle w:val="TableText0"/>
              <w:jc w:val="center"/>
            </w:pPr>
            <w:r w:rsidRPr="007C103A">
              <w:t>4 (3.1%)</w:t>
            </w:r>
          </w:p>
        </w:tc>
        <w:tc>
          <w:tcPr>
            <w:tcW w:w="2070" w:type="dxa"/>
            <w:tcBorders>
              <w:top w:val="nil"/>
            </w:tcBorders>
          </w:tcPr>
          <w:p w14:paraId="120BFA56" w14:textId="77777777" w:rsidR="002E7766" w:rsidRPr="007C103A" w:rsidRDefault="002E7766" w:rsidP="00937A87">
            <w:pPr>
              <w:pStyle w:val="TableText0"/>
              <w:jc w:val="center"/>
            </w:pPr>
            <w:r w:rsidRPr="007C103A">
              <w:t>1 (0.8%)</w:t>
            </w:r>
          </w:p>
        </w:tc>
      </w:tr>
      <w:tr w:rsidR="002E7766" w:rsidRPr="007C103A" w14:paraId="656831D3" w14:textId="77777777" w:rsidTr="00937A87">
        <w:tc>
          <w:tcPr>
            <w:tcW w:w="4505" w:type="dxa"/>
          </w:tcPr>
          <w:p w14:paraId="484C910B" w14:textId="77777777" w:rsidR="002E7766" w:rsidRPr="007C103A" w:rsidRDefault="002E7766" w:rsidP="00937A87">
            <w:pPr>
              <w:pStyle w:val="TableText0"/>
            </w:pPr>
            <w:r w:rsidRPr="007C103A">
              <w:t>Decreased appetite</w:t>
            </w:r>
          </w:p>
        </w:tc>
        <w:tc>
          <w:tcPr>
            <w:tcW w:w="1219" w:type="dxa"/>
            <w:tcBorders>
              <w:top w:val="nil"/>
            </w:tcBorders>
          </w:tcPr>
          <w:p w14:paraId="3C65233F" w14:textId="77777777" w:rsidR="002E7766" w:rsidRPr="007C103A" w:rsidRDefault="002E7766" w:rsidP="00937A87">
            <w:pPr>
              <w:pStyle w:val="TableText0"/>
              <w:jc w:val="center"/>
            </w:pPr>
            <w:r w:rsidRPr="007C103A">
              <w:t>42 (33.1%)</w:t>
            </w:r>
          </w:p>
        </w:tc>
        <w:tc>
          <w:tcPr>
            <w:tcW w:w="1217" w:type="dxa"/>
            <w:tcBorders>
              <w:top w:val="nil"/>
            </w:tcBorders>
          </w:tcPr>
          <w:p w14:paraId="0F05EFF9" w14:textId="77777777" w:rsidR="002E7766" w:rsidRPr="007C103A" w:rsidRDefault="002E7766" w:rsidP="00937A87">
            <w:pPr>
              <w:pStyle w:val="TableText0"/>
              <w:jc w:val="center"/>
            </w:pPr>
            <w:r w:rsidRPr="007C103A">
              <w:t>5 (3.9%)</w:t>
            </w:r>
          </w:p>
        </w:tc>
        <w:tc>
          <w:tcPr>
            <w:tcW w:w="2070" w:type="dxa"/>
            <w:tcBorders>
              <w:top w:val="nil"/>
            </w:tcBorders>
          </w:tcPr>
          <w:p w14:paraId="71D3CCE4" w14:textId="77777777" w:rsidR="002E7766" w:rsidRPr="007C103A" w:rsidRDefault="002E7766" w:rsidP="00937A87">
            <w:pPr>
              <w:pStyle w:val="TableText0"/>
              <w:jc w:val="center"/>
            </w:pPr>
            <w:r w:rsidRPr="007C103A">
              <w:t>1 (0.8%)</w:t>
            </w:r>
          </w:p>
        </w:tc>
      </w:tr>
    </w:tbl>
    <w:p w14:paraId="694C542D" w14:textId="77777777" w:rsidR="00424EF1" w:rsidRPr="007C103A" w:rsidRDefault="00424EF1" w:rsidP="007D712A">
      <w:pPr>
        <w:pStyle w:val="TableFooter"/>
        <w:rPr>
          <w:rFonts w:eastAsiaTheme="majorEastAsia"/>
          <w:b/>
        </w:rPr>
      </w:pPr>
      <w:r w:rsidRPr="007C103A">
        <w:rPr>
          <w:rFonts w:eastAsiaTheme="majorEastAsia"/>
        </w:rPr>
        <w:t>Source: CSR Table 7, p52; Table 26, pp87-8, Table 14.3.7.1.3.</w:t>
      </w:r>
    </w:p>
    <w:p w14:paraId="30462B19" w14:textId="77777777" w:rsidR="002E7766" w:rsidRPr="007C103A" w:rsidRDefault="002E7766" w:rsidP="007D712A">
      <w:pPr>
        <w:pStyle w:val="TableFooter"/>
        <w:spacing w:after="120"/>
        <w:rPr>
          <w:b/>
        </w:rPr>
      </w:pPr>
      <w:r w:rsidRPr="007C103A">
        <w:rPr>
          <w:rFonts w:eastAsiaTheme="majorEastAsia"/>
        </w:rPr>
        <w:t>AE</w:t>
      </w:r>
      <w:r w:rsidR="00ED53FC" w:rsidRPr="007C103A">
        <w:rPr>
          <w:rFonts w:eastAsiaTheme="majorEastAsia"/>
        </w:rPr>
        <w:t xml:space="preserve"> </w:t>
      </w:r>
      <w:r w:rsidRPr="007C103A">
        <w:rPr>
          <w:rFonts w:eastAsiaTheme="majorEastAsia"/>
        </w:rPr>
        <w:t>=</w:t>
      </w:r>
      <w:r w:rsidR="00ED53FC" w:rsidRPr="007C103A">
        <w:rPr>
          <w:rFonts w:eastAsiaTheme="majorEastAsia"/>
        </w:rPr>
        <w:t xml:space="preserve"> </w:t>
      </w:r>
      <w:r w:rsidRPr="007C103A">
        <w:rPr>
          <w:rFonts w:eastAsiaTheme="majorEastAsia"/>
        </w:rPr>
        <w:t>adverse event</w:t>
      </w:r>
    </w:p>
    <w:p w14:paraId="0EF03560" w14:textId="77777777" w:rsidR="00424EF1" w:rsidRPr="007C103A" w:rsidRDefault="00424EF1" w:rsidP="00665D54">
      <w:pPr>
        <w:pStyle w:val="3-BodyText"/>
      </w:pPr>
      <w:r w:rsidRPr="007C103A">
        <w:t xml:space="preserve">The main adverse events were nausea and vomiting, </w:t>
      </w:r>
      <w:r w:rsidR="00A55722" w:rsidRPr="007C103A">
        <w:t>diarrhoea</w:t>
      </w:r>
      <w:r w:rsidRPr="007C103A">
        <w:t xml:space="preserve">, </w:t>
      </w:r>
      <w:r w:rsidR="002E5764" w:rsidRPr="007C103A">
        <w:t>thrombocytopenia</w:t>
      </w:r>
      <w:r w:rsidRPr="007C103A">
        <w:t xml:space="preserve">, neutropenia, hyponatremia, </w:t>
      </w:r>
      <w:proofErr w:type="gramStart"/>
      <w:r w:rsidRPr="007C103A">
        <w:t>fatigue</w:t>
      </w:r>
      <w:proofErr w:type="gramEnd"/>
      <w:r w:rsidRPr="007C103A">
        <w:t xml:space="preserve"> and weight loss. </w:t>
      </w:r>
      <w:r w:rsidRPr="007C103A">
        <w:rPr>
          <w:iCs/>
        </w:rPr>
        <w:t>The adverse events appear to occur with similar frequency across all indications. In the SADAL study a significant proportion of patients (35/127) required dose reduction to enable them to continue treatment</w:t>
      </w:r>
      <w:r w:rsidR="001952C1" w:rsidRPr="007C103A">
        <w:rPr>
          <w:iCs/>
        </w:rPr>
        <w:t>, which suggests there may be toxicity concerns with selinexor</w:t>
      </w:r>
      <w:r w:rsidRPr="007C103A">
        <w:rPr>
          <w:iCs/>
        </w:rPr>
        <w:t>.</w:t>
      </w:r>
      <w:r w:rsidRPr="007C103A">
        <w:t xml:space="preserve"> </w:t>
      </w:r>
      <w:r w:rsidR="00EE5C42" w:rsidRPr="007C103A">
        <w:t>The ESC noted the high incidence of Grade 3 or 4 adverse events, particularly noting the high rate of Grade 3 or 4 haematological events and the rate of adverse events resulting in death.</w:t>
      </w:r>
      <w:r w:rsidR="00944F96" w:rsidRPr="007C103A">
        <w:t xml:space="preserve"> The ESC also noted that adverse events associated with dose modifications (i.e. dose reductions, </w:t>
      </w:r>
      <w:proofErr w:type="gramStart"/>
      <w:r w:rsidR="00944F96" w:rsidRPr="007C103A">
        <w:t>interruptions</w:t>
      </w:r>
      <w:proofErr w:type="gramEnd"/>
      <w:r w:rsidR="00944F96" w:rsidRPr="007C103A">
        <w:t xml:space="preserve"> and discontinuations) were not reported.</w:t>
      </w:r>
    </w:p>
    <w:p w14:paraId="303C6ECE" w14:textId="77777777" w:rsidR="00424EF1" w:rsidRPr="007C103A" w:rsidRDefault="00424EF1" w:rsidP="00D86231">
      <w:pPr>
        <w:pStyle w:val="3-BodyText"/>
        <w:rPr>
          <w:iCs/>
        </w:rPr>
      </w:pPr>
      <w:r w:rsidRPr="007C103A">
        <w:rPr>
          <w:iCs/>
        </w:rPr>
        <w:t xml:space="preserve">The </w:t>
      </w:r>
      <w:r w:rsidR="00EE5C42" w:rsidRPr="007C103A">
        <w:rPr>
          <w:iCs/>
        </w:rPr>
        <w:t xml:space="preserve">ESC noted that the </w:t>
      </w:r>
      <w:r w:rsidRPr="007C103A">
        <w:rPr>
          <w:iCs/>
        </w:rPr>
        <w:t>submission did not provide any information about the safety of the comparator.</w:t>
      </w:r>
    </w:p>
    <w:p w14:paraId="1973A0E4" w14:textId="77777777" w:rsidR="002A4795" w:rsidRPr="007C103A" w:rsidRDefault="002A4795" w:rsidP="00D86231">
      <w:pPr>
        <w:pStyle w:val="3-BodyText"/>
        <w:rPr>
          <w:iCs/>
        </w:rPr>
      </w:pPr>
      <w:r w:rsidRPr="007C103A">
        <w:rPr>
          <w:iCs/>
        </w:rPr>
        <w:lastRenderedPageBreak/>
        <w:t>The pre-PBAC response noted that as selinexor is an oral treatment it offers quality of life advantages in terms of reduced hospital visits for chemotherapy infusions and a reduced risk of infusion site infections</w:t>
      </w:r>
      <w:r w:rsidR="00457EF6" w:rsidRPr="007C103A">
        <w:rPr>
          <w:iCs/>
        </w:rPr>
        <w:t xml:space="preserve">. </w:t>
      </w:r>
    </w:p>
    <w:p w14:paraId="03F00C52" w14:textId="77777777" w:rsidR="007F1017" w:rsidRPr="007C103A" w:rsidRDefault="007F1017" w:rsidP="00D86231">
      <w:pPr>
        <w:pStyle w:val="4-SubsectionHeading"/>
      </w:pPr>
      <w:bookmarkStart w:id="15" w:name="_Toc22897643"/>
      <w:bookmarkStart w:id="16" w:name="_Toc71312051"/>
      <w:r w:rsidRPr="007C103A">
        <w:t>Benefits/harms</w:t>
      </w:r>
      <w:bookmarkEnd w:id="15"/>
      <w:bookmarkEnd w:id="16"/>
    </w:p>
    <w:p w14:paraId="2B154FD3" w14:textId="77777777" w:rsidR="00FC1884" w:rsidRPr="007C103A" w:rsidRDefault="00424EF1" w:rsidP="00424EF1">
      <w:pPr>
        <w:pStyle w:val="3-BodyText"/>
      </w:pPr>
      <w:r w:rsidRPr="007C103A">
        <w:rPr>
          <w:snapToGrid/>
        </w:rPr>
        <w:t>The naïve comparison presented in the submission did not allow for a quantitative comparison of the benefits and harms of selinexor and rituximab salvage therapy</w:t>
      </w:r>
      <w:r w:rsidR="00457EF6" w:rsidRPr="007C103A">
        <w:rPr>
          <w:snapToGrid/>
        </w:rPr>
        <w:t xml:space="preserve">. </w:t>
      </w:r>
      <w:r w:rsidRPr="007C103A">
        <w:rPr>
          <w:snapToGrid/>
        </w:rPr>
        <w:t>Accordingly, a benefits/harms table has not been presented.</w:t>
      </w:r>
    </w:p>
    <w:p w14:paraId="6BA427AB" w14:textId="77777777" w:rsidR="00B60939" w:rsidRPr="007C103A" w:rsidRDefault="00B60939" w:rsidP="00E9094A">
      <w:pPr>
        <w:pStyle w:val="4-SubsectionHeading"/>
      </w:pPr>
      <w:bookmarkStart w:id="17" w:name="_Toc22897644"/>
      <w:bookmarkStart w:id="18" w:name="_Toc71312052"/>
      <w:r w:rsidRPr="007C103A">
        <w:t>Clinical claim</w:t>
      </w:r>
      <w:bookmarkEnd w:id="17"/>
      <w:bookmarkEnd w:id="18"/>
    </w:p>
    <w:p w14:paraId="1392B90B" w14:textId="77777777" w:rsidR="007C70FF" w:rsidRPr="007C103A" w:rsidRDefault="00424EF1" w:rsidP="00E9094A">
      <w:pPr>
        <w:pStyle w:val="3-BodyText"/>
      </w:pPr>
      <w:r w:rsidRPr="007C103A">
        <w:rPr>
          <w:rFonts w:eastAsia="Calibri"/>
        </w:rPr>
        <w:t xml:space="preserve">The submission described selinexor as superior in terms of effectiveness compared to </w:t>
      </w:r>
      <w:proofErr w:type="spellStart"/>
      <w:r w:rsidR="00DC02A0" w:rsidRPr="007C103A">
        <w:rPr>
          <w:rFonts w:eastAsia="Calibri"/>
        </w:rPr>
        <w:t>RGemOx</w:t>
      </w:r>
      <w:proofErr w:type="spellEnd"/>
      <w:r w:rsidRPr="007C103A">
        <w:rPr>
          <w:rFonts w:eastAsia="Calibri"/>
        </w:rPr>
        <w:t xml:space="preserve">. </w:t>
      </w:r>
      <w:r w:rsidRPr="007C103A">
        <w:rPr>
          <w:rFonts w:eastAsia="Calibri"/>
          <w:iCs/>
        </w:rPr>
        <w:t>Th</w:t>
      </w:r>
      <w:r w:rsidR="00EE5C42" w:rsidRPr="007C103A">
        <w:rPr>
          <w:rFonts w:eastAsia="Calibri"/>
          <w:iCs/>
        </w:rPr>
        <w:t xml:space="preserve">e </w:t>
      </w:r>
      <w:r w:rsidR="00562FC7" w:rsidRPr="007C103A">
        <w:rPr>
          <w:rFonts w:eastAsia="Calibri"/>
          <w:iCs/>
        </w:rPr>
        <w:t xml:space="preserve">PBAC </w:t>
      </w:r>
      <w:r w:rsidR="00EE5C42" w:rsidRPr="007C103A">
        <w:rPr>
          <w:rFonts w:eastAsia="Calibri"/>
          <w:iCs/>
        </w:rPr>
        <w:t>considered that th</w:t>
      </w:r>
      <w:r w:rsidRPr="007C103A">
        <w:rPr>
          <w:rFonts w:eastAsia="Calibri"/>
          <w:iCs/>
        </w:rPr>
        <w:t xml:space="preserve">is claim </w:t>
      </w:r>
      <w:r w:rsidR="00564B2D" w:rsidRPr="007C103A">
        <w:rPr>
          <w:rFonts w:eastAsia="Calibri"/>
          <w:iCs/>
        </w:rPr>
        <w:t>was highly uncertain and could</w:t>
      </w:r>
      <w:r w:rsidRPr="007C103A">
        <w:rPr>
          <w:rFonts w:eastAsia="Calibri"/>
        </w:rPr>
        <w:t xml:space="preserve"> not </w:t>
      </w:r>
      <w:r w:rsidR="00564B2D" w:rsidRPr="007C103A">
        <w:rPr>
          <w:rFonts w:eastAsia="Calibri"/>
        </w:rPr>
        <w:t xml:space="preserve">be </w:t>
      </w:r>
      <w:r w:rsidRPr="007C103A">
        <w:rPr>
          <w:rFonts w:eastAsia="Calibri"/>
        </w:rPr>
        <w:t>supported</w:t>
      </w:r>
      <w:r w:rsidR="00564B2D" w:rsidRPr="007C103A">
        <w:rPr>
          <w:rFonts w:eastAsia="Calibri"/>
        </w:rPr>
        <w:t xml:space="preserve"> due to the absence of comparative data presented</w:t>
      </w:r>
      <w:r w:rsidRPr="007C103A">
        <w:rPr>
          <w:rFonts w:eastAsia="Calibri"/>
        </w:rPr>
        <w:t xml:space="preserve">. The key issues were: the very high risk of bias in the single arm clinical study provided; the absence of any comparative effectiveness data allowing for an indirect comparison; </w:t>
      </w:r>
      <w:r w:rsidR="00EC752B" w:rsidRPr="007C103A">
        <w:rPr>
          <w:rFonts w:eastAsia="Calibri"/>
        </w:rPr>
        <w:t xml:space="preserve">and </w:t>
      </w:r>
      <w:r w:rsidRPr="007C103A">
        <w:rPr>
          <w:rFonts w:eastAsia="Calibri"/>
        </w:rPr>
        <w:t xml:space="preserve">the likelihood that </w:t>
      </w:r>
      <w:r w:rsidR="00EB2D06" w:rsidRPr="007C103A">
        <w:rPr>
          <w:rFonts w:eastAsia="Calibri"/>
        </w:rPr>
        <w:t>PBS patients would be</w:t>
      </w:r>
      <w:r w:rsidRPr="007C103A">
        <w:rPr>
          <w:rFonts w:eastAsia="Calibri"/>
        </w:rPr>
        <w:t xml:space="preserve"> sicker and less likely to ‘respond’ to selinexor treatment</w:t>
      </w:r>
      <w:r w:rsidR="00AF4E4F" w:rsidRPr="007C103A">
        <w:rPr>
          <w:rFonts w:eastAsia="Calibri"/>
        </w:rPr>
        <w:t xml:space="preserve"> than patients in the SADAL study</w:t>
      </w:r>
      <w:r w:rsidR="00EB2D06" w:rsidRPr="007C103A">
        <w:rPr>
          <w:rFonts w:eastAsia="Calibri"/>
        </w:rPr>
        <w:t xml:space="preserve"> as the SADAL study required that patients have at least 60 days between their last chemotherapy and starting treatment with selinexor</w:t>
      </w:r>
      <w:r w:rsidRPr="007C103A">
        <w:rPr>
          <w:rFonts w:eastAsia="Calibri"/>
        </w:rPr>
        <w:t>.</w:t>
      </w:r>
    </w:p>
    <w:p w14:paraId="7ED1A073" w14:textId="77777777" w:rsidR="002D7FDB" w:rsidRPr="007C103A" w:rsidRDefault="00424EF1" w:rsidP="006F0181">
      <w:pPr>
        <w:pStyle w:val="3-BodyText"/>
      </w:pPr>
      <w:r w:rsidRPr="007C103A">
        <w:rPr>
          <w:rFonts w:eastAsia="Calibri"/>
        </w:rPr>
        <w:t xml:space="preserve">The submission described selinexor as superior in terms of safety compared </w:t>
      </w:r>
      <w:r w:rsidR="00A55722" w:rsidRPr="007C103A">
        <w:rPr>
          <w:rFonts w:eastAsia="Calibri"/>
        </w:rPr>
        <w:t xml:space="preserve">to </w:t>
      </w:r>
      <w:r w:rsidR="00A55722" w:rsidRPr="007C103A">
        <w:rPr>
          <w:snapToGrid/>
        </w:rPr>
        <w:t>rituximab</w:t>
      </w:r>
      <w:r w:rsidRPr="007C103A">
        <w:rPr>
          <w:snapToGrid/>
        </w:rPr>
        <w:t xml:space="preserve"> salvage therapy</w:t>
      </w:r>
      <w:r w:rsidRPr="007C103A">
        <w:rPr>
          <w:rFonts w:eastAsia="Calibri"/>
        </w:rPr>
        <w:t>. Th</w:t>
      </w:r>
      <w:r w:rsidR="00D67CBD" w:rsidRPr="007C103A">
        <w:rPr>
          <w:rFonts w:eastAsia="Calibri"/>
        </w:rPr>
        <w:t xml:space="preserve">e </w:t>
      </w:r>
      <w:r w:rsidR="00562FC7" w:rsidRPr="007C103A">
        <w:rPr>
          <w:rFonts w:eastAsia="Calibri"/>
        </w:rPr>
        <w:t xml:space="preserve">PBAC </w:t>
      </w:r>
      <w:r w:rsidR="00D67CBD" w:rsidRPr="007C103A">
        <w:rPr>
          <w:rFonts w:eastAsia="Calibri"/>
        </w:rPr>
        <w:t>considered that th</w:t>
      </w:r>
      <w:r w:rsidRPr="007C103A">
        <w:rPr>
          <w:rFonts w:eastAsia="Calibri"/>
        </w:rPr>
        <w:t xml:space="preserve">is claim </w:t>
      </w:r>
      <w:r w:rsidR="00564B2D" w:rsidRPr="007C103A">
        <w:rPr>
          <w:rFonts w:eastAsia="Calibri"/>
        </w:rPr>
        <w:t>could</w:t>
      </w:r>
      <w:r w:rsidRPr="007C103A">
        <w:rPr>
          <w:rFonts w:eastAsia="Calibri"/>
        </w:rPr>
        <w:t xml:space="preserve"> not </w:t>
      </w:r>
      <w:r w:rsidR="00564B2D" w:rsidRPr="007C103A">
        <w:rPr>
          <w:rFonts w:eastAsia="Calibri"/>
        </w:rPr>
        <w:t>be</w:t>
      </w:r>
      <w:r w:rsidRPr="007C103A">
        <w:rPr>
          <w:rFonts w:eastAsia="Calibri"/>
        </w:rPr>
        <w:t xml:space="preserve"> supported as no comparative safety data were provided.</w:t>
      </w:r>
    </w:p>
    <w:p w14:paraId="4B056A97" w14:textId="77777777" w:rsidR="00B60939" w:rsidRPr="007C103A" w:rsidRDefault="00B60939" w:rsidP="00E9094A">
      <w:pPr>
        <w:pStyle w:val="4-SubsectionHeading"/>
      </w:pPr>
      <w:bookmarkStart w:id="19" w:name="_Toc22897645"/>
      <w:bookmarkStart w:id="20" w:name="_Toc71312053"/>
      <w:r w:rsidRPr="007C103A">
        <w:t>Economic analysis</w:t>
      </w:r>
      <w:bookmarkEnd w:id="19"/>
      <w:bookmarkEnd w:id="20"/>
      <w:r w:rsidR="00491B3A" w:rsidRPr="007C103A">
        <w:t xml:space="preserve"> </w:t>
      </w:r>
    </w:p>
    <w:p w14:paraId="29D704CA" w14:textId="77777777" w:rsidR="00DC02A0" w:rsidRPr="007C103A" w:rsidRDefault="008E0FD7" w:rsidP="00641FB3">
      <w:pPr>
        <w:pStyle w:val="3-BodyText"/>
        <w:rPr>
          <w:b/>
          <w:bCs/>
        </w:rPr>
      </w:pPr>
      <w:r w:rsidRPr="007C103A">
        <w:t>The submission presented a cost-utility analysis</w:t>
      </w:r>
      <w:r w:rsidR="00DC02A0" w:rsidRPr="007C103A">
        <w:t xml:space="preserve"> comparing selinexor and </w:t>
      </w:r>
      <w:proofErr w:type="spellStart"/>
      <w:r w:rsidR="00DC02A0" w:rsidRPr="007C103A">
        <w:t>R</w:t>
      </w:r>
      <w:r w:rsidR="007F5E84" w:rsidRPr="007C103A">
        <w:t>G</w:t>
      </w:r>
      <w:r w:rsidR="00DC02A0" w:rsidRPr="007C103A">
        <w:t>emOx</w:t>
      </w:r>
      <w:proofErr w:type="spellEnd"/>
      <w:r w:rsidR="00DC02A0" w:rsidRPr="007C103A">
        <w:t>.</w:t>
      </w:r>
      <w:r w:rsidR="0084060B" w:rsidRPr="007C103A">
        <w:t xml:space="preserve"> </w:t>
      </w:r>
      <w:r w:rsidR="00DC02A0" w:rsidRPr="007C103A">
        <w:rPr>
          <w:iCs/>
        </w:rPr>
        <w:t>As noted above, the absence of comparative effectiveness and safety data indicate</w:t>
      </w:r>
      <w:r w:rsidR="00EB2D06" w:rsidRPr="007C103A">
        <w:rPr>
          <w:iCs/>
        </w:rPr>
        <w:t>d</w:t>
      </w:r>
      <w:r w:rsidR="00DC02A0" w:rsidRPr="007C103A">
        <w:rPr>
          <w:iCs/>
        </w:rPr>
        <w:t xml:space="preserve"> </w:t>
      </w:r>
      <w:r w:rsidR="00EB2D06" w:rsidRPr="007C103A">
        <w:rPr>
          <w:iCs/>
        </w:rPr>
        <w:t xml:space="preserve">that </w:t>
      </w:r>
      <w:r w:rsidR="00DC02A0" w:rsidRPr="007C103A">
        <w:rPr>
          <w:iCs/>
        </w:rPr>
        <w:t xml:space="preserve">there </w:t>
      </w:r>
      <w:r w:rsidR="00EB2D06" w:rsidRPr="007C103A">
        <w:rPr>
          <w:iCs/>
        </w:rPr>
        <w:t>wa</w:t>
      </w:r>
      <w:r w:rsidR="00DC02A0" w:rsidRPr="007C103A">
        <w:rPr>
          <w:iCs/>
        </w:rPr>
        <w:t>s no support for a modelled economic evaluation.</w:t>
      </w:r>
      <w:r w:rsidR="0084060B" w:rsidRPr="007C103A">
        <w:rPr>
          <w:iCs/>
        </w:rPr>
        <w:t xml:space="preserve"> </w:t>
      </w:r>
      <w:r w:rsidR="00DC02A0" w:rsidRPr="007C103A">
        <w:rPr>
          <w:iCs/>
        </w:rPr>
        <w:t>Nonetheless, for reference a description of the submission’s model has been provided.</w:t>
      </w:r>
    </w:p>
    <w:p w14:paraId="38DF7C5F" w14:textId="77777777" w:rsidR="00275C5A" w:rsidRPr="007C103A" w:rsidRDefault="00DC02A0" w:rsidP="00641FB3">
      <w:pPr>
        <w:pStyle w:val="3-BodyText"/>
        <w:rPr>
          <w:b/>
          <w:bCs/>
        </w:rPr>
      </w:pPr>
      <w:r w:rsidRPr="007C103A">
        <w:t>The table below outlines the model structure and key inputs.</w:t>
      </w:r>
    </w:p>
    <w:p w14:paraId="70B30AD2" w14:textId="77777777" w:rsidR="00275C5A" w:rsidRPr="007C103A" w:rsidRDefault="00275C5A" w:rsidP="00FC79A9">
      <w:pPr>
        <w:pStyle w:val="TableFigureHeading"/>
        <w:rPr>
          <w:rStyle w:val="CommentReference"/>
          <w:b/>
          <w:szCs w:val="24"/>
        </w:rPr>
      </w:pPr>
      <w:r w:rsidRPr="007C103A">
        <w:rPr>
          <w:rStyle w:val="CommentReference"/>
          <w:b/>
          <w:szCs w:val="24"/>
        </w:rPr>
        <w:lastRenderedPageBreak/>
        <w:t xml:space="preserve">Table </w:t>
      </w:r>
      <w:r w:rsidR="00E6157A" w:rsidRPr="007C103A">
        <w:rPr>
          <w:rStyle w:val="CommentReference"/>
          <w:b/>
          <w:szCs w:val="24"/>
        </w:rPr>
        <w:t>7</w:t>
      </w:r>
      <w:r w:rsidRPr="007C103A">
        <w:rPr>
          <w:rStyle w:val="CommentReference"/>
          <w:b/>
          <w:szCs w:val="24"/>
        </w:rPr>
        <w:t>: Summary of model structure</w:t>
      </w:r>
      <w:r w:rsidR="00184B0E" w:rsidRPr="007C103A">
        <w:rPr>
          <w:rStyle w:val="CommentReference"/>
          <w:b/>
          <w:szCs w:val="24"/>
        </w:rPr>
        <w:t xml:space="preserve">, key </w:t>
      </w:r>
      <w:proofErr w:type="gramStart"/>
      <w:r w:rsidR="00184B0E" w:rsidRPr="007C103A">
        <w:rPr>
          <w:rStyle w:val="CommentReference"/>
          <w:b/>
          <w:szCs w:val="24"/>
        </w:rPr>
        <w:t>inputs</w:t>
      </w:r>
      <w:proofErr w:type="gramEnd"/>
      <w:r w:rsidRPr="007C103A">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275C5A" w:rsidRPr="007C103A" w14:paraId="7916D7B0" w14:textId="77777777" w:rsidTr="006B35E6">
        <w:trPr>
          <w:tblHeader/>
        </w:trPr>
        <w:tc>
          <w:tcPr>
            <w:tcW w:w="1396" w:type="pct"/>
            <w:shd w:val="clear" w:color="auto" w:fill="auto"/>
            <w:vAlign w:val="center"/>
          </w:tcPr>
          <w:p w14:paraId="1FB310FA" w14:textId="77777777" w:rsidR="00275C5A" w:rsidRPr="007C103A" w:rsidRDefault="00275C5A" w:rsidP="00FC79A9">
            <w:pPr>
              <w:pStyle w:val="In-tableHeading"/>
              <w:widowControl w:val="0"/>
              <w:rPr>
                <w:lang w:val="en-AU"/>
              </w:rPr>
            </w:pPr>
            <w:r w:rsidRPr="007C103A">
              <w:rPr>
                <w:lang w:val="en-AU"/>
              </w:rPr>
              <w:t>Component</w:t>
            </w:r>
          </w:p>
        </w:tc>
        <w:tc>
          <w:tcPr>
            <w:tcW w:w="3604" w:type="pct"/>
            <w:shd w:val="clear" w:color="auto" w:fill="auto"/>
            <w:vAlign w:val="center"/>
          </w:tcPr>
          <w:p w14:paraId="339F15DF" w14:textId="77777777" w:rsidR="00275C5A" w:rsidRPr="007C103A" w:rsidRDefault="00275C5A" w:rsidP="00FC79A9">
            <w:pPr>
              <w:pStyle w:val="In-tableHeading"/>
              <w:widowControl w:val="0"/>
              <w:rPr>
                <w:lang w:val="en-AU"/>
              </w:rPr>
            </w:pPr>
            <w:r w:rsidRPr="007C103A">
              <w:rPr>
                <w:lang w:val="en-AU"/>
              </w:rPr>
              <w:t>Summary</w:t>
            </w:r>
          </w:p>
        </w:tc>
      </w:tr>
      <w:tr w:rsidR="000A6039" w:rsidRPr="007C103A" w14:paraId="528BB27B" w14:textId="77777777" w:rsidTr="006B35E6">
        <w:tc>
          <w:tcPr>
            <w:tcW w:w="1396" w:type="pct"/>
            <w:shd w:val="clear" w:color="auto" w:fill="auto"/>
            <w:vAlign w:val="center"/>
          </w:tcPr>
          <w:p w14:paraId="7C5D664E" w14:textId="77777777" w:rsidR="000A6039" w:rsidRPr="007C103A" w:rsidRDefault="000A6039" w:rsidP="00FC79A9">
            <w:pPr>
              <w:pStyle w:val="TableText0"/>
              <w:widowControl w:val="0"/>
            </w:pPr>
            <w:r w:rsidRPr="007C103A">
              <w:t>Treatments</w:t>
            </w:r>
          </w:p>
        </w:tc>
        <w:tc>
          <w:tcPr>
            <w:tcW w:w="3604" w:type="pct"/>
            <w:shd w:val="clear" w:color="auto" w:fill="auto"/>
            <w:vAlign w:val="center"/>
          </w:tcPr>
          <w:p w14:paraId="262AC9C8" w14:textId="77777777" w:rsidR="000A6039" w:rsidRPr="007C103A" w:rsidRDefault="008E0FD7" w:rsidP="00FC79A9">
            <w:pPr>
              <w:pStyle w:val="TableText0"/>
              <w:widowControl w:val="0"/>
            </w:pPr>
            <w:r w:rsidRPr="007C103A">
              <w:t>Selinexor v</w:t>
            </w:r>
            <w:r w:rsidR="00FC79A9" w:rsidRPr="007C103A">
              <w:t>ersus</w:t>
            </w:r>
            <w:r w:rsidRPr="007C103A">
              <w:t xml:space="preserve"> </w:t>
            </w:r>
            <w:proofErr w:type="spellStart"/>
            <w:r w:rsidRPr="007C103A">
              <w:t>R</w:t>
            </w:r>
            <w:r w:rsidR="007F5E84" w:rsidRPr="007C103A">
              <w:t>G</w:t>
            </w:r>
            <w:r w:rsidRPr="007C103A">
              <w:t>emOx</w:t>
            </w:r>
            <w:proofErr w:type="spellEnd"/>
          </w:p>
        </w:tc>
      </w:tr>
      <w:tr w:rsidR="00275C5A" w:rsidRPr="007C103A" w14:paraId="67ADE4E9" w14:textId="77777777" w:rsidTr="006B35E6">
        <w:tc>
          <w:tcPr>
            <w:tcW w:w="1396" w:type="pct"/>
            <w:shd w:val="clear" w:color="auto" w:fill="auto"/>
            <w:vAlign w:val="center"/>
          </w:tcPr>
          <w:p w14:paraId="544AF4B2" w14:textId="77777777" w:rsidR="00275C5A" w:rsidRPr="007C103A" w:rsidRDefault="00275C5A" w:rsidP="00FC79A9">
            <w:pPr>
              <w:pStyle w:val="TableText0"/>
              <w:widowControl w:val="0"/>
            </w:pPr>
            <w:r w:rsidRPr="007C103A">
              <w:t>Time horizon</w:t>
            </w:r>
          </w:p>
        </w:tc>
        <w:tc>
          <w:tcPr>
            <w:tcW w:w="3604" w:type="pct"/>
            <w:shd w:val="clear" w:color="auto" w:fill="auto"/>
            <w:vAlign w:val="center"/>
          </w:tcPr>
          <w:p w14:paraId="5A9A2C9A" w14:textId="77777777" w:rsidR="00275C5A" w:rsidRPr="007C103A" w:rsidRDefault="008E0FD7" w:rsidP="00FC79A9">
            <w:pPr>
              <w:pStyle w:val="TableText0"/>
              <w:widowControl w:val="0"/>
            </w:pPr>
            <w:r w:rsidRPr="007C103A">
              <w:t xml:space="preserve">7 </w:t>
            </w:r>
            <w:r w:rsidR="00275C5A" w:rsidRPr="007C103A">
              <w:t xml:space="preserve">years in the model base case versus </w:t>
            </w:r>
            <w:r w:rsidR="00CC6882" w:rsidRPr="007C103A">
              <w:t>median follow-up of 14.7 months</w:t>
            </w:r>
            <w:r w:rsidR="00275C5A" w:rsidRPr="007C103A">
              <w:t xml:space="preserve"> in </w:t>
            </w:r>
            <w:r w:rsidR="00CC6882" w:rsidRPr="007C103A">
              <w:t>SADAL</w:t>
            </w:r>
          </w:p>
        </w:tc>
      </w:tr>
      <w:tr w:rsidR="00275C5A" w:rsidRPr="007C103A" w14:paraId="0182775A" w14:textId="77777777" w:rsidTr="006B35E6">
        <w:tc>
          <w:tcPr>
            <w:tcW w:w="1396" w:type="pct"/>
            <w:shd w:val="clear" w:color="auto" w:fill="auto"/>
            <w:vAlign w:val="center"/>
          </w:tcPr>
          <w:p w14:paraId="1533BE1A" w14:textId="77777777" w:rsidR="00275C5A" w:rsidRPr="007C103A" w:rsidRDefault="00275C5A" w:rsidP="00FC79A9">
            <w:pPr>
              <w:pStyle w:val="TableText0"/>
              <w:widowControl w:val="0"/>
            </w:pPr>
            <w:r w:rsidRPr="007C103A">
              <w:t>Outcomes</w:t>
            </w:r>
          </w:p>
        </w:tc>
        <w:tc>
          <w:tcPr>
            <w:tcW w:w="3604" w:type="pct"/>
            <w:shd w:val="clear" w:color="auto" w:fill="auto"/>
            <w:vAlign w:val="center"/>
          </w:tcPr>
          <w:p w14:paraId="7D109DCB" w14:textId="77777777" w:rsidR="00275C5A" w:rsidRPr="007C103A" w:rsidRDefault="008E0FD7" w:rsidP="00FC79A9">
            <w:pPr>
              <w:pStyle w:val="TableText0"/>
              <w:widowControl w:val="0"/>
            </w:pPr>
            <w:r w:rsidRPr="007C103A">
              <w:t>QALYs; LYs</w:t>
            </w:r>
          </w:p>
        </w:tc>
      </w:tr>
      <w:tr w:rsidR="00275C5A" w:rsidRPr="007C103A" w14:paraId="6930D838" w14:textId="77777777" w:rsidTr="006B35E6">
        <w:tc>
          <w:tcPr>
            <w:tcW w:w="1396" w:type="pct"/>
            <w:shd w:val="clear" w:color="auto" w:fill="auto"/>
            <w:vAlign w:val="center"/>
          </w:tcPr>
          <w:p w14:paraId="05295BE4" w14:textId="77777777" w:rsidR="00275C5A" w:rsidRPr="007C103A" w:rsidRDefault="00275C5A" w:rsidP="00FC79A9">
            <w:pPr>
              <w:pStyle w:val="TableText0"/>
              <w:widowControl w:val="0"/>
            </w:pPr>
            <w:r w:rsidRPr="007C103A">
              <w:t>Methods used to generate results</w:t>
            </w:r>
          </w:p>
        </w:tc>
        <w:tc>
          <w:tcPr>
            <w:tcW w:w="3604" w:type="pct"/>
            <w:shd w:val="clear" w:color="auto" w:fill="auto"/>
            <w:vAlign w:val="center"/>
          </w:tcPr>
          <w:p w14:paraId="1EB6E30B" w14:textId="77777777" w:rsidR="00275C5A" w:rsidRPr="007C103A" w:rsidRDefault="008E0FD7" w:rsidP="00FC79A9">
            <w:pPr>
              <w:pStyle w:val="TableText0"/>
              <w:widowControl w:val="0"/>
            </w:pPr>
            <w:r w:rsidRPr="007C103A">
              <w:t>Partitioned survival model</w:t>
            </w:r>
          </w:p>
        </w:tc>
      </w:tr>
      <w:tr w:rsidR="00275C5A" w:rsidRPr="007C103A" w14:paraId="1F31DA26" w14:textId="77777777" w:rsidTr="006B35E6">
        <w:tc>
          <w:tcPr>
            <w:tcW w:w="1396" w:type="pct"/>
            <w:shd w:val="clear" w:color="auto" w:fill="auto"/>
            <w:vAlign w:val="center"/>
          </w:tcPr>
          <w:p w14:paraId="11E3D83E" w14:textId="77777777" w:rsidR="00275C5A" w:rsidRPr="007C103A" w:rsidRDefault="00275C5A" w:rsidP="00FC79A9">
            <w:pPr>
              <w:pStyle w:val="TableText0"/>
              <w:widowControl w:val="0"/>
            </w:pPr>
            <w:r w:rsidRPr="007C103A">
              <w:t>Health states</w:t>
            </w:r>
          </w:p>
        </w:tc>
        <w:tc>
          <w:tcPr>
            <w:tcW w:w="3604" w:type="pct"/>
            <w:shd w:val="clear" w:color="auto" w:fill="auto"/>
            <w:vAlign w:val="center"/>
          </w:tcPr>
          <w:p w14:paraId="6CEB6FED" w14:textId="77777777" w:rsidR="00275C5A" w:rsidRPr="007C103A" w:rsidRDefault="008E0FD7" w:rsidP="00FC79A9">
            <w:pPr>
              <w:pStyle w:val="TableText0"/>
              <w:widowControl w:val="0"/>
            </w:pPr>
            <w:r w:rsidRPr="007C103A">
              <w:t>3 health states: progression-free, progressive disease, death.</w:t>
            </w:r>
          </w:p>
        </w:tc>
      </w:tr>
      <w:tr w:rsidR="00275C5A" w:rsidRPr="007C103A" w14:paraId="5E6BE9B3" w14:textId="77777777" w:rsidTr="006B35E6">
        <w:tc>
          <w:tcPr>
            <w:tcW w:w="1396" w:type="pct"/>
            <w:shd w:val="clear" w:color="auto" w:fill="auto"/>
            <w:vAlign w:val="center"/>
          </w:tcPr>
          <w:p w14:paraId="568AB1CE" w14:textId="77777777" w:rsidR="00275C5A" w:rsidRPr="007C103A" w:rsidRDefault="00275C5A" w:rsidP="00FC79A9">
            <w:pPr>
              <w:pStyle w:val="TableText0"/>
              <w:widowControl w:val="0"/>
            </w:pPr>
            <w:r w:rsidRPr="007C103A">
              <w:t>Cycle length</w:t>
            </w:r>
          </w:p>
        </w:tc>
        <w:tc>
          <w:tcPr>
            <w:tcW w:w="3604" w:type="pct"/>
            <w:shd w:val="clear" w:color="auto" w:fill="auto"/>
            <w:vAlign w:val="center"/>
          </w:tcPr>
          <w:p w14:paraId="21D4090D" w14:textId="77777777" w:rsidR="00275C5A" w:rsidRPr="007C103A" w:rsidRDefault="008E0FD7" w:rsidP="00FC79A9">
            <w:pPr>
              <w:pStyle w:val="TableText0"/>
              <w:widowControl w:val="0"/>
            </w:pPr>
            <w:r w:rsidRPr="007C103A">
              <w:t>14 days</w:t>
            </w:r>
          </w:p>
        </w:tc>
      </w:tr>
      <w:tr w:rsidR="00275C5A" w:rsidRPr="007C103A" w14:paraId="7B1B679D" w14:textId="77777777" w:rsidTr="006B35E6">
        <w:tc>
          <w:tcPr>
            <w:tcW w:w="1396" w:type="pct"/>
            <w:shd w:val="clear" w:color="auto" w:fill="auto"/>
            <w:vAlign w:val="center"/>
          </w:tcPr>
          <w:p w14:paraId="6CF157C9" w14:textId="77777777" w:rsidR="00081E63" w:rsidRPr="007C103A" w:rsidRDefault="00081E63" w:rsidP="00FC79A9">
            <w:pPr>
              <w:pStyle w:val="TableText0"/>
              <w:widowControl w:val="0"/>
            </w:pPr>
            <w:r w:rsidRPr="007C103A">
              <w:t xml:space="preserve">Allocation to health states </w:t>
            </w:r>
          </w:p>
        </w:tc>
        <w:tc>
          <w:tcPr>
            <w:tcW w:w="3604" w:type="pct"/>
            <w:shd w:val="clear" w:color="auto" w:fill="auto"/>
            <w:vAlign w:val="center"/>
          </w:tcPr>
          <w:p w14:paraId="01C1991C" w14:textId="77777777" w:rsidR="00275C5A" w:rsidRPr="007C103A" w:rsidRDefault="008E0FD7" w:rsidP="00FC79A9">
            <w:pPr>
              <w:pStyle w:val="TableText0"/>
              <w:widowControl w:val="0"/>
            </w:pPr>
            <w:r w:rsidRPr="007C103A">
              <w:t>Determined by PFS and OS survival curves, which were based on SADAL and SCHOLAR-1 data with extrapolation.</w:t>
            </w:r>
          </w:p>
        </w:tc>
      </w:tr>
      <w:tr w:rsidR="00501854" w:rsidRPr="007C103A" w14:paraId="605358E0" w14:textId="77777777" w:rsidTr="006B35E6">
        <w:tc>
          <w:tcPr>
            <w:tcW w:w="1396" w:type="pct"/>
            <w:shd w:val="clear" w:color="auto" w:fill="auto"/>
            <w:vAlign w:val="center"/>
          </w:tcPr>
          <w:p w14:paraId="6562E4D3" w14:textId="77777777" w:rsidR="00501854" w:rsidRPr="007C103A" w:rsidRDefault="00501854" w:rsidP="00FC79A9">
            <w:pPr>
              <w:pStyle w:val="TableText0"/>
              <w:widowControl w:val="0"/>
            </w:pPr>
            <w:r w:rsidRPr="007C103A">
              <w:t>Extrapolation method</w:t>
            </w:r>
          </w:p>
        </w:tc>
        <w:tc>
          <w:tcPr>
            <w:tcW w:w="3604" w:type="pct"/>
            <w:shd w:val="clear" w:color="auto" w:fill="auto"/>
            <w:vAlign w:val="center"/>
          </w:tcPr>
          <w:p w14:paraId="1DF16E10" w14:textId="77777777" w:rsidR="009B0BEA" w:rsidRPr="007C103A" w:rsidRDefault="009B0BEA" w:rsidP="00FC79A9">
            <w:pPr>
              <w:pStyle w:val="TableText0"/>
              <w:widowControl w:val="0"/>
            </w:pPr>
            <w:r w:rsidRPr="007C103A">
              <w:t>Parametric models were fitted to each treatment arm and the following were selected for use</w:t>
            </w:r>
            <w:r w:rsidR="009A284F" w:rsidRPr="007C103A">
              <w:t xml:space="preserve"> </w:t>
            </w:r>
            <w:r w:rsidRPr="007C103A">
              <w:t xml:space="preserve">in the base case based on </w:t>
            </w:r>
            <w:r w:rsidR="009A284F" w:rsidRPr="007C103A">
              <w:t>goodness of fit and visual inspection:</w:t>
            </w:r>
          </w:p>
          <w:p w14:paraId="52181582" w14:textId="77777777" w:rsidR="00CC6882" w:rsidRPr="007C103A" w:rsidRDefault="00CC6882" w:rsidP="00FC79A9">
            <w:pPr>
              <w:pStyle w:val="TableText0"/>
              <w:widowControl w:val="0"/>
            </w:pPr>
            <w:r w:rsidRPr="007C103A">
              <w:t>OS selinexor: Generalised F</w:t>
            </w:r>
            <w:r w:rsidR="009A284F" w:rsidRPr="007C103A">
              <w:t xml:space="preserve">; </w:t>
            </w:r>
            <w:r w:rsidRPr="007C103A">
              <w:t xml:space="preserve">OS </w:t>
            </w:r>
            <w:proofErr w:type="spellStart"/>
            <w:r w:rsidRPr="007C103A">
              <w:t>RGemOx</w:t>
            </w:r>
            <w:proofErr w:type="spellEnd"/>
            <w:r w:rsidRPr="007C103A">
              <w:t>: Generalised F</w:t>
            </w:r>
          </w:p>
          <w:p w14:paraId="00FDF0D3" w14:textId="77777777" w:rsidR="00CC6882" w:rsidRPr="007C103A" w:rsidRDefault="00CC6882" w:rsidP="00FC79A9">
            <w:pPr>
              <w:pStyle w:val="TableText0"/>
              <w:widowControl w:val="0"/>
            </w:pPr>
            <w:r w:rsidRPr="007C103A">
              <w:t>PFS selinexor: Generalised gamma</w:t>
            </w:r>
            <w:r w:rsidR="009A284F" w:rsidRPr="007C103A">
              <w:t xml:space="preserve">; </w:t>
            </w:r>
            <w:r w:rsidRPr="007C103A">
              <w:t xml:space="preserve">PFS </w:t>
            </w:r>
            <w:proofErr w:type="spellStart"/>
            <w:r w:rsidRPr="007C103A">
              <w:t>RGemOx</w:t>
            </w:r>
            <w:proofErr w:type="spellEnd"/>
            <w:r w:rsidRPr="007C103A">
              <w:t>:</w:t>
            </w:r>
            <w:r w:rsidR="0084060B" w:rsidRPr="007C103A">
              <w:t xml:space="preserve"> </w:t>
            </w:r>
            <w:r w:rsidRPr="007C103A">
              <w:t>time-varying hazard ratios for selinexor OS-PFS</w:t>
            </w:r>
          </w:p>
          <w:p w14:paraId="290C84E7" w14:textId="77777777" w:rsidR="00D533EC" w:rsidRPr="007C103A" w:rsidRDefault="009A284F" w:rsidP="00FC79A9">
            <w:pPr>
              <w:pStyle w:val="TableText0"/>
              <w:widowControl w:val="0"/>
            </w:pPr>
            <w:r w:rsidRPr="007C103A">
              <w:t xml:space="preserve">Convergence was applied from </w:t>
            </w:r>
            <w:r w:rsidR="00ED53FC" w:rsidRPr="007C103A">
              <w:t>Y</w:t>
            </w:r>
            <w:r w:rsidRPr="007C103A">
              <w:t xml:space="preserve">ear 5 (60 months) to </w:t>
            </w:r>
            <w:r w:rsidR="00ED53FC" w:rsidRPr="007C103A">
              <w:t>Y</w:t>
            </w:r>
            <w:r w:rsidRPr="007C103A">
              <w:t xml:space="preserve">ear 7 (84 months) so the selinexor and </w:t>
            </w:r>
            <w:proofErr w:type="spellStart"/>
            <w:r w:rsidRPr="007C103A">
              <w:t>RGemOx</w:t>
            </w:r>
            <w:proofErr w:type="spellEnd"/>
            <w:r w:rsidRPr="007C103A">
              <w:t xml:space="preserve"> OS curves converged at the end of the modelled time horizon.</w:t>
            </w:r>
          </w:p>
        </w:tc>
      </w:tr>
      <w:tr w:rsidR="00501854" w:rsidRPr="007C103A" w14:paraId="5AD53746" w14:textId="77777777" w:rsidTr="006B35E6">
        <w:tc>
          <w:tcPr>
            <w:tcW w:w="1396" w:type="pct"/>
            <w:shd w:val="clear" w:color="auto" w:fill="auto"/>
            <w:vAlign w:val="center"/>
          </w:tcPr>
          <w:p w14:paraId="78856F3D" w14:textId="77777777" w:rsidR="00501854" w:rsidRPr="007C103A" w:rsidRDefault="00DD0F78" w:rsidP="00FC79A9">
            <w:pPr>
              <w:pStyle w:val="TableText0"/>
              <w:widowControl w:val="0"/>
            </w:pPr>
            <w:r w:rsidRPr="007C103A">
              <w:t>Health related quality of life</w:t>
            </w:r>
          </w:p>
        </w:tc>
        <w:tc>
          <w:tcPr>
            <w:tcW w:w="3604" w:type="pct"/>
            <w:shd w:val="clear" w:color="auto" w:fill="auto"/>
            <w:vAlign w:val="center"/>
          </w:tcPr>
          <w:p w14:paraId="320961DC" w14:textId="77777777" w:rsidR="00501854" w:rsidRPr="007C103A" w:rsidRDefault="009A284F" w:rsidP="00FC79A9">
            <w:pPr>
              <w:pStyle w:val="TableText0"/>
              <w:widowControl w:val="0"/>
            </w:pPr>
            <w:r w:rsidRPr="007C103A">
              <w:t>Literature-based (NICE TA559)</w:t>
            </w:r>
          </w:p>
          <w:p w14:paraId="2CFC0193" w14:textId="77777777" w:rsidR="001F4081" w:rsidRPr="007C103A" w:rsidRDefault="001F4081" w:rsidP="00FC79A9">
            <w:pPr>
              <w:pStyle w:val="TableText0"/>
              <w:widowControl w:val="0"/>
            </w:pPr>
            <w:r w:rsidRPr="007C103A">
              <w:t>Progression-free</w:t>
            </w:r>
            <w:r w:rsidR="005A76CF" w:rsidRPr="007C103A">
              <w:t>: 0.72</w:t>
            </w:r>
            <w:r w:rsidRPr="007C103A">
              <w:t xml:space="preserve">; </w:t>
            </w:r>
            <w:r w:rsidR="005A76CF" w:rsidRPr="007C103A">
              <w:t xml:space="preserve">progressive disease: 0.65 for selinexor and </w:t>
            </w:r>
            <w:proofErr w:type="spellStart"/>
            <w:r w:rsidR="005A76CF" w:rsidRPr="007C103A">
              <w:t>RGemOx</w:t>
            </w:r>
            <w:proofErr w:type="spellEnd"/>
          </w:p>
        </w:tc>
      </w:tr>
      <w:tr w:rsidR="00501854" w:rsidRPr="007C103A" w14:paraId="3758BFF4" w14:textId="77777777" w:rsidTr="006B35E6">
        <w:tc>
          <w:tcPr>
            <w:tcW w:w="1396" w:type="pct"/>
            <w:shd w:val="clear" w:color="auto" w:fill="auto"/>
            <w:vAlign w:val="center"/>
          </w:tcPr>
          <w:p w14:paraId="40B64E39" w14:textId="77777777" w:rsidR="00DD0F78" w:rsidRPr="007C103A" w:rsidRDefault="009A284F" w:rsidP="00FC79A9">
            <w:pPr>
              <w:pStyle w:val="TableText0"/>
              <w:widowControl w:val="0"/>
            </w:pPr>
            <w:r w:rsidRPr="007C103A">
              <w:t>Dose intensity</w:t>
            </w:r>
          </w:p>
        </w:tc>
        <w:tc>
          <w:tcPr>
            <w:tcW w:w="3604" w:type="pct"/>
            <w:shd w:val="clear" w:color="auto" w:fill="auto"/>
            <w:vAlign w:val="center"/>
          </w:tcPr>
          <w:p w14:paraId="2CE3B9B9" w14:textId="77777777" w:rsidR="00501854" w:rsidRPr="007C103A" w:rsidRDefault="009A284F" w:rsidP="00FC79A9">
            <w:pPr>
              <w:pStyle w:val="TableText0"/>
              <w:widowControl w:val="0"/>
            </w:pPr>
            <w:r w:rsidRPr="007C103A">
              <w:t xml:space="preserve">The submission applied dose intensity of 83.33% for selinexor, </w:t>
            </w:r>
            <w:r w:rsidRPr="007C103A">
              <w:rPr>
                <w:iCs/>
              </w:rPr>
              <w:t>although this value could not be validated.</w:t>
            </w:r>
            <w:r w:rsidR="0084060B" w:rsidRPr="007C103A">
              <w:rPr>
                <w:iCs/>
              </w:rPr>
              <w:t xml:space="preserve"> </w:t>
            </w:r>
            <w:r w:rsidRPr="007C103A">
              <w:rPr>
                <w:iCs/>
              </w:rPr>
              <w:t>It differed considerably from the rate of compliance of 99.5% used in the financial estimates.</w:t>
            </w:r>
          </w:p>
        </w:tc>
      </w:tr>
    </w:tbl>
    <w:p w14:paraId="62C8D3FF" w14:textId="77777777" w:rsidR="008E0FD7" w:rsidRPr="007C103A" w:rsidRDefault="008E0FD7" w:rsidP="008E0FD7">
      <w:pPr>
        <w:pStyle w:val="TableFigureFooter"/>
        <w:spacing w:after="0"/>
      </w:pPr>
      <w:r w:rsidRPr="007C103A">
        <w:t>Source: Section 3.2.2, p103-108 of the submission.</w:t>
      </w:r>
    </w:p>
    <w:p w14:paraId="4D79CE1B" w14:textId="77777777" w:rsidR="003270E4" w:rsidRPr="007C103A" w:rsidRDefault="008E0FD7" w:rsidP="00D42855">
      <w:pPr>
        <w:pStyle w:val="TableFigureFooter"/>
        <w:jc w:val="left"/>
      </w:pPr>
      <w:r w:rsidRPr="007C103A">
        <w:t>LY</w:t>
      </w:r>
      <w:r w:rsidR="00ED53FC" w:rsidRPr="007C103A">
        <w:t xml:space="preserve"> </w:t>
      </w:r>
      <w:r w:rsidRPr="007C103A">
        <w:t>=</w:t>
      </w:r>
      <w:r w:rsidR="00ED53FC" w:rsidRPr="007C103A">
        <w:t xml:space="preserve"> </w:t>
      </w:r>
      <w:r w:rsidRPr="007C103A">
        <w:t>life year; OS</w:t>
      </w:r>
      <w:r w:rsidR="00ED53FC" w:rsidRPr="007C103A">
        <w:t xml:space="preserve"> </w:t>
      </w:r>
      <w:r w:rsidRPr="007C103A">
        <w:t>=</w:t>
      </w:r>
      <w:r w:rsidR="00ED53FC" w:rsidRPr="007C103A">
        <w:t xml:space="preserve"> </w:t>
      </w:r>
      <w:r w:rsidRPr="007C103A">
        <w:t>overall survival; PFS</w:t>
      </w:r>
      <w:r w:rsidR="00ED53FC" w:rsidRPr="007C103A">
        <w:t xml:space="preserve"> </w:t>
      </w:r>
      <w:r w:rsidRPr="007C103A">
        <w:t>=</w:t>
      </w:r>
      <w:r w:rsidR="00ED53FC" w:rsidRPr="007C103A">
        <w:t xml:space="preserve"> </w:t>
      </w:r>
      <w:r w:rsidRPr="007C103A">
        <w:t>progression-free survival; QALY</w:t>
      </w:r>
      <w:r w:rsidR="00ED53FC" w:rsidRPr="007C103A">
        <w:t xml:space="preserve"> </w:t>
      </w:r>
      <w:r w:rsidRPr="007C103A">
        <w:t>=</w:t>
      </w:r>
      <w:r w:rsidR="00ED53FC" w:rsidRPr="007C103A">
        <w:t xml:space="preserve"> </w:t>
      </w:r>
      <w:r w:rsidRPr="007C103A">
        <w:t xml:space="preserve">quality adjusted life year; </w:t>
      </w:r>
      <w:proofErr w:type="spellStart"/>
      <w:r w:rsidRPr="007C103A">
        <w:t>R</w:t>
      </w:r>
      <w:r w:rsidR="001E6924" w:rsidRPr="007C103A">
        <w:t>G</w:t>
      </w:r>
      <w:r w:rsidRPr="007C103A">
        <w:t>emOx</w:t>
      </w:r>
      <w:proofErr w:type="spellEnd"/>
      <w:r w:rsidR="00ED53FC" w:rsidRPr="007C103A">
        <w:t xml:space="preserve"> </w:t>
      </w:r>
      <w:r w:rsidRPr="007C103A">
        <w:t>=</w:t>
      </w:r>
      <w:r w:rsidR="00ED53FC" w:rsidRPr="007C103A">
        <w:t xml:space="preserve"> </w:t>
      </w:r>
      <w:r w:rsidRPr="007C103A">
        <w:t>rituximab</w:t>
      </w:r>
      <w:r w:rsidR="00FC79A9" w:rsidRPr="007C103A">
        <w:t>-</w:t>
      </w:r>
      <w:r w:rsidR="00ED53FC" w:rsidRPr="007C103A">
        <w:t xml:space="preserve"> </w:t>
      </w:r>
      <w:r w:rsidRPr="007C103A">
        <w:t>gemcitabine</w:t>
      </w:r>
      <w:r w:rsidR="00FC79A9" w:rsidRPr="007C103A">
        <w:t>-</w:t>
      </w:r>
      <w:r w:rsidRPr="007C103A">
        <w:t>oxaliplatin</w:t>
      </w:r>
    </w:p>
    <w:p w14:paraId="54E4ADEF" w14:textId="77777777" w:rsidR="00BC7DB0" w:rsidRPr="007C103A" w:rsidRDefault="00BC7DB0" w:rsidP="00BC7DB0">
      <w:pPr>
        <w:pStyle w:val="3-BodyText"/>
        <w:rPr>
          <w:iCs/>
        </w:rPr>
      </w:pPr>
      <w:r w:rsidRPr="007C103A">
        <w:t xml:space="preserve">The </w:t>
      </w:r>
      <w:r w:rsidR="00945744" w:rsidRPr="007C103A">
        <w:t>ESC considered that</w:t>
      </w:r>
      <w:r w:rsidR="00945744" w:rsidRPr="007C103A">
        <w:rPr>
          <w:iCs/>
        </w:rPr>
        <w:t xml:space="preserve"> the </w:t>
      </w:r>
      <w:r w:rsidRPr="007C103A">
        <w:rPr>
          <w:iCs/>
        </w:rPr>
        <w:t xml:space="preserve">primary issue with the modelled evaluation </w:t>
      </w:r>
      <w:r w:rsidR="00A7050C" w:rsidRPr="007C103A">
        <w:rPr>
          <w:iCs/>
        </w:rPr>
        <w:t>wa</w:t>
      </w:r>
      <w:r w:rsidRPr="007C103A">
        <w:rPr>
          <w:iCs/>
        </w:rPr>
        <w:t>s the lack of comparative effectiveness and safety data upon which to base the model.</w:t>
      </w:r>
      <w:r w:rsidR="00564B2D" w:rsidRPr="007C103A">
        <w:rPr>
          <w:iCs/>
        </w:rPr>
        <w:t xml:space="preserve"> The ESC also noted that partitioned survival analyses rely on the within-trial relationship between non-mutually exclusive survival curves to determine health state membership. The use of different sources to derive the OS and </w:t>
      </w:r>
      <w:r w:rsidR="0039100E" w:rsidRPr="007C103A">
        <w:rPr>
          <w:iCs/>
        </w:rPr>
        <w:t>progression free survival (</w:t>
      </w:r>
      <w:r w:rsidR="00564B2D" w:rsidRPr="007C103A">
        <w:rPr>
          <w:iCs/>
        </w:rPr>
        <w:t>PFS</w:t>
      </w:r>
      <w:r w:rsidR="0039100E" w:rsidRPr="007C103A">
        <w:rPr>
          <w:iCs/>
        </w:rPr>
        <w:t>)</w:t>
      </w:r>
      <w:r w:rsidR="00564B2D" w:rsidRPr="007C103A">
        <w:rPr>
          <w:iCs/>
        </w:rPr>
        <w:t xml:space="preserve"> curves for the selinexor and </w:t>
      </w:r>
      <w:proofErr w:type="spellStart"/>
      <w:r w:rsidR="00564B2D" w:rsidRPr="007C103A">
        <w:rPr>
          <w:iCs/>
        </w:rPr>
        <w:t>RGemOx</w:t>
      </w:r>
      <w:proofErr w:type="spellEnd"/>
      <w:r w:rsidR="00564B2D" w:rsidRPr="007C103A">
        <w:rPr>
          <w:iCs/>
        </w:rPr>
        <w:t xml:space="preserve"> arms meant that the relationship between the OS and PFS curves may be due to the differences between the different studies. Thus, the ESC considered the use of this model structure to be inherently uncertain.</w:t>
      </w:r>
      <w:r w:rsidR="00DF70B0" w:rsidRPr="007C103A">
        <w:rPr>
          <w:iCs/>
        </w:rPr>
        <w:t xml:space="preserve"> The pre-PBAC response stated that as PFS was not reported for the SCHOLAR-1 cohort, this was derived within the model base case by assuming that the relationship between OS and PFS were equivalent between the treatment arms. The pre-PBAC response</w:t>
      </w:r>
      <w:r w:rsidR="00AB349F" w:rsidRPr="007C103A">
        <w:rPr>
          <w:iCs/>
        </w:rPr>
        <w:t xml:space="preserve"> stated that as the impact of the assumed PFS benefits was negligible in sensitivity analyses, the uncertainty associated with the use of the partitioned survival analysis was minimal.</w:t>
      </w:r>
    </w:p>
    <w:p w14:paraId="63F198A4" w14:textId="77777777" w:rsidR="003F762D" w:rsidRPr="007C103A" w:rsidRDefault="009A284F" w:rsidP="00BC7DB0">
      <w:pPr>
        <w:pStyle w:val="3-BodyText"/>
      </w:pPr>
      <w:r w:rsidRPr="007C103A">
        <w:rPr>
          <w:iCs/>
        </w:rPr>
        <w:t xml:space="preserve">As noted above, the cohorts in SADAL and SCHOLAR-1 </w:t>
      </w:r>
      <w:r w:rsidR="007055B2" w:rsidRPr="007C103A">
        <w:rPr>
          <w:iCs/>
        </w:rPr>
        <w:t>we</w:t>
      </w:r>
      <w:r w:rsidRPr="007C103A">
        <w:rPr>
          <w:iCs/>
        </w:rPr>
        <w:t xml:space="preserve">re not comparable and </w:t>
      </w:r>
      <w:r w:rsidR="007055B2" w:rsidRPr="007C103A">
        <w:rPr>
          <w:iCs/>
        </w:rPr>
        <w:t xml:space="preserve">could not </w:t>
      </w:r>
      <w:r w:rsidRPr="007C103A">
        <w:rPr>
          <w:iCs/>
        </w:rPr>
        <w:t>be used as the basis of inferring any treatment effect.</w:t>
      </w:r>
      <w:r w:rsidR="0084060B" w:rsidRPr="007C103A">
        <w:rPr>
          <w:iCs/>
        </w:rPr>
        <w:t xml:space="preserve"> </w:t>
      </w:r>
      <w:r w:rsidRPr="007C103A">
        <w:rPr>
          <w:iCs/>
        </w:rPr>
        <w:t xml:space="preserve">While the submission digitised survival curves for a </w:t>
      </w:r>
      <w:r w:rsidR="00BC7DB0" w:rsidRPr="007C103A">
        <w:rPr>
          <w:iCs/>
        </w:rPr>
        <w:t xml:space="preserve">relapsed/refractory group </w:t>
      </w:r>
      <w:r w:rsidRPr="007C103A">
        <w:rPr>
          <w:iCs/>
        </w:rPr>
        <w:t xml:space="preserve">in SCHOLAR-1, there was </w:t>
      </w:r>
      <w:r w:rsidR="00BC7DB0" w:rsidRPr="007C103A">
        <w:rPr>
          <w:iCs/>
        </w:rPr>
        <w:t>no detailed information available for this patient group and thus</w:t>
      </w:r>
      <w:r w:rsidR="00EB2D06" w:rsidRPr="007C103A">
        <w:rPr>
          <w:iCs/>
        </w:rPr>
        <w:t>,</w:t>
      </w:r>
      <w:r w:rsidR="00BC7DB0" w:rsidRPr="007C103A">
        <w:rPr>
          <w:iCs/>
        </w:rPr>
        <w:t xml:space="preserve"> little support for the comparison made by the submission.</w:t>
      </w:r>
    </w:p>
    <w:p w14:paraId="4679BE38" w14:textId="77777777" w:rsidR="00D46895" w:rsidRPr="007C103A" w:rsidRDefault="00D46895" w:rsidP="00BC7DB0">
      <w:pPr>
        <w:pStyle w:val="3-BodyText"/>
      </w:pPr>
      <w:r w:rsidRPr="007C103A">
        <w:t xml:space="preserve">The ESC noted that the submission selected the generalised F distribution to extrapolate overall survival for both the selinexor and </w:t>
      </w:r>
      <w:proofErr w:type="spellStart"/>
      <w:r w:rsidRPr="007C103A">
        <w:t>RGemOx</w:t>
      </w:r>
      <w:proofErr w:type="spellEnd"/>
      <w:r w:rsidRPr="007C103A">
        <w:t xml:space="preserve"> arms of the model. </w:t>
      </w:r>
      <w:r w:rsidRPr="007C103A">
        <w:lastRenderedPageBreak/>
        <w:t xml:space="preserve">The ESC noted the high variability in the </w:t>
      </w:r>
      <w:r w:rsidR="0039100E" w:rsidRPr="007C103A">
        <w:t>OS</w:t>
      </w:r>
      <w:r w:rsidRPr="007C103A">
        <w:t xml:space="preserve"> estimates across the parametric extrapolations</w:t>
      </w:r>
      <w:r w:rsidR="00944F96" w:rsidRPr="007C103A">
        <w:t>.</w:t>
      </w:r>
    </w:p>
    <w:p w14:paraId="478340BC" w14:textId="77777777" w:rsidR="003F762D" w:rsidRPr="007C103A" w:rsidRDefault="003F762D" w:rsidP="00BB00B3">
      <w:pPr>
        <w:pStyle w:val="3-BodyText"/>
      </w:pPr>
      <w:r w:rsidRPr="007C103A">
        <w:rPr>
          <w:iCs/>
        </w:rPr>
        <w:t>The NICE TA559 report indicated that the utility values were based on 87 observations from 34 patients in the ZUMA-1 study.</w:t>
      </w:r>
      <w:r w:rsidR="0084060B" w:rsidRPr="007C103A">
        <w:rPr>
          <w:iCs/>
        </w:rPr>
        <w:t xml:space="preserve"> </w:t>
      </w:r>
      <w:r w:rsidRPr="007C103A">
        <w:rPr>
          <w:iCs/>
        </w:rPr>
        <w:t>This is a reasonably small sample of patients, some of which had other forms of B-cell NHL</w:t>
      </w:r>
      <w:r w:rsidRPr="007C103A">
        <w:t>.</w:t>
      </w:r>
      <w:r w:rsidR="0084060B" w:rsidRPr="007C103A">
        <w:t xml:space="preserve"> </w:t>
      </w:r>
      <w:r w:rsidRPr="007C103A">
        <w:t>The submission claimed that the populations in SADAL, SCHOLAR-1 and ZUMA-1 are generally well-matched.</w:t>
      </w:r>
      <w:r w:rsidR="0084060B" w:rsidRPr="007C103A">
        <w:rPr>
          <w:iCs/>
        </w:rPr>
        <w:t xml:space="preserve"> </w:t>
      </w:r>
      <w:r w:rsidRPr="007C103A">
        <w:rPr>
          <w:iCs/>
        </w:rPr>
        <w:t xml:space="preserve">As discussed </w:t>
      </w:r>
      <w:r w:rsidR="00BC7DB0" w:rsidRPr="007C103A">
        <w:rPr>
          <w:iCs/>
        </w:rPr>
        <w:t>above</w:t>
      </w:r>
      <w:r w:rsidRPr="007C103A">
        <w:rPr>
          <w:iCs/>
        </w:rPr>
        <w:t>, the populations in SADAL and SCHOLAR-1 are not comparable.</w:t>
      </w:r>
    </w:p>
    <w:p w14:paraId="115756B3" w14:textId="77777777" w:rsidR="003F762D" w:rsidRPr="007C103A" w:rsidRDefault="003F762D" w:rsidP="00BB00B3">
      <w:pPr>
        <w:pStyle w:val="3-BodyText"/>
      </w:pPr>
      <w:r w:rsidRPr="007C103A">
        <w:rPr>
          <w:iCs/>
        </w:rPr>
        <w:t xml:space="preserve">Adverse event data for the comparator, </w:t>
      </w:r>
      <w:proofErr w:type="spellStart"/>
      <w:r w:rsidRPr="007C103A">
        <w:rPr>
          <w:iCs/>
        </w:rPr>
        <w:t>RGemOx</w:t>
      </w:r>
      <w:proofErr w:type="spellEnd"/>
      <w:r w:rsidRPr="007C103A">
        <w:rPr>
          <w:iCs/>
        </w:rPr>
        <w:t>, w</w:t>
      </w:r>
      <w:r w:rsidR="00EB2D06" w:rsidRPr="007C103A">
        <w:rPr>
          <w:iCs/>
        </w:rPr>
        <w:t xml:space="preserve">ere sourced from six </w:t>
      </w:r>
      <w:r w:rsidRPr="007C103A">
        <w:rPr>
          <w:iCs/>
        </w:rPr>
        <w:t>studies which the submission noted generally had limited applicability, due to patients either being in earlier lines of therapy or not DLBCL patients.</w:t>
      </w:r>
      <w:r w:rsidR="0084060B" w:rsidRPr="007C103A">
        <w:rPr>
          <w:iCs/>
        </w:rPr>
        <w:t xml:space="preserve"> </w:t>
      </w:r>
      <w:r w:rsidR="00C7721B" w:rsidRPr="007C103A">
        <w:rPr>
          <w:iCs/>
        </w:rPr>
        <w:t>For the model presented</w:t>
      </w:r>
      <w:r w:rsidR="000D18AD" w:rsidRPr="007C103A">
        <w:rPr>
          <w:iCs/>
        </w:rPr>
        <w:t>,</w:t>
      </w:r>
      <w:r w:rsidR="00C7721B" w:rsidRPr="007C103A">
        <w:rPr>
          <w:iCs/>
        </w:rPr>
        <w:t xml:space="preserve"> </w:t>
      </w:r>
      <w:r w:rsidR="00945744" w:rsidRPr="007C103A">
        <w:rPr>
          <w:iCs/>
        </w:rPr>
        <w:t xml:space="preserve">adverse events </w:t>
      </w:r>
      <w:r w:rsidR="00C7721B" w:rsidRPr="007C103A">
        <w:rPr>
          <w:iCs/>
        </w:rPr>
        <w:t xml:space="preserve">had </w:t>
      </w:r>
      <w:r w:rsidRPr="007C103A">
        <w:rPr>
          <w:iCs/>
        </w:rPr>
        <w:t>little impact on the results.</w:t>
      </w:r>
    </w:p>
    <w:p w14:paraId="5EA5C1CE" w14:textId="77777777" w:rsidR="00995922" w:rsidRPr="007C103A" w:rsidRDefault="00AF4E4F" w:rsidP="00BB00B3">
      <w:pPr>
        <w:pStyle w:val="3-BodyText"/>
      </w:pPr>
      <w:r w:rsidRPr="007C103A">
        <w:rPr>
          <w:iCs/>
        </w:rPr>
        <w:t>For the economic model t</w:t>
      </w:r>
      <w:r w:rsidR="00995922" w:rsidRPr="007C103A">
        <w:rPr>
          <w:iCs/>
        </w:rPr>
        <w:t>he submission applied a dose intensity of 83.33% for selinexor, and dose intensities of 91.6%, 93.6% and 92.5% were used for rituximab, gemcitabine and oxaliplatin, respectively. The submission did not provide a source for the selinexor dose intensity that could be validated, nor did the submission explain why varying methods for drug usage were applied across the economic model and financial estimates, where</w:t>
      </w:r>
      <w:r w:rsidRPr="007C103A">
        <w:rPr>
          <w:iCs/>
        </w:rPr>
        <w:t xml:space="preserve"> for the latter</w:t>
      </w:r>
      <w:r w:rsidR="00995922" w:rsidRPr="007C103A">
        <w:rPr>
          <w:iCs/>
        </w:rPr>
        <w:t xml:space="preserve"> a compliance rate of 99.5% was used for both selinexor and </w:t>
      </w:r>
      <w:proofErr w:type="spellStart"/>
      <w:r w:rsidR="00995922" w:rsidRPr="007C103A">
        <w:rPr>
          <w:iCs/>
        </w:rPr>
        <w:t>RGemOx</w:t>
      </w:r>
      <w:proofErr w:type="spellEnd"/>
      <w:r w:rsidR="00995922" w:rsidRPr="007C103A">
        <w:rPr>
          <w:iCs/>
        </w:rPr>
        <w:t>.</w:t>
      </w:r>
      <w:r w:rsidR="00A95179" w:rsidRPr="007C103A">
        <w:rPr>
          <w:iCs/>
        </w:rPr>
        <w:t xml:space="preserve"> The PSCR stated that the dose intensity applied in the economic model was based on the median weekly dose of 100 mg relative to the protocol dose of 60 mg twice weekly (i.e. 100/120 = 83.33%). The PSCR added that it was </w:t>
      </w:r>
      <w:proofErr w:type="gramStart"/>
      <w:r w:rsidR="00A95179" w:rsidRPr="007C103A">
        <w:rPr>
          <w:iCs/>
        </w:rPr>
        <w:t>similar to</w:t>
      </w:r>
      <w:proofErr w:type="gramEnd"/>
      <w:r w:rsidR="00A95179" w:rsidRPr="007C103A">
        <w:rPr>
          <w:iCs/>
        </w:rPr>
        <w:t xml:space="preserve"> the </w:t>
      </w:r>
      <w:r w:rsidR="00945744" w:rsidRPr="007C103A">
        <w:rPr>
          <w:iCs/>
        </w:rPr>
        <w:t>mean weekly dose of 9</w:t>
      </w:r>
      <w:r w:rsidR="00A95179" w:rsidRPr="007C103A">
        <w:rPr>
          <w:iCs/>
        </w:rPr>
        <w:t>6.5 mg, which result</w:t>
      </w:r>
      <w:r w:rsidR="00945744" w:rsidRPr="007C103A">
        <w:rPr>
          <w:iCs/>
        </w:rPr>
        <w:t>ed</w:t>
      </w:r>
      <w:r w:rsidR="00A95179" w:rsidRPr="007C103A">
        <w:rPr>
          <w:iCs/>
        </w:rPr>
        <w:t xml:space="preserve"> in a dose intensity of 80.42%.</w:t>
      </w:r>
      <w:r w:rsidR="00995922" w:rsidRPr="007C103A">
        <w:rPr>
          <w:iCs/>
        </w:rPr>
        <w:t xml:space="preserve"> </w:t>
      </w:r>
      <w:r w:rsidR="00944F96" w:rsidRPr="007C103A">
        <w:rPr>
          <w:iCs/>
        </w:rPr>
        <w:t xml:space="preserve">The ESC considered that the lower dose intensity for selinexor compared to the components of </w:t>
      </w:r>
      <w:proofErr w:type="spellStart"/>
      <w:r w:rsidR="00944F96" w:rsidRPr="007C103A">
        <w:rPr>
          <w:iCs/>
        </w:rPr>
        <w:t>RGemOx</w:t>
      </w:r>
      <w:proofErr w:type="spellEnd"/>
      <w:r w:rsidR="00944F96" w:rsidRPr="007C103A">
        <w:rPr>
          <w:iCs/>
        </w:rPr>
        <w:t xml:space="preserve"> </w:t>
      </w:r>
      <w:r w:rsidR="00945744" w:rsidRPr="007C103A">
        <w:rPr>
          <w:iCs/>
        </w:rPr>
        <w:t>reflected</w:t>
      </w:r>
      <w:r w:rsidR="00944F96" w:rsidRPr="007C103A">
        <w:rPr>
          <w:iCs/>
        </w:rPr>
        <w:t xml:space="preserve"> the high rate of adverse events </w:t>
      </w:r>
      <w:r w:rsidR="00945744" w:rsidRPr="007C103A">
        <w:rPr>
          <w:iCs/>
        </w:rPr>
        <w:t xml:space="preserve">associated with selinexor and the likely </w:t>
      </w:r>
      <w:r w:rsidR="00944F96" w:rsidRPr="007C103A">
        <w:rPr>
          <w:iCs/>
        </w:rPr>
        <w:t>require</w:t>
      </w:r>
      <w:r w:rsidR="00945744" w:rsidRPr="007C103A">
        <w:rPr>
          <w:iCs/>
        </w:rPr>
        <w:t>d</w:t>
      </w:r>
      <w:r w:rsidR="00944F96" w:rsidRPr="007C103A">
        <w:rPr>
          <w:iCs/>
        </w:rPr>
        <w:t xml:space="preserve"> dose modifications (i.e. dose reductions and interruptions).</w:t>
      </w:r>
    </w:p>
    <w:p w14:paraId="1808DF32" w14:textId="77777777" w:rsidR="00275C5A" w:rsidRPr="007C103A" w:rsidRDefault="008E0FD7" w:rsidP="00BB00B3">
      <w:pPr>
        <w:pStyle w:val="3-BodyText"/>
        <w:rPr>
          <w:iCs/>
        </w:rPr>
      </w:pPr>
      <w:r w:rsidRPr="007C103A">
        <w:rPr>
          <w:iCs/>
        </w:rPr>
        <w:t>Given that the model does not have a valid comparative basis, key drivers of the model have not been identified.</w:t>
      </w:r>
    </w:p>
    <w:p w14:paraId="27672F19" w14:textId="77777777" w:rsidR="001F4081" w:rsidRPr="007C103A" w:rsidRDefault="008E0FD7" w:rsidP="00DC02A0">
      <w:pPr>
        <w:pStyle w:val="3-BodyText"/>
      </w:pPr>
      <w:r w:rsidRPr="007C103A">
        <w:t>The submission did not provide a stepped economic evaluation.</w:t>
      </w:r>
      <w:r w:rsidR="0084060B" w:rsidRPr="007C103A">
        <w:t xml:space="preserve"> </w:t>
      </w:r>
      <w:r w:rsidRPr="007C103A">
        <w:t>Results of the economic evaluation are in the table below.</w:t>
      </w:r>
    </w:p>
    <w:p w14:paraId="3C8692D2" w14:textId="77777777" w:rsidR="001F4081" w:rsidRPr="007C103A" w:rsidRDefault="001F4081" w:rsidP="004A7075">
      <w:pPr>
        <w:pStyle w:val="TableFigureHeading"/>
      </w:pPr>
      <w:r w:rsidRPr="007C103A">
        <w:rPr>
          <w:rStyle w:val="CommentReference"/>
          <w:b/>
          <w:szCs w:val="24"/>
        </w:rPr>
        <w:t xml:space="preserve">Table </w:t>
      </w:r>
      <w:r w:rsidR="00E6157A" w:rsidRPr="007C103A">
        <w:rPr>
          <w:rStyle w:val="CommentReference"/>
          <w:b/>
          <w:szCs w:val="24"/>
        </w:rPr>
        <w:t>8</w:t>
      </w:r>
      <w:r w:rsidRPr="007C103A">
        <w:rPr>
          <w:rStyle w:val="CommentReference"/>
          <w:b/>
          <w:szCs w:val="24"/>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8E0FD7" w:rsidRPr="007C103A" w14:paraId="54E0E0D5" w14:textId="77777777" w:rsidTr="00A640A9">
        <w:trPr>
          <w:tblHeader/>
        </w:trPr>
        <w:tc>
          <w:tcPr>
            <w:tcW w:w="1529" w:type="pct"/>
            <w:vAlign w:val="center"/>
          </w:tcPr>
          <w:p w14:paraId="11BB59BC" w14:textId="77777777" w:rsidR="008E0FD7" w:rsidRPr="007C103A" w:rsidRDefault="008E0FD7" w:rsidP="004A7075">
            <w:pPr>
              <w:pStyle w:val="Tabletext"/>
              <w:keepNext/>
              <w:widowControl w:val="0"/>
              <w:rPr>
                <w:b/>
              </w:rPr>
            </w:pPr>
            <w:r w:rsidRPr="007C103A">
              <w:rPr>
                <w:b/>
              </w:rPr>
              <w:t>Component</w:t>
            </w:r>
          </w:p>
        </w:tc>
        <w:tc>
          <w:tcPr>
            <w:tcW w:w="1359" w:type="pct"/>
            <w:vAlign w:val="center"/>
          </w:tcPr>
          <w:p w14:paraId="5B6E33CC" w14:textId="77777777" w:rsidR="008E0FD7" w:rsidRPr="007C103A" w:rsidRDefault="008E0FD7" w:rsidP="004A7075">
            <w:pPr>
              <w:pStyle w:val="Tabletext"/>
              <w:keepNext/>
              <w:widowControl w:val="0"/>
              <w:jc w:val="center"/>
              <w:rPr>
                <w:b/>
              </w:rPr>
            </w:pPr>
            <w:r w:rsidRPr="007C103A">
              <w:rPr>
                <w:b/>
              </w:rPr>
              <w:t>Selinexor</w:t>
            </w:r>
          </w:p>
        </w:tc>
        <w:tc>
          <w:tcPr>
            <w:tcW w:w="1274" w:type="pct"/>
            <w:vAlign w:val="center"/>
          </w:tcPr>
          <w:p w14:paraId="2DC60349" w14:textId="77777777" w:rsidR="008E0FD7" w:rsidRPr="007C103A" w:rsidRDefault="00F52173" w:rsidP="004A7075">
            <w:pPr>
              <w:pStyle w:val="Tabletext"/>
              <w:keepNext/>
              <w:widowControl w:val="0"/>
              <w:jc w:val="center"/>
              <w:rPr>
                <w:b/>
              </w:rPr>
            </w:pPr>
            <w:proofErr w:type="spellStart"/>
            <w:r w:rsidRPr="007C103A">
              <w:rPr>
                <w:b/>
              </w:rPr>
              <w:t>RGemOx</w:t>
            </w:r>
            <w:proofErr w:type="spellEnd"/>
          </w:p>
        </w:tc>
        <w:tc>
          <w:tcPr>
            <w:tcW w:w="838" w:type="pct"/>
            <w:vAlign w:val="center"/>
          </w:tcPr>
          <w:p w14:paraId="2078C9C2" w14:textId="77777777" w:rsidR="008E0FD7" w:rsidRPr="007C103A" w:rsidRDefault="008E0FD7" w:rsidP="004A7075">
            <w:pPr>
              <w:pStyle w:val="Tabletext"/>
              <w:keepNext/>
              <w:widowControl w:val="0"/>
              <w:jc w:val="center"/>
              <w:rPr>
                <w:b/>
              </w:rPr>
            </w:pPr>
            <w:r w:rsidRPr="007C103A">
              <w:rPr>
                <w:b/>
              </w:rPr>
              <w:t>Increment</w:t>
            </w:r>
          </w:p>
        </w:tc>
      </w:tr>
      <w:tr w:rsidR="008E0FD7" w:rsidRPr="007C103A" w14:paraId="6886D286" w14:textId="77777777" w:rsidTr="00A640A9">
        <w:tc>
          <w:tcPr>
            <w:tcW w:w="5000" w:type="pct"/>
            <w:gridSpan w:val="4"/>
            <w:vAlign w:val="center"/>
          </w:tcPr>
          <w:p w14:paraId="521E1E8C" w14:textId="77777777" w:rsidR="008E0FD7" w:rsidRPr="007C103A" w:rsidRDefault="008E0FD7" w:rsidP="004A7075">
            <w:pPr>
              <w:pStyle w:val="Tabletext"/>
              <w:keepNext/>
              <w:widowControl w:val="0"/>
              <w:rPr>
                <w:b/>
              </w:rPr>
            </w:pPr>
            <w:r w:rsidRPr="007C103A">
              <w:rPr>
                <w:b/>
              </w:rPr>
              <w:t>Modelled evaluation – 7</w:t>
            </w:r>
            <w:r w:rsidR="0004160F" w:rsidRPr="007C103A">
              <w:rPr>
                <w:b/>
              </w:rPr>
              <w:t>-</w:t>
            </w:r>
            <w:r w:rsidRPr="007C103A">
              <w:rPr>
                <w:b/>
              </w:rPr>
              <w:t>year time horizon (discounted)</w:t>
            </w:r>
          </w:p>
        </w:tc>
      </w:tr>
      <w:tr w:rsidR="008E0FD7" w:rsidRPr="007C103A" w14:paraId="5AE35CF8" w14:textId="77777777" w:rsidTr="00A640A9">
        <w:tc>
          <w:tcPr>
            <w:tcW w:w="1529" w:type="pct"/>
            <w:vAlign w:val="center"/>
          </w:tcPr>
          <w:p w14:paraId="17474D94" w14:textId="77777777" w:rsidR="008E0FD7" w:rsidRPr="007C103A" w:rsidRDefault="008E0FD7" w:rsidP="004A7075">
            <w:pPr>
              <w:pStyle w:val="Tabletext"/>
              <w:keepNext/>
              <w:widowControl w:val="0"/>
              <w:rPr>
                <w:rFonts w:ascii="Times" w:hAnsi="Times"/>
              </w:rPr>
            </w:pPr>
            <w:r w:rsidRPr="007C103A">
              <w:t>Costs</w:t>
            </w:r>
          </w:p>
        </w:tc>
        <w:tc>
          <w:tcPr>
            <w:tcW w:w="1359" w:type="pct"/>
          </w:tcPr>
          <w:p w14:paraId="2577D3A6" w14:textId="77777777" w:rsidR="008E0FD7" w:rsidRPr="007C103A" w:rsidRDefault="008E0FD7" w:rsidP="004A7075">
            <w:pPr>
              <w:pStyle w:val="Tabletext"/>
              <w:keepNext/>
              <w:widowControl w:val="0"/>
              <w:jc w:val="center"/>
            </w:pPr>
            <w:r w:rsidRPr="007C103A">
              <w:t>$</w:t>
            </w:r>
            <w:r w:rsidR="004A77F8">
              <w:rPr>
                <w:noProof/>
                <w:color w:val="000000"/>
                <w:highlight w:val="black"/>
              </w:rPr>
              <w:t>'''''''''''''''''''</w:t>
            </w:r>
          </w:p>
        </w:tc>
        <w:tc>
          <w:tcPr>
            <w:tcW w:w="1274" w:type="pct"/>
          </w:tcPr>
          <w:p w14:paraId="00FF5995" w14:textId="77777777" w:rsidR="008E0FD7" w:rsidRPr="007C103A" w:rsidRDefault="008E0FD7" w:rsidP="004A7075">
            <w:pPr>
              <w:pStyle w:val="Tabletext"/>
              <w:keepNext/>
              <w:widowControl w:val="0"/>
              <w:jc w:val="center"/>
            </w:pPr>
            <w:r w:rsidRPr="007C103A">
              <w:t>$80,839</w:t>
            </w:r>
          </w:p>
        </w:tc>
        <w:tc>
          <w:tcPr>
            <w:tcW w:w="838" w:type="pct"/>
          </w:tcPr>
          <w:p w14:paraId="5F1C472C" w14:textId="77777777" w:rsidR="008E0FD7" w:rsidRPr="007C103A" w:rsidRDefault="008E0FD7" w:rsidP="004A7075">
            <w:pPr>
              <w:pStyle w:val="Tabletext"/>
              <w:keepNext/>
              <w:widowControl w:val="0"/>
              <w:jc w:val="center"/>
            </w:pPr>
            <w:r w:rsidRPr="007C103A">
              <w:t>$</w:t>
            </w:r>
            <w:r w:rsidR="004A77F8">
              <w:rPr>
                <w:noProof/>
                <w:color w:val="000000"/>
                <w:highlight w:val="black"/>
              </w:rPr>
              <w:t>'''''''''''''''</w:t>
            </w:r>
          </w:p>
        </w:tc>
      </w:tr>
      <w:tr w:rsidR="008E0FD7" w:rsidRPr="007C103A" w14:paraId="164F0EAB" w14:textId="77777777" w:rsidTr="00A640A9">
        <w:tc>
          <w:tcPr>
            <w:tcW w:w="1529" w:type="pct"/>
            <w:vAlign w:val="center"/>
          </w:tcPr>
          <w:p w14:paraId="5F72704E" w14:textId="77777777" w:rsidR="008E0FD7" w:rsidRPr="007C103A" w:rsidRDefault="008E0FD7" w:rsidP="004A7075">
            <w:pPr>
              <w:pStyle w:val="Tabletext"/>
              <w:keepNext/>
              <w:widowControl w:val="0"/>
              <w:rPr>
                <w:rFonts w:ascii="Times" w:hAnsi="Times"/>
              </w:rPr>
            </w:pPr>
            <w:r w:rsidRPr="007C103A">
              <w:t>LY</w:t>
            </w:r>
          </w:p>
        </w:tc>
        <w:tc>
          <w:tcPr>
            <w:tcW w:w="1359" w:type="pct"/>
          </w:tcPr>
          <w:p w14:paraId="444B54D9" w14:textId="77777777" w:rsidR="008E0FD7" w:rsidRPr="007C103A" w:rsidRDefault="008E0FD7" w:rsidP="004A7075">
            <w:pPr>
              <w:pStyle w:val="Tabletext"/>
              <w:keepNext/>
              <w:widowControl w:val="0"/>
              <w:jc w:val="center"/>
            </w:pPr>
            <w:r w:rsidRPr="007C103A">
              <w:t>1.71</w:t>
            </w:r>
          </w:p>
        </w:tc>
        <w:tc>
          <w:tcPr>
            <w:tcW w:w="1274" w:type="pct"/>
          </w:tcPr>
          <w:p w14:paraId="1902F3FB" w14:textId="77777777" w:rsidR="008E0FD7" w:rsidRPr="007C103A" w:rsidRDefault="008E0FD7" w:rsidP="004A7075">
            <w:pPr>
              <w:pStyle w:val="Tabletext"/>
              <w:keepNext/>
              <w:widowControl w:val="0"/>
              <w:jc w:val="center"/>
            </w:pPr>
            <w:r w:rsidRPr="007C103A">
              <w:t>1.19</w:t>
            </w:r>
          </w:p>
        </w:tc>
        <w:tc>
          <w:tcPr>
            <w:tcW w:w="838" w:type="pct"/>
          </w:tcPr>
          <w:p w14:paraId="2156B449" w14:textId="77777777" w:rsidR="008E0FD7" w:rsidRPr="00236E57" w:rsidRDefault="008E0FD7" w:rsidP="00236E57">
            <w:pPr>
              <w:pStyle w:val="Tabletext"/>
              <w:keepNext/>
              <w:widowControl w:val="0"/>
              <w:jc w:val="center"/>
              <w:rPr>
                <w:vertAlign w:val="superscript"/>
              </w:rPr>
            </w:pPr>
            <w:r w:rsidRPr="007C103A">
              <w:t>0.523</w:t>
            </w:r>
          </w:p>
        </w:tc>
      </w:tr>
      <w:tr w:rsidR="008E0FD7" w:rsidRPr="007C103A" w14:paraId="34AC7DC7" w14:textId="77777777" w:rsidTr="00A640A9">
        <w:tc>
          <w:tcPr>
            <w:tcW w:w="4162" w:type="pct"/>
            <w:gridSpan w:val="3"/>
            <w:vAlign w:val="center"/>
          </w:tcPr>
          <w:p w14:paraId="71F267CC" w14:textId="77777777" w:rsidR="008E0FD7" w:rsidRPr="007C103A" w:rsidRDefault="008E0FD7" w:rsidP="004A7075">
            <w:pPr>
              <w:pStyle w:val="Tabletext"/>
              <w:keepNext/>
              <w:widowControl w:val="0"/>
            </w:pPr>
            <w:r w:rsidRPr="007C103A">
              <w:t>Incremental cost/extra LY gained (base case)</w:t>
            </w:r>
          </w:p>
        </w:tc>
        <w:tc>
          <w:tcPr>
            <w:tcW w:w="838" w:type="pct"/>
          </w:tcPr>
          <w:p w14:paraId="7B84E75B" w14:textId="77777777" w:rsidR="008E0FD7" w:rsidRPr="007C103A" w:rsidRDefault="008E0FD7" w:rsidP="004A7075">
            <w:pPr>
              <w:pStyle w:val="Tabletext"/>
              <w:keepNext/>
              <w:widowControl w:val="0"/>
              <w:jc w:val="center"/>
            </w:pPr>
            <w:r w:rsidRPr="007C103A">
              <w:t>$</w:t>
            </w:r>
            <w:r w:rsidR="004A77F8">
              <w:rPr>
                <w:noProof/>
                <w:color w:val="000000"/>
                <w:highlight w:val="black"/>
              </w:rPr>
              <w:t>'''''''''''''''''</w:t>
            </w:r>
            <w:r w:rsidR="00236E57">
              <w:rPr>
                <w:vertAlign w:val="superscript"/>
              </w:rPr>
              <w:t>1</w:t>
            </w:r>
          </w:p>
        </w:tc>
      </w:tr>
      <w:tr w:rsidR="008E0FD7" w:rsidRPr="007C103A" w14:paraId="5CDE34FC" w14:textId="77777777" w:rsidTr="00A640A9">
        <w:tc>
          <w:tcPr>
            <w:tcW w:w="1529" w:type="pct"/>
            <w:vAlign w:val="center"/>
          </w:tcPr>
          <w:p w14:paraId="58620E8A" w14:textId="77777777" w:rsidR="008E0FD7" w:rsidRPr="007C103A" w:rsidRDefault="008E0FD7" w:rsidP="004A7075">
            <w:pPr>
              <w:pStyle w:val="Tabletext"/>
              <w:keepNext/>
              <w:widowControl w:val="0"/>
            </w:pPr>
            <w:r w:rsidRPr="007C103A">
              <w:t>QALY</w:t>
            </w:r>
          </w:p>
        </w:tc>
        <w:tc>
          <w:tcPr>
            <w:tcW w:w="1359" w:type="pct"/>
          </w:tcPr>
          <w:p w14:paraId="44D49667" w14:textId="77777777" w:rsidR="008E0FD7" w:rsidRPr="007C103A" w:rsidRDefault="008E0FD7" w:rsidP="004A7075">
            <w:pPr>
              <w:pStyle w:val="Tabletext"/>
              <w:keepNext/>
              <w:widowControl w:val="0"/>
              <w:jc w:val="center"/>
              <w:rPr>
                <w:rFonts w:cs="Arial"/>
              </w:rPr>
            </w:pPr>
            <w:r w:rsidRPr="007C103A">
              <w:rPr>
                <w:rFonts w:cs="Arial"/>
              </w:rPr>
              <w:t>1.15</w:t>
            </w:r>
          </w:p>
        </w:tc>
        <w:tc>
          <w:tcPr>
            <w:tcW w:w="1274" w:type="pct"/>
          </w:tcPr>
          <w:p w14:paraId="2A9AD831" w14:textId="77777777" w:rsidR="008E0FD7" w:rsidRPr="007C103A" w:rsidRDefault="008E0FD7" w:rsidP="004A7075">
            <w:pPr>
              <w:pStyle w:val="Tabletext"/>
              <w:keepNext/>
              <w:widowControl w:val="0"/>
              <w:jc w:val="center"/>
              <w:rPr>
                <w:rFonts w:cs="Arial"/>
              </w:rPr>
            </w:pPr>
            <w:r w:rsidRPr="007C103A">
              <w:rPr>
                <w:rFonts w:cs="Arial"/>
              </w:rPr>
              <w:t>0.81</w:t>
            </w:r>
          </w:p>
        </w:tc>
        <w:tc>
          <w:tcPr>
            <w:tcW w:w="838" w:type="pct"/>
          </w:tcPr>
          <w:p w14:paraId="1164A36D" w14:textId="77777777" w:rsidR="008E0FD7" w:rsidRPr="007C103A" w:rsidRDefault="008E0FD7" w:rsidP="004A7075">
            <w:pPr>
              <w:pStyle w:val="Tabletext"/>
              <w:keepNext/>
              <w:widowControl w:val="0"/>
              <w:jc w:val="center"/>
              <w:rPr>
                <w:rFonts w:cs="Arial"/>
              </w:rPr>
            </w:pPr>
            <w:r w:rsidRPr="007C103A">
              <w:rPr>
                <w:rFonts w:cs="Arial"/>
              </w:rPr>
              <w:t>0.342</w:t>
            </w:r>
          </w:p>
        </w:tc>
      </w:tr>
      <w:tr w:rsidR="008E0FD7" w:rsidRPr="007C103A" w14:paraId="141DF5F7" w14:textId="77777777" w:rsidTr="00A640A9">
        <w:tc>
          <w:tcPr>
            <w:tcW w:w="4162" w:type="pct"/>
            <w:gridSpan w:val="3"/>
            <w:vAlign w:val="center"/>
          </w:tcPr>
          <w:p w14:paraId="53A37DB7" w14:textId="77777777" w:rsidR="008E0FD7" w:rsidRPr="007C103A" w:rsidRDefault="008E0FD7" w:rsidP="004A7075">
            <w:pPr>
              <w:pStyle w:val="Tabletext"/>
              <w:keepNext/>
              <w:widowControl w:val="0"/>
              <w:rPr>
                <w:rFonts w:cs="Arial"/>
              </w:rPr>
            </w:pPr>
            <w:r w:rsidRPr="007C103A">
              <w:rPr>
                <w:b/>
              </w:rPr>
              <w:t>Incremental cost/extra QALY gained (base case)</w:t>
            </w:r>
          </w:p>
        </w:tc>
        <w:tc>
          <w:tcPr>
            <w:tcW w:w="838" w:type="pct"/>
            <w:vAlign w:val="center"/>
          </w:tcPr>
          <w:p w14:paraId="421AAAF9" w14:textId="77777777" w:rsidR="008E0FD7" w:rsidRPr="007C103A" w:rsidRDefault="008E0FD7" w:rsidP="004A7075">
            <w:pPr>
              <w:pStyle w:val="Tabletext"/>
              <w:keepNext/>
              <w:widowControl w:val="0"/>
              <w:jc w:val="center"/>
              <w:rPr>
                <w:rFonts w:cs="Arial"/>
                <w:b/>
                <w:bCs/>
              </w:rPr>
            </w:pPr>
            <w:r w:rsidRPr="007C103A">
              <w:rPr>
                <w:rFonts w:cs="Arial"/>
                <w:b/>
                <w:bCs/>
              </w:rPr>
              <w:t>$</w:t>
            </w:r>
            <w:r w:rsidR="004A77F8">
              <w:rPr>
                <w:rFonts w:cs="Arial"/>
                <w:b/>
                <w:bCs/>
                <w:noProof/>
                <w:color w:val="000000"/>
                <w:highlight w:val="black"/>
              </w:rPr>
              <w:t>''''''''''''''</w:t>
            </w:r>
            <w:r w:rsidR="00236E57">
              <w:rPr>
                <w:vertAlign w:val="superscript"/>
              </w:rPr>
              <w:t>2</w:t>
            </w:r>
          </w:p>
        </w:tc>
      </w:tr>
    </w:tbl>
    <w:p w14:paraId="5C71C099" w14:textId="77777777" w:rsidR="008E0FD7" w:rsidRPr="007C103A" w:rsidRDefault="008E0FD7" w:rsidP="008E0FD7">
      <w:pPr>
        <w:pStyle w:val="TableFooter"/>
        <w:keepNext/>
        <w:keepLines/>
      </w:pPr>
      <w:r w:rsidRPr="007C103A">
        <w:t>Source: Table 3-27, p143 of the submission.</w:t>
      </w:r>
    </w:p>
    <w:p w14:paraId="12F68C72" w14:textId="77777777" w:rsidR="001F4081" w:rsidRDefault="008E0FD7" w:rsidP="008E0FD7">
      <w:pPr>
        <w:pStyle w:val="TableFigureFooter"/>
      </w:pPr>
      <w:r w:rsidRPr="007C103A">
        <w:t>LY</w:t>
      </w:r>
      <w:r w:rsidR="00ED53FC" w:rsidRPr="007C103A">
        <w:t xml:space="preserve"> </w:t>
      </w:r>
      <w:r w:rsidRPr="007C103A">
        <w:t>=</w:t>
      </w:r>
      <w:r w:rsidR="00ED53FC" w:rsidRPr="007C103A">
        <w:t xml:space="preserve"> </w:t>
      </w:r>
      <w:r w:rsidRPr="007C103A">
        <w:t>life year; QALY</w:t>
      </w:r>
      <w:r w:rsidR="00ED53FC" w:rsidRPr="007C103A">
        <w:t xml:space="preserve"> </w:t>
      </w:r>
      <w:r w:rsidRPr="007C103A">
        <w:t>=</w:t>
      </w:r>
      <w:r w:rsidR="00ED53FC" w:rsidRPr="007C103A">
        <w:t xml:space="preserve"> </w:t>
      </w:r>
      <w:r w:rsidRPr="007C103A">
        <w:t xml:space="preserve">quality adjusted life year; </w:t>
      </w:r>
      <w:proofErr w:type="spellStart"/>
      <w:r w:rsidR="00F52173" w:rsidRPr="007C103A">
        <w:t>RGemOx</w:t>
      </w:r>
      <w:proofErr w:type="spellEnd"/>
      <w:r w:rsidR="00ED53FC" w:rsidRPr="007C103A">
        <w:t xml:space="preserve"> </w:t>
      </w:r>
      <w:r w:rsidRPr="007C103A">
        <w:t>=</w:t>
      </w:r>
      <w:r w:rsidR="00ED53FC" w:rsidRPr="007C103A">
        <w:t xml:space="preserve"> </w:t>
      </w:r>
      <w:r w:rsidR="00011C80" w:rsidRPr="007C103A">
        <w:t>rituximab-gemcitabine-oxaliplatin</w:t>
      </w:r>
    </w:p>
    <w:p w14:paraId="1776A33F" w14:textId="77777777" w:rsidR="00236E57" w:rsidRDefault="00236E57" w:rsidP="00236E57">
      <w:pPr>
        <w:pStyle w:val="TableFigureFooter"/>
        <w:spacing w:after="0"/>
        <w:contextualSpacing w:val="0"/>
        <w:rPr>
          <w:i/>
        </w:rPr>
      </w:pPr>
      <w:r w:rsidRPr="009868C4">
        <w:rPr>
          <w:i/>
        </w:rPr>
        <w:t>The redacted values correspond to the following ranges</w:t>
      </w:r>
      <w:r>
        <w:rPr>
          <w:i/>
        </w:rPr>
        <w:t xml:space="preserve">: </w:t>
      </w:r>
    </w:p>
    <w:p w14:paraId="3D615358" w14:textId="77777777" w:rsidR="00236E57" w:rsidRPr="00870C5D" w:rsidRDefault="00236E57" w:rsidP="00236E57">
      <w:pPr>
        <w:pStyle w:val="TableFigureFooter"/>
        <w:spacing w:after="0"/>
        <w:contextualSpacing w:val="0"/>
      </w:pPr>
      <w:r>
        <w:rPr>
          <w:i/>
          <w:vertAlign w:val="superscript"/>
        </w:rPr>
        <w:t>1</w:t>
      </w:r>
      <w:r>
        <w:rPr>
          <w:i/>
        </w:rPr>
        <w:t xml:space="preserve"> $</w:t>
      </w:r>
      <w:r w:rsidRPr="00236E57">
        <w:rPr>
          <w:i/>
        </w:rPr>
        <w:t>45,000 to &lt; $55,000</w:t>
      </w:r>
    </w:p>
    <w:p w14:paraId="4BADAF98" w14:textId="29E76C7F" w:rsidR="00236E57" w:rsidRPr="00007A0D" w:rsidRDefault="00236E57" w:rsidP="00007A0D">
      <w:pPr>
        <w:pStyle w:val="TableFigureFooter"/>
        <w:contextualSpacing w:val="0"/>
      </w:pPr>
      <w:r>
        <w:rPr>
          <w:i/>
          <w:vertAlign w:val="superscript"/>
        </w:rPr>
        <w:t>2</w:t>
      </w:r>
      <w:r>
        <w:rPr>
          <w:i/>
        </w:rPr>
        <w:t xml:space="preserve"> $</w:t>
      </w:r>
      <w:r w:rsidRPr="00236E57">
        <w:rPr>
          <w:i/>
        </w:rPr>
        <w:t>55,000 to &lt; $75,000</w:t>
      </w:r>
    </w:p>
    <w:p w14:paraId="613626B8" w14:textId="77777777" w:rsidR="005A373D" w:rsidRPr="007C103A" w:rsidRDefault="00DC02A0" w:rsidP="00236E57">
      <w:pPr>
        <w:pStyle w:val="3-BodyText"/>
      </w:pPr>
      <w:r w:rsidRPr="007C103A">
        <w:lastRenderedPageBreak/>
        <w:t xml:space="preserve">The </w:t>
      </w:r>
      <w:r w:rsidR="00940D7F" w:rsidRPr="007C103A">
        <w:t xml:space="preserve">ESC considered that the </w:t>
      </w:r>
      <w:r w:rsidRPr="007C103A">
        <w:t>estimated</w:t>
      </w:r>
      <w:r w:rsidR="00940D7F" w:rsidRPr="007C103A">
        <w:t xml:space="preserve"> incremental cost effectiveness ratio (ICER) of </w:t>
      </w:r>
      <w:r w:rsidR="00236E57" w:rsidRPr="00236E57">
        <w:rPr>
          <w:iCs/>
        </w:rPr>
        <w:t xml:space="preserve">$55,000 to &lt; $75,000 </w:t>
      </w:r>
      <w:r w:rsidR="00940D7F" w:rsidRPr="007C103A">
        <w:t>per quality adjusted life year (QALY)</w:t>
      </w:r>
      <w:r w:rsidRPr="007C103A">
        <w:t xml:space="preserve"> </w:t>
      </w:r>
      <w:r w:rsidR="00940D7F" w:rsidRPr="007C103A">
        <w:t>was not reliable for decision making</w:t>
      </w:r>
      <w:r w:rsidRPr="007C103A">
        <w:t>, given there was no comparative data upon which to base the purported comparison.</w:t>
      </w:r>
    </w:p>
    <w:p w14:paraId="75784C23" w14:textId="77777777" w:rsidR="00C10ECC" w:rsidRPr="007C103A" w:rsidRDefault="00C10ECC" w:rsidP="00236E57">
      <w:pPr>
        <w:pStyle w:val="3-BodyText"/>
      </w:pPr>
      <w:r w:rsidRPr="007C103A">
        <w:t>The sensitivity analyses presented by the submission showed considerable variation in model results.</w:t>
      </w:r>
      <w:r w:rsidR="0084060B" w:rsidRPr="007C103A">
        <w:t xml:space="preserve"> </w:t>
      </w:r>
      <w:r w:rsidRPr="007C103A">
        <w:t xml:space="preserve">For example, altering the extrapolation start point </w:t>
      </w:r>
      <w:r w:rsidR="00EB2D06" w:rsidRPr="007C103A">
        <w:t xml:space="preserve">from when 20% of patients remained at risk to when 10% of patients were at risk </w:t>
      </w:r>
      <w:r w:rsidRPr="007C103A">
        <w:t>changed the ICER</w:t>
      </w:r>
      <w:r w:rsidR="00FC79A9" w:rsidRPr="007C103A">
        <w:t xml:space="preserve"> per </w:t>
      </w:r>
      <w:r w:rsidRPr="007C103A">
        <w:t>QALY by 6</w:t>
      </w:r>
      <w:r w:rsidR="00255832" w:rsidRPr="007C103A">
        <w:t>6</w:t>
      </w:r>
      <w:r w:rsidRPr="007C103A">
        <w:t>%</w:t>
      </w:r>
      <w:r w:rsidR="00A42A52" w:rsidRPr="007C103A">
        <w:t>. Extrapolating from the start of the model increased the ICER</w:t>
      </w:r>
      <w:r w:rsidR="00FC79A9" w:rsidRPr="007C103A">
        <w:t xml:space="preserve"> per </w:t>
      </w:r>
      <w:r w:rsidR="00A42A52" w:rsidRPr="007C103A">
        <w:t>QALY by</w:t>
      </w:r>
      <w:r w:rsidRPr="007C103A">
        <w:t xml:space="preserve"> 186%.</w:t>
      </w:r>
      <w:r w:rsidR="0084060B" w:rsidRPr="007C103A">
        <w:t xml:space="preserve"> </w:t>
      </w:r>
      <w:r w:rsidRPr="007C103A">
        <w:t xml:space="preserve">Changing the parametric function used for OS extrapolation for selinexor </w:t>
      </w:r>
      <w:r w:rsidR="00A42A52" w:rsidRPr="007C103A">
        <w:t xml:space="preserve">(generalised F) </w:t>
      </w:r>
      <w:r w:rsidRPr="007C103A">
        <w:t>altered the ICER</w:t>
      </w:r>
      <w:r w:rsidR="00FC79A9" w:rsidRPr="007C103A">
        <w:t xml:space="preserve"> per </w:t>
      </w:r>
      <w:r w:rsidRPr="007C103A">
        <w:t xml:space="preserve">QALY by 2% </w:t>
      </w:r>
      <w:r w:rsidR="00A42A52" w:rsidRPr="007C103A">
        <w:t xml:space="preserve">(generalised gamma) </w:t>
      </w:r>
      <w:r w:rsidRPr="007C103A">
        <w:t>to 4</w:t>
      </w:r>
      <w:r w:rsidR="00255832" w:rsidRPr="007C103A">
        <w:t>1</w:t>
      </w:r>
      <w:r w:rsidRPr="007C103A">
        <w:t>%</w:t>
      </w:r>
      <w:r w:rsidR="00A42A52" w:rsidRPr="007C103A">
        <w:t xml:space="preserve"> (log-normal)</w:t>
      </w:r>
      <w:r w:rsidRPr="007C103A">
        <w:t xml:space="preserve">, while changing the parametric function used for </w:t>
      </w:r>
      <w:proofErr w:type="spellStart"/>
      <w:r w:rsidRPr="007C103A">
        <w:t>R</w:t>
      </w:r>
      <w:r w:rsidR="00BC7DB0" w:rsidRPr="007C103A">
        <w:t>G</w:t>
      </w:r>
      <w:r w:rsidRPr="007C103A">
        <w:t>emOx</w:t>
      </w:r>
      <w:proofErr w:type="spellEnd"/>
      <w:r w:rsidRPr="007C103A">
        <w:t xml:space="preserve"> extrapolation </w:t>
      </w:r>
      <w:r w:rsidR="00A42A52" w:rsidRPr="007C103A">
        <w:t xml:space="preserve">(generalised F) </w:t>
      </w:r>
      <w:r w:rsidRPr="007C103A">
        <w:t xml:space="preserve">showed </w:t>
      </w:r>
      <w:r w:rsidR="00352C2D" w:rsidRPr="007C103A">
        <w:t xml:space="preserve">a </w:t>
      </w:r>
      <w:r w:rsidRPr="007C103A">
        <w:t xml:space="preserve">decrease of </w:t>
      </w:r>
      <w:r w:rsidR="009138A6" w:rsidRPr="007C103A">
        <w:t>0.7%</w:t>
      </w:r>
      <w:r w:rsidR="00A42A52" w:rsidRPr="007C103A">
        <w:t xml:space="preserve"> (generalised gamma)</w:t>
      </w:r>
      <w:r w:rsidR="009138A6" w:rsidRPr="007C103A">
        <w:t xml:space="preserve"> to 7.9%</w:t>
      </w:r>
      <w:r w:rsidR="00A42A52" w:rsidRPr="007C103A">
        <w:t xml:space="preserve"> (log normal)</w:t>
      </w:r>
      <w:r w:rsidR="009138A6" w:rsidRPr="007C103A">
        <w:t>.</w:t>
      </w:r>
      <w:r w:rsidR="0084060B" w:rsidRPr="007C103A">
        <w:t xml:space="preserve"> </w:t>
      </w:r>
      <w:r w:rsidR="009138A6" w:rsidRPr="007C103A">
        <w:t>A</w:t>
      </w:r>
      <w:r w:rsidRPr="007C103A">
        <w:t xml:space="preserve">ltering the </w:t>
      </w:r>
      <w:r w:rsidR="00A42A52" w:rsidRPr="007C103A">
        <w:t xml:space="preserve">source of the </w:t>
      </w:r>
      <w:r w:rsidRPr="007C103A">
        <w:t>utility values decreased the ICER</w:t>
      </w:r>
      <w:r w:rsidR="00FC79A9" w:rsidRPr="007C103A">
        <w:t xml:space="preserve"> per </w:t>
      </w:r>
      <w:r w:rsidRPr="007C103A">
        <w:t xml:space="preserve">QALY by </w:t>
      </w:r>
      <w:r w:rsidR="00255832" w:rsidRPr="007C103A">
        <w:t>3</w:t>
      </w:r>
      <w:r w:rsidRPr="007C103A">
        <w:t xml:space="preserve">% to </w:t>
      </w:r>
      <w:r w:rsidR="00255832" w:rsidRPr="007C103A">
        <w:t>9</w:t>
      </w:r>
      <w:r w:rsidRPr="007C103A">
        <w:t>%.</w:t>
      </w:r>
      <w:r w:rsidR="0084060B" w:rsidRPr="007C103A">
        <w:t xml:space="preserve"> </w:t>
      </w:r>
      <w:r w:rsidR="009138A6" w:rsidRPr="007C103A">
        <w:t xml:space="preserve">The model also showed some sensitivity to time horizon, </w:t>
      </w:r>
      <w:r w:rsidR="00564B2D" w:rsidRPr="007C103A">
        <w:t xml:space="preserve">with the ICER </w:t>
      </w:r>
      <w:r w:rsidR="009138A6" w:rsidRPr="007C103A">
        <w:t xml:space="preserve">increasing by 30% to close to </w:t>
      </w:r>
      <w:r w:rsidR="00236E57" w:rsidRPr="00236E57">
        <w:rPr>
          <w:iCs/>
        </w:rPr>
        <w:t xml:space="preserve">$95,000 to &lt; $115,000 </w:t>
      </w:r>
      <w:r w:rsidR="00FC79A9" w:rsidRPr="007C103A">
        <w:t xml:space="preserve">per </w:t>
      </w:r>
      <w:r w:rsidR="00564B2D" w:rsidRPr="007C103A">
        <w:t>QALY</w:t>
      </w:r>
      <w:r w:rsidR="009138A6" w:rsidRPr="007C103A">
        <w:t xml:space="preserve"> when the time horizon was shortened to 3 years and decreasing by 10% when the time horizon was lengthened to 10 years.</w:t>
      </w:r>
      <w:r w:rsidR="0084060B" w:rsidRPr="007C103A">
        <w:t xml:space="preserve"> </w:t>
      </w:r>
      <w:r w:rsidR="000A6774" w:rsidRPr="007C103A">
        <w:t>This level of variation in model results, using reasonable changes in the model parameters, suggests a degree of unreliability in the model.</w:t>
      </w:r>
    </w:p>
    <w:p w14:paraId="230DDF1D" w14:textId="77777777" w:rsidR="00AE3F87" w:rsidRPr="007C103A" w:rsidRDefault="00AE3F87" w:rsidP="00236E57">
      <w:pPr>
        <w:pStyle w:val="3-BodyText"/>
      </w:pPr>
      <w:r w:rsidRPr="007C103A">
        <w:t xml:space="preserve">Given the differences in the SADAL and SCHOLAR-1 patient cohorts the ESC considered </w:t>
      </w:r>
      <w:r w:rsidR="000A47BD" w:rsidRPr="007C103A">
        <w:t xml:space="preserve">that any extrapolation of benefit over time should be more conservative. For example, </w:t>
      </w:r>
      <w:r w:rsidRPr="007C103A">
        <w:t>assum</w:t>
      </w:r>
      <w:r w:rsidR="000A47BD" w:rsidRPr="007C103A">
        <w:t>ing</w:t>
      </w:r>
      <w:r w:rsidRPr="007C103A">
        <w:t xml:space="preserve"> convergence of the </w:t>
      </w:r>
      <w:r w:rsidR="0039100E" w:rsidRPr="007C103A">
        <w:t>OS</w:t>
      </w:r>
      <w:r w:rsidRPr="007C103A">
        <w:t xml:space="preserve"> curves at 48 months</w:t>
      </w:r>
      <w:r w:rsidR="00940D7F" w:rsidRPr="007C103A">
        <w:t>, which was the point at which the Kaplan-Meier curve for the SCHOLAR-1 study began to plateau</w:t>
      </w:r>
      <w:r w:rsidR="000A47BD" w:rsidRPr="007C103A">
        <w:t>, and using</w:t>
      </w:r>
      <w:r w:rsidRPr="007C103A">
        <w:t xml:space="preserve"> the log-normal extrapolation</w:t>
      </w:r>
      <w:r w:rsidR="000A47BD" w:rsidRPr="007C103A">
        <w:t xml:space="preserve"> for both the SADAL and SCHOLAR-1 studies</w:t>
      </w:r>
      <w:r w:rsidR="00940D7F" w:rsidRPr="007C103A">
        <w:t>, which generated the lowest AIC and BIC values for the selinexor arm</w:t>
      </w:r>
      <w:r w:rsidR="000A47BD" w:rsidRPr="007C103A">
        <w:t>,</w:t>
      </w:r>
      <w:r w:rsidR="001131DF" w:rsidRPr="007C103A">
        <w:t xml:space="preserve"> resulted in an ICER of </w:t>
      </w:r>
      <w:r w:rsidR="00236E57" w:rsidRPr="00236E57">
        <w:rPr>
          <w:iCs/>
        </w:rPr>
        <w:t xml:space="preserve">$95,000 to &lt; $115,000 </w:t>
      </w:r>
      <w:r w:rsidR="001131DF" w:rsidRPr="007C103A">
        <w:t>per QALY.</w:t>
      </w:r>
    </w:p>
    <w:p w14:paraId="663533E0" w14:textId="77777777" w:rsidR="00DF70B0" w:rsidRPr="007C103A" w:rsidRDefault="00DF70B0" w:rsidP="00236E57">
      <w:pPr>
        <w:pStyle w:val="3-BodyText"/>
      </w:pPr>
      <w:r w:rsidRPr="007C103A">
        <w:t>The pre-PBAC response presented a revised base case which applied a five</w:t>
      </w:r>
      <w:r w:rsidR="00B661CC" w:rsidRPr="007C103A">
        <w:t>-</w:t>
      </w:r>
      <w:r w:rsidRPr="007C103A">
        <w:t xml:space="preserve">year time horizon, </w:t>
      </w:r>
      <w:r w:rsidR="0039100E" w:rsidRPr="007C103A">
        <w:t>OS</w:t>
      </w:r>
      <w:r w:rsidRPr="007C103A">
        <w:t xml:space="preserve"> convergence from 36 to 48 months</w:t>
      </w:r>
      <w:r w:rsidR="00B661CC" w:rsidRPr="007C103A">
        <w:t xml:space="preserve"> and</w:t>
      </w:r>
      <w:r w:rsidRPr="007C103A">
        <w:t xml:space="preserve"> the assumption of no </w:t>
      </w:r>
      <w:r w:rsidR="0039100E" w:rsidRPr="007C103A">
        <w:t>PFS</w:t>
      </w:r>
      <w:r w:rsidRPr="007C103A">
        <w:t xml:space="preserve"> benefit. This resulted in an ICER of </w:t>
      </w:r>
      <w:r w:rsidR="00236E57" w:rsidRPr="00236E57">
        <w:rPr>
          <w:iCs/>
        </w:rPr>
        <w:t xml:space="preserve">$95,000 to &lt; $115,000 </w:t>
      </w:r>
      <w:r w:rsidRPr="007C103A">
        <w:t>per QALY.</w:t>
      </w:r>
      <w:r w:rsidR="00B661CC" w:rsidRPr="007C103A">
        <w:t xml:space="preserve"> The pre-PBAC response also proposed a reduced DPMQ for selinexor ($</w:t>
      </w:r>
      <w:r w:rsidR="004A77F8">
        <w:rPr>
          <w:noProof/>
          <w:color w:val="000000"/>
          <w:highlight w:val="black"/>
        </w:rPr>
        <w:t>''''''''''''''''''</w:t>
      </w:r>
      <w:r w:rsidR="00B661CC" w:rsidRPr="007C103A">
        <w:t xml:space="preserve"> for 20 mg x 24), which resulted in an ICER for the revised base case of </w:t>
      </w:r>
      <w:r w:rsidR="00236E57" w:rsidRPr="00236E57">
        <w:t>$75,000 to &lt; $95,000</w:t>
      </w:r>
      <w:r w:rsidR="00236E57">
        <w:t xml:space="preserve"> </w:t>
      </w:r>
      <w:r w:rsidR="00B661CC" w:rsidRPr="007C103A">
        <w:t>per QALY.</w:t>
      </w:r>
    </w:p>
    <w:p w14:paraId="2213F823" w14:textId="77777777" w:rsidR="00C25D9C" w:rsidRPr="007C103A" w:rsidRDefault="00C25D9C" w:rsidP="00BB732D">
      <w:pPr>
        <w:pStyle w:val="4-SubsectionHeading"/>
      </w:pPr>
      <w:bookmarkStart w:id="21" w:name="_Toc22897646"/>
      <w:bookmarkStart w:id="22" w:name="_Toc71312054"/>
      <w:r w:rsidRPr="007C103A">
        <w:t>Dru</w:t>
      </w:r>
      <w:r w:rsidR="00E60AEF" w:rsidRPr="007C103A">
        <w:t>g</w:t>
      </w:r>
      <w:r w:rsidRPr="007C103A">
        <w:t xml:space="preserve"> cost/patient/course</w:t>
      </w:r>
      <w:bookmarkEnd w:id="21"/>
      <w:r w:rsidR="00E60AEF" w:rsidRPr="007C103A">
        <w:t xml:space="preserve"> and month</w:t>
      </w:r>
      <w:bookmarkEnd w:id="22"/>
    </w:p>
    <w:p w14:paraId="73230F6F" w14:textId="77777777" w:rsidR="00494207" w:rsidRPr="007C103A" w:rsidRDefault="00494207" w:rsidP="00BB732D">
      <w:pPr>
        <w:pStyle w:val="TableFigureHeading"/>
        <w:rPr>
          <w:rStyle w:val="CommentReference"/>
          <w:b/>
          <w:szCs w:val="24"/>
        </w:rPr>
      </w:pPr>
      <w:r w:rsidRPr="007C103A">
        <w:rPr>
          <w:rStyle w:val="CommentReference"/>
          <w:b/>
          <w:szCs w:val="24"/>
        </w:rPr>
        <w:t xml:space="preserve">Table </w:t>
      </w:r>
      <w:r w:rsidR="00E6157A" w:rsidRPr="007C103A">
        <w:rPr>
          <w:rStyle w:val="CommentReference"/>
          <w:b/>
          <w:szCs w:val="24"/>
        </w:rPr>
        <w:t>9</w:t>
      </w:r>
      <w:r w:rsidRPr="007C103A">
        <w:rPr>
          <w:rStyle w:val="CommentReference"/>
          <w:b/>
          <w:szCs w:val="24"/>
        </w:rPr>
        <w:t xml:space="preserve">: </w:t>
      </w:r>
      <w:r w:rsidR="00E60AEF" w:rsidRPr="007C103A">
        <w:rPr>
          <w:szCs w:val="20"/>
        </w:rPr>
        <w:t>Intervention costs per patient across one month and model duration</w:t>
      </w:r>
    </w:p>
    <w:tbl>
      <w:tblPr>
        <w:tblW w:w="50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36"/>
        <w:gridCol w:w="2427"/>
        <w:gridCol w:w="2385"/>
      </w:tblGrid>
      <w:tr w:rsidR="00E60AEF" w:rsidRPr="007C103A" w14:paraId="7FA43B87" w14:textId="77777777" w:rsidTr="00A640A9">
        <w:tc>
          <w:tcPr>
            <w:tcW w:w="2341" w:type="pct"/>
            <w:shd w:val="clear" w:color="auto" w:fill="auto"/>
            <w:vAlign w:val="center"/>
          </w:tcPr>
          <w:p w14:paraId="2314026C" w14:textId="77777777" w:rsidR="00E60AEF" w:rsidRPr="007C103A" w:rsidRDefault="00E60AEF" w:rsidP="00A640A9">
            <w:pPr>
              <w:keepNext/>
              <w:jc w:val="left"/>
              <w:rPr>
                <w:rFonts w:ascii="Arial Narrow" w:hAnsi="Arial Narrow"/>
                <w:b/>
                <w:sz w:val="20"/>
              </w:rPr>
            </w:pPr>
          </w:p>
        </w:tc>
        <w:tc>
          <w:tcPr>
            <w:tcW w:w="1341" w:type="pct"/>
            <w:shd w:val="clear" w:color="auto" w:fill="auto"/>
            <w:vAlign w:val="center"/>
          </w:tcPr>
          <w:p w14:paraId="51ADAEB1" w14:textId="77777777" w:rsidR="00E60AEF" w:rsidRPr="007C103A" w:rsidRDefault="00E60AEF" w:rsidP="00A640A9">
            <w:pPr>
              <w:keepNext/>
              <w:jc w:val="center"/>
              <w:rPr>
                <w:rFonts w:ascii="Arial Narrow" w:hAnsi="Arial Narrow"/>
                <w:b/>
                <w:sz w:val="20"/>
              </w:rPr>
            </w:pPr>
            <w:r w:rsidRPr="007C103A">
              <w:rPr>
                <w:rFonts w:ascii="Arial Narrow" w:hAnsi="Arial Narrow"/>
                <w:b/>
                <w:sz w:val="20"/>
              </w:rPr>
              <w:t>Selinexor</w:t>
            </w:r>
          </w:p>
        </w:tc>
        <w:tc>
          <w:tcPr>
            <w:tcW w:w="1318" w:type="pct"/>
            <w:shd w:val="clear" w:color="auto" w:fill="auto"/>
            <w:vAlign w:val="center"/>
          </w:tcPr>
          <w:p w14:paraId="0F13A4C1" w14:textId="77777777" w:rsidR="00E60AEF" w:rsidRPr="007C103A" w:rsidRDefault="00F52173" w:rsidP="00A640A9">
            <w:pPr>
              <w:keepNext/>
              <w:jc w:val="center"/>
              <w:rPr>
                <w:rFonts w:ascii="Arial Narrow" w:hAnsi="Arial Narrow"/>
                <w:b/>
                <w:sz w:val="20"/>
              </w:rPr>
            </w:pPr>
            <w:proofErr w:type="spellStart"/>
            <w:r w:rsidRPr="007C103A">
              <w:rPr>
                <w:rFonts w:ascii="Arial Narrow" w:hAnsi="Arial Narrow"/>
                <w:b/>
                <w:sz w:val="20"/>
              </w:rPr>
              <w:t>RGemOx</w:t>
            </w:r>
            <w:proofErr w:type="spellEnd"/>
          </w:p>
        </w:tc>
      </w:tr>
      <w:tr w:rsidR="00E60AEF" w:rsidRPr="007C103A" w14:paraId="0B1D5B18" w14:textId="77777777" w:rsidTr="00A640A9">
        <w:tc>
          <w:tcPr>
            <w:tcW w:w="2341" w:type="pct"/>
            <w:shd w:val="clear" w:color="auto" w:fill="auto"/>
            <w:vAlign w:val="center"/>
          </w:tcPr>
          <w:p w14:paraId="5A8CABD1" w14:textId="77777777" w:rsidR="00E60AEF" w:rsidRPr="007C103A" w:rsidRDefault="00E60AEF" w:rsidP="00A640A9">
            <w:pPr>
              <w:keepNext/>
              <w:jc w:val="left"/>
              <w:rPr>
                <w:rFonts w:ascii="Arial Narrow" w:hAnsi="Arial Narrow"/>
                <w:sz w:val="20"/>
              </w:rPr>
            </w:pPr>
            <w:r w:rsidRPr="007C103A">
              <w:rPr>
                <w:rFonts w:ascii="Arial Narrow" w:hAnsi="Arial Narrow"/>
                <w:sz w:val="20"/>
              </w:rPr>
              <w:t>Treatment duration in model</w:t>
            </w:r>
          </w:p>
        </w:tc>
        <w:tc>
          <w:tcPr>
            <w:tcW w:w="1341" w:type="pct"/>
            <w:shd w:val="clear" w:color="auto" w:fill="auto"/>
            <w:vAlign w:val="center"/>
          </w:tcPr>
          <w:p w14:paraId="61A861D7" w14:textId="77777777" w:rsidR="00E60AEF" w:rsidRPr="007C103A" w:rsidRDefault="00E60AEF" w:rsidP="00A640A9">
            <w:pPr>
              <w:keepNext/>
              <w:jc w:val="center"/>
              <w:rPr>
                <w:rFonts w:ascii="Arial Narrow" w:hAnsi="Arial Narrow"/>
                <w:sz w:val="20"/>
              </w:rPr>
            </w:pPr>
            <w:r w:rsidRPr="007C103A">
              <w:rPr>
                <w:rFonts w:ascii="Arial Narrow" w:hAnsi="Arial Narrow"/>
                <w:sz w:val="20"/>
              </w:rPr>
              <w:t>6.02 months</w:t>
            </w:r>
          </w:p>
        </w:tc>
        <w:tc>
          <w:tcPr>
            <w:tcW w:w="1318" w:type="pct"/>
            <w:shd w:val="clear" w:color="auto" w:fill="auto"/>
            <w:vAlign w:val="center"/>
          </w:tcPr>
          <w:p w14:paraId="13BE6B0C" w14:textId="77777777" w:rsidR="00E60AEF" w:rsidRPr="007C103A" w:rsidRDefault="00E60AEF" w:rsidP="00A640A9">
            <w:pPr>
              <w:keepNext/>
              <w:jc w:val="center"/>
              <w:rPr>
                <w:rFonts w:ascii="Arial Narrow" w:hAnsi="Arial Narrow"/>
                <w:sz w:val="20"/>
              </w:rPr>
            </w:pPr>
            <w:r w:rsidRPr="007C103A">
              <w:rPr>
                <w:rFonts w:ascii="Arial Narrow" w:hAnsi="Arial Narrow"/>
                <w:sz w:val="20"/>
              </w:rPr>
              <w:t>1.79 months</w:t>
            </w:r>
          </w:p>
        </w:tc>
      </w:tr>
      <w:tr w:rsidR="00E60AEF" w:rsidRPr="007C103A" w14:paraId="0ECCD359" w14:textId="77777777" w:rsidTr="00112C42">
        <w:tc>
          <w:tcPr>
            <w:tcW w:w="2341" w:type="pct"/>
            <w:tcBorders>
              <w:bottom w:val="single" w:sz="4" w:space="0" w:color="auto"/>
            </w:tcBorders>
            <w:shd w:val="clear" w:color="auto" w:fill="auto"/>
            <w:vAlign w:val="center"/>
          </w:tcPr>
          <w:p w14:paraId="003C4FE2" w14:textId="77777777" w:rsidR="00E60AEF" w:rsidRPr="007C103A" w:rsidRDefault="00E60AEF" w:rsidP="00A640A9">
            <w:pPr>
              <w:keepNext/>
              <w:jc w:val="left"/>
              <w:rPr>
                <w:rFonts w:ascii="Arial Narrow" w:hAnsi="Arial Narrow"/>
                <w:sz w:val="20"/>
              </w:rPr>
            </w:pPr>
            <w:r w:rsidRPr="007C103A">
              <w:rPr>
                <w:rFonts w:ascii="Arial Narrow" w:hAnsi="Arial Narrow"/>
                <w:sz w:val="20"/>
              </w:rPr>
              <w:t>Cost of treatment for model duration</w:t>
            </w:r>
          </w:p>
        </w:tc>
        <w:tc>
          <w:tcPr>
            <w:tcW w:w="1341" w:type="pct"/>
            <w:tcBorders>
              <w:bottom w:val="single" w:sz="4" w:space="0" w:color="auto"/>
            </w:tcBorders>
            <w:shd w:val="clear" w:color="auto" w:fill="auto"/>
            <w:vAlign w:val="center"/>
          </w:tcPr>
          <w:p w14:paraId="24D1525E" w14:textId="77777777" w:rsidR="00E60AEF" w:rsidRPr="007C103A" w:rsidRDefault="00E60AEF" w:rsidP="00A640A9">
            <w:pPr>
              <w:keepNext/>
              <w:jc w:val="center"/>
              <w:rPr>
                <w:rFonts w:ascii="Arial Narrow" w:hAnsi="Arial Narrow"/>
                <w:sz w:val="20"/>
              </w:rPr>
            </w:pPr>
            <w:r w:rsidRPr="007C103A">
              <w:rPr>
                <w:rFonts w:ascii="Arial Narrow" w:hAnsi="Arial Narrow"/>
                <w:sz w:val="20"/>
              </w:rPr>
              <w:t>$</w:t>
            </w:r>
            <w:r w:rsidR="004A77F8">
              <w:rPr>
                <w:rFonts w:ascii="Arial Narrow" w:hAnsi="Arial Narrow"/>
                <w:noProof/>
                <w:color w:val="000000"/>
                <w:sz w:val="20"/>
                <w:highlight w:val="black"/>
              </w:rPr>
              <w:t>''''''''''''''''</w:t>
            </w:r>
          </w:p>
        </w:tc>
        <w:tc>
          <w:tcPr>
            <w:tcW w:w="1318" w:type="pct"/>
            <w:tcBorders>
              <w:bottom w:val="single" w:sz="4" w:space="0" w:color="auto"/>
            </w:tcBorders>
            <w:shd w:val="clear" w:color="auto" w:fill="auto"/>
            <w:vAlign w:val="center"/>
          </w:tcPr>
          <w:p w14:paraId="0D519BA5" w14:textId="77777777" w:rsidR="00E60AEF" w:rsidRPr="007C103A" w:rsidRDefault="00E60AEF" w:rsidP="00A640A9">
            <w:pPr>
              <w:keepNext/>
              <w:jc w:val="center"/>
              <w:rPr>
                <w:rFonts w:ascii="Arial Narrow" w:hAnsi="Arial Narrow"/>
                <w:sz w:val="20"/>
              </w:rPr>
            </w:pPr>
            <w:r w:rsidRPr="007C103A">
              <w:rPr>
                <w:rFonts w:ascii="Arial Narrow" w:hAnsi="Arial Narrow"/>
                <w:sz w:val="20"/>
              </w:rPr>
              <w:t>$7,253</w:t>
            </w:r>
          </w:p>
        </w:tc>
      </w:tr>
      <w:tr w:rsidR="00E60AEF" w:rsidRPr="007C103A" w14:paraId="4C6A9DF7" w14:textId="77777777" w:rsidTr="00A640A9">
        <w:tc>
          <w:tcPr>
            <w:tcW w:w="2341" w:type="pct"/>
            <w:shd w:val="clear" w:color="auto" w:fill="auto"/>
            <w:vAlign w:val="center"/>
          </w:tcPr>
          <w:p w14:paraId="62D4BEF8" w14:textId="77777777" w:rsidR="00E60AEF" w:rsidRPr="007C103A" w:rsidRDefault="00E60AEF" w:rsidP="00A640A9">
            <w:pPr>
              <w:keepNext/>
              <w:jc w:val="left"/>
              <w:rPr>
                <w:rFonts w:ascii="Arial Narrow" w:hAnsi="Arial Narrow"/>
                <w:sz w:val="20"/>
              </w:rPr>
            </w:pPr>
            <w:r w:rsidRPr="007C103A">
              <w:rPr>
                <w:rFonts w:ascii="Arial Narrow" w:hAnsi="Arial Narrow"/>
                <w:sz w:val="20"/>
              </w:rPr>
              <w:t>Cost per month</w:t>
            </w:r>
          </w:p>
        </w:tc>
        <w:tc>
          <w:tcPr>
            <w:tcW w:w="1341" w:type="pct"/>
            <w:shd w:val="clear" w:color="auto" w:fill="auto"/>
            <w:vAlign w:val="center"/>
          </w:tcPr>
          <w:p w14:paraId="16AF0E6E" w14:textId="77777777" w:rsidR="00E60AEF" w:rsidRPr="007C103A" w:rsidRDefault="00E60AEF" w:rsidP="00A640A9">
            <w:pPr>
              <w:keepNext/>
              <w:jc w:val="center"/>
              <w:rPr>
                <w:rFonts w:ascii="Arial Narrow" w:hAnsi="Arial Narrow"/>
                <w:iCs/>
                <w:sz w:val="20"/>
              </w:rPr>
            </w:pPr>
            <w:r w:rsidRPr="007C103A">
              <w:rPr>
                <w:rFonts w:ascii="Arial Narrow" w:hAnsi="Arial Narrow"/>
                <w:iCs/>
                <w:sz w:val="20"/>
              </w:rPr>
              <w:t>$</w:t>
            </w:r>
            <w:r w:rsidR="004A77F8">
              <w:rPr>
                <w:rFonts w:ascii="Arial Narrow" w:hAnsi="Arial Narrow"/>
                <w:iCs/>
                <w:noProof/>
                <w:color w:val="000000"/>
                <w:sz w:val="20"/>
                <w:highlight w:val="black"/>
              </w:rPr>
              <w:t>''''''''''''''''''''''</w:t>
            </w:r>
          </w:p>
        </w:tc>
        <w:tc>
          <w:tcPr>
            <w:tcW w:w="1318" w:type="pct"/>
            <w:shd w:val="clear" w:color="auto" w:fill="auto"/>
            <w:vAlign w:val="center"/>
          </w:tcPr>
          <w:p w14:paraId="54C95FBC" w14:textId="77777777" w:rsidR="00E60AEF" w:rsidRPr="007C103A" w:rsidRDefault="00E60AEF" w:rsidP="00A640A9">
            <w:pPr>
              <w:keepNext/>
              <w:jc w:val="center"/>
              <w:rPr>
                <w:rFonts w:ascii="Arial Narrow" w:hAnsi="Arial Narrow"/>
                <w:iCs/>
                <w:sz w:val="20"/>
              </w:rPr>
            </w:pPr>
            <w:r w:rsidRPr="007C103A">
              <w:rPr>
                <w:rFonts w:ascii="Arial Narrow" w:hAnsi="Arial Narrow"/>
                <w:iCs/>
                <w:sz w:val="20"/>
              </w:rPr>
              <w:t>$4,054.42</w:t>
            </w:r>
          </w:p>
        </w:tc>
      </w:tr>
    </w:tbl>
    <w:p w14:paraId="313AF16F" w14:textId="77777777" w:rsidR="00494207" w:rsidRPr="007C103A" w:rsidRDefault="00E60AEF" w:rsidP="00C94053">
      <w:pPr>
        <w:pStyle w:val="TableFigureFooter"/>
      </w:pPr>
      <w:r w:rsidRPr="007C103A">
        <w:t>Source: Table 3-26, p143 of the submission.</w:t>
      </w:r>
    </w:p>
    <w:p w14:paraId="3D4D0DF6" w14:textId="77777777" w:rsidR="00494207" w:rsidRPr="007C103A" w:rsidRDefault="00F52173" w:rsidP="00C94053">
      <w:pPr>
        <w:pStyle w:val="TableFigureFooter"/>
      </w:pPr>
      <w:proofErr w:type="spellStart"/>
      <w:r w:rsidRPr="007C103A">
        <w:t>RGemOx</w:t>
      </w:r>
      <w:proofErr w:type="spellEnd"/>
      <w:r w:rsidR="00ED53FC" w:rsidRPr="007C103A">
        <w:t xml:space="preserve"> </w:t>
      </w:r>
      <w:r w:rsidR="00E60AEF" w:rsidRPr="007C103A">
        <w:t>=</w:t>
      </w:r>
      <w:r w:rsidR="00ED53FC" w:rsidRPr="007C103A">
        <w:t xml:space="preserve"> </w:t>
      </w:r>
      <w:r w:rsidR="00011C80" w:rsidRPr="007C103A">
        <w:t>rituximab-gemcitabine-oxaliplatin</w:t>
      </w:r>
    </w:p>
    <w:p w14:paraId="501D59A7" w14:textId="77777777" w:rsidR="00BC7DB0" w:rsidRPr="007C103A" w:rsidRDefault="00BC7DB0" w:rsidP="002B05A1">
      <w:pPr>
        <w:pStyle w:val="3-BodyText"/>
        <w:rPr>
          <w:snapToGrid/>
        </w:rPr>
      </w:pPr>
      <w:r w:rsidRPr="007C103A">
        <w:rPr>
          <w:iCs/>
        </w:rPr>
        <w:t>The estimated costs should be interp</w:t>
      </w:r>
      <w:r w:rsidR="00A42A52" w:rsidRPr="007C103A">
        <w:rPr>
          <w:iCs/>
        </w:rPr>
        <w:t>reted with caution, given they we</w:t>
      </w:r>
      <w:r w:rsidRPr="007C103A">
        <w:rPr>
          <w:iCs/>
        </w:rPr>
        <w:t>re based on values sourced from a model with minimal support.</w:t>
      </w:r>
      <w:r w:rsidR="0084060B" w:rsidRPr="007C103A">
        <w:rPr>
          <w:iCs/>
        </w:rPr>
        <w:t xml:space="preserve"> </w:t>
      </w:r>
      <w:r w:rsidRPr="007C103A">
        <w:rPr>
          <w:iCs/>
        </w:rPr>
        <w:t xml:space="preserve">In addition, for </w:t>
      </w:r>
      <w:proofErr w:type="spellStart"/>
      <w:r w:rsidRPr="007C103A">
        <w:rPr>
          <w:iCs/>
        </w:rPr>
        <w:t>RGemOx</w:t>
      </w:r>
      <w:proofErr w:type="spellEnd"/>
      <w:r w:rsidRPr="007C103A">
        <w:rPr>
          <w:iCs/>
        </w:rPr>
        <w:t xml:space="preserve"> the treatment duration was based on the submission’s assumption that patients would receive four fixed cycles of treatment, consistent with the median number of cycles </w:t>
      </w:r>
      <w:r w:rsidRPr="007C103A">
        <w:rPr>
          <w:iCs/>
        </w:rPr>
        <w:lastRenderedPageBreak/>
        <w:t>received in the published literature.</w:t>
      </w:r>
      <w:r w:rsidR="0084060B" w:rsidRPr="007C103A">
        <w:rPr>
          <w:iCs/>
        </w:rPr>
        <w:t xml:space="preserve"> </w:t>
      </w:r>
      <w:r w:rsidRPr="007C103A">
        <w:rPr>
          <w:iCs/>
        </w:rPr>
        <w:t xml:space="preserve">The submission cited </w:t>
      </w:r>
      <w:proofErr w:type="spellStart"/>
      <w:r w:rsidRPr="007C103A">
        <w:rPr>
          <w:iCs/>
        </w:rPr>
        <w:t>Dhanapal</w:t>
      </w:r>
      <w:proofErr w:type="spellEnd"/>
      <w:r w:rsidRPr="007C103A">
        <w:rPr>
          <w:iCs/>
        </w:rPr>
        <w:t xml:space="preserve"> 2017, </w:t>
      </w:r>
      <w:proofErr w:type="spellStart"/>
      <w:r w:rsidRPr="007C103A">
        <w:rPr>
          <w:iCs/>
        </w:rPr>
        <w:t>Franch-Sarto</w:t>
      </w:r>
      <w:proofErr w:type="spellEnd"/>
      <w:r w:rsidRPr="007C103A">
        <w:rPr>
          <w:iCs/>
        </w:rPr>
        <w:t xml:space="preserve"> 2019 and Lopez 2007 as the literature supporting this assumption</w:t>
      </w:r>
      <w:r w:rsidR="00A42A52" w:rsidRPr="007C103A">
        <w:rPr>
          <w:iCs/>
        </w:rPr>
        <w:t>;</w:t>
      </w:r>
      <w:r w:rsidRPr="007C103A">
        <w:rPr>
          <w:iCs/>
        </w:rPr>
        <w:t xml:space="preserve"> however</w:t>
      </w:r>
      <w:r w:rsidR="00A42A52" w:rsidRPr="007C103A">
        <w:rPr>
          <w:iCs/>
        </w:rPr>
        <w:t>,</w:t>
      </w:r>
      <w:r w:rsidRPr="007C103A">
        <w:rPr>
          <w:iCs/>
        </w:rPr>
        <w:t xml:space="preserve"> these were small studies (N=44 for </w:t>
      </w:r>
      <w:proofErr w:type="spellStart"/>
      <w:r w:rsidRPr="007C103A">
        <w:rPr>
          <w:iCs/>
        </w:rPr>
        <w:t>Dhanapal</w:t>
      </w:r>
      <w:proofErr w:type="spellEnd"/>
      <w:r w:rsidRPr="007C103A">
        <w:rPr>
          <w:iCs/>
        </w:rPr>
        <w:t xml:space="preserve"> 2017; N=32 for Lopez 2007; </w:t>
      </w:r>
      <w:proofErr w:type="spellStart"/>
      <w:r w:rsidRPr="007C103A">
        <w:rPr>
          <w:iCs/>
        </w:rPr>
        <w:t>Franch-Sarto</w:t>
      </w:r>
      <w:proofErr w:type="spellEnd"/>
      <w:r w:rsidRPr="007C103A">
        <w:rPr>
          <w:iCs/>
        </w:rPr>
        <w:t xml:space="preserve"> was a letter to the editor discussing </w:t>
      </w:r>
      <w:proofErr w:type="spellStart"/>
      <w:r w:rsidRPr="007C103A">
        <w:rPr>
          <w:iCs/>
        </w:rPr>
        <w:t>Dhanapal</w:t>
      </w:r>
      <w:proofErr w:type="spellEnd"/>
      <w:r w:rsidRPr="007C103A">
        <w:rPr>
          <w:iCs/>
        </w:rPr>
        <w:t xml:space="preserve"> 2017) which were acknowledged by the submission as having limited applicability.</w:t>
      </w:r>
    </w:p>
    <w:p w14:paraId="110539DB" w14:textId="77777777" w:rsidR="00B60939" w:rsidRPr="007C103A" w:rsidRDefault="00B60939" w:rsidP="002B05A1">
      <w:pPr>
        <w:pStyle w:val="4-SubsectionHeading"/>
      </w:pPr>
      <w:bookmarkStart w:id="23" w:name="_Toc22897647"/>
      <w:bookmarkStart w:id="24" w:name="_Toc71312055"/>
      <w:r w:rsidRPr="007C103A">
        <w:t>Estimated PBS usage &amp; financial implications</w:t>
      </w:r>
      <w:bookmarkEnd w:id="23"/>
      <w:bookmarkEnd w:id="24"/>
    </w:p>
    <w:p w14:paraId="10894667" w14:textId="77777777" w:rsidR="002D7FDB" w:rsidRPr="007C103A" w:rsidRDefault="00457EF6" w:rsidP="002D7FDB">
      <w:pPr>
        <w:pStyle w:val="3-BodyText"/>
        <w:rPr>
          <w:color w:val="0066FF"/>
        </w:rPr>
      </w:pPr>
      <w:r w:rsidRPr="007C103A">
        <w:t xml:space="preserve">DUSC considered this </w:t>
      </w:r>
      <w:r w:rsidR="002D7FDB" w:rsidRPr="007C103A">
        <w:t>submission</w:t>
      </w:r>
      <w:r w:rsidR="002D7FDB" w:rsidRPr="007C103A">
        <w:rPr>
          <w:color w:val="0070C0"/>
        </w:rPr>
        <w:t xml:space="preserve">. </w:t>
      </w:r>
      <w:r w:rsidR="002D7FDB" w:rsidRPr="007C103A">
        <w:t xml:space="preserve">The submission applied an incidence-based epidemiological approach to estimate the number of patients eligible for treatment with selinexor. The table below summarises the inputs used for the financial estimates. </w:t>
      </w:r>
    </w:p>
    <w:p w14:paraId="7D5E8799" w14:textId="77777777" w:rsidR="002D7FDB" w:rsidRPr="007C103A" w:rsidRDefault="002D7FDB" w:rsidP="002D7FDB">
      <w:pPr>
        <w:pStyle w:val="TableFigureHeading"/>
        <w:rPr>
          <w:rStyle w:val="CommentReference"/>
          <w:b/>
          <w:szCs w:val="24"/>
        </w:rPr>
      </w:pPr>
      <w:r w:rsidRPr="007C103A">
        <w:rPr>
          <w:rStyle w:val="CommentReference"/>
          <w:b/>
          <w:szCs w:val="24"/>
        </w:rPr>
        <w:t xml:space="preserve">Table </w:t>
      </w:r>
      <w:r w:rsidR="002D2FFF">
        <w:rPr>
          <w:rStyle w:val="CommentReference"/>
          <w:b/>
          <w:szCs w:val="24"/>
        </w:rPr>
        <w:t>10</w:t>
      </w:r>
      <w:r w:rsidRPr="007C103A">
        <w:rPr>
          <w:rStyle w:val="CommentReference"/>
          <w:b/>
          <w:szCs w:val="24"/>
        </w:rPr>
        <w:t>: Key inputs for financial estimates</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7"/>
        <w:gridCol w:w="4667"/>
        <w:gridCol w:w="2677"/>
      </w:tblGrid>
      <w:tr w:rsidR="002D7FDB" w:rsidRPr="007C103A" w14:paraId="34993EAF" w14:textId="77777777" w:rsidTr="008059B6">
        <w:trPr>
          <w:tblHeader/>
        </w:trPr>
        <w:tc>
          <w:tcPr>
            <w:tcW w:w="943" w:type="pct"/>
            <w:shd w:val="clear" w:color="auto" w:fill="auto"/>
            <w:vAlign w:val="center"/>
          </w:tcPr>
          <w:p w14:paraId="2E8502E7" w14:textId="77777777" w:rsidR="002D7FDB" w:rsidRPr="007C103A" w:rsidRDefault="002D7FDB" w:rsidP="008059B6">
            <w:pPr>
              <w:pStyle w:val="In-tableHeading"/>
              <w:widowControl w:val="0"/>
              <w:rPr>
                <w:lang w:val="en-AU"/>
              </w:rPr>
            </w:pPr>
            <w:r w:rsidRPr="007C103A">
              <w:rPr>
                <w:lang w:val="en-AU"/>
              </w:rPr>
              <w:t>Parameter</w:t>
            </w:r>
          </w:p>
        </w:tc>
        <w:tc>
          <w:tcPr>
            <w:tcW w:w="2578" w:type="pct"/>
            <w:shd w:val="clear" w:color="auto" w:fill="auto"/>
            <w:vAlign w:val="center"/>
          </w:tcPr>
          <w:p w14:paraId="3FCD1762" w14:textId="77777777" w:rsidR="002D7FDB" w:rsidRPr="007C103A" w:rsidRDefault="002D7FDB" w:rsidP="008059B6">
            <w:pPr>
              <w:pStyle w:val="In-tableHeading"/>
              <w:widowControl w:val="0"/>
              <w:jc w:val="center"/>
              <w:rPr>
                <w:lang w:val="en-AU"/>
              </w:rPr>
            </w:pPr>
            <w:r w:rsidRPr="007C103A">
              <w:rPr>
                <w:lang w:val="en-AU"/>
              </w:rPr>
              <w:t>Value applied and source</w:t>
            </w:r>
          </w:p>
        </w:tc>
        <w:tc>
          <w:tcPr>
            <w:tcW w:w="1479" w:type="pct"/>
            <w:shd w:val="clear" w:color="auto" w:fill="auto"/>
            <w:vAlign w:val="center"/>
          </w:tcPr>
          <w:p w14:paraId="3A06DEAC" w14:textId="77777777" w:rsidR="002D7FDB" w:rsidRPr="007C103A" w:rsidRDefault="002D7FDB" w:rsidP="008059B6">
            <w:pPr>
              <w:pStyle w:val="In-tableHeading"/>
              <w:widowControl w:val="0"/>
              <w:jc w:val="center"/>
              <w:rPr>
                <w:lang w:val="en-AU"/>
              </w:rPr>
            </w:pPr>
            <w:r w:rsidRPr="007C103A">
              <w:rPr>
                <w:lang w:val="en-AU"/>
              </w:rPr>
              <w:t>Comment</w:t>
            </w:r>
          </w:p>
        </w:tc>
      </w:tr>
      <w:tr w:rsidR="002D7FDB" w:rsidRPr="007C103A" w14:paraId="176F7DC6" w14:textId="77777777" w:rsidTr="008059B6">
        <w:tc>
          <w:tcPr>
            <w:tcW w:w="943" w:type="pct"/>
            <w:shd w:val="clear" w:color="auto" w:fill="auto"/>
            <w:vAlign w:val="center"/>
          </w:tcPr>
          <w:p w14:paraId="76067D03" w14:textId="77777777" w:rsidR="002D7FDB" w:rsidRPr="007C103A" w:rsidRDefault="002D7FDB" w:rsidP="008059B6">
            <w:pPr>
              <w:pStyle w:val="TableText0"/>
              <w:widowControl w:val="0"/>
            </w:pPr>
            <w:r w:rsidRPr="007C103A">
              <w:t>Incidence population</w:t>
            </w:r>
          </w:p>
        </w:tc>
        <w:tc>
          <w:tcPr>
            <w:tcW w:w="2578" w:type="pct"/>
            <w:shd w:val="clear" w:color="auto" w:fill="auto"/>
            <w:vAlign w:val="center"/>
          </w:tcPr>
          <w:p w14:paraId="71F6DA31" w14:textId="77777777" w:rsidR="002D7FDB" w:rsidRPr="007C103A" w:rsidRDefault="002D7FDB" w:rsidP="008059B6">
            <w:pPr>
              <w:keepNext/>
              <w:widowControl w:val="0"/>
              <w:jc w:val="left"/>
              <w:rPr>
                <w:rFonts w:ascii="Arial Narrow" w:hAnsi="Arial Narrow"/>
                <w:sz w:val="20"/>
                <w:szCs w:val="20"/>
              </w:rPr>
            </w:pPr>
            <w:r w:rsidRPr="007C103A">
              <w:rPr>
                <w:rFonts w:ascii="Arial Narrow" w:hAnsi="Arial Narrow"/>
                <w:sz w:val="20"/>
                <w:szCs w:val="20"/>
              </w:rPr>
              <w:t>AIHW data (2020): Number of patients with NHL, age-adjusted for ≥18 years; assume 35% have DLBCL. Sponsor assumption that 95% would receive active treatment.</w:t>
            </w:r>
          </w:p>
          <w:p w14:paraId="261D7E9E" w14:textId="77777777" w:rsidR="002D7FDB" w:rsidRPr="007C103A" w:rsidRDefault="002D7FDB" w:rsidP="008059B6">
            <w:pPr>
              <w:keepNext/>
              <w:widowControl w:val="0"/>
              <w:jc w:val="left"/>
              <w:rPr>
                <w:rFonts w:ascii="Arial Narrow" w:hAnsi="Arial Narrow"/>
                <w:sz w:val="20"/>
                <w:szCs w:val="20"/>
              </w:rPr>
            </w:pPr>
            <w:r w:rsidRPr="007C103A">
              <w:rPr>
                <w:rFonts w:ascii="Arial Narrow" w:hAnsi="Arial Narrow"/>
                <w:sz w:val="20"/>
                <w:szCs w:val="20"/>
              </w:rPr>
              <w:t xml:space="preserve">Incidence count from 2016 was applied to Year 1 (2021), 2017 to Year 2 (2022) and so on - this was based on the estimation of 5 years from diagnosis to time to </w:t>
            </w:r>
            <w:r w:rsidR="00DD6A18" w:rsidRPr="007C103A">
              <w:rPr>
                <w:rFonts w:ascii="Arial Narrow" w:hAnsi="Arial Narrow"/>
                <w:sz w:val="20"/>
                <w:szCs w:val="20"/>
              </w:rPr>
              <w:t>third-</w:t>
            </w:r>
            <w:r w:rsidRPr="007C103A">
              <w:rPr>
                <w:rFonts w:ascii="Arial Narrow" w:hAnsi="Arial Narrow"/>
                <w:sz w:val="20"/>
                <w:szCs w:val="20"/>
              </w:rPr>
              <w:t>line treatment.</w:t>
            </w:r>
          </w:p>
          <w:p w14:paraId="548F2DC4" w14:textId="77777777" w:rsidR="002D7FDB" w:rsidRPr="007C103A" w:rsidRDefault="002D7FDB" w:rsidP="008059B6">
            <w:pPr>
              <w:keepNext/>
              <w:widowControl w:val="0"/>
              <w:jc w:val="left"/>
              <w:rPr>
                <w:rFonts w:ascii="Arial Narrow" w:hAnsi="Arial Narrow" w:cstheme="minorHAnsi"/>
                <w:sz w:val="20"/>
                <w:szCs w:val="20"/>
              </w:rPr>
            </w:pPr>
            <w:r w:rsidRPr="007C103A">
              <w:rPr>
                <w:rFonts w:ascii="Arial Narrow" w:hAnsi="Arial Narrow" w:cstheme="minorHAnsi"/>
                <w:sz w:val="20"/>
                <w:szCs w:val="20"/>
              </w:rPr>
              <w:t>DLBCL patients that are RR after first-line therapy: 40%</w:t>
            </w:r>
          </w:p>
          <w:p w14:paraId="13DBA527" w14:textId="77777777" w:rsidR="002D7FDB" w:rsidRPr="007C103A" w:rsidRDefault="002D7FDB" w:rsidP="008059B6">
            <w:pPr>
              <w:keepNext/>
              <w:widowControl w:val="0"/>
              <w:jc w:val="left"/>
              <w:rPr>
                <w:rFonts w:ascii="Arial Narrow" w:hAnsi="Arial Narrow" w:cstheme="minorHAnsi"/>
                <w:sz w:val="20"/>
                <w:szCs w:val="20"/>
              </w:rPr>
            </w:pPr>
            <w:r w:rsidRPr="007C103A">
              <w:rPr>
                <w:rFonts w:ascii="Arial Narrow" w:hAnsi="Arial Narrow" w:cstheme="minorHAnsi"/>
                <w:sz w:val="20"/>
                <w:szCs w:val="20"/>
              </w:rPr>
              <w:t>RR DLBCL patients that are eligible for ASCT: 50%</w:t>
            </w:r>
          </w:p>
          <w:p w14:paraId="6C5B80B0" w14:textId="77777777" w:rsidR="002D7FDB" w:rsidRPr="007C103A" w:rsidRDefault="002D7FDB" w:rsidP="008059B6">
            <w:pPr>
              <w:keepNext/>
              <w:widowControl w:val="0"/>
              <w:jc w:val="left"/>
              <w:rPr>
                <w:rFonts w:ascii="Arial Narrow" w:hAnsi="Arial Narrow" w:cstheme="minorHAnsi"/>
                <w:sz w:val="20"/>
                <w:szCs w:val="20"/>
              </w:rPr>
            </w:pPr>
            <w:r w:rsidRPr="007C103A">
              <w:rPr>
                <w:rFonts w:ascii="Arial Narrow" w:hAnsi="Arial Narrow" w:cstheme="minorHAnsi"/>
                <w:sz w:val="20"/>
                <w:szCs w:val="20"/>
              </w:rPr>
              <w:t xml:space="preserve">DLBCL patients that are RR after ASCT and </w:t>
            </w:r>
            <w:r w:rsidR="00DD6A18" w:rsidRPr="007C103A">
              <w:rPr>
                <w:rFonts w:ascii="Arial Narrow" w:hAnsi="Arial Narrow" w:cstheme="minorHAnsi"/>
                <w:sz w:val="20"/>
                <w:szCs w:val="20"/>
              </w:rPr>
              <w:t>second-line</w:t>
            </w:r>
            <w:r w:rsidRPr="007C103A">
              <w:rPr>
                <w:rFonts w:ascii="Arial Narrow" w:hAnsi="Arial Narrow" w:cstheme="minorHAnsi"/>
                <w:sz w:val="20"/>
                <w:szCs w:val="20"/>
              </w:rPr>
              <w:t xml:space="preserve"> therapy: 45%</w:t>
            </w:r>
          </w:p>
          <w:p w14:paraId="0D64D0A2" w14:textId="77777777" w:rsidR="002D7FDB" w:rsidRPr="007C103A" w:rsidRDefault="002D7FDB" w:rsidP="008059B6">
            <w:pPr>
              <w:pStyle w:val="TableText0"/>
              <w:widowControl w:val="0"/>
            </w:pPr>
            <w:r w:rsidRPr="007C103A">
              <w:rPr>
                <w:rFonts w:cstheme="minorHAnsi"/>
                <w:szCs w:val="20"/>
              </w:rPr>
              <w:t xml:space="preserve">DLBCL patients that are ineligible for ASCT and are RR after </w:t>
            </w:r>
            <w:r w:rsidR="00DD6A18" w:rsidRPr="007C103A">
              <w:rPr>
                <w:rFonts w:cstheme="minorHAnsi"/>
                <w:szCs w:val="20"/>
              </w:rPr>
              <w:t>second-line</w:t>
            </w:r>
            <w:r w:rsidRPr="007C103A">
              <w:rPr>
                <w:rFonts w:cstheme="minorHAnsi"/>
                <w:szCs w:val="20"/>
              </w:rPr>
              <w:t xml:space="preserve"> therapy: 90%</w:t>
            </w:r>
          </w:p>
        </w:tc>
        <w:tc>
          <w:tcPr>
            <w:tcW w:w="1479" w:type="pct"/>
            <w:shd w:val="clear" w:color="auto" w:fill="auto"/>
            <w:vAlign w:val="center"/>
          </w:tcPr>
          <w:p w14:paraId="6FA49185" w14:textId="77777777" w:rsidR="002D7FDB" w:rsidRPr="007C103A" w:rsidRDefault="002D7FDB" w:rsidP="008059B6">
            <w:pPr>
              <w:pStyle w:val="TableText0"/>
              <w:widowControl w:val="0"/>
            </w:pPr>
            <w:r w:rsidRPr="007C103A">
              <w:t xml:space="preserve">Reasonable, although there was limited support for the assumption that the time from diagnosis to third-line treatment is 5 years. </w:t>
            </w:r>
            <w:r w:rsidR="00457EF6" w:rsidRPr="007C103A">
              <w:t>Also,</w:t>
            </w:r>
            <w:r w:rsidRPr="007C103A">
              <w:t xml:space="preserve"> the assumption that 50% of patients are eligible for ASCT did not correspond to SADAL, </w:t>
            </w:r>
            <w:r w:rsidRPr="007C103A">
              <w:rPr>
                <w:iCs/>
              </w:rPr>
              <w:t>where all patients were ineligible for ASCT at baseline, although 30% of patients had a previous ASCT.</w:t>
            </w:r>
          </w:p>
        </w:tc>
      </w:tr>
      <w:tr w:rsidR="002D7FDB" w:rsidRPr="007C103A" w14:paraId="144F6C32" w14:textId="77777777" w:rsidTr="008059B6">
        <w:tc>
          <w:tcPr>
            <w:tcW w:w="943" w:type="pct"/>
            <w:shd w:val="clear" w:color="auto" w:fill="auto"/>
            <w:vAlign w:val="center"/>
          </w:tcPr>
          <w:p w14:paraId="2B38E27B" w14:textId="77777777" w:rsidR="002D7FDB" w:rsidRPr="007C103A" w:rsidRDefault="002D7FDB" w:rsidP="008059B6">
            <w:pPr>
              <w:pStyle w:val="TableText0"/>
              <w:widowControl w:val="0"/>
            </w:pPr>
            <w:r w:rsidRPr="007C103A">
              <w:t>Uptake rate</w:t>
            </w:r>
          </w:p>
        </w:tc>
        <w:tc>
          <w:tcPr>
            <w:tcW w:w="2578" w:type="pct"/>
            <w:shd w:val="clear" w:color="auto" w:fill="auto"/>
            <w:vAlign w:val="center"/>
          </w:tcPr>
          <w:p w14:paraId="40556273" w14:textId="77777777" w:rsidR="002D7FDB" w:rsidRPr="007C103A" w:rsidRDefault="004A77F8" w:rsidP="008059B6">
            <w:pPr>
              <w:pStyle w:val="TableText0"/>
              <w:widowControl w:val="0"/>
            </w:pPr>
            <w:r>
              <w:rPr>
                <w:noProof/>
                <w:color w:val="000000"/>
                <w:highlight w:val="black"/>
              </w:rPr>
              <w:t>''''''</w:t>
            </w:r>
            <w:r w:rsidR="002D7FDB" w:rsidRPr="007C103A">
              <w:t xml:space="preserve">% in Year 1, </w:t>
            </w:r>
            <w:r>
              <w:rPr>
                <w:noProof/>
                <w:color w:val="000000"/>
                <w:highlight w:val="black"/>
              </w:rPr>
              <w:t>''''''</w:t>
            </w:r>
            <w:r w:rsidR="002D7FDB" w:rsidRPr="007C103A">
              <w:t xml:space="preserve">% in Year 2, </w:t>
            </w:r>
            <w:r>
              <w:rPr>
                <w:noProof/>
                <w:color w:val="000000"/>
                <w:highlight w:val="black"/>
              </w:rPr>
              <w:t>''''''</w:t>
            </w:r>
            <w:r w:rsidR="002D7FDB" w:rsidRPr="007C103A">
              <w:t>% in Year 3 to Year 6. Based on sponsor assumption.</w:t>
            </w:r>
          </w:p>
        </w:tc>
        <w:tc>
          <w:tcPr>
            <w:tcW w:w="1479" w:type="pct"/>
            <w:shd w:val="clear" w:color="auto" w:fill="auto"/>
            <w:vAlign w:val="center"/>
          </w:tcPr>
          <w:p w14:paraId="26AEA07C" w14:textId="77777777" w:rsidR="002D7FDB" w:rsidRPr="007C103A" w:rsidRDefault="002D7FDB" w:rsidP="008059B6">
            <w:pPr>
              <w:pStyle w:val="TableText0"/>
              <w:widowControl w:val="0"/>
            </w:pPr>
            <w:r w:rsidRPr="007C103A">
              <w:t>Likely overestimated as clinical evidence supporting selinexor was not strong.</w:t>
            </w:r>
          </w:p>
        </w:tc>
      </w:tr>
      <w:tr w:rsidR="002D7FDB" w:rsidRPr="007C103A" w14:paraId="50BFC72D" w14:textId="77777777" w:rsidTr="008059B6">
        <w:tc>
          <w:tcPr>
            <w:tcW w:w="943" w:type="pct"/>
            <w:shd w:val="clear" w:color="auto" w:fill="auto"/>
            <w:vAlign w:val="center"/>
          </w:tcPr>
          <w:p w14:paraId="45F68804" w14:textId="77777777" w:rsidR="002D7FDB" w:rsidRPr="007C103A" w:rsidRDefault="002D7FDB" w:rsidP="008059B6">
            <w:pPr>
              <w:pStyle w:val="TableText0"/>
              <w:widowControl w:val="0"/>
            </w:pPr>
            <w:r w:rsidRPr="007C103A">
              <w:t>Compliance rate</w:t>
            </w:r>
          </w:p>
        </w:tc>
        <w:tc>
          <w:tcPr>
            <w:tcW w:w="2578" w:type="pct"/>
            <w:shd w:val="clear" w:color="auto" w:fill="auto"/>
            <w:vAlign w:val="center"/>
          </w:tcPr>
          <w:p w14:paraId="1DCCD0BB" w14:textId="77777777" w:rsidR="002D7FDB" w:rsidRPr="007C103A" w:rsidRDefault="002D7FDB" w:rsidP="008059B6">
            <w:pPr>
              <w:pStyle w:val="TableText0"/>
              <w:widowControl w:val="0"/>
            </w:pPr>
            <w:r w:rsidRPr="007C103A">
              <w:t xml:space="preserve">99.5% for selinexor and </w:t>
            </w:r>
            <w:proofErr w:type="spellStart"/>
            <w:r w:rsidRPr="007C103A">
              <w:t>RGemOx</w:t>
            </w:r>
            <w:proofErr w:type="spellEnd"/>
            <w:r w:rsidRPr="007C103A">
              <w:t>. Based on the SADAL study.</w:t>
            </w:r>
          </w:p>
        </w:tc>
        <w:tc>
          <w:tcPr>
            <w:tcW w:w="1479" w:type="pct"/>
            <w:shd w:val="clear" w:color="auto" w:fill="auto"/>
            <w:vAlign w:val="center"/>
          </w:tcPr>
          <w:p w14:paraId="55705027" w14:textId="77777777" w:rsidR="002D7FDB" w:rsidRPr="007C103A" w:rsidRDefault="002D7FDB" w:rsidP="008059B6">
            <w:pPr>
              <w:pStyle w:val="TableText0"/>
              <w:widowControl w:val="0"/>
            </w:pPr>
            <w:r w:rsidRPr="007C103A">
              <w:t>Likely overestimated as usage of selinexor in SADAL did not reflect 99.5% compliance.</w:t>
            </w:r>
          </w:p>
        </w:tc>
      </w:tr>
      <w:tr w:rsidR="002D7FDB" w:rsidRPr="007C103A" w14:paraId="6E8A8CCA" w14:textId="77777777" w:rsidTr="008059B6">
        <w:tc>
          <w:tcPr>
            <w:tcW w:w="943" w:type="pct"/>
            <w:shd w:val="clear" w:color="auto" w:fill="auto"/>
            <w:vAlign w:val="center"/>
          </w:tcPr>
          <w:p w14:paraId="6848EF79" w14:textId="77777777" w:rsidR="002D7FDB" w:rsidRPr="007C103A" w:rsidRDefault="002D7FDB" w:rsidP="008059B6">
            <w:pPr>
              <w:pStyle w:val="TableText0"/>
              <w:widowControl w:val="0"/>
            </w:pPr>
            <w:r w:rsidRPr="007C103A">
              <w:t>Grandfathered patients</w:t>
            </w:r>
          </w:p>
        </w:tc>
        <w:tc>
          <w:tcPr>
            <w:tcW w:w="2578" w:type="pct"/>
            <w:shd w:val="clear" w:color="auto" w:fill="auto"/>
            <w:vAlign w:val="center"/>
          </w:tcPr>
          <w:p w14:paraId="5117E4E6" w14:textId="77777777" w:rsidR="002D7FDB" w:rsidRPr="007C103A" w:rsidRDefault="004A77F8" w:rsidP="008059B6">
            <w:pPr>
              <w:pStyle w:val="TableText0"/>
              <w:widowControl w:val="0"/>
            </w:pPr>
            <w:r>
              <w:rPr>
                <w:noProof/>
                <w:color w:val="000000"/>
                <w:highlight w:val="black"/>
              </w:rPr>
              <w:t>''''''</w:t>
            </w:r>
            <w:r w:rsidR="00402235">
              <w:rPr>
                <w:vertAlign w:val="superscript"/>
              </w:rPr>
              <w:t>1</w:t>
            </w:r>
          </w:p>
        </w:tc>
        <w:tc>
          <w:tcPr>
            <w:tcW w:w="1479" w:type="pct"/>
            <w:shd w:val="clear" w:color="auto" w:fill="auto"/>
            <w:vAlign w:val="center"/>
          </w:tcPr>
          <w:p w14:paraId="1CB533A2" w14:textId="77777777" w:rsidR="002D7FDB" w:rsidRPr="007C103A" w:rsidRDefault="000D18AD" w:rsidP="000C7037">
            <w:pPr>
              <w:pStyle w:val="TableText0"/>
              <w:widowControl w:val="0"/>
            </w:pPr>
            <w:r w:rsidRPr="007C103A">
              <w:t>-</w:t>
            </w:r>
          </w:p>
        </w:tc>
      </w:tr>
      <w:tr w:rsidR="002D7FDB" w:rsidRPr="007C103A" w14:paraId="6E176C66" w14:textId="77777777" w:rsidTr="008059B6">
        <w:tc>
          <w:tcPr>
            <w:tcW w:w="943" w:type="pct"/>
            <w:shd w:val="clear" w:color="auto" w:fill="auto"/>
            <w:vAlign w:val="center"/>
          </w:tcPr>
          <w:p w14:paraId="54481166" w14:textId="77777777" w:rsidR="002D7FDB" w:rsidRPr="007C103A" w:rsidRDefault="002D7FDB" w:rsidP="008059B6">
            <w:pPr>
              <w:pStyle w:val="TableText0"/>
              <w:widowControl w:val="0"/>
            </w:pPr>
            <w:r w:rsidRPr="007C103A">
              <w:t>Dose/duration</w:t>
            </w:r>
          </w:p>
        </w:tc>
        <w:tc>
          <w:tcPr>
            <w:tcW w:w="2578" w:type="pct"/>
            <w:shd w:val="clear" w:color="auto" w:fill="auto"/>
            <w:vAlign w:val="center"/>
          </w:tcPr>
          <w:p w14:paraId="6BD0652C" w14:textId="77777777" w:rsidR="002D7FDB" w:rsidRPr="00402235" w:rsidRDefault="002D7FDB" w:rsidP="008059B6">
            <w:pPr>
              <w:pStyle w:val="TableText0"/>
              <w:widowControl w:val="0"/>
              <w:rPr>
                <w:vertAlign w:val="superscript"/>
              </w:rPr>
            </w:pPr>
            <w:r w:rsidRPr="007C103A">
              <w:t>Selinexor: 60 mg twice weekly for 6.02 months (based on economic model)</w:t>
            </w:r>
          </w:p>
          <w:p w14:paraId="34C63123" w14:textId="77777777" w:rsidR="002D7FDB" w:rsidRPr="007C103A" w:rsidRDefault="002D7FDB" w:rsidP="008059B6">
            <w:pPr>
              <w:pStyle w:val="TableText0"/>
              <w:widowControl w:val="0"/>
            </w:pPr>
            <w:proofErr w:type="spellStart"/>
            <w:r w:rsidRPr="007C103A">
              <w:t>RGemOx</w:t>
            </w:r>
            <w:proofErr w:type="spellEnd"/>
            <w:r w:rsidRPr="007C103A">
              <w:t>: 4 cycles of treatment, literature-based</w:t>
            </w:r>
          </w:p>
        </w:tc>
        <w:tc>
          <w:tcPr>
            <w:tcW w:w="1479" w:type="pct"/>
            <w:shd w:val="clear" w:color="auto" w:fill="auto"/>
            <w:vAlign w:val="center"/>
          </w:tcPr>
          <w:p w14:paraId="3257D1C6" w14:textId="77777777" w:rsidR="002D7FDB" w:rsidRPr="007C103A" w:rsidRDefault="002D7FDB" w:rsidP="008059B6">
            <w:pPr>
              <w:pStyle w:val="TableText0"/>
              <w:widowControl w:val="0"/>
            </w:pPr>
            <w:r w:rsidRPr="007C103A">
              <w:t>Consistent with economic model.</w:t>
            </w:r>
          </w:p>
        </w:tc>
      </w:tr>
      <w:tr w:rsidR="002D7FDB" w:rsidRPr="007C103A" w14:paraId="5EA52C0E" w14:textId="77777777" w:rsidTr="008059B6">
        <w:tc>
          <w:tcPr>
            <w:tcW w:w="943" w:type="pct"/>
            <w:shd w:val="clear" w:color="auto" w:fill="auto"/>
            <w:vAlign w:val="center"/>
          </w:tcPr>
          <w:p w14:paraId="13A66C3C" w14:textId="77777777" w:rsidR="002D7FDB" w:rsidRPr="007C103A" w:rsidRDefault="002D7FDB" w:rsidP="008059B6">
            <w:pPr>
              <w:pStyle w:val="TableText0"/>
              <w:widowControl w:val="0"/>
            </w:pPr>
            <w:r w:rsidRPr="007C103A">
              <w:t>Offsets for comparator</w:t>
            </w:r>
          </w:p>
        </w:tc>
        <w:tc>
          <w:tcPr>
            <w:tcW w:w="2578" w:type="pct"/>
            <w:shd w:val="clear" w:color="auto" w:fill="auto"/>
            <w:vAlign w:val="center"/>
          </w:tcPr>
          <w:p w14:paraId="7292F1EA" w14:textId="77777777" w:rsidR="002D7FDB" w:rsidRPr="007C103A" w:rsidRDefault="002D7FDB" w:rsidP="008059B6">
            <w:pPr>
              <w:pStyle w:val="TableText0"/>
              <w:widowControl w:val="0"/>
            </w:pPr>
            <w:r w:rsidRPr="007C103A">
              <w:t xml:space="preserve">Cost offsets for </w:t>
            </w:r>
            <w:proofErr w:type="spellStart"/>
            <w:r w:rsidRPr="007C103A">
              <w:t>RGemOx</w:t>
            </w:r>
            <w:proofErr w:type="spellEnd"/>
            <w:r w:rsidRPr="007C103A">
              <w:t xml:space="preserve"> were estimated.</w:t>
            </w:r>
          </w:p>
        </w:tc>
        <w:tc>
          <w:tcPr>
            <w:tcW w:w="1479" w:type="pct"/>
            <w:shd w:val="clear" w:color="auto" w:fill="auto"/>
            <w:vAlign w:val="center"/>
          </w:tcPr>
          <w:p w14:paraId="0A57A016" w14:textId="77777777" w:rsidR="002D7FDB" w:rsidRPr="007C103A" w:rsidRDefault="002D7FDB" w:rsidP="008059B6">
            <w:pPr>
              <w:pStyle w:val="TableText0"/>
              <w:widowControl w:val="0"/>
            </w:pPr>
            <w:r w:rsidRPr="007C103A">
              <w:t>Agents considered were consistent with the economic model, although offsets were likely overestimated.</w:t>
            </w:r>
          </w:p>
        </w:tc>
      </w:tr>
      <w:tr w:rsidR="002D7FDB" w:rsidRPr="007C103A" w14:paraId="4117345B" w14:textId="77777777" w:rsidTr="008059B6">
        <w:tc>
          <w:tcPr>
            <w:tcW w:w="943" w:type="pct"/>
            <w:shd w:val="clear" w:color="auto" w:fill="auto"/>
            <w:vAlign w:val="center"/>
          </w:tcPr>
          <w:p w14:paraId="0197FA8B" w14:textId="77777777" w:rsidR="002D7FDB" w:rsidRPr="007C103A" w:rsidRDefault="002D7FDB" w:rsidP="008059B6">
            <w:pPr>
              <w:pStyle w:val="TableText0"/>
              <w:widowControl w:val="0"/>
            </w:pPr>
            <w:r w:rsidRPr="007C103A">
              <w:t>MBS item</w:t>
            </w:r>
          </w:p>
        </w:tc>
        <w:tc>
          <w:tcPr>
            <w:tcW w:w="2578" w:type="pct"/>
            <w:shd w:val="clear" w:color="auto" w:fill="auto"/>
            <w:vAlign w:val="center"/>
          </w:tcPr>
          <w:p w14:paraId="3E7357B9" w14:textId="77777777" w:rsidR="002D7FDB" w:rsidRPr="007C103A" w:rsidRDefault="002D7FDB" w:rsidP="008059B6">
            <w:pPr>
              <w:pStyle w:val="TableText0"/>
              <w:widowControl w:val="0"/>
            </w:pPr>
            <w:r w:rsidRPr="007C103A">
              <w:t xml:space="preserve">MBS item 13950 (infusion for </w:t>
            </w:r>
            <w:proofErr w:type="spellStart"/>
            <w:r w:rsidRPr="007C103A">
              <w:t>RGemOx</w:t>
            </w:r>
            <w:proofErr w:type="spellEnd"/>
            <w:r w:rsidRPr="007C103A">
              <w:t>)</w:t>
            </w:r>
          </w:p>
          <w:p w14:paraId="69F93B02" w14:textId="77777777" w:rsidR="002D7FDB" w:rsidRPr="007C103A" w:rsidRDefault="002D7FDB" w:rsidP="008059B6">
            <w:pPr>
              <w:pStyle w:val="TableText0"/>
              <w:widowControl w:val="0"/>
            </w:pPr>
            <w:r w:rsidRPr="007C103A">
              <w:t>MBS item 13706 (transfusion blood or bone marrow)</w:t>
            </w:r>
          </w:p>
          <w:p w14:paraId="1959A920" w14:textId="77777777" w:rsidR="002D7FDB" w:rsidRPr="007C103A" w:rsidRDefault="002D7FDB" w:rsidP="008059B6">
            <w:pPr>
              <w:pStyle w:val="TableText0"/>
              <w:widowControl w:val="0"/>
            </w:pPr>
            <w:r w:rsidRPr="007C103A">
              <w:t xml:space="preserve">MBS item 13750 (therapeutic </w:t>
            </w:r>
            <w:proofErr w:type="spellStart"/>
            <w:r w:rsidRPr="007C103A">
              <w:t>haemapheresis</w:t>
            </w:r>
            <w:proofErr w:type="spellEnd"/>
            <w:r w:rsidRPr="007C103A">
              <w:t>)</w:t>
            </w:r>
          </w:p>
          <w:p w14:paraId="1FB9EB99" w14:textId="77777777" w:rsidR="002D7FDB" w:rsidRPr="007C103A" w:rsidRDefault="002D7FDB" w:rsidP="008059B6">
            <w:pPr>
              <w:pStyle w:val="TableText0"/>
              <w:widowControl w:val="0"/>
            </w:pPr>
            <w:r w:rsidRPr="007C103A">
              <w:t>MBS item 23 (GP consult)</w:t>
            </w:r>
          </w:p>
        </w:tc>
        <w:tc>
          <w:tcPr>
            <w:tcW w:w="1479" w:type="pct"/>
            <w:shd w:val="clear" w:color="auto" w:fill="auto"/>
            <w:vAlign w:val="center"/>
          </w:tcPr>
          <w:p w14:paraId="3A8FFE2F" w14:textId="77777777" w:rsidR="002D7FDB" w:rsidRPr="007C103A" w:rsidRDefault="002D7FDB" w:rsidP="008059B6">
            <w:pPr>
              <w:pStyle w:val="TableText0"/>
              <w:widowControl w:val="0"/>
            </w:pPr>
            <w:r w:rsidRPr="007C103A">
              <w:t>Appropriate.</w:t>
            </w:r>
          </w:p>
        </w:tc>
      </w:tr>
    </w:tbl>
    <w:p w14:paraId="32405463" w14:textId="77777777" w:rsidR="002D7FDB" w:rsidRPr="007C103A" w:rsidRDefault="002D7FDB" w:rsidP="002D7FDB">
      <w:pPr>
        <w:pStyle w:val="TableFigureFooter"/>
      </w:pPr>
      <w:r w:rsidRPr="007C103A">
        <w:t>Source: Table 4-3, p155; Table 4-6, p158; Table 4-17, p164-165; Section 4.2.1.3, p155-157 of the submission.</w:t>
      </w:r>
    </w:p>
    <w:p w14:paraId="68F21ED2" w14:textId="77777777" w:rsidR="002D7FDB" w:rsidRDefault="002D7FDB" w:rsidP="002D7FDB">
      <w:pPr>
        <w:pStyle w:val="TableFigureFooter"/>
      </w:pPr>
      <w:r w:rsidRPr="007C103A">
        <w:t xml:space="preserve">ASCT = autologous stem cell transplant; chemo = chemotherapy; DLBCL = diffuse large B-cell lymphoma; NHL = non-Hodgkin’s lymphoma; </w:t>
      </w:r>
      <w:proofErr w:type="spellStart"/>
      <w:r w:rsidRPr="007C103A">
        <w:t>RGemOx</w:t>
      </w:r>
      <w:proofErr w:type="spellEnd"/>
      <w:r w:rsidRPr="007C103A">
        <w:t xml:space="preserve"> = rituximab-gemcitabine-oxaliplatin; RR = relapsed/refractory</w:t>
      </w:r>
    </w:p>
    <w:p w14:paraId="2B955BB8" w14:textId="77777777" w:rsidR="00402235" w:rsidRDefault="00402235" w:rsidP="00402235">
      <w:pPr>
        <w:pStyle w:val="TableFigureFooter"/>
        <w:spacing w:after="0"/>
        <w:contextualSpacing w:val="0"/>
        <w:rPr>
          <w:i/>
        </w:rPr>
      </w:pPr>
      <w:r w:rsidRPr="009868C4">
        <w:rPr>
          <w:i/>
        </w:rPr>
        <w:t>The redacted values correspond to the following ranges</w:t>
      </w:r>
      <w:r>
        <w:rPr>
          <w:i/>
        </w:rPr>
        <w:t xml:space="preserve">: </w:t>
      </w:r>
    </w:p>
    <w:p w14:paraId="5AB375D9" w14:textId="2E3A1210" w:rsidR="00402235" w:rsidRPr="007C103A" w:rsidRDefault="00402235" w:rsidP="00007A0D">
      <w:pPr>
        <w:pStyle w:val="TableFigureFooter"/>
        <w:contextualSpacing w:val="0"/>
      </w:pPr>
      <w:r>
        <w:rPr>
          <w:i/>
          <w:vertAlign w:val="superscript"/>
        </w:rPr>
        <w:t>1</w:t>
      </w:r>
      <w:r>
        <w:rPr>
          <w:i/>
        </w:rPr>
        <w:t xml:space="preserve"> &lt; 500</w:t>
      </w:r>
    </w:p>
    <w:p w14:paraId="31BCEC8F" w14:textId="77777777" w:rsidR="002D7FDB" w:rsidRPr="007C103A" w:rsidRDefault="002D7FDB" w:rsidP="002D7FDB">
      <w:pPr>
        <w:pStyle w:val="3-BodyText"/>
        <w:rPr>
          <w:color w:val="0066FF"/>
        </w:rPr>
      </w:pPr>
      <w:r w:rsidRPr="007C103A">
        <w:t>The estimated patient numbers, prescription numbers and costs for the PBS listing of selinexor for RR DLBCL are provided below</w:t>
      </w:r>
      <w:r w:rsidR="00457EF6" w:rsidRPr="007C103A">
        <w:rPr>
          <w:i/>
        </w:rPr>
        <w:t xml:space="preserve">. </w:t>
      </w:r>
    </w:p>
    <w:p w14:paraId="37CC04EA" w14:textId="4CF7B225" w:rsidR="002D7FDB" w:rsidRPr="007C103A" w:rsidRDefault="002D2FFF" w:rsidP="002D7FDB">
      <w:pPr>
        <w:pStyle w:val="TableFigureHeading"/>
      </w:pPr>
      <w:r>
        <w:rPr>
          <w:rStyle w:val="CommentReference"/>
          <w:b/>
          <w:szCs w:val="24"/>
        </w:rPr>
        <w:lastRenderedPageBreak/>
        <w:t>Table 11</w:t>
      </w:r>
      <w:r w:rsidR="002D7FDB" w:rsidRPr="007C103A">
        <w:rPr>
          <w:rStyle w:val="CommentReference"/>
          <w:b/>
          <w:szCs w:val="24"/>
        </w:rPr>
        <w:t>: Estimated use and financial implications</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8"/>
        <w:gridCol w:w="1100"/>
        <w:gridCol w:w="1071"/>
        <w:gridCol w:w="1075"/>
        <w:gridCol w:w="1139"/>
        <w:gridCol w:w="1107"/>
        <w:gridCol w:w="1179"/>
      </w:tblGrid>
      <w:tr w:rsidR="002D7FDB" w:rsidRPr="007C103A" w14:paraId="40679887" w14:textId="77777777" w:rsidTr="008059B6">
        <w:trPr>
          <w:tblHeader/>
        </w:trPr>
        <w:tc>
          <w:tcPr>
            <w:tcW w:w="1264" w:type="pct"/>
            <w:shd w:val="clear" w:color="auto" w:fill="auto"/>
            <w:vAlign w:val="center"/>
          </w:tcPr>
          <w:p w14:paraId="28E54C1E" w14:textId="77777777" w:rsidR="002D7FDB" w:rsidRPr="007C103A" w:rsidRDefault="002D7FDB" w:rsidP="008059B6">
            <w:pPr>
              <w:pStyle w:val="In-tableHeading"/>
              <w:keepNext w:val="0"/>
              <w:widowControl w:val="0"/>
              <w:jc w:val="center"/>
              <w:rPr>
                <w:lang w:val="en-AU"/>
              </w:rPr>
            </w:pPr>
          </w:p>
        </w:tc>
        <w:tc>
          <w:tcPr>
            <w:tcW w:w="616" w:type="pct"/>
            <w:shd w:val="clear" w:color="auto" w:fill="auto"/>
            <w:vAlign w:val="center"/>
          </w:tcPr>
          <w:p w14:paraId="7FA5DCD5" w14:textId="77777777" w:rsidR="002D7FDB" w:rsidRPr="007C103A" w:rsidRDefault="002D7FDB" w:rsidP="008059B6">
            <w:pPr>
              <w:pStyle w:val="In-tableHeading"/>
              <w:keepNext w:val="0"/>
              <w:widowControl w:val="0"/>
              <w:jc w:val="center"/>
              <w:rPr>
                <w:lang w:val="en-AU"/>
              </w:rPr>
            </w:pPr>
            <w:r w:rsidRPr="007C103A">
              <w:rPr>
                <w:lang w:val="en-AU"/>
              </w:rPr>
              <w:t>Year 1</w:t>
            </w:r>
          </w:p>
        </w:tc>
        <w:tc>
          <w:tcPr>
            <w:tcW w:w="600" w:type="pct"/>
            <w:shd w:val="clear" w:color="auto" w:fill="auto"/>
            <w:vAlign w:val="center"/>
          </w:tcPr>
          <w:p w14:paraId="1915D197" w14:textId="77777777" w:rsidR="002D7FDB" w:rsidRPr="007C103A" w:rsidRDefault="002D7FDB" w:rsidP="008059B6">
            <w:pPr>
              <w:pStyle w:val="In-tableHeading"/>
              <w:keepNext w:val="0"/>
              <w:widowControl w:val="0"/>
              <w:jc w:val="center"/>
              <w:rPr>
                <w:lang w:val="en-AU"/>
              </w:rPr>
            </w:pPr>
            <w:r w:rsidRPr="007C103A">
              <w:rPr>
                <w:lang w:val="en-AU"/>
              </w:rPr>
              <w:t>Year 2</w:t>
            </w:r>
          </w:p>
        </w:tc>
        <w:tc>
          <w:tcPr>
            <w:tcW w:w="602" w:type="pct"/>
            <w:shd w:val="clear" w:color="auto" w:fill="auto"/>
            <w:vAlign w:val="center"/>
          </w:tcPr>
          <w:p w14:paraId="75164B38" w14:textId="77777777" w:rsidR="002D7FDB" w:rsidRPr="007C103A" w:rsidRDefault="002D7FDB" w:rsidP="008059B6">
            <w:pPr>
              <w:pStyle w:val="In-tableHeading"/>
              <w:keepNext w:val="0"/>
              <w:widowControl w:val="0"/>
              <w:jc w:val="center"/>
              <w:rPr>
                <w:lang w:val="en-AU"/>
              </w:rPr>
            </w:pPr>
            <w:r w:rsidRPr="007C103A">
              <w:rPr>
                <w:lang w:val="en-AU"/>
              </w:rPr>
              <w:t>Year 3</w:t>
            </w:r>
          </w:p>
        </w:tc>
        <w:tc>
          <w:tcPr>
            <w:tcW w:w="638" w:type="pct"/>
            <w:shd w:val="clear" w:color="auto" w:fill="auto"/>
            <w:vAlign w:val="center"/>
          </w:tcPr>
          <w:p w14:paraId="73509A7A" w14:textId="77777777" w:rsidR="002D7FDB" w:rsidRPr="007C103A" w:rsidRDefault="002D7FDB" w:rsidP="008059B6">
            <w:pPr>
              <w:pStyle w:val="In-tableHeading"/>
              <w:keepNext w:val="0"/>
              <w:widowControl w:val="0"/>
              <w:jc w:val="center"/>
              <w:rPr>
                <w:lang w:val="en-AU"/>
              </w:rPr>
            </w:pPr>
            <w:r w:rsidRPr="007C103A">
              <w:rPr>
                <w:lang w:val="en-AU"/>
              </w:rPr>
              <w:t>Year 4</w:t>
            </w:r>
          </w:p>
        </w:tc>
        <w:tc>
          <w:tcPr>
            <w:tcW w:w="620" w:type="pct"/>
            <w:shd w:val="clear" w:color="auto" w:fill="auto"/>
            <w:vAlign w:val="center"/>
          </w:tcPr>
          <w:p w14:paraId="76433354" w14:textId="77777777" w:rsidR="002D7FDB" w:rsidRPr="007C103A" w:rsidRDefault="002D7FDB" w:rsidP="008059B6">
            <w:pPr>
              <w:pStyle w:val="In-tableHeading"/>
              <w:keepNext w:val="0"/>
              <w:widowControl w:val="0"/>
              <w:jc w:val="center"/>
              <w:rPr>
                <w:lang w:val="en-AU"/>
              </w:rPr>
            </w:pPr>
            <w:r w:rsidRPr="007C103A">
              <w:rPr>
                <w:lang w:val="en-AU"/>
              </w:rPr>
              <w:t>Year 5</w:t>
            </w:r>
          </w:p>
        </w:tc>
        <w:tc>
          <w:tcPr>
            <w:tcW w:w="660" w:type="pct"/>
            <w:vAlign w:val="center"/>
          </w:tcPr>
          <w:p w14:paraId="0B1504D8" w14:textId="77777777" w:rsidR="002D7FDB" w:rsidRPr="007C103A" w:rsidRDefault="002D7FDB" w:rsidP="008059B6">
            <w:pPr>
              <w:pStyle w:val="In-tableHeading"/>
              <w:keepNext w:val="0"/>
              <w:widowControl w:val="0"/>
              <w:jc w:val="center"/>
              <w:rPr>
                <w:lang w:val="en-AU"/>
              </w:rPr>
            </w:pPr>
            <w:r w:rsidRPr="007C103A">
              <w:rPr>
                <w:lang w:val="en-AU"/>
              </w:rPr>
              <w:t>Year 6</w:t>
            </w:r>
          </w:p>
        </w:tc>
      </w:tr>
      <w:tr w:rsidR="002D7FDB" w:rsidRPr="007C103A" w14:paraId="52C4F6C4" w14:textId="77777777" w:rsidTr="008059B6">
        <w:tc>
          <w:tcPr>
            <w:tcW w:w="5000" w:type="pct"/>
            <w:gridSpan w:val="7"/>
            <w:shd w:val="clear" w:color="auto" w:fill="auto"/>
            <w:vAlign w:val="center"/>
          </w:tcPr>
          <w:p w14:paraId="61534683" w14:textId="77777777" w:rsidR="002D7FDB" w:rsidRPr="007C103A" w:rsidRDefault="002D7FDB" w:rsidP="008059B6">
            <w:pPr>
              <w:pStyle w:val="In-tableHeading"/>
              <w:keepNext w:val="0"/>
              <w:widowControl w:val="0"/>
              <w:rPr>
                <w:bCs/>
                <w:color w:val="000000"/>
                <w:lang w:val="en-AU"/>
              </w:rPr>
            </w:pPr>
            <w:r w:rsidRPr="007C103A">
              <w:rPr>
                <w:bCs/>
                <w:color w:val="000000"/>
                <w:lang w:val="en-AU"/>
              </w:rPr>
              <w:t>Estimated extent of use</w:t>
            </w:r>
          </w:p>
        </w:tc>
      </w:tr>
      <w:tr w:rsidR="002D7FDB" w:rsidRPr="007C103A" w14:paraId="0AAC2A9F" w14:textId="77777777" w:rsidTr="008059B6">
        <w:tc>
          <w:tcPr>
            <w:tcW w:w="1264" w:type="pct"/>
            <w:shd w:val="clear" w:color="auto" w:fill="auto"/>
            <w:vAlign w:val="center"/>
          </w:tcPr>
          <w:p w14:paraId="693B9B9C" w14:textId="77777777" w:rsidR="002D7FDB" w:rsidRPr="00236E57" w:rsidRDefault="002D7FDB" w:rsidP="00236E57">
            <w:pPr>
              <w:pStyle w:val="TableText0"/>
              <w:keepNext w:val="0"/>
              <w:widowControl w:val="0"/>
              <w:rPr>
                <w:vertAlign w:val="superscript"/>
              </w:rPr>
            </w:pPr>
            <w:r w:rsidRPr="007C103A">
              <w:t>Number of patients treated</w:t>
            </w:r>
          </w:p>
        </w:tc>
        <w:tc>
          <w:tcPr>
            <w:tcW w:w="616" w:type="pct"/>
            <w:shd w:val="clear" w:color="auto" w:fill="auto"/>
            <w:vAlign w:val="center"/>
          </w:tcPr>
          <w:p w14:paraId="2ECDAAC8" w14:textId="77777777" w:rsidR="002D7FDB" w:rsidRPr="004A77F8" w:rsidRDefault="004A77F8" w:rsidP="008059B6">
            <w:pPr>
              <w:pStyle w:val="TableText0"/>
              <w:keepNext w:val="0"/>
              <w:widowControl w:val="0"/>
              <w:jc w:val="center"/>
            </w:pPr>
            <w:r>
              <w:rPr>
                <w:rFonts w:cs="Arial"/>
                <w:noProof/>
                <w:color w:val="000000"/>
                <w:highlight w:val="black"/>
              </w:rPr>
              <w:t>''''''''''</w:t>
            </w:r>
            <w:r w:rsidR="00236E57">
              <w:rPr>
                <w:vertAlign w:val="superscript"/>
              </w:rPr>
              <w:t>1</w:t>
            </w:r>
          </w:p>
        </w:tc>
        <w:tc>
          <w:tcPr>
            <w:tcW w:w="600" w:type="pct"/>
            <w:shd w:val="clear" w:color="auto" w:fill="auto"/>
            <w:vAlign w:val="center"/>
          </w:tcPr>
          <w:p w14:paraId="231D7ED8" w14:textId="77777777" w:rsidR="002D7FDB" w:rsidRPr="004A77F8" w:rsidRDefault="004A77F8" w:rsidP="008059B6">
            <w:pPr>
              <w:pStyle w:val="TableText0"/>
              <w:keepNext w:val="0"/>
              <w:widowControl w:val="0"/>
              <w:jc w:val="center"/>
            </w:pPr>
            <w:r>
              <w:rPr>
                <w:rFonts w:cs="Arial"/>
                <w:noProof/>
                <w:color w:val="000000"/>
                <w:highlight w:val="black"/>
              </w:rPr>
              <w:t>''''''''</w:t>
            </w:r>
            <w:r w:rsidR="00236E57">
              <w:rPr>
                <w:vertAlign w:val="superscript"/>
              </w:rPr>
              <w:t>1</w:t>
            </w:r>
          </w:p>
        </w:tc>
        <w:tc>
          <w:tcPr>
            <w:tcW w:w="602" w:type="pct"/>
            <w:shd w:val="clear" w:color="auto" w:fill="auto"/>
            <w:vAlign w:val="center"/>
          </w:tcPr>
          <w:p w14:paraId="3D97E32F" w14:textId="77777777" w:rsidR="002D7FDB" w:rsidRPr="004A77F8" w:rsidRDefault="004A77F8" w:rsidP="008059B6">
            <w:pPr>
              <w:pStyle w:val="TableText0"/>
              <w:keepNext w:val="0"/>
              <w:widowControl w:val="0"/>
              <w:jc w:val="center"/>
            </w:pPr>
            <w:r>
              <w:rPr>
                <w:rFonts w:cs="Arial"/>
                <w:noProof/>
                <w:color w:val="000000"/>
                <w:highlight w:val="black"/>
              </w:rPr>
              <w:t>'''''''''</w:t>
            </w:r>
            <w:r w:rsidR="00236E57">
              <w:rPr>
                <w:vertAlign w:val="superscript"/>
              </w:rPr>
              <w:t>1</w:t>
            </w:r>
          </w:p>
        </w:tc>
        <w:tc>
          <w:tcPr>
            <w:tcW w:w="638" w:type="pct"/>
            <w:shd w:val="clear" w:color="auto" w:fill="auto"/>
            <w:vAlign w:val="center"/>
          </w:tcPr>
          <w:p w14:paraId="06F35D31" w14:textId="77777777" w:rsidR="002D7FDB" w:rsidRPr="004A77F8" w:rsidRDefault="004A77F8" w:rsidP="008059B6">
            <w:pPr>
              <w:pStyle w:val="TableText0"/>
              <w:keepNext w:val="0"/>
              <w:widowControl w:val="0"/>
              <w:jc w:val="center"/>
            </w:pPr>
            <w:r>
              <w:rPr>
                <w:rFonts w:cs="Arial"/>
                <w:noProof/>
                <w:color w:val="000000"/>
                <w:highlight w:val="black"/>
              </w:rPr>
              <w:t>'''''''''</w:t>
            </w:r>
            <w:r w:rsidR="00236E57">
              <w:rPr>
                <w:vertAlign w:val="superscript"/>
              </w:rPr>
              <w:t>1</w:t>
            </w:r>
          </w:p>
        </w:tc>
        <w:tc>
          <w:tcPr>
            <w:tcW w:w="620" w:type="pct"/>
            <w:shd w:val="clear" w:color="auto" w:fill="auto"/>
            <w:vAlign w:val="center"/>
          </w:tcPr>
          <w:p w14:paraId="414ACF7B" w14:textId="77777777" w:rsidR="002D7FDB" w:rsidRPr="004A77F8" w:rsidRDefault="004A77F8" w:rsidP="008059B6">
            <w:pPr>
              <w:pStyle w:val="TableText0"/>
              <w:keepNext w:val="0"/>
              <w:widowControl w:val="0"/>
              <w:jc w:val="center"/>
            </w:pPr>
            <w:r>
              <w:rPr>
                <w:rFonts w:cs="Arial"/>
                <w:noProof/>
                <w:color w:val="000000"/>
                <w:highlight w:val="black"/>
              </w:rPr>
              <w:t>'''''''''</w:t>
            </w:r>
            <w:r w:rsidR="00236E57">
              <w:rPr>
                <w:vertAlign w:val="superscript"/>
              </w:rPr>
              <w:t>1</w:t>
            </w:r>
          </w:p>
        </w:tc>
        <w:tc>
          <w:tcPr>
            <w:tcW w:w="660" w:type="pct"/>
            <w:vAlign w:val="center"/>
          </w:tcPr>
          <w:p w14:paraId="6E0681BD" w14:textId="77777777" w:rsidR="002D7FDB" w:rsidRPr="004A77F8" w:rsidRDefault="004A77F8" w:rsidP="008059B6">
            <w:pPr>
              <w:pStyle w:val="TableText0"/>
              <w:keepNext w:val="0"/>
              <w:widowControl w:val="0"/>
              <w:jc w:val="center"/>
            </w:pPr>
            <w:r>
              <w:rPr>
                <w:rFonts w:cs="Arial"/>
                <w:noProof/>
                <w:color w:val="000000"/>
                <w:highlight w:val="black"/>
              </w:rPr>
              <w:t>'''''''''</w:t>
            </w:r>
            <w:r w:rsidR="00236E57">
              <w:rPr>
                <w:vertAlign w:val="superscript"/>
              </w:rPr>
              <w:t>1</w:t>
            </w:r>
          </w:p>
        </w:tc>
      </w:tr>
      <w:tr w:rsidR="002D7FDB" w:rsidRPr="007C103A" w14:paraId="637B9760" w14:textId="77777777" w:rsidTr="008059B6">
        <w:tc>
          <w:tcPr>
            <w:tcW w:w="1264" w:type="pct"/>
            <w:shd w:val="clear" w:color="auto" w:fill="auto"/>
            <w:vAlign w:val="center"/>
          </w:tcPr>
          <w:p w14:paraId="09EBCC17" w14:textId="77777777" w:rsidR="002D7FDB" w:rsidRPr="007C103A" w:rsidRDefault="002D7FDB" w:rsidP="008059B6">
            <w:pPr>
              <w:pStyle w:val="TableText0"/>
              <w:keepNext w:val="0"/>
              <w:widowControl w:val="0"/>
            </w:pPr>
            <w:r w:rsidRPr="007C103A">
              <w:t xml:space="preserve">Number of </w:t>
            </w:r>
            <w:proofErr w:type="spellStart"/>
            <w:r w:rsidRPr="007C103A">
              <w:t>prescriptions</w:t>
            </w:r>
            <w:r w:rsidRPr="007C103A">
              <w:rPr>
                <w:vertAlign w:val="superscript"/>
              </w:rPr>
              <w:t>a</w:t>
            </w:r>
            <w:proofErr w:type="spellEnd"/>
          </w:p>
        </w:tc>
        <w:tc>
          <w:tcPr>
            <w:tcW w:w="616" w:type="pct"/>
            <w:shd w:val="clear" w:color="auto" w:fill="auto"/>
            <w:vAlign w:val="center"/>
          </w:tcPr>
          <w:p w14:paraId="360135EB" w14:textId="77777777" w:rsidR="002D7FDB" w:rsidRPr="004A77F8" w:rsidRDefault="004A77F8" w:rsidP="008059B6">
            <w:pPr>
              <w:pStyle w:val="TableText0"/>
              <w:keepNext w:val="0"/>
              <w:widowControl w:val="0"/>
              <w:jc w:val="center"/>
              <w:rPr>
                <w:color w:val="000000"/>
              </w:rPr>
            </w:pPr>
            <w:r>
              <w:rPr>
                <w:noProof/>
                <w:color w:val="000000"/>
                <w:highlight w:val="black"/>
              </w:rPr>
              <w:t>'''''''''''''</w:t>
            </w:r>
            <w:r w:rsidR="00236E57">
              <w:rPr>
                <w:vertAlign w:val="superscript"/>
              </w:rPr>
              <w:t>2</w:t>
            </w:r>
            <w:r>
              <w:rPr>
                <w:noProof/>
                <w:color w:val="000000"/>
                <w:highlight w:val="black"/>
              </w:rPr>
              <w:t xml:space="preserve"> </w:t>
            </w:r>
          </w:p>
        </w:tc>
        <w:tc>
          <w:tcPr>
            <w:tcW w:w="600" w:type="pct"/>
            <w:shd w:val="clear" w:color="auto" w:fill="auto"/>
            <w:vAlign w:val="center"/>
          </w:tcPr>
          <w:p w14:paraId="677E4E9D" w14:textId="77777777" w:rsidR="002D7FDB" w:rsidRPr="004A77F8" w:rsidRDefault="004A77F8" w:rsidP="008059B6">
            <w:pPr>
              <w:pStyle w:val="TableText0"/>
              <w:keepNext w:val="0"/>
              <w:widowControl w:val="0"/>
              <w:jc w:val="center"/>
              <w:rPr>
                <w:color w:val="000000"/>
              </w:rPr>
            </w:pPr>
            <w:r>
              <w:rPr>
                <w:noProof/>
                <w:color w:val="000000"/>
                <w:highlight w:val="black"/>
              </w:rPr>
              <w:t>''''''''''''''</w:t>
            </w:r>
            <w:r w:rsidR="00236E57">
              <w:rPr>
                <w:vertAlign w:val="superscript"/>
              </w:rPr>
              <w:t>2</w:t>
            </w:r>
          </w:p>
        </w:tc>
        <w:tc>
          <w:tcPr>
            <w:tcW w:w="602" w:type="pct"/>
            <w:shd w:val="clear" w:color="auto" w:fill="auto"/>
            <w:vAlign w:val="center"/>
          </w:tcPr>
          <w:p w14:paraId="739AB97E" w14:textId="77777777" w:rsidR="002D7FDB" w:rsidRPr="004A77F8" w:rsidRDefault="004A77F8" w:rsidP="008059B6">
            <w:pPr>
              <w:pStyle w:val="TableText0"/>
              <w:keepNext w:val="0"/>
              <w:widowControl w:val="0"/>
              <w:jc w:val="center"/>
              <w:rPr>
                <w:color w:val="000000"/>
              </w:rPr>
            </w:pPr>
            <w:r>
              <w:rPr>
                <w:noProof/>
                <w:color w:val="000000"/>
                <w:highlight w:val="black"/>
              </w:rPr>
              <w:t>''''''''''''''</w:t>
            </w:r>
            <w:r w:rsidR="00236E57">
              <w:rPr>
                <w:vertAlign w:val="superscript"/>
              </w:rPr>
              <w:t>2</w:t>
            </w:r>
          </w:p>
        </w:tc>
        <w:tc>
          <w:tcPr>
            <w:tcW w:w="638" w:type="pct"/>
            <w:shd w:val="clear" w:color="auto" w:fill="auto"/>
            <w:vAlign w:val="center"/>
          </w:tcPr>
          <w:p w14:paraId="11CB1C86" w14:textId="77777777" w:rsidR="002D7FDB" w:rsidRPr="004A77F8" w:rsidRDefault="004A77F8" w:rsidP="008059B6">
            <w:pPr>
              <w:pStyle w:val="TableText0"/>
              <w:keepNext w:val="0"/>
              <w:widowControl w:val="0"/>
              <w:jc w:val="center"/>
              <w:rPr>
                <w:color w:val="000000"/>
              </w:rPr>
            </w:pPr>
            <w:r>
              <w:rPr>
                <w:noProof/>
                <w:color w:val="000000"/>
                <w:highlight w:val="black"/>
              </w:rPr>
              <w:t>'''''''''''''''</w:t>
            </w:r>
            <w:r w:rsidR="00236E57">
              <w:rPr>
                <w:vertAlign w:val="superscript"/>
              </w:rPr>
              <w:t>2</w:t>
            </w:r>
          </w:p>
        </w:tc>
        <w:tc>
          <w:tcPr>
            <w:tcW w:w="620" w:type="pct"/>
            <w:shd w:val="clear" w:color="auto" w:fill="auto"/>
            <w:vAlign w:val="center"/>
          </w:tcPr>
          <w:p w14:paraId="3811FCFF" w14:textId="77777777" w:rsidR="002D7FDB" w:rsidRPr="004A77F8" w:rsidRDefault="004A77F8" w:rsidP="008059B6">
            <w:pPr>
              <w:pStyle w:val="TableText0"/>
              <w:keepNext w:val="0"/>
              <w:widowControl w:val="0"/>
              <w:jc w:val="center"/>
              <w:rPr>
                <w:color w:val="000000"/>
              </w:rPr>
            </w:pPr>
            <w:r>
              <w:rPr>
                <w:noProof/>
                <w:color w:val="000000"/>
                <w:highlight w:val="black"/>
              </w:rPr>
              <w:t>'''''''''''''</w:t>
            </w:r>
            <w:r w:rsidR="00236E57">
              <w:rPr>
                <w:vertAlign w:val="superscript"/>
              </w:rPr>
              <w:t>2</w:t>
            </w:r>
          </w:p>
        </w:tc>
        <w:tc>
          <w:tcPr>
            <w:tcW w:w="660" w:type="pct"/>
            <w:vAlign w:val="center"/>
          </w:tcPr>
          <w:p w14:paraId="2523A4F2" w14:textId="77777777" w:rsidR="002D7FDB" w:rsidRPr="004A77F8" w:rsidRDefault="004A77F8" w:rsidP="008059B6">
            <w:pPr>
              <w:pStyle w:val="TableText0"/>
              <w:keepNext w:val="0"/>
              <w:widowControl w:val="0"/>
              <w:jc w:val="center"/>
              <w:rPr>
                <w:color w:val="000000"/>
              </w:rPr>
            </w:pPr>
            <w:r>
              <w:rPr>
                <w:noProof/>
                <w:color w:val="000000"/>
                <w:highlight w:val="black"/>
              </w:rPr>
              <w:t>'''''''''''''''</w:t>
            </w:r>
            <w:r w:rsidR="00236E57">
              <w:rPr>
                <w:vertAlign w:val="superscript"/>
              </w:rPr>
              <w:t>2</w:t>
            </w:r>
          </w:p>
        </w:tc>
      </w:tr>
      <w:tr w:rsidR="002D7FDB" w:rsidRPr="007C103A" w14:paraId="075C00E6" w14:textId="77777777" w:rsidTr="008059B6">
        <w:tc>
          <w:tcPr>
            <w:tcW w:w="5000" w:type="pct"/>
            <w:gridSpan w:val="7"/>
            <w:shd w:val="clear" w:color="auto" w:fill="auto"/>
            <w:vAlign w:val="center"/>
          </w:tcPr>
          <w:p w14:paraId="176B3850" w14:textId="77777777" w:rsidR="002D7FDB" w:rsidRPr="007C103A" w:rsidRDefault="002D7FDB" w:rsidP="008059B6">
            <w:pPr>
              <w:pStyle w:val="In-tableHeading"/>
              <w:keepNext w:val="0"/>
              <w:widowControl w:val="0"/>
              <w:rPr>
                <w:lang w:val="en-AU"/>
              </w:rPr>
            </w:pPr>
            <w:r w:rsidRPr="007C103A">
              <w:rPr>
                <w:lang w:val="en-AU"/>
              </w:rPr>
              <w:t>Estimated financial implications of selinexor</w:t>
            </w:r>
          </w:p>
        </w:tc>
      </w:tr>
      <w:tr w:rsidR="002D7FDB" w:rsidRPr="007C103A" w14:paraId="777D46BD" w14:textId="77777777" w:rsidTr="008059B6">
        <w:tc>
          <w:tcPr>
            <w:tcW w:w="1264" w:type="pct"/>
            <w:shd w:val="clear" w:color="auto" w:fill="auto"/>
            <w:vAlign w:val="center"/>
          </w:tcPr>
          <w:p w14:paraId="6F9B34FE" w14:textId="77777777" w:rsidR="002D7FDB" w:rsidRPr="007C103A" w:rsidRDefault="002D7FDB" w:rsidP="008059B6">
            <w:pPr>
              <w:pStyle w:val="TableText0"/>
              <w:keepNext w:val="0"/>
              <w:widowControl w:val="0"/>
              <w:rPr>
                <w:sz w:val="19"/>
                <w:szCs w:val="19"/>
              </w:rPr>
            </w:pPr>
            <w:r w:rsidRPr="007C103A">
              <w:rPr>
                <w:sz w:val="19"/>
                <w:szCs w:val="19"/>
              </w:rPr>
              <w:t>Cost to PBS/RPBS less copayments</w:t>
            </w:r>
          </w:p>
        </w:tc>
        <w:tc>
          <w:tcPr>
            <w:tcW w:w="616" w:type="pct"/>
            <w:shd w:val="clear" w:color="auto" w:fill="auto"/>
            <w:vAlign w:val="center"/>
          </w:tcPr>
          <w:p w14:paraId="304CF261" w14:textId="77777777" w:rsidR="002D7FDB" w:rsidRPr="007C103A" w:rsidRDefault="002D7FDB" w:rsidP="008059B6">
            <w:pPr>
              <w:pStyle w:val="TableText0"/>
              <w:keepNext w:val="0"/>
              <w:widowControl w:val="0"/>
              <w:jc w:val="center"/>
              <w:rPr>
                <w:bCs w:val="0"/>
                <w:szCs w:val="20"/>
              </w:rPr>
            </w:pPr>
            <w:r w:rsidRPr="007C103A">
              <w:rPr>
                <w:rFonts w:eastAsia="Times New Roman" w:cs="Arial"/>
                <w:bCs w:val="0"/>
                <w:szCs w:val="20"/>
                <w:lang w:bidi="en-US"/>
              </w:rPr>
              <w:t>$</w:t>
            </w:r>
            <w:r w:rsidR="004A77F8">
              <w:rPr>
                <w:noProof/>
                <w:color w:val="000000"/>
                <w:highlight w:val="black"/>
              </w:rPr>
              <w:t>'''''''''''''''''''''''''''</w:t>
            </w:r>
            <w:r w:rsidR="00236E57">
              <w:rPr>
                <w:vertAlign w:val="superscript"/>
              </w:rPr>
              <w:t>3</w:t>
            </w:r>
          </w:p>
        </w:tc>
        <w:tc>
          <w:tcPr>
            <w:tcW w:w="600" w:type="pct"/>
            <w:shd w:val="clear" w:color="auto" w:fill="auto"/>
            <w:vAlign w:val="center"/>
          </w:tcPr>
          <w:p w14:paraId="12FB41B1" w14:textId="77777777" w:rsidR="002D7FDB" w:rsidRPr="007C103A" w:rsidRDefault="002D7FDB" w:rsidP="008059B6">
            <w:pPr>
              <w:pStyle w:val="TableText0"/>
              <w:keepNext w:val="0"/>
              <w:widowControl w:val="0"/>
              <w:jc w:val="center"/>
              <w:rPr>
                <w:bCs w:val="0"/>
                <w:szCs w:val="20"/>
              </w:rPr>
            </w:pPr>
            <w:r w:rsidRPr="007C103A">
              <w:rPr>
                <w:rFonts w:eastAsia="Times New Roman" w:cs="Arial"/>
                <w:bCs w:val="0"/>
                <w:szCs w:val="20"/>
                <w:lang w:bidi="en-US"/>
              </w:rPr>
              <w:t>$</w:t>
            </w:r>
            <w:r w:rsidR="004A77F8">
              <w:rPr>
                <w:noProof/>
                <w:color w:val="000000"/>
                <w:highlight w:val="black"/>
              </w:rPr>
              <w:t>''''''''''''''''''''''''</w:t>
            </w:r>
            <w:r w:rsidR="00236E57">
              <w:rPr>
                <w:vertAlign w:val="superscript"/>
              </w:rPr>
              <w:t>3</w:t>
            </w:r>
          </w:p>
        </w:tc>
        <w:tc>
          <w:tcPr>
            <w:tcW w:w="602" w:type="pct"/>
            <w:shd w:val="clear" w:color="auto" w:fill="auto"/>
            <w:vAlign w:val="center"/>
          </w:tcPr>
          <w:p w14:paraId="4C13DD98" w14:textId="77777777" w:rsidR="002D7FDB" w:rsidRPr="007C103A" w:rsidRDefault="002D7FDB" w:rsidP="008059B6">
            <w:pPr>
              <w:pStyle w:val="TableText0"/>
              <w:keepNext w:val="0"/>
              <w:widowControl w:val="0"/>
              <w:jc w:val="center"/>
              <w:rPr>
                <w:bCs w:val="0"/>
                <w:szCs w:val="20"/>
              </w:rPr>
            </w:pPr>
            <w:r w:rsidRPr="007C103A">
              <w:rPr>
                <w:rFonts w:eastAsia="Times New Roman" w:cs="Arial"/>
                <w:bCs w:val="0"/>
                <w:szCs w:val="20"/>
                <w:lang w:bidi="en-US"/>
              </w:rPr>
              <w:t>$</w:t>
            </w:r>
            <w:r w:rsidR="004A77F8">
              <w:rPr>
                <w:noProof/>
                <w:color w:val="000000"/>
                <w:highlight w:val="black"/>
              </w:rPr>
              <w:t>''''''''''''''''''''''''''</w:t>
            </w:r>
            <w:r w:rsidR="00236E57">
              <w:rPr>
                <w:vertAlign w:val="superscript"/>
              </w:rPr>
              <w:t>3</w:t>
            </w:r>
          </w:p>
        </w:tc>
        <w:tc>
          <w:tcPr>
            <w:tcW w:w="638" w:type="pct"/>
            <w:shd w:val="clear" w:color="auto" w:fill="auto"/>
            <w:vAlign w:val="center"/>
          </w:tcPr>
          <w:p w14:paraId="3128F633" w14:textId="77777777" w:rsidR="002D7FDB" w:rsidRPr="007C103A" w:rsidRDefault="002D7FDB" w:rsidP="008059B6">
            <w:pPr>
              <w:pStyle w:val="TableText0"/>
              <w:keepNext w:val="0"/>
              <w:widowControl w:val="0"/>
              <w:jc w:val="center"/>
              <w:rPr>
                <w:bCs w:val="0"/>
                <w:szCs w:val="20"/>
              </w:rPr>
            </w:pPr>
            <w:r w:rsidRPr="007C103A">
              <w:rPr>
                <w:rFonts w:eastAsia="Times New Roman" w:cs="Arial"/>
                <w:bCs w:val="0"/>
                <w:szCs w:val="20"/>
                <w:lang w:bidi="en-US"/>
              </w:rPr>
              <w:t>$</w:t>
            </w:r>
            <w:r w:rsidR="004A77F8">
              <w:rPr>
                <w:noProof/>
                <w:color w:val="000000"/>
                <w:highlight w:val="black"/>
              </w:rPr>
              <w:t>''''''''''''''''''''''''</w:t>
            </w:r>
            <w:r w:rsidR="00236E57">
              <w:rPr>
                <w:vertAlign w:val="superscript"/>
              </w:rPr>
              <w:t>3</w:t>
            </w:r>
          </w:p>
        </w:tc>
        <w:tc>
          <w:tcPr>
            <w:tcW w:w="620" w:type="pct"/>
            <w:shd w:val="clear" w:color="auto" w:fill="auto"/>
            <w:vAlign w:val="center"/>
          </w:tcPr>
          <w:p w14:paraId="0B79BE2C" w14:textId="77777777" w:rsidR="002D7FDB" w:rsidRPr="007C103A" w:rsidRDefault="002D7FDB" w:rsidP="008059B6">
            <w:pPr>
              <w:pStyle w:val="TableText0"/>
              <w:keepNext w:val="0"/>
              <w:widowControl w:val="0"/>
              <w:jc w:val="center"/>
              <w:rPr>
                <w:bCs w:val="0"/>
                <w:szCs w:val="20"/>
              </w:rPr>
            </w:pPr>
            <w:r w:rsidRPr="007C103A">
              <w:rPr>
                <w:rFonts w:eastAsia="Times New Roman" w:cs="Arial"/>
                <w:bCs w:val="0"/>
                <w:szCs w:val="20"/>
                <w:lang w:bidi="en-US"/>
              </w:rPr>
              <w:t>$</w:t>
            </w:r>
            <w:r w:rsidR="004A77F8">
              <w:rPr>
                <w:noProof/>
                <w:color w:val="000000"/>
                <w:highlight w:val="black"/>
              </w:rPr>
              <w:t>''''''''''''''''''''''''''</w:t>
            </w:r>
            <w:r w:rsidR="00236E57">
              <w:rPr>
                <w:vertAlign w:val="superscript"/>
              </w:rPr>
              <w:t>3</w:t>
            </w:r>
          </w:p>
        </w:tc>
        <w:tc>
          <w:tcPr>
            <w:tcW w:w="660" w:type="pct"/>
            <w:vAlign w:val="center"/>
          </w:tcPr>
          <w:p w14:paraId="588167F0" w14:textId="77777777" w:rsidR="002D7FDB" w:rsidRPr="007C103A" w:rsidRDefault="002D7FDB" w:rsidP="008059B6">
            <w:pPr>
              <w:pStyle w:val="TableText0"/>
              <w:keepNext w:val="0"/>
              <w:widowControl w:val="0"/>
              <w:jc w:val="center"/>
              <w:rPr>
                <w:bCs w:val="0"/>
                <w:szCs w:val="20"/>
              </w:rPr>
            </w:pPr>
            <w:r w:rsidRPr="007C103A">
              <w:rPr>
                <w:rFonts w:eastAsia="Times New Roman" w:cs="Arial"/>
                <w:bCs w:val="0"/>
                <w:szCs w:val="20"/>
                <w:lang w:bidi="en-US"/>
              </w:rPr>
              <w:t>$</w:t>
            </w:r>
            <w:r w:rsidR="004A77F8">
              <w:rPr>
                <w:noProof/>
                <w:color w:val="000000"/>
                <w:highlight w:val="black"/>
              </w:rPr>
              <w:t>''''''''''''''''''''''''''''</w:t>
            </w:r>
            <w:r w:rsidR="00236E57">
              <w:rPr>
                <w:vertAlign w:val="superscript"/>
              </w:rPr>
              <w:t>3</w:t>
            </w:r>
          </w:p>
        </w:tc>
      </w:tr>
      <w:tr w:rsidR="002D7FDB" w:rsidRPr="007C103A" w14:paraId="0CDE69F2" w14:textId="77777777" w:rsidTr="008059B6">
        <w:tc>
          <w:tcPr>
            <w:tcW w:w="1264" w:type="pct"/>
            <w:shd w:val="clear" w:color="auto" w:fill="auto"/>
            <w:vAlign w:val="center"/>
          </w:tcPr>
          <w:p w14:paraId="1C0FB7B9" w14:textId="77777777" w:rsidR="002D7FDB" w:rsidRPr="007C103A" w:rsidRDefault="002D7FDB" w:rsidP="008059B6">
            <w:pPr>
              <w:pStyle w:val="TableText0"/>
              <w:keepNext w:val="0"/>
              <w:widowControl w:val="0"/>
              <w:rPr>
                <w:sz w:val="19"/>
                <w:szCs w:val="19"/>
              </w:rPr>
            </w:pPr>
            <w:r w:rsidRPr="007C103A">
              <w:rPr>
                <w:szCs w:val="20"/>
              </w:rPr>
              <w:t xml:space="preserve">Cost offsets for substituted </w:t>
            </w:r>
            <w:proofErr w:type="spellStart"/>
            <w:r w:rsidRPr="007C103A">
              <w:rPr>
                <w:szCs w:val="20"/>
              </w:rPr>
              <w:t>RGemOx</w:t>
            </w:r>
            <w:proofErr w:type="spellEnd"/>
            <w:r w:rsidRPr="007C103A">
              <w:rPr>
                <w:szCs w:val="20"/>
              </w:rPr>
              <w:t xml:space="preserve"> (less copayments)</w:t>
            </w:r>
          </w:p>
        </w:tc>
        <w:tc>
          <w:tcPr>
            <w:tcW w:w="616" w:type="pct"/>
            <w:shd w:val="clear" w:color="auto" w:fill="auto"/>
            <w:vAlign w:val="center"/>
          </w:tcPr>
          <w:p w14:paraId="2207FFD0" w14:textId="77777777" w:rsidR="002D7FDB" w:rsidRPr="007C103A" w:rsidRDefault="002D7FDB" w:rsidP="008059B6">
            <w:pPr>
              <w:pStyle w:val="TableText0"/>
              <w:keepNext w:val="0"/>
              <w:widowControl w:val="0"/>
              <w:jc w:val="center"/>
              <w:rPr>
                <w:bCs w:val="0"/>
                <w:szCs w:val="20"/>
              </w:rPr>
            </w:pPr>
            <w:r w:rsidRPr="007C103A">
              <w:rPr>
                <w:bCs w:val="0"/>
                <w:szCs w:val="20"/>
              </w:rPr>
              <w:t>-$</w:t>
            </w:r>
            <w:r w:rsidR="004A77F8">
              <w:rPr>
                <w:noProof/>
                <w:color w:val="000000"/>
                <w:highlight w:val="black"/>
              </w:rPr>
              <w:t>'''''''''''''''''''''''</w:t>
            </w:r>
            <w:r w:rsidR="00236E57">
              <w:rPr>
                <w:vertAlign w:val="superscript"/>
              </w:rPr>
              <w:t>4</w:t>
            </w:r>
          </w:p>
        </w:tc>
        <w:tc>
          <w:tcPr>
            <w:tcW w:w="600" w:type="pct"/>
            <w:shd w:val="clear" w:color="auto" w:fill="auto"/>
            <w:vAlign w:val="center"/>
          </w:tcPr>
          <w:p w14:paraId="27ED8C9B" w14:textId="77777777" w:rsidR="002D7FDB" w:rsidRPr="007C103A" w:rsidRDefault="002D7FDB" w:rsidP="008059B6">
            <w:pPr>
              <w:pStyle w:val="TableText0"/>
              <w:keepNext w:val="0"/>
              <w:widowControl w:val="0"/>
              <w:jc w:val="center"/>
              <w:rPr>
                <w:bCs w:val="0"/>
                <w:szCs w:val="20"/>
              </w:rPr>
            </w:pPr>
            <w:r w:rsidRPr="007C103A">
              <w:rPr>
                <w:bCs w:val="0"/>
                <w:szCs w:val="20"/>
              </w:rPr>
              <w:t>-$</w:t>
            </w:r>
            <w:r w:rsidR="004A77F8">
              <w:rPr>
                <w:noProof/>
                <w:color w:val="000000"/>
                <w:highlight w:val="black"/>
              </w:rPr>
              <w:t>''''''''''''''''''''''</w:t>
            </w:r>
            <w:r w:rsidR="00236E57">
              <w:rPr>
                <w:vertAlign w:val="superscript"/>
              </w:rPr>
              <w:t>4</w:t>
            </w:r>
          </w:p>
        </w:tc>
        <w:tc>
          <w:tcPr>
            <w:tcW w:w="602" w:type="pct"/>
            <w:shd w:val="clear" w:color="auto" w:fill="auto"/>
            <w:vAlign w:val="center"/>
          </w:tcPr>
          <w:p w14:paraId="5F37D911" w14:textId="77777777" w:rsidR="002D7FDB" w:rsidRPr="007C103A" w:rsidRDefault="002D7FDB" w:rsidP="008059B6">
            <w:pPr>
              <w:pStyle w:val="TableText0"/>
              <w:keepNext w:val="0"/>
              <w:widowControl w:val="0"/>
              <w:jc w:val="center"/>
              <w:rPr>
                <w:bCs w:val="0"/>
                <w:szCs w:val="20"/>
              </w:rPr>
            </w:pPr>
            <w:r w:rsidRPr="007C103A">
              <w:rPr>
                <w:bCs w:val="0"/>
                <w:szCs w:val="20"/>
              </w:rPr>
              <w:t>-$</w:t>
            </w:r>
            <w:r w:rsidR="004A77F8">
              <w:rPr>
                <w:noProof/>
                <w:color w:val="000000"/>
                <w:highlight w:val="black"/>
              </w:rPr>
              <w:t>''''''''''''''''''''''''</w:t>
            </w:r>
            <w:r w:rsidR="00236E57">
              <w:rPr>
                <w:vertAlign w:val="superscript"/>
              </w:rPr>
              <w:t>3</w:t>
            </w:r>
          </w:p>
        </w:tc>
        <w:tc>
          <w:tcPr>
            <w:tcW w:w="638" w:type="pct"/>
            <w:shd w:val="clear" w:color="auto" w:fill="auto"/>
            <w:vAlign w:val="center"/>
          </w:tcPr>
          <w:p w14:paraId="7C8F5B4E" w14:textId="77777777" w:rsidR="002D7FDB" w:rsidRPr="007C103A" w:rsidRDefault="002D7FDB" w:rsidP="008059B6">
            <w:pPr>
              <w:pStyle w:val="TableText0"/>
              <w:keepNext w:val="0"/>
              <w:widowControl w:val="0"/>
              <w:jc w:val="center"/>
              <w:rPr>
                <w:bCs w:val="0"/>
                <w:szCs w:val="20"/>
              </w:rPr>
            </w:pPr>
            <w:r w:rsidRPr="007C103A">
              <w:rPr>
                <w:bCs w:val="0"/>
                <w:szCs w:val="20"/>
              </w:rPr>
              <w:t>-$</w:t>
            </w:r>
            <w:r w:rsidR="004A77F8">
              <w:rPr>
                <w:noProof/>
                <w:color w:val="000000"/>
                <w:highlight w:val="black"/>
              </w:rPr>
              <w:t>'''''''''''''''''''''''''</w:t>
            </w:r>
            <w:r w:rsidR="00236E57">
              <w:rPr>
                <w:vertAlign w:val="superscript"/>
              </w:rPr>
              <w:t>3</w:t>
            </w:r>
          </w:p>
        </w:tc>
        <w:tc>
          <w:tcPr>
            <w:tcW w:w="620" w:type="pct"/>
            <w:shd w:val="clear" w:color="auto" w:fill="auto"/>
            <w:vAlign w:val="center"/>
          </w:tcPr>
          <w:p w14:paraId="22AEC263" w14:textId="77777777" w:rsidR="002D7FDB" w:rsidRPr="007C103A" w:rsidRDefault="002D7FDB" w:rsidP="008059B6">
            <w:pPr>
              <w:pStyle w:val="TableText0"/>
              <w:keepNext w:val="0"/>
              <w:widowControl w:val="0"/>
              <w:jc w:val="center"/>
              <w:rPr>
                <w:bCs w:val="0"/>
                <w:szCs w:val="20"/>
              </w:rPr>
            </w:pPr>
            <w:r w:rsidRPr="007C103A">
              <w:rPr>
                <w:bCs w:val="0"/>
                <w:szCs w:val="20"/>
              </w:rPr>
              <w:t>-$</w:t>
            </w:r>
            <w:r w:rsidR="004A77F8">
              <w:rPr>
                <w:noProof/>
                <w:color w:val="000000"/>
                <w:highlight w:val="black"/>
              </w:rPr>
              <w:t>'''''''''''''''''''''''''</w:t>
            </w:r>
            <w:r w:rsidR="00236E57">
              <w:rPr>
                <w:vertAlign w:val="superscript"/>
              </w:rPr>
              <w:t>3</w:t>
            </w:r>
          </w:p>
        </w:tc>
        <w:tc>
          <w:tcPr>
            <w:tcW w:w="660" w:type="pct"/>
            <w:vAlign w:val="center"/>
          </w:tcPr>
          <w:p w14:paraId="25641DF8" w14:textId="77777777" w:rsidR="002D7FDB" w:rsidRPr="007C103A" w:rsidRDefault="002D7FDB" w:rsidP="008059B6">
            <w:pPr>
              <w:pStyle w:val="TableText0"/>
              <w:keepNext w:val="0"/>
              <w:widowControl w:val="0"/>
              <w:jc w:val="center"/>
              <w:rPr>
                <w:bCs w:val="0"/>
                <w:szCs w:val="20"/>
              </w:rPr>
            </w:pPr>
            <w:r w:rsidRPr="007C103A">
              <w:rPr>
                <w:bCs w:val="0"/>
                <w:szCs w:val="20"/>
              </w:rPr>
              <w:t>-$</w:t>
            </w:r>
            <w:r w:rsidR="004A77F8">
              <w:rPr>
                <w:noProof/>
                <w:color w:val="000000"/>
                <w:highlight w:val="black"/>
              </w:rPr>
              <w:t>'''''''''''''''''''''''''''''</w:t>
            </w:r>
            <w:r w:rsidR="00236E57">
              <w:rPr>
                <w:vertAlign w:val="superscript"/>
              </w:rPr>
              <w:t>3</w:t>
            </w:r>
          </w:p>
        </w:tc>
      </w:tr>
      <w:tr w:rsidR="002D7FDB" w:rsidRPr="007C103A" w14:paraId="657B7C96" w14:textId="77777777" w:rsidTr="008059B6">
        <w:tc>
          <w:tcPr>
            <w:tcW w:w="5000" w:type="pct"/>
            <w:gridSpan w:val="7"/>
            <w:shd w:val="clear" w:color="auto" w:fill="auto"/>
            <w:vAlign w:val="center"/>
          </w:tcPr>
          <w:p w14:paraId="4B931AE4" w14:textId="77777777" w:rsidR="002D7FDB" w:rsidRPr="007C103A" w:rsidRDefault="002D7FDB" w:rsidP="008059B6">
            <w:pPr>
              <w:pStyle w:val="In-tableHeading"/>
              <w:keepNext w:val="0"/>
              <w:widowControl w:val="0"/>
              <w:rPr>
                <w:lang w:val="en-AU"/>
              </w:rPr>
            </w:pPr>
            <w:r w:rsidRPr="007C103A">
              <w:rPr>
                <w:lang w:val="en-AU"/>
              </w:rPr>
              <w:t>Net financial implications</w:t>
            </w:r>
          </w:p>
        </w:tc>
      </w:tr>
      <w:tr w:rsidR="002D7FDB" w:rsidRPr="007C103A" w14:paraId="67EE97FE" w14:textId="77777777" w:rsidTr="008059B6">
        <w:tc>
          <w:tcPr>
            <w:tcW w:w="1264" w:type="pct"/>
            <w:shd w:val="clear" w:color="auto" w:fill="auto"/>
            <w:vAlign w:val="center"/>
          </w:tcPr>
          <w:p w14:paraId="4D676593" w14:textId="77777777" w:rsidR="002D7FDB" w:rsidRPr="007C103A" w:rsidRDefault="002D7FDB" w:rsidP="008059B6">
            <w:pPr>
              <w:pStyle w:val="TableText0"/>
              <w:keepNext w:val="0"/>
              <w:widowControl w:val="0"/>
              <w:rPr>
                <w:sz w:val="19"/>
                <w:szCs w:val="19"/>
              </w:rPr>
            </w:pPr>
            <w:r w:rsidRPr="007C103A">
              <w:rPr>
                <w:sz w:val="19"/>
                <w:szCs w:val="19"/>
              </w:rPr>
              <w:t>Net cost to PBS/RPBS</w:t>
            </w:r>
          </w:p>
        </w:tc>
        <w:tc>
          <w:tcPr>
            <w:tcW w:w="616" w:type="pct"/>
            <w:shd w:val="clear" w:color="auto" w:fill="auto"/>
            <w:vAlign w:val="center"/>
          </w:tcPr>
          <w:p w14:paraId="12B0A580"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szCs w:val="20"/>
              </w:rPr>
              <w:t>$</w:t>
            </w:r>
            <w:r w:rsidR="004A77F8">
              <w:rPr>
                <w:noProof/>
                <w:color w:val="000000"/>
                <w:highlight w:val="black"/>
              </w:rPr>
              <w:t>'''''''''''''''''''''''</w:t>
            </w:r>
            <w:r w:rsidR="00236E57">
              <w:rPr>
                <w:vertAlign w:val="superscript"/>
              </w:rPr>
              <w:t>4</w:t>
            </w:r>
          </w:p>
        </w:tc>
        <w:tc>
          <w:tcPr>
            <w:tcW w:w="600" w:type="pct"/>
            <w:shd w:val="clear" w:color="auto" w:fill="auto"/>
            <w:vAlign w:val="center"/>
          </w:tcPr>
          <w:p w14:paraId="1DC9E4F6"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szCs w:val="20"/>
              </w:rPr>
              <w:t>$</w:t>
            </w:r>
            <w:r w:rsidR="004A77F8">
              <w:rPr>
                <w:noProof/>
                <w:color w:val="000000"/>
                <w:highlight w:val="black"/>
              </w:rPr>
              <w:t>'''''''''''''''''''''''''</w:t>
            </w:r>
            <w:r w:rsidR="00236E57">
              <w:rPr>
                <w:vertAlign w:val="superscript"/>
              </w:rPr>
              <w:t>4</w:t>
            </w:r>
          </w:p>
        </w:tc>
        <w:tc>
          <w:tcPr>
            <w:tcW w:w="602" w:type="pct"/>
            <w:shd w:val="clear" w:color="auto" w:fill="auto"/>
            <w:vAlign w:val="center"/>
          </w:tcPr>
          <w:p w14:paraId="65617374"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szCs w:val="20"/>
              </w:rPr>
              <w:t>$</w:t>
            </w:r>
            <w:r w:rsidR="004A77F8">
              <w:rPr>
                <w:noProof/>
                <w:color w:val="000000"/>
                <w:highlight w:val="black"/>
              </w:rPr>
              <w:t>'''''''''''''''''''''</w:t>
            </w:r>
            <w:r w:rsidR="00236E57">
              <w:rPr>
                <w:vertAlign w:val="superscript"/>
              </w:rPr>
              <w:t>4</w:t>
            </w:r>
          </w:p>
        </w:tc>
        <w:tc>
          <w:tcPr>
            <w:tcW w:w="638" w:type="pct"/>
            <w:shd w:val="clear" w:color="auto" w:fill="auto"/>
            <w:vAlign w:val="center"/>
          </w:tcPr>
          <w:p w14:paraId="66970AEC"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szCs w:val="20"/>
              </w:rPr>
              <w:t>$</w:t>
            </w:r>
            <w:r w:rsidR="004A77F8">
              <w:rPr>
                <w:noProof/>
                <w:color w:val="000000"/>
                <w:highlight w:val="black"/>
              </w:rPr>
              <w:t>'''''''''''''''''''''''</w:t>
            </w:r>
            <w:r w:rsidR="00236E57">
              <w:rPr>
                <w:vertAlign w:val="superscript"/>
              </w:rPr>
              <w:t>4</w:t>
            </w:r>
          </w:p>
        </w:tc>
        <w:tc>
          <w:tcPr>
            <w:tcW w:w="620" w:type="pct"/>
            <w:shd w:val="clear" w:color="auto" w:fill="auto"/>
            <w:vAlign w:val="center"/>
          </w:tcPr>
          <w:p w14:paraId="4B8ADB26"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szCs w:val="20"/>
              </w:rPr>
              <w:t>$</w:t>
            </w:r>
            <w:r w:rsidR="004A77F8">
              <w:rPr>
                <w:noProof/>
                <w:color w:val="000000"/>
                <w:highlight w:val="black"/>
              </w:rPr>
              <w:t>'''''''''''''''''''''''</w:t>
            </w:r>
            <w:r w:rsidR="00236E57">
              <w:rPr>
                <w:vertAlign w:val="superscript"/>
              </w:rPr>
              <w:t>4</w:t>
            </w:r>
          </w:p>
        </w:tc>
        <w:tc>
          <w:tcPr>
            <w:tcW w:w="660" w:type="pct"/>
            <w:vAlign w:val="center"/>
          </w:tcPr>
          <w:p w14:paraId="29060B5C"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szCs w:val="20"/>
              </w:rPr>
              <w:t>$</w:t>
            </w:r>
            <w:r w:rsidR="004A77F8">
              <w:rPr>
                <w:noProof/>
                <w:color w:val="000000"/>
                <w:highlight w:val="black"/>
              </w:rPr>
              <w:t>'''''''''''''''''''''''</w:t>
            </w:r>
            <w:r w:rsidR="00236E57">
              <w:rPr>
                <w:vertAlign w:val="superscript"/>
              </w:rPr>
              <w:t>4</w:t>
            </w:r>
          </w:p>
        </w:tc>
      </w:tr>
      <w:tr w:rsidR="002D7FDB" w:rsidRPr="007C103A" w14:paraId="273C35A1" w14:textId="77777777" w:rsidTr="008059B6">
        <w:tc>
          <w:tcPr>
            <w:tcW w:w="1264" w:type="pct"/>
            <w:tcBorders>
              <w:bottom w:val="single" w:sz="4" w:space="0" w:color="auto"/>
            </w:tcBorders>
            <w:shd w:val="clear" w:color="auto" w:fill="auto"/>
            <w:vAlign w:val="center"/>
          </w:tcPr>
          <w:p w14:paraId="4749E7BB" w14:textId="77777777" w:rsidR="002D7FDB" w:rsidRPr="007C103A" w:rsidRDefault="002D7FDB" w:rsidP="008059B6">
            <w:pPr>
              <w:pStyle w:val="TableText0"/>
              <w:keepNext w:val="0"/>
              <w:widowControl w:val="0"/>
              <w:rPr>
                <w:rFonts w:ascii="Times" w:hAnsi="Times"/>
              </w:rPr>
            </w:pPr>
            <w:r w:rsidRPr="007C103A">
              <w:rPr>
                <w:sz w:val="19"/>
                <w:szCs w:val="19"/>
              </w:rPr>
              <w:t>Net cost to MBS</w:t>
            </w:r>
          </w:p>
        </w:tc>
        <w:tc>
          <w:tcPr>
            <w:tcW w:w="616" w:type="pct"/>
            <w:tcBorders>
              <w:bottom w:val="single" w:sz="4" w:space="0" w:color="auto"/>
            </w:tcBorders>
            <w:shd w:val="clear" w:color="auto" w:fill="auto"/>
            <w:vAlign w:val="center"/>
          </w:tcPr>
          <w:p w14:paraId="794BBF75"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color w:val="000000"/>
                <w:szCs w:val="20"/>
              </w:rPr>
              <w:t>-$</w:t>
            </w:r>
            <w:r w:rsidR="004A77F8">
              <w:rPr>
                <w:noProof/>
                <w:color w:val="000000"/>
                <w:highlight w:val="black"/>
              </w:rPr>
              <w:t>''''''''''''''''''''</w:t>
            </w:r>
            <w:r w:rsidR="00236E57">
              <w:rPr>
                <w:vertAlign w:val="superscript"/>
              </w:rPr>
              <w:t>4</w:t>
            </w:r>
          </w:p>
        </w:tc>
        <w:tc>
          <w:tcPr>
            <w:tcW w:w="600" w:type="pct"/>
            <w:tcBorders>
              <w:bottom w:val="single" w:sz="4" w:space="0" w:color="auto"/>
            </w:tcBorders>
            <w:shd w:val="clear" w:color="auto" w:fill="auto"/>
            <w:vAlign w:val="center"/>
          </w:tcPr>
          <w:p w14:paraId="69FCD321"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color w:val="000000"/>
                <w:szCs w:val="20"/>
              </w:rPr>
              <w:t>-$</w:t>
            </w:r>
            <w:r w:rsidR="004A77F8">
              <w:rPr>
                <w:noProof/>
                <w:color w:val="000000"/>
                <w:highlight w:val="black"/>
              </w:rPr>
              <w:t>'''''''''''''''''''''</w:t>
            </w:r>
            <w:r w:rsidR="00236E57">
              <w:rPr>
                <w:vertAlign w:val="superscript"/>
              </w:rPr>
              <w:t>4</w:t>
            </w:r>
          </w:p>
        </w:tc>
        <w:tc>
          <w:tcPr>
            <w:tcW w:w="602" w:type="pct"/>
            <w:tcBorders>
              <w:bottom w:val="single" w:sz="4" w:space="0" w:color="auto"/>
            </w:tcBorders>
            <w:shd w:val="clear" w:color="auto" w:fill="auto"/>
            <w:vAlign w:val="center"/>
          </w:tcPr>
          <w:p w14:paraId="233C7AEC"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color w:val="000000"/>
                <w:szCs w:val="20"/>
              </w:rPr>
              <w:t>-$</w:t>
            </w:r>
            <w:r w:rsidR="004A77F8">
              <w:rPr>
                <w:noProof/>
                <w:color w:val="000000"/>
                <w:highlight w:val="black"/>
              </w:rPr>
              <w:t>'''''''''''''''''''''</w:t>
            </w:r>
            <w:r w:rsidR="00236E57">
              <w:rPr>
                <w:vertAlign w:val="superscript"/>
              </w:rPr>
              <w:t>4</w:t>
            </w:r>
          </w:p>
        </w:tc>
        <w:tc>
          <w:tcPr>
            <w:tcW w:w="638" w:type="pct"/>
            <w:tcBorders>
              <w:bottom w:val="single" w:sz="4" w:space="0" w:color="auto"/>
            </w:tcBorders>
            <w:shd w:val="clear" w:color="auto" w:fill="auto"/>
            <w:vAlign w:val="center"/>
          </w:tcPr>
          <w:p w14:paraId="624472B8"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color w:val="000000"/>
                <w:szCs w:val="20"/>
              </w:rPr>
              <w:t>-$</w:t>
            </w:r>
            <w:r w:rsidR="004A77F8">
              <w:rPr>
                <w:noProof/>
                <w:color w:val="000000"/>
                <w:highlight w:val="black"/>
              </w:rPr>
              <w:t>'''''''''''''''''''</w:t>
            </w:r>
            <w:r w:rsidR="00236E57">
              <w:rPr>
                <w:vertAlign w:val="superscript"/>
              </w:rPr>
              <w:t>4</w:t>
            </w:r>
          </w:p>
        </w:tc>
        <w:tc>
          <w:tcPr>
            <w:tcW w:w="620" w:type="pct"/>
            <w:tcBorders>
              <w:bottom w:val="single" w:sz="4" w:space="0" w:color="auto"/>
            </w:tcBorders>
            <w:shd w:val="clear" w:color="auto" w:fill="auto"/>
            <w:vAlign w:val="center"/>
          </w:tcPr>
          <w:p w14:paraId="76F1E584"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color w:val="000000"/>
                <w:szCs w:val="20"/>
              </w:rPr>
              <w:t>-$</w:t>
            </w:r>
            <w:r w:rsidR="004A77F8">
              <w:rPr>
                <w:noProof/>
                <w:color w:val="000000"/>
                <w:highlight w:val="black"/>
              </w:rPr>
              <w:t>''''''''''''''''''</w:t>
            </w:r>
            <w:r w:rsidR="00236E57">
              <w:rPr>
                <w:vertAlign w:val="superscript"/>
              </w:rPr>
              <w:t>4</w:t>
            </w:r>
          </w:p>
        </w:tc>
        <w:tc>
          <w:tcPr>
            <w:tcW w:w="660" w:type="pct"/>
            <w:tcBorders>
              <w:bottom w:val="single" w:sz="4" w:space="0" w:color="auto"/>
            </w:tcBorders>
            <w:vAlign w:val="center"/>
          </w:tcPr>
          <w:p w14:paraId="38FEEFA4" w14:textId="77777777" w:rsidR="002D7FDB" w:rsidRPr="007C103A" w:rsidRDefault="002D7FDB" w:rsidP="008059B6">
            <w:pPr>
              <w:pStyle w:val="TableText0"/>
              <w:keepNext w:val="0"/>
              <w:widowControl w:val="0"/>
              <w:jc w:val="center"/>
              <w:rPr>
                <w:bCs w:val="0"/>
                <w:szCs w:val="20"/>
              </w:rPr>
            </w:pPr>
            <w:r w:rsidRPr="007C103A">
              <w:rPr>
                <w:rFonts w:eastAsia="Times New Roman" w:cstheme="minorHAnsi"/>
                <w:bCs w:val="0"/>
                <w:color w:val="000000"/>
                <w:szCs w:val="20"/>
              </w:rPr>
              <w:t>-$</w:t>
            </w:r>
            <w:r w:rsidR="004A77F8">
              <w:rPr>
                <w:noProof/>
                <w:color w:val="000000"/>
                <w:highlight w:val="black"/>
              </w:rPr>
              <w:t>'''''''''''''''''''</w:t>
            </w:r>
            <w:r w:rsidR="00236E57">
              <w:rPr>
                <w:vertAlign w:val="superscript"/>
              </w:rPr>
              <w:t>4</w:t>
            </w:r>
          </w:p>
        </w:tc>
      </w:tr>
      <w:tr w:rsidR="002D7FDB" w:rsidRPr="007C103A" w14:paraId="08CE0714" w14:textId="77777777" w:rsidTr="008059B6">
        <w:tc>
          <w:tcPr>
            <w:tcW w:w="1264" w:type="pct"/>
            <w:shd w:val="clear" w:color="auto" w:fill="auto"/>
            <w:vAlign w:val="center"/>
          </w:tcPr>
          <w:p w14:paraId="4BE22D2A" w14:textId="77777777" w:rsidR="002D7FDB" w:rsidRPr="007C103A" w:rsidRDefault="002D7FDB" w:rsidP="008059B6">
            <w:pPr>
              <w:pStyle w:val="TableText0"/>
              <w:keepNext w:val="0"/>
              <w:widowControl w:val="0"/>
              <w:rPr>
                <w:b/>
                <w:bCs w:val="0"/>
                <w:sz w:val="19"/>
                <w:szCs w:val="19"/>
              </w:rPr>
            </w:pPr>
            <w:r w:rsidRPr="007C103A">
              <w:rPr>
                <w:b/>
                <w:bCs w:val="0"/>
                <w:sz w:val="19"/>
                <w:szCs w:val="19"/>
              </w:rPr>
              <w:t>Net cost to PBS/RPBS/MBS</w:t>
            </w:r>
          </w:p>
        </w:tc>
        <w:tc>
          <w:tcPr>
            <w:tcW w:w="616" w:type="pct"/>
            <w:shd w:val="clear" w:color="auto" w:fill="auto"/>
            <w:vAlign w:val="center"/>
          </w:tcPr>
          <w:p w14:paraId="3EEB8FA1" w14:textId="77777777" w:rsidR="002D7FDB" w:rsidRPr="007C103A" w:rsidRDefault="002D7FDB" w:rsidP="008059B6">
            <w:pPr>
              <w:pStyle w:val="TableText0"/>
              <w:keepNext w:val="0"/>
              <w:widowControl w:val="0"/>
              <w:jc w:val="center"/>
              <w:rPr>
                <w:b/>
                <w:szCs w:val="20"/>
              </w:rPr>
            </w:pPr>
            <w:r w:rsidRPr="007C103A">
              <w:rPr>
                <w:b/>
                <w:szCs w:val="20"/>
              </w:rPr>
              <w:t>$</w:t>
            </w:r>
            <w:r w:rsidR="004A77F8">
              <w:rPr>
                <w:b/>
                <w:noProof/>
                <w:color w:val="000000"/>
                <w:szCs w:val="20"/>
                <w:highlight w:val="black"/>
              </w:rPr>
              <w:t>''''''''''''''''''</w:t>
            </w:r>
            <w:r w:rsidR="00236E57">
              <w:rPr>
                <w:vertAlign w:val="superscript"/>
              </w:rPr>
              <w:t>4</w:t>
            </w:r>
          </w:p>
        </w:tc>
        <w:tc>
          <w:tcPr>
            <w:tcW w:w="600" w:type="pct"/>
            <w:shd w:val="clear" w:color="auto" w:fill="auto"/>
            <w:vAlign w:val="center"/>
          </w:tcPr>
          <w:p w14:paraId="6DF1F87D" w14:textId="77777777" w:rsidR="002D7FDB" w:rsidRPr="007C103A" w:rsidRDefault="002D7FDB" w:rsidP="008059B6">
            <w:pPr>
              <w:pStyle w:val="TableText0"/>
              <w:keepNext w:val="0"/>
              <w:widowControl w:val="0"/>
              <w:jc w:val="center"/>
              <w:rPr>
                <w:b/>
                <w:szCs w:val="20"/>
              </w:rPr>
            </w:pPr>
            <w:r w:rsidRPr="007C103A">
              <w:rPr>
                <w:b/>
                <w:szCs w:val="20"/>
              </w:rPr>
              <w:t>$</w:t>
            </w:r>
            <w:r w:rsidR="004A77F8">
              <w:rPr>
                <w:b/>
                <w:noProof/>
                <w:color w:val="000000"/>
                <w:szCs w:val="20"/>
                <w:highlight w:val="black"/>
              </w:rPr>
              <w:t>''''''''''''''''''''</w:t>
            </w:r>
            <w:r w:rsidR="00236E57">
              <w:rPr>
                <w:vertAlign w:val="superscript"/>
              </w:rPr>
              <w:t>4</w:t>
            </w:r>
          </w:p>
        </w:tc>
        <w:tc>
          <w:tcPr>
            <w:tcW w:w="602" w:type="pct"/>
            <w:shd w:val="clear" w:color="auto" w:fill="auto"/>
            <w:vAlign w:val="center"/>
          </w:tcPr>
          <w:p w14:paraId="76D6CDEA" w14:textId="77777777" w:rsidR="002D7FDB" w:rsidRPr="007C103A" w:rsidRDefault="002D7FDB" w:rsidP="008059B6">
            <w:pPr>
              <w:pStyle w:val="TableText0"/>
              <w:keepNext w:val="0"/>
              <w:widowControl w:val="0"/>
              <w:jc w:val="center"/>
              <w:rPr>
                <w:b/>
                <w:szCs w:val="20"/>
              </w:rPr>
            </w:pPr>
            <w:r w:rsidRPr="007C103A">
              <w:rPr>
                <w:b/>
                <w:szCs w:val="20"/>
              </w:rPr>
              <w:t>$</w:t>
            </w:r>
            <w:r w:rsidR="004A77F8">
              <w:rPr>
                <w:b/>
                <w:noProof/>
                <w:color w:val="000000"/>
                <w:szCs w:val="20"/>
                <w:highlight w:val="black"/>
              </w:rPr>
              <w:t>''''''''''''''''''</w:t>
            </w:r>
            <w:r w:rsidR="00236E57">
              <w:rPr>
                <w:vertAlign w:val="superscript"/>
              </w:rPr>
              <w:t>4</w:t>
            </w:r>
          </w:p>
        </w:tc>
        <w:tc>
          <w:tcPr>
            <w:tcW w:w="638" w:type="pct"/>
            <w:shd w:val="clear" w:color="auto" w:fill="auto"/>
            <w:vAlign w:val="center"/>
          </w:tcPr>
          <w:p w14:paraId="29A6899D" w14:textId="77777777" w:rsidR="002D7FDB" w:rsidRPr="007C103A" w:rsidRDefault="002D7FDB" w:rsidP="008059B6">
            <w:pPr>
              <w:pStyle w:val="TableText0"/>
              <w:keepNext w:val="0"/>
              <w:widowControl w:val="0"/>
              <w:jc w:val="center"/>
              <w:rPr>
                <w:b/>
                <w:szCs w:val="20"/>
              </w:rPr>
            </w:pPr>
            <w:r w:rsidRPr="007C103A">
              <w:rPr>
                <w:b/>
                <w:szCs w:val="20"/>
              </w:rPr>
              <w:t>$</w:t>
            </w:r>
            <w:r w:rsidR="004A77F8">
              <w:rPr>
                <w:b/>
                <w:noProof/>
                <w:color w:val="000000"/>
                <w:szCs w:val="20"/>
                <w:highlight w:val="black"/>
              </w:rPr>
              <w:t>''''''''''''''''''''</w:t>
            </w:r>
            <w:r w:rsidR="00236E57">
              <w:rPr>
                <w:vertAlign w:val="superscript"/>
              </w:rPr>
              <w:t>4</w:t>
            </w:r>
          </w:p>
        </w:tc>
        <w:tc>
          <w:tcPr>
            <w:tcW w:w="620" w:type="pct"/>
            <w:shd w:val="clear" w:color="auto" w:fill="auto"/>
            <w:vAlign w:val="center"/>
          </w:tcPr>
          <w:p w14:paraId="74FA0C65" w14:textId="77777777" w:rsidR="002D7FDB" w:rsidRPr="007C103A" w:rsidRDefault="002D7FDB" w:rsidP="008059B6">
            <w:pPr>
              <w:pStyle w:val="TableText0"/>
              <w:keepNext w:val="0"/>
              <w:widowControl w:val="0"/>
              <w:jc w:val="center"/>
              <w:rPr>
                <w:b/>
                <w:szCs w:val="20"/>
              </w:rPr>
            </w:pPr>
            <w:r w:rsidRPr="007C103A">
              <w:rPr>
                <w:b/>
                <w:szCs w:val="20"/>
              </w:rPr>
              <w:t>$</w:t>
            </w:r>
            <w:r w:rsidR="004A77F8">
              <w:rPr>
                <w:b/>
                <w:noProof/>
                <w:color w:val="000000"/>
                <w:szCs w:val="20"/>
                <w:highlight w:val="black"/>
              </w:rPr>
              <w:t>'''''''''''''''''''</w:t>
            </w:r>
            <w:r w:rsidR="00236E57">
              <w:rPr>
                <w:vertAlign w:val="superscript"/>
              </w:rPr>
              <w:t>4</w:t>
            </w:r>
          </w:p>
        </w:tc>
        <w:tc>
          <w:tcPr>
            <w:tcW w:w="660" w:type="pct"/>
            <w:vAlign w:val="center"/>
          </w:tcPr>
          <w:p w14:paraId="37BA8005" w14:textId="77777777" w:rsidR="002D7FDB" w:rsidRPr="007C103A" w:rsidRDefault="002D7FDB" w:rsidP="008059B6">
            <w:pPr>
              <w:pStyle w:val="TableText0"/>
              <w:keepNext w:val="0"/>
              <w:widowControl w:val="0"/>
              <w:jc w:val="center"/>
              <w:rPr>
                <w:b/>
                <w:szCs w:val="20"/>
              </w:rPr>
            </w:pPr>
            <w:r w:rsidRPr="007C103A">
              <w:rPr>
                <w:b/>
                <w:szCs w:val="20"/>
              </w:rPr>
              <w:t>$</w:t>
            </w:r>
            <w:r w:rsidR="004A77F8">
              <w:rPr>
                <w:b/>
                <w:noProof/>
                <w:color w:val="000000"/>
                <w:szCs w:val="20"/>
                <w:highlight w:val="black"/>
              </w:rPr>
              <w:t>'''''''''''''''''''</w:t>
            </w:r>
            <w:r w:rsidR="00236E57">
              <w:rPr>
                <w:vertAlign w:val="superscript"/>
              </w:rPr>
              <w:t>4</w:t>
            </w:r>
          </w:p>
        </w:tc>
      </w:tr>
    </w:tbl>
    <w:p w14:paraId="62F233C6" w14:textId="77777777" w:rsidR="002D7FDB" w:rsidRPr="007C103A" w:rsidRDefault="002D7FDB" w:rsidP="002D7FDB">
      <w:pPr>
        <w:pStyle w:val="TableFigureFooter"/>
      </w:pPr>
      <w:r w:rsidRPr="007C103A">
        <w:t xml:space="preserve">Source: Table 4-6, p158; Table 4-7, p158; Table 4-10, p160; Table 4-13, p162; Table 4-15, p163; Table 4-18, p165; Table 4-19, p165 of the submission; Excel workbook ‘PBAC submission March 2021_Section 4 </w:t>
      </w:r>
      <w:proofErr w:type="spellStart"/>
      <w:r w:rsidRPr="007C103A">
        <w:t>Workbook_XPOVIO_DLBCL_Final</w:t>
      </w:r>
      <w:proofErr w:type="spellEnd"/>
      <w:r w:rsidRPr="007C103A">
        <w:t xml:space="preserve">’ </w:t>
      </w:r>
    </w:p>
    <w:p w14:paraId="00B924E6" w14:textId="77777777" w:rsidR="002D7FDB" w:rsidRPr="007C103A" w:rsidRDefault="002D7FDB" w:rsidP="002D7FDB">
      <w:pPr>
        <w:pStyle w:val="TableFigureFooter"/>
        <w:rPr>
          <w:rStyle w:val="CommentReference"/>
          <w:b w:val="0"/>
          <w:sz w:val="18"/>
          <w:szCs w:val="22"/>
        </w:rPr>
      </w:pPr>
      <w:r w:rsidRPr="007C103A">
        <w:t xml:space="preserve">MBS = Medicare Benefits Schedule; PBS = Pharmaceutical Benefits Scheme; </w:t>
      </w:r>
      <w:proofErr w:type="spellStart"/>
      <w:r w:rsidRPr="007C103A">
        <w:t>RGemOx</w:t>
      </w:r>
      <w:proofErr w:type="spellEnd"/>
      <w:r w:rsidRPr="007C103A">
        <w:t xml:space="preserve"> = rituximab-</w:t>
      </w:r>
      <w:r w:rsidR="00645381">
        <w:t>gemcitabine-oxaliplatin; RPBS = </w:t>
      </w:r>
      <w:r w:rsidRPr="007C103A">
        <w:t>Repatriation Pharmaceutical Benefits Scheme</w:t>
      </w:r>
    </w:p>
    <w:p w14:paraId="59C94998" w14:textId="77777777" w:rsidR="002D7FDB" w:rsidRDefault="002D7FDB" w:rsidP="002D7FDB">
      <w:pPr>
        <w:pStyle w:val="TableFigureFooter"/>
      </w:pPr>
      <w:proofErr w:type="gramStart"/>
      <w:r w:rsidRPr="007C103A">
        <w:rPr>
          <w:vertAlign w:val="superscript"/>
        </w:rPr>
        <w:t>a</w:t>
      </w:r>
      <w:proofErr w:type="gramEnd"/>
      <w:r w:rsidRPr="007C103A">
        <w:t xml:space="preserve"> Assuming 6.51 scripts/year for the 20-tablet pack and 5.43 scripts/year for the 24-tablet pack as estimated by the submission.</w:t>
      </w:r>
    </w:p>
    <w:p w14:paraId="1A193559" w14:textId="77777777" w:rsidR="00236E57" w:rsidRDefault="00236E57" w:rsidP="00236E57">
      <w:pPr>
        <w:pStyle w:val="TableFigureFooter"/>
        <w:spacing w:after="0"/>
        <w:contextualSpacing w:val="0"/>
        <w:rPr>
          <w:i/>
        </w:rPr>
      </w:pPr>
      <w:r w:rsidRPr="009868C4">
        <w:rPr>
          <w:i/>
        </w:rPr>
        <w:t>The redacted values correspond to the following ranges</w:t>
      </w:r>
      <w:r>
        <w:rPr>
          <w:i/>
        </w:rPr>
        <w:t xml:space="preserve">: </w:t>
      </w:r>
    </w:p>
    <w:p w14:paraId="54205034" w14:textId="77777777" w:rsidR="00236E57" w:rsidRPr="00870C5D" w:rsidRDefault="00236E57" w:rsidP="00236E57">
      <w:pPr>
        <w:pStyle w:val="TableFigureFooter"/>
        <w:spacing w:after="0"/>
        <w:contextualSpacing w:val="0"/>
      </w:pPr>
      <w:r>
        <w:rPr>
          <w:i/>
          <w:vertAlign w:val="superscript"/>
        </w:rPr>
        <w:t>1</w:t>
      </w:r>
      <w:r>
        <w:rPr>
          <w:i/>
        </w:rPr>
        <w:t xml:space="preserve"> </w:t>
      </w:r>
      <w:r w:rsidRPr="00236E57">
        <w:rPr>
          <w:i/>
        </w:rPr>
        <w:t>&lt; 500</w:t>
      </w:r>
    </w:p>
    <w:p w14:paraId="76B1AF8E" w14:textId="77777777" w:rsidR="00236E57" w:rsidRPr="00870C5D" w:rsidRDefault="00236E57" w:rsidP="00236E57">
      <w:pPr>
        <w:pStyle w:val="TableFigureFooter"/>
        <w:spacing w:after="0"/>
        <w:contextualSpacing w:val="0"/>
      </w:pPr>
      <w:r>
        <w:rPr>
          <w:i/>
          <w:vertAlign w:val="superscript"/>
        </w:rPr>
        <w:t>2</w:t>
      </w:r>
      <w:r>
        <w:rPr>
          <w:i/>
        </w:rPr>
        <w:t xml:space="preserve"> </w:t>
      </w:r>
      <w:r w:rsidRPr="00236E57">
        <w:rPr>
          <w:i/>
        </w:rPr>
        <w:t>500 to &lt; 5,000</w:t>
      </w:r>
    </w:p>
    <w:p w14:paraId="19A8E488" w14:textId="77777777" w:rsidR="00236E57" w:rsidRPr="00870C5D" w:rsidRDefault="00236E57" w:rsidP="00236E57">
      <w:pPr>
        <w:pStyle w:val="TableFigureFooter"/>
        <w:spacing w:after="0"/>
        <w:contextualSpacing w:val="0"/>
      </w:pPr>
      <w:r>
        <w:rPr>
          <w:i/>
          <w:vertAlign w:val="superscript"/>
        </w:rPr>
        <w:t>3</w:t>
      </w:r>
      <w:r>
        <w:rPr>
          <w:i/>
        </w:rPr>
        <w:t xml:space="preserve"> </w:t>
      </w:r>
      <w:r w:rsidRPr="00236E57">
        <w:rPr>
          <w:i/>
        </w:rPr>
        <w:t>$10 million to &lt; $20 million</w:t>
      </w:r>
    </w:p>
    <w:p w14:paraId="536A1D22" w14:textId="4B61E38C" w:rsidR="00236E57" w:rsidRPr="007C103A" w:rsidRDefault="00236E57" w:rsidP="00007A0D">
      <w:pPr>
        <w:pStyle w:val="TableFigureFooter"/>
        <w:contextualSpacing w:val="0"/>
      </w:pPr>
      <w:r>
        <w:rPr>
          <w:i/>
          <w:vertAlign w:val="superscript"/>
        </w:rPr>
        <w:t>4</w:t>
      </w:r>
      <w:r>
        <w:rPr>
          <w:i/>
        </w:rPr>
        <w:t xml:space="preserve"> </w:t>
      </w:r>
      <w:r w:rsidRPr="00236E57">
        <w:rPr>
          <w:i/>
        </w:rPr>
        <w:t>$0 to &lt; $10 million</w:t>
      </w:r>
    </w:p>
    <w:p w14:paraId="28EC75CC" w14:textId="77777777" w:rsidR="000C7037" w:rsidRPr="007C103A" w:rsidRDefault="002D7FDB" w:rsidP="00236E57">
      <w:pPr>
        <w:pStyle w:val="3-BodyText"/>
      </w:pPr>
      <w:r w:rsidRPr="007C103A">
        <w:t xml:space="preserve">The total cost to the PBS/RPBS/MBS of listing selinexor for the treatment of RR DLBCL was estimated to be </w:t>
      </w:r>
      <w:r w:rsidR="00236E57" w:rsidRPr="00236E57">
        <w:t>$0 to &lt; $10 million</w:t>
      </w:r>
      <w:r w:rsidR="00236E57">
        <w:t xml:space="preserve"> </w:t>
      </w:r>
      <w:r w:rsidRPr="007C103A">
        <w:t xml:space="preserve">in Year 6, and a total of </w:t>
      </w:r>
      <w:r w:rsidR="00236E57" w:rsidRPr="00236E57">
        <w:t>$0 to &lt; $10 million</w:t>
      </w:r>
      <w:r w:rsidR="00236E57">
        <w:t xml:space="preserve"> </w:t>
      </w:r>
      <w:r w:rsidRPr="007C103A">
        <w:t xml:space="preserve">in the first 6 years of listing. </w:t>
      </w:r>
    </w:p>
    <w:p w14:paraId="126FE1CA" w14:textId="77777777" w:rsidR="00457EF6" w:rsidRPr="007C103A" w:rsidRDefault="002D7FDB" w:rsidP="000D18AD">
      <w:pPr>
        <w:pStyle w:val="3-BodyText"/>
      </w:pPr>
      <w:r w:rsidRPr="007C103A">
        <w:rPr>
          <w:iCs/>
        </w:rPr>
        <w:t xml:space="preserve">The estimated net cost was likely to be </w:t>
      </w:r>
      <w:r w:rsidR="00457EF6" w:rsidRPr="007C103A">
        <w:rPr>
          <w:iCs/>
        </w:rPr>
        <w:t>in</w:t>
      </w:r>
      <w:r w:rsidRPr="007C103A">
        <w:rPr>
          <w:iCs/>
        </w:rPr>
        <w:t xml:space="preserve">accurate, given the submission’s assumption that compliance for selinexor and </w:t>
      </w:r>
      <w:proofErr w:type="spellStart"/>
      <w:r w:rsidRPr="007C103A">
        <w:rPr>
          <w:iCs/>
        </w:rPr>
        <w:t>RGemOx</w:t>
      </w:r>
      <w:proofErr w:type="spellEnd"/>
      <w:r w:rsidRPr="007C103A">
        <w:rPr>
          <w:iCs/>
        </w:rPr>
        <w:t xml:space="preserve"> would be 99.5%.</w:t>
      </w:r>
      <w:r w:rsidR="000D18AD" w:rsidRPr="007C103A">
        <w:rPr>
          <w:color w:val="3366FF"/>
        </w:rPr>
        <w:t xml:space="preserve"> </w:t>
      </w:r>
      <w:r w:rsidR="00457EF6" w:rsidRPr="007C103A">
        <w:t xml:space="preserve">The submission provided </w:t>
      </w:r>
      <w:r w:rsidR="00457EF6" w:rsidRPr="007C103A">
        <w:rPr>
          <w:iCs/>
        </w:rPr>
        <w:t>n</w:t>
      </w:r>
      <w:r w:rsidRPr="007C103A">
        <w:rPr>
          <w:iCs/>
        </w:rPr>
        <w:t>o evidence to support th</w:t>
      </w:r>
      <w:r w:rsidR="00457EF6" w:rsidRPr="007C103A">
        <w:rPr>
          <w:iCs/>
        </w:rPr>
        <w:t xml:space="preserve">is </w:t>
      </w:r>
      <w:r w:rsidRPr="007C103A">
        <w:rPr>
          <w:iCs/>
        </w:rPr>
        <w:t xml:space="preserve">level of compliance for selinexor or </w:t>
      </w:r>
      <w:proofErr w:type="spellStart"/>
      <w:r w:rsidRPr="007C103A">
        <w:rPr>
          <w:iCs/>
        </w:rPr>
        <w:t>RGemOx</w:t>
      </w:r>
      <w:proofErr w:type="spellEnd"/>
      <w:r w:rsidRPr="007C103A">
        <w:rPr>
          <w:iCs/>
        </w:rPr>
        <w:t xml:space="preserve"> and </w:t>
      </w:r>
      <w:r w:rsidR="00457EF6" w:rsidRPr="007C103A">
        <w:rPr>
          <w:iCs/>
        </w:rPr>
        <w:t xml:space="preserve">it </w:t>
      </w:r>
      <w:r w:rsidRPr="007C103A">
        <w:rPr>
          <w:iCs/>
        </w:rPr>
        <w:t>unlikely</w:t>
      </w:r>
      <w:r w:rsidR="00457EF6" w:rsidRPr="007C103A">
        <w:rPr>
          <w:iCs/>
        </w:rPr>
        <w:t xml:space="preserve"> to occur in clinical practice</w:t>
      </w:r>
      <w:r w:rsidRPr="007C103A">
        <w:rPr>
          <w:iCs/>
        </w:rPr>
        <w:t xml:space="preserve">. </w:t>
      </w:r>
      <w:r w:rsidR="00C77E85" w:rsidRPr="007C103A">
        <w:rPr>
          <w:iCs/>
        </w:rPr>
        <w:t xml:space="preserve">The </w:t>
      </w:r>
      <w:r w:rsidRPr="007C103A">
        <w:rPr>
          <w:iCs/>
        </w:rPr>
        <w:t>SADAL study</w:t>
      </w:r>
      <w:r w:rsidR="00C77E85" w:rsidRPr="007C103A">
        <w:rPr>
          <w:iCs/>
        </w:rPr>
        <w:t xml:space="preserve"> confirmed this assertion </w:t>
      </w:r>
      <w:r w:rsidR="0004160F" w:rsidRPr="007C103A">
        <w:rPr>
          <w:iCs/>
        </w:rPr>
        <w:t>as</w:t>
      </w:r>
      <w:r w:rsidR="00457EF6" w:rsidRPr="007C103A">
        <w:rPr>
          <w:iCs/>
        </w:rPr>
        <w:t>:</w:t>
      </w:r>
    </w:p>
    <w:p w14:paraId="6935AB37" w14:textId="77777777" w:rsidR="00457EF6" w:rsidRPr="007C103A" w:rsidRDefault="002D7FDB" w:rsidP="00C77E85">
      <w:pPr>
        <w:pStyle w:val="3-BodyText"/>
        <w:numPr>
          <w:ilvl w:val="1"/>
          <w:numId w:val="39"/>
        </w:numPr>
        <w:ind w:left="1077" w:hanging="357"/>
      </w:pPr>
      <w:r w:rsidRPr="007C103A">
        <w:t>close to 50% of patients had a dose reduction</w:t>
      </w:r>
      <w:r w:rsidR="00457EF6" w:rsidRPr="007C103A">
        <w:t>;</w:t>
      </w:r>
    </w:p>
    <w:p w14:paraId="4AF65CF5" w14:textId="77777777" w:rsidR="00457EF6" w:rsidRPr="007C103A" w:rsidRDefault="002D7FDB" w:rsidP="00C77E85">
      <w:pPr>
        <w:pStyle w:val="3-BodyText"/>
        <w:numPr>
          <w:ilvl w:val="1"/>
          <w:numId w:val="39"/>
        </w:numPr>
        <w:ind w:left="1077" w:hanging="357"/>
      </w:pPr>
      <w:r w:rsidRPr="007C103A">
        <w:t>64% had a dose interruption or a withheld dose</w:t>
      </w:r>
      <w:r w:rsidR="00457EF6" w:rsidRPr="007C103A">
        <w:t>;</w:t>
      </w:r>
    </w:p>
    <w:p w14:paraId="68590622" w14:textId="77777777" w:rsidR="00C77E85" w:rsidRPr="007C103A" w:rsidRDefault="002D7FDB" w:rsidP="00C77E85">
      <w:pPr>
        <w:pStyle w:val="3-BodyText"/>
        <w:numPr>
          <w:ilvl w:val="1"/>
          <w:numId w:val="39"/>
        </w:numPr>
        <w:ind w:left="1077" w:hanging="357"/>
      </w:pPr>
      <w:r w:rsidRPr="007C103A">
        <w:t>44% of patients had &gt;</w:t>
      </w:r>
      <w:r w:rsidR="0004160F" w:rsidRPr="007C103A">
        <w:t xml:space="preserve"> </w:t>
      </w:r>
      <w:r w:rsidRPr="007C103A">
        <w:t>2 weeks duration for dose interruption</w:t>
      </w:r>
      <w:r w:rsidR="00C77E85" w:rsidRPr="007C103A">
        <w:t>, and;</w:t>
      </w:r>
    </w:p>
    <w:p w14:paraId="3A4D2C1B" w14:textId="77777777" w:rsidR="00C77E85" w:rsidRPr="007C103A" w:rsidRDefault="002D7FDB" w:rsidP="00C77E85">
      <w:pPr>
        <w:pStyle w:val="3-BodyText"/>
        <w:numPr>
          <w:ilvl w:val="1"/>
          <w:numId w:val="39"/>
        </w:numPr>
        <w:ind w:left="1077" w:hanging="357"/>
      </w:pPr>
      <w:r w:rsidRPr="007C103A">
        <w:t>45.7% had a mean dose of &lt;</w:t>
      </w:r>
      <w:r w:rsidR="0004160F" w:rsidRPr="007C103A">
        <w:t xml:space="preserve"> </w:t>
      </w:r>
      <w:r w:rsidRPr="007C103A">
        <w:t>100 mg per week.</w:t>
      </w:r>
    </w:p>
    <w:p w14:paraId="3DA1D4E9" w14:textId="77777777" w:rsidR="002D7FDB" w:rsidRPr="007C103A" w:rsidRDefault="002D7FDB" w:rsidP="00C77E85">
      <w:pPr>
        <w:pStyle w:val="3-BodyText"/>
        <w:rPr>
          <w:iCs/>
        </w:rPr>
      </w:pPr>
      <w:r w:rsidRPr="007C103A">
        <w:rPr>
          <w:iCs/>
        </w:rPr>
        <w:t>In addition, by Week 9, which was the median duration of treatment, the mean dose received was 74.5 mg per week (the recommended dose is 60 mg twice weekly). These numbers and proportions do not concur with a compliance of 99.5%, and it is likely that compliance as reported by the submission and in the CSR refers to compliance to reduced doses. It would have improved the accuracy of the estimates if an alternate measure, such as dose intensity was used.</w:t>
      </w:r>
    </w:p>
    <w:p w14:paraId="0471C4F7" w14:textId="40D9BD1A" w:rsidR="002D7FDB" w:rsidRPr="007C103A" w:rsidRDefault="002D7FDB" w:rsidP="00402235">
      <w:pPr>
        <w:pStyle w:val="3-BodyText"/>
      </w:pPr>
      <w:r w:rsidRPr="007C103A">
        <w:t xml:space="preserve">Given the points above regarding usage of selinexor, it was likely that the assumed 99.5% compliance for </w:t>
      </w:r>
      <w:proofErr w:type="spellStart"/>
      <w:r w:rsidRPr="007C103A">
        <w:t>RGemOx</w:t>
      </w:r>
      <w:proofErr w:type="spellEnd"/>
      <w:r w:rsidRPr="007C103A">
        <w:t xml:space="preserve"> contributed to the considerable cost offsets that were estimated (</w:t>
      </w:r>
      <w:r w:rsidR="00402235" w:rsidRPr="00402235">
        <w:rPr>
          <w:iCs/>
        </w:rPr>
        <w:t>$0 to &lt; $10 million</w:t>
      </w:r>
      <w:r w:rsidR="00402235">
        <w:rPr>
          <w:iCs/>
        </w:rPr>
        <w:t xml:space="preserve"> </w:t>
      </w:r>
      <w:r w:rsidRPr="007C103A">
        <w:t xml:space="preserve">in Year 1, up to </w:t>
      </w:r>
      <w:r w:rsidR="00402235" w:rsidRPr="00402235">
        <w:t>$10 million to &lt; $20 million</w:t>
      </w:r>
      <w:r w:rsidR="00402235">
        <w:t xml:space="preserve"> </w:t>
      </w:r>
      <w:r w:rsidRPr="007C103A">
        <w:t xml:space="preserve">in Year 6). As this level of compliance was not likely to be observed in clinical practice, it was </w:t>
      </w:r>
      <w:r w:rsidRPr="007C103A">
        <w:lastRenderedPageBreak/>
        <w:t xml:space="preserve">probable that the cost offsets for </w:t>
      </w:r>
      <w:proofErr w:type="spellStart"/>
      <w:r w:rsidRPr="007C103A">
        <w:t>RGemOx</w:t>
      </w:r>
      <w:proofErr w:type="spellEnd"/>
      <w:r w:rsidRPr="007C103A">
        <w:t xml:space="preserve"> were overestimated. If the dose intensities of </w:t>
      </w:r>
      <w:proofErr w:type="spellStart"/>
      <w:r w:rsidRPr="007C103A">
        <w:t>RGemOx</w:t>
      </w:r>
      <w:proofErr w:type="spellEnd"/>
      <w:r w:rsidRPr="007C103A">
        <w:t xml:space="preserve"> that were used in the economic model were applied (91.6%, 93.6%, 92.5%, respectively), the estimated net cost to Government increased to </w:t>
      </w:r>
      <w:r w:rsidR="00402235" w:rsidRPr="00402235">
        <w:t>$10 million to &lt;</w:t>
      </w:r>
      <w:r w:rsidR="00007A0D">
        <w:t> </w:t>
      </w:r>
      <w:r w:rsidR="00402235" w:rsidRPr="00402235">
        <w:t>$20</w:t>
      </w:r>
      <w:r w:rsidR="00007A0D">
        <w:t> </w:t>
      </w:r>
      <w:r w:rsidR="00402235" w:rsidRPr="00402235">
        <w:t>million</w:t>
      </w:r>
      <w:r w:rsidR="00402235">
        <w:t xml:space="preserve"> </w:t>
      </w:r>
      <w:r w:rsidRPr="007C103A">
        <w:t xml:space="preserve">over the first 6 years of listing. If the dose intensity of selinexor that was used in the economic model (83.33%) was applied as the compliance level for both selinexor and </w:t>
      </w:r>
      <w:proofErr w:type="spellStart"/>
      <w:r w:rsidRPr="007C103A">
        <w:t>RGemOx</w:t>
      </w:r>
      <w:proofErr w:type="spellEnd"/>
      <w:r w:rsidRPr="007C103A">
        <w:t xml:space="preserve">, corresponding to the submission’s assumption of the same compliance for selinexor and </w:t>
      </w:r>
      <w:proofErr w:type="spellStart"/>
      <w:r w:rsidRPr="007C103A">
        <w:t>RGemOx</w:t>
      </w:r>
      <w:proofErr w:type="spellEnd"/>
      <w:r w:rsidRPr="007C103A">
        <w:t xml:space="preserve">, the estimated net cost to Government increased to </w:t>
      </w:r>
      <w:r w:rsidR="00402235" w:rsidRPr="00402235">
        <w:t>$10 million to &lt; $20 million</w:t>
      </w:r>
      <w:r w:rsidR="00402235">
        <w:t xml:space="preserve"> </w:t>
      </w:r>
      <w:r w:rsidRPr="007C103A">
        <w:t>over the first 6 years of listing.</w:t>
      </w:r>
    </w:p>
    <w:p w14:paraId="1B9DF4CD" w14:textId="77777777" w:rsidR="00AB349F" w:rsidRPr="007C103A" w:rsidRDefault="002D7FDB" w:rsidP="00AB349F">
      <w:pPr>
        <w:pStyle w:val="3-BodyText"/>
      </w:pPr>
      <w:r w:rsidRPr="007C103A">
        <w:rPr>
          <w:iCs/>
        </w:rPr>
        <w:t xml:space="preserve">The financial estimates are also likely to be underestimated given the lack of inclusion of PBS items such as romiplostim or granulocyte colony-stimulating factor (GCSF) to treat thrombocytopenia and ondansetron for nausea and vomiting. The inconsistent application of costs for </w:t>
      </w:r>
      <w:r w:rsidR="00FC79A9" w:rsidRPr="007C103A">
        <w:rPr>
          <w:iCs/>
        </w:rPr>
        <w:t>adverse event</w:t>
      </w:r>
      <w:r w:rsidRPr="007C103A">
        <w:rPr>
          <w:iCs/>
        </w:rPr>
        <w:t xml:space="preserve"> treatment (MBS items only in the financial estimates, </w:t>
      </w:r>
      <w:proofErr w:type="gramStart"/>
      <w:r w:rsidRPr="007C103A">
        <w:rPr>
          <w:iCs/>
        </w:rPr>
        <w:t>PBS</w:t>
      </w:r>
      <w:proofErr w:type="gramEnd"/>
      <w:r w:rsidRPr="007C103A">
        <w:rPr>
          <w:iCs/>
        </w:rPr>
        <w:t xml:space="preserve"> and MBS items in the economic model) indicated that estimated cost to Government was likely to be inaccurate.</w:t>
      </w:r>
    </w:p>
    <w:p w14:paraId="15C51160" w14:textId="77777777" w:rsidR="00AB349F" w:rsidRPr="007C103A" w:rsidRDefault="00AB349F" w:rsidP="00AB349F">
      <w:pPr>
        <w:pStyle w:val="3-BodyText"/>
        <w:rPr>
          <w:bCs/>
        </w:rPr>
      </w:pPr>
      <w:r w:rsidRPr="007C103A">
        <w:rPr>
          <w:bCs/>
        </w:rPr>
        <w:t>The DUSC considered that the estimate of eligible patients presented in the submission was underestimated and the estimate of treated patients was overestimated. The DUSC noted that the main issues were:</w:t>
      </w:r>
    </w:p>
    <w:p w14:paraId="44384C7E" w14:textId="77777777" w:rsidR="00AB349F" w:rsidRPr="007C103A" w:rsidRDefault="00AB349F" w:rsidP="00347EBA">
      <w:pPr>
        <w:pStyle w:val="3-BodyText"/>
        <w:numPr>
          <w:ilvl w:val="1"/>
          <w:numId w:val="39"/>
        </w:numPr>
        <w:ind w:left="1077" w:hanging="357"/>
      </w:pPr>
      <w:r w:rsidRPr="007C103A">
        <w:t xml:space="preserve">basing the estimates </w:t>
      </w:r>
      <w:r w:rsidR="00C77E85" w:rsidRPr="007C103A">
        <w:t xml:space="preserve">only </w:t>
      </w:r>
      <w:r w:rsidRPr="007C103A">
        <w:t>on an incident population underestimated the number of eligible patients and was not appropriate. DUSC advised that would be more appropriate to use a prevalence approach. The sponsor, in the pre-PBAC response agreed that inclusion of the prevalent DLBCL population would be appropriate;</w:t>
      </w:r>
    </w:p>
    <w:p w14:paraId="3EDB5597" w14:textId="77777777" w:rsidR="00AB349F" w:rsidRPr="007C103A" w:rsidRDefault="00AB349F" w:rsidP="00347EBA">
      <w:pPr>
        <w:pStyle w:val="3-BodyText"/>
        <w:numPr>
          <w:ilvl w:val="1"/>
          <w:numId w:val="39"/>
        </w:numPr>
        <w:ind w:left="1077" w:hanging="357"/>
      </w:pPr>
      <w:r w:rsidRPr="007C103A">
        <w:t xml:space="preserve">the incidence of DLBCL was based on a rate of 35% of NHL patients; however, the reference provided by the submission to support this </w:t>
      </w:r>
      <w:r w:rsidRPr="007C103A">
        <w:rPr>
          <w:iCs/>
        </w:rPr>
        <w:t xml:space="preserve">states that DLBCL accounts for around 30% of all lymphoma cases. The pre-PBAC response noted that a range of rates were identified in the literature, ranging from 18% (Van </w:t>
      </w:r>
      <w:proofErr w:type="spellStart"/>
      <w:r w:rsidRPr="007C103A">
        <w:rPr>
          <w:iCs/>
        </w:rPr>
        <w:t>Leewan</w:t>
      </w:r>
      <w:proofErr w:type="spellEnd"/>
      <w:r w:rsidRPr="007C103A">
        <w:rPr>
          <w:iCs/>
        </w:rPr>
        <w:t>, 2014) to 47.8% (Smith, 2015), and that 35% was reasonable given the variation of published incidence rates;</w:t>
      </w:r>
    </w:p>
    <w:p w14:paraId="7F6F5732" w14:textId="77777777" w:rsidR="00AB349F" w:rsidRPr="007C103A" w:rsidRDefault="00AB349F" w:rsidP="00347EBA">
      <w:pPr>
        <w:pStyle w:val="3-BodyText"/>
        <w:numPr>
          <w:ilvl w:val="1"/>
          <w:numId w:val="39"/>
        </w:numPr>
        <w:ind w:left="1077" w:hanging="357"/>
      </w:pPr>
      <w:r w:rsidRPr="007C103A">
        <w:t xml:space="preserve">given the </w:t>
      </w:r>
      <w:r w:rsidR="0039100E" w:rsidRPr="007C103A">
        <w:t>adverse event</w:t>
      </w:r>
      <w:r w:rsidRPr="007C103A">
        <w:t xml:space="preserve"> profile, DUSC considered the uptake of selinexor would be much lower than </w:t>
      </w:r>
      <w:r w:rsidR="000D18AD" w:rsidRPr="007C103A">
        <w:t xml:space="preserve">that </w:t>
      </w:r>
      <w:r w:rsidRPr="007C103A">
        <w:t xml:space="preserve">estimated by the submission. DUSC suggested a treatment uptake rate of </w:t>
      </w:r>
      <w:r w:rsidR="004A77F8">
        <w:rPr>
          <w:noProof/>
          <w:color w:val="000000"/>
          <w:highlight w:val="black"/>
        </w:rPr>
        <w:t>'''''</w:t>
      </w:r>
      <w:r w:rsidRPr="007C103A">
        <w:t xml:space="preserve">% in Year 1 increasing to </w:t>
      </w:r>
      <w:r w:rsidR="004A77F8">
        <w:rPr>
          <w:noProof/>
          <w:color w:val="000000"/>
          <w:highlight w:val="black"/>
        </w:rPr>
        <w:t>'''''</w:t>
      </w:r>
      <w:r w:rsidRPr="007C103A">
        <w:t>% in Year 6 may be more reasonable</w:t>
      </w:r>
      <w:r w:rsidR="00347EBA" w:rsidRPr="007C103A">
        <w:t>. The pre-PBAC response stated that the uptake rate applied was reasonable and reflected the superior efficacy of selinexor over salvage chemotherapy;</w:t>
      </w:r>
    </w:p>
    <w:p w14:paraId="6D711518" w14:textId="26799C67" w:rsidR="00AB349F" w:rsidRPr="007C103A" w:rsidRDefault="00347EBA" w:rsidP="00007A0D">
      <w:pPr>
        <w:pStyle w:val="3-BodyText"/>
        <w:numPr>
          <w:ilvl w:val="1"/>
          <w:numId w:val="39"/>
        </w:numPr>
        <w:ind w:left="1077" w:hanging="357"/>
      </w:pPr>
      <w:r w:rsidRPr="007C103A">
        <w:t>t</w:t>
      </w:r>
      <w:r w:rsidR="00AB349F" w:rsidRPr="007C103A">
        <w:t xml:space="preserve">he estimated net cost was not likely to be accurate due to an overestimate of cost offsets for </w:t>
      </w:r>
      <w:proofErr w:type="spellStart"/>
      <w:r w:rsidR="00AB349F" w:rsidRPr="007C103A">
        <w:t>RGemOx</w:t>
      </w:r>
      <w:proofErr w:type="spellEnd"/>
      <w:r w:rsidR="00AB349F" w:rsidRPr="007C103A">
        <w:t xml:space="preserve"> (</w:t>
      </w:r>
      <w:r w:rsidR="00402235" w:rsidRPr="00402235">
        <w:t xml:space="preserve">$0 to &lt; $10 </w:t>
      </w:r>
      <w:r w:rsidR="004522D0" w:rsidRPr="00402235">
        <w:t>million</w:t>
      </w:r>
      <w:r w:rsidR="004522D0" w:rsidRPr="007C103A">
        <w:t xml:space="preserve"> in</w:t>
      </w:r>
      <w:r w:rsidR="00AB349F" w:rsidRPr="007C103A">
        <w:t xml:space="preserve"> Year 1 increasing to </w:t>
      </w:r>
      <w:r w:rsidR="00402235" w:rsidRPr="00402235">
        <w:t>$10 million to &lt;</w:t>
      </w:r>
      <w:r w:rsidR="00007A0D">
        <w:t> </w:t>
      </w:r>
      <w:r w:rsidR="00402235" w:rsidRPr="00402235">
        <w:t>$20</w:t>
      </w:r>
      <w:r w:rsidR="00007A0D">
        <w:t> </w:t>
      </w:r>
      <w:r w:rsidR="00402235" w:rsidRPr="00402235">
        <w:t>million</w:t>
      </w:r>
      <w:r w:rsidR="00402235">
        <w:t xml:space="preserve"> </w:t>
      </w:r>
      <w:r w:rsidR="00AB349F" w:rsidRPr="007C103A">
        <w:t xml:space="preserve">in Year 6) given the submission’s assumption that compliance for selinexor and </w:t>
      </w:r>
      <w:proofErr w:type="spellStart"/>
      <w:r w:rsidR="00AB349F" w:rsidRPr="007C103A">
        <w:t>RGemOx</w:t>
      </w:r>
      <w:proofErr w:type="spellEnd"/>
      <w:r w:rsidR="00AB349F" w:rsidRPr="007C103A">
        <w:t xml:space="preserve"> would be 99.5%</w:t>
      </w:r>
      <w:r w:rsidRPr="007C103A">
        <w:t>;</w:t>
      </w:r>
    </w:p>
    <w:p w14:paraId="26432458" w14:textId="77777777" w:rsidR="00AB349F" w:rsidRPr="007C103A" w:rsidRDefault="00347EBA" w:rsidP="00347EBA">
      <w:pPr>
        <w:pStyle w:val="3-BodyText"/>
        <w:numPr>
          <w:ilvl w:val="1"/>
          <w:numId w:val="39"/>
        </w:numPr>
        <w:ind w:left="1077" w:hanging="357"/>
      </w:pPr>
      <w:r w:rsidRPr="007C103A">
        <w:t>i</w:t>
      </w:r>
      <w:r w:rsidR="00AB349F" w:rsidRPr="007C103A">
        <w:t xml:space="preserve">t </w:t>
      </w:r>
      <w:r w:rsidRPr="007C103A">
        <w:t>would have been more</w:t>
      </w:r>
      <w:r w:rsidR="00AB349F" w:rsidRPr="007C103A">
        <w:t xml:space="preserve"> reasonable to apply separate rates for compliance and dose intensity. The submission did not provide any evidence that the level of compliance for selinexor and </w:t>
      </w:r>
      <w:proofErr w:type="spellStart"/>
      <w:r w:rsidR="00AB349F" w:rsidRPr="007C103A">
        <w:t>RGemOx</w:t>
      </w:r>
      <w:proofErr w:type="spellEnd"/>
      <w:r w:rsidR="00AB349F" w:rsidRPr="007C103A">
        <w:t xml:space="preserve"> would be 99.5%. This level of compliance </w:t>
      </w:r>
      <w:r w:rsidR="00AB349F" w:rsidRPr="007C103A">
        <w:lastRenderedPageBreak/>
        <w:t>was unlikely as, by Week 9 (the median duration of treatment) of the SADAL study, the mean dose of selinexor received was 74.5 mg per week (draft Product Information recommended dose is 60 mg twice weekly</w:t>
      </w:r>
      <w:r w:rsidR="00124956" w:rsidRPr="007C103A">
        <w:t xml:space="preserve">; and </w:t>
      </w:r>
    </w:p>
    <w:p w14:paraId="78D609B9" w14:textId="77777777" w:rsidR="00AB349F" w:rsidRPr="007C103A" w:rsidRDefault="00347EBA" w:rsidP="00347EBA">
      <w:pPr>
        <w:pStyle w:val="3-BodyText"/>
        <w:numPr>
          <w:ilvl w:val="1"/>
          <w:numId w:val="39"/>
        </w:numPr>
        <w:ind w:left="1077" w:hanging="357"/>
      </w:pPr>
      <w:r w:rsidRPr="007C103A">
        <w:t>t</w:t>
      </w:r>
      <w:r w:rsidR="00AB349F" w:rsidRPr="007C103A">
        <w:t>he cost</w:t>
      </w:r>
      <w:r w:rsidR="000D18AD" w:rsidRPr="007C103A">
        <w:t>s</w:t>
      </w:r>
      <w:r w:rsidR="00AB349F" w:rsidRPr="007C103A">
        <w:t xml:space="preserve"> </w:t>
      </w:r>
      <w:r w:rsidR="000D18AD" w:rsidRPr="007C103A">
        <w:t xml:space="preserve">associated with PBS items used to </w:t>
      </w:r>
      <w:r w:rsidR="00AB349F" w:rsidRPr="007C103A">
        <w:t>treat</w:t>
      </w:r>
      <w:r w:rsidR="0039100E" w:rsidRPr="007C103A">
        <w:t xml:space="preserve"> adverse events</w:t>
      </w:r>
      <w:r w:rsidR="00AB349F" w:rsidRPr="007C103A">
        <w:t xml:space="preserve"> were not included in the financial model.</w:t>
      </w:r>
      <w:r w:rsidRPr="007C103A">
        <w:t xml:space="preserve"> The pre-PBAC response noted that the inclusion of </w:t>
      </w:r>
      <w:r w:rsidR="000D18AD" w:rsidRPr="007C103A">
        <w:t xml:space="preserve">these </w:t>
      </w:r>
      <w:r w:rsidRPr="007C103A">
        <w:t xml:space="preserve">costs in the financial estimates </w:t>
      </w:r>
      <w:r w:rsidR="000D18AD" w:rsidRPr="007C103A">
        <w:t>would be</w:t>
      </w:r>
      <w:r w:rsidRPr="007C103A">
        <w:t xml:space="preserve"> appropriate.</w:t>
      </w:r>
    </w:p>
    <w:p w14:paraId="46400288" w14:textId="77777777" w:rsidR="00347EBA" w:rsidRPr="007C103A" w:rsidRDefault="00347EBA" w:rsidP="00347EBA">
      <w:pPr>
        <w:pStyle w:val="4-SubsectionHeading"/>
      </w:pPr>
      <w:r w:rsidRPr="007C103A">
        <w:t>Quality use of medicines</w:t>
      </w:r>
    </w:p>
    <w:p w14:paraId="20ADECDB" w14:textId="77777777" w:rsidR="00AB349F" w:rsidRPr="007C103A" w:rsidRDefault="00347EBA" w:rsidP="002D7FDB">
      <w:pPr>
        <w:pStyle w:val="3-BodyText"/>
      </w:pPr>
      <w:r w:rsidRPr="007C103A">
        <w:t>The submission did not provide discussion of quality use of medicines. DUSC noted the dose of selinexor, as per the draft Product Information, is 60 mg (3 x 20 mg tablets) on Days 1 and 3 of each week. DUSC considered twice weekly dosing could make it challenging for patients to adhere to the dosing schedule without assistance and considered the sponsor should consider planning activities to improve and encourage compliance to the dosing schedule.</w:t>
      </w:r>
    </w:p>
    <w:p w14:paraId="4B64520B" w14:textId="77777777" w:rsidR="00347EBA" w:rsidRPr="007C103A" w:rsidRDefault="00347EBA" w:rsidP="002D7FDB">
      <w:pPr>
        <w:pStyle w:val="3-BodyText"/>
      </w:pPr>
      <w:r w:rsidRPr="007C103A">
        <w:t xml:space="preserve">The pre-PBAC response indicated that the sponsor was preparing a multi-stakeholder quality use of medicines approach for haematologists, nurses, </w:t>
      </w:r>
      <w:proofErr w:type="gramStart"/>
      <w:r w:rsidRPr="007C103A">
        <w:t>pharmacists</w:t>
      </w:r>
      <w:proofErr w:type="gramEnd"/>
      <w:r w:rsidRPr="007C103A">
        <w:t xml:space="preserve"> and patients to ensure minimisation of AEs and optimised treatment.</w:t>
      </w:r>
    </w:p>
    <w:p w14:paraId="62AC4A95" w14:textId="77777777" w:rsidR="000D1E0A" w:rsidRPr="007C103A" w:rsidRDefault="00791DE4" w:rsidP="000D1E0A">
      <w:pPr>
        <w:pStyle w:val="3-BodyText"/>
        <w:numPr>
          <w:ilvl w:val="0"/>
          <w:numId w:val="0"/>
        </w:numPr>
        <w:ind w:left="720"/>
        <w:rPr>
          <w:i/>
        </w:rPr>
      </w:pPr>
      <w:r w:rsidRPr="007C103A">
        <w:rPr>
          <w:i/>
        </w:rPr>
        <w:t>For more detail on PBAC’s view, see section 7 PBAC outcome.</w:t>
      </w:r>
    </w:p>
    <w:p w14:paraId="06B62720" w14:textId="77777777" w:rsidR="000D1E0A" w:rsidRPr="007C103A" w:rsidRDefault="000D1E0A" w:rsidP="00804B60">
      <w:pPr>
        <w:pStyle w:val="2-SectionHeading"/>
      </w:pPr>
      <w:r w:rsidRPr="007C103A">
        <w:t>PBAC Outcome</w:t>
      </w:r>
    </w:p>
    <w:p w14:paraId="1507A6CF" w14:textId="77777777" w:rsidR="004C7743" w:rsidRPr="007C103A" w:rsidRDefault="000D1E0A"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The PBAC did not recommend</w:t>
      </w:r>
      <w:r w:rsidR="004C7743" w:rsidRPr="007C103A">
        <w:rPr>
          <w:rFonts w:asciiTheme="minorHAnsi" w:hAnsiTheme="minorHAnsi" w:cs="Arial"/>
          <w:bCs/>
          <w:snapToGrid w:val="0"/>
        </w:rPr>
        <w:t xml:space="preserve"> selinexor for the treatment of adult patients with relapsed and/or refractory (RR) diffuse large B-cell lymphoma (DLBCL) after at least two lines of systemic therapy. The PBAC</w:t>
      </w:r>
      <w:r w:rsidR="00562FC7" w:rsidRPr="007C103A">
        <w:rPr>
          <w:rFonts w:asciiTheme="minorHAnsi" w:hAnsiTheme="minorHAnsi" w:cs="Arial"/>
          <w:bCs/>
          <w:snapToGrid w:val="0"/>
        </w:rPr>
        <w:t xml:space="preserve">, </w:t>
      </w:r>
      <w:r w:rsidR="00413474" w:rsidRPr="007C103A">
        <w:rPr>
          <w:rFonts w:asciiTheme="minorHAnsi" w:hAnsiTheme="minorHAnsi" w:cs="Arial"/>
          <w:bCs/>
          <w:snapToGrid w:val="0"/>
        </w:rPr>
        <w:t>not</w:t>
      </w:r>
      <w:r w:rsidR="00562FC7" w:rsidRPr="007C103A">
        <w:rPr>
          <w:rFonts w:asciiTheme="minorHAnsi" w:hAnsiTheme="minorHAnsi" w:cs="Arial"/>
          <w:bCs/>
          <w:snapToGrid w:val="0"/>
        </w:rPr>
        <w:t>ing</w:t>
      </w:r>
      <w:r w:rsidR="00413474" w:rsidRPr="007C103A">
        <w:rPr>
          <w:rFonts w:asciiTheme="minorHAnsi" w:hAnsiTheme="minorHAnsi" w:cs="Arial"/>
          <w:bCs/>
          <w:snapToGrid w:val="0"/>
        </w:rPr>
        <w:t xml:space="preserve"> </w:t>
      </w:r>
      <w:r w:rsidR="004C7743" w:rsidRPr="007C103A">
        <w:rPr>
          <w:rFonts w:asciiTheme="minorHAnsi" w:hAnsiTheme="minorHAnsi" w:cs="Arial"/>
          <w:bCs/>
          <w:snapToGrid w:val="0"/>
        </w:rPr>
        <w:t>the lack of comparative data between selinexor and the nominated comparator, rituximab in combination with gemcitabine and oxaliplatin (</w:t>
      </w:r>
      <w:proofErr w:type="spellStart"/>
      <w:r w:rsidR="004C7743" w:rsidRPr="007C103A">
        <w:rPr>
          <w:rFonts w:asciiTheme="minorHAnsi" w:hAnsiTheme="minorHAnsi" w:cs="Arial"/>
          <w:bCs/>
          <w:snapToGrid w:val="0"/>
        </w:rPr>
        <w:t>RGemOx</w:t>
      </w:r>
      <w:proofErr w:type="spellEnd"/>
      <w:r w:rsidR="004C7743" w:rsidRPr="007C103A">
        <w:rPr>
          <w:rFonts w:asciiTheme="minorHAnsi" w:hAnsiTheme="minorHAnsi" w:cs="Arial"/>
          <w:bCs/>
          <w:snapToGrid w:val="0"/>
        </w:rPr>
        <w:t xml:space="preserve">), considered that the clinical claims of superior efficacy and safety </w:t>
      </w:r>
      <w:r w:rsidR="00F9750F" w:rsidRPr="007C103A">
        <w:rPr>
          <w:rFonts w:asciiTheme="minorHAnsi" w:hAnsiTheme="minorHAnsi" w:cs="Arial"/>
          <w:bCs/>
          <w:snapToGrid w:val="0"/>
        </w:rPr>
        <w:t>were</w:t>
      </w:r>
      <w:r w:rsidR="004C7743" w:rsidRPr="007C103A">
        <w:rPr>
          <w:rFonts w:asciiTheme="minorHAnsi" w:hAnsiTheme="minorHAnsi" w:cs="Arial"/>
          <w:bCs/>
          <w:snapToGrid w:val="0"/>
        </w:rPr>
        <w:t xml:space="preserve"> not supported. The PBAC considered that the economic model </w:t>
      </w:r>
      <w:r w:rsidR="008B7E8E" w:rsidRPr="007C103A">
        <w:rPr>
          <w:rFonts w:asciiTheme="minorHAnsi" w:hAnsiTheme="minorHAnsi" w:cs="Arial"/>
          <w:bCs/>
          <w:snapToGrid w:val="0"/>
        </w:rPr>
        <w:t xml:space="preserve">was unreliable for decision making and that </w:t>
      </w:r>
      <w:r w:rsidR="00F9750F" w:rsidRPr="007C103A">
        <w:rPr>
          <w:rFonts w:asciiTheme="minorHAnsi" w:hAnsiTheme="minorHAnsi" w:cs="Arial"/>
          <w:bCs/>
          <w:snapToGrid w:val="0"/>
        </w:rPr>
        <w:t xml:space="preserve">the </w:t>
      </w:r>
      <w:r w:rsidR="004C7743" w:rsidRPr="007C103A">
        <w:rPr>
          <w:rFonts w:asciiTheme="minorHAnsi" w:hAnsiTheme="minorHAnsi" w:cs="Arial"/>
          <w:bCs/>
          <w:snapToGrid w:val="0"/>
        </w:rPr>
        <w:t>financial estimates were highly uncertain.</w:t>
      </w:r>
    </w:p>
    <w:p w14:paraId="6196FECE" w14:textId="77777777" w:rsidR="00562FC7" w:rsidRPr="007C103A" w:rsidRDefault="00562FC7"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The PBAC noted the consumer comments and agreed that there was a high clinical need for effective treatments for patients with RR DLBCL.</w:t>
      </w:r>
    </w:p>
    <w:p w14:paraId="78BA1A18" w14:textId="77777777" w:rsidR="004C7743" w:rsidRPr="007C103A" w:rsidRDefault="00413474"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PBAC noted that the submission nominated </w:t>
      </w:r>
      <w:proofErr w:type="spellStart"/>
      <w:r w:rsidRPr="007C103A">
        <w:rPr>
          <w:rFonts w:asciiTheme="minorHAnsi" w:hAnsiTheme="minorHAnsi" w:cs="Arial"/>
          <w:bCs/>
          <w:snapToGrid w:val="0"/>
        </w:rPr>
        <w:t>RGemOx</w:t>
      </w:r>
      <w:proofErr w:type="spellEnd"/>
      <w:r w:rsidRPr="007C103A">
        <w:rPr>
          <w:rFonts w:asciiTheme="minorHAnsi" w:hAnsiTheme="minorHAnsi" w:cs="Arial"/>
          <w:bCs/>
          <w:snapToGrid w:val="0"/>
        </w:rPr>
        <w:t xml:space="preserve"> </w:t>
      </w:r>
      <w:r w:rsidR="00F9750F" w:rsidRPr="007C103A">
        <w:rPr>
          <w:rFonts w:asciiTheme="minorHAnsi" w:hAnsiTheme="minorHAnsi" w:cs="Arial"/>
          <w:bCs/>
          <w:snapToGrid w:val="0"/>
        </w:rPr>
        <w:t>to</w:t>
      </w:r>
      <w:r w:rsidRPr="007C103A">
        <w:rPr>
          <w:rFonts w:asciiTheme="minorHAnsi" w:hAnsiTheme="minorHAnsi" w:cs="Arial"/>
          <w:bCs/>
          <w:snapToGrid w:val="0"/>
        </w:rPr>
        <w:t xml:space="preserve"> represent all rituximab-based salvage chemotherapies as the primary comparator. The PBAC, </w:t>
      </w:r>
      <w:r w:rsidR="00D63D72" w:rsidRPr="007C103A">
        <w:rPr>
          <w:rFonts w:asciiTheme="minorHAnsi" w:hAnsiTheme="minorHAnsi" w:cs="Arial"/>
          <w:bCs/>
          <w:snapToGrid w:val="0"/>
        </w:rPr>
        <w:t>recalli</w:t>
      </w:r>
      <w:r w:rsidRPr="007C103A">
        <w:rPr>
          <w:rFonts w:asciiTheme="minorHAnsi" w:hAnsiTheme="minorHAnsi" w:cs="Arial"/>
          <w:bCs/>
          <w:snapToGrid w:val="0"/>
        </w:rPr>
        <w:t xml:space="preserve">ng that it had considered </w:t>
      </w:r>
      <w:proofErr w:type="spellStart"/>
      <w:r w:rsidRPr="007C103A">
        <w:rPr>
          <w:rFonts w:asciiTheme="minorHAnsi" w:hAnsiTheme="minorHAnsi" w:cs="Arial"/>
          <w:bCs/>
          <w:snapToGrid w:val="0"/>
        </w:rPr>
        <w:t>RGemOx</w:t>
      </w:r>
      <w:proofErr w:type="spellEnd"/>
      <w:r w:rsidRPr="007C103A">
        <w:rPr>
          <w:rFonts w:asciiTheme="minorHAnsi" w:hAnsiTheme="minorHAnsi" w:cs="Arial"/>
          <w:bCs/>
          <w:snapToGrid w:val="0"/>
        </w:rPr>
        <w:t xml:space="preserve"> to be the appropriate comparator in the assessment of polatuzumab vedotin for RR DLBCL in November 2019, considered that </w:t>
      </w:r>
      <w:proofErr w:type="spellStart"/>
      <w:r w:rsidRPr="007C103A">
        <w:rPr>
          <w:rFonts w:asciiTheme="minorHAnsi" w:hAnsiTheme="minorHAnsi" w:cs="Arial"/>
          <w:bCs/>
          <w:snapToGrid w:val="0"/>
        </w:rPr>
        <w:t>RGemOx</w:t>
      </w:r>
      <w:proofErr w:type="spellEnd"/>
      <w:r w:rsidRPr="007C103A">
        <w:rPr>
          <w:rFonts w:asciiTheme="minorHAnsi" w:hAnsiTheme="minorHAnsi" w:cs="Arial"/>
          <w:bCs/>
          <w:snapToGrid w:val="0"/>
        </w:rPr>
        <w:t xml:space="preserve"> was a reasonable comparator in the third- or fourth-line settings. </w:t>
      </w:r>
    </w:p>
    <w:p w14:paraId="16881530" w14:textId="77777777" w:rsidR="00413474" w:rsidRPr="007C103A" w:rsidRDefault="00413474" w:rsidP="00991EB6">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The PBAC noted that the submission was primarily based on the results of one open label, single arm</w:t>
      </w:r>
      <w:r w:rsidR="009058D9" w:rsidRPr="007C103A">
        <w:rPr>
          <w:rFonts w:asciiTheme="minorHAnsi" w:hAnsiTheme="minorHAnsi" w:cs="Arial"/>
          <w:bCs/>
          <w:snapToGrid w:val="0"/>
        </w:rPr>
        <w:t>, Phase 2 dose-finding</w:t>
      </w:r>
      <w:r w:rsidRPr="007C103A">
        <w:rPr>
          <w:rFonts w:asciiTheme="minorHAnsi" w:hAnsiTheme="minorHAnsi" w:cs="Arial"/>
          <w:bCs/>
          <w:snapToGrid w:val="0"/>
        </w:rPr>
        <w:t xml:space="preserve"> study of selinexor, SADAL. </w:t>
      </w:r>
      <w:r w:rsidR="00B21ACE" w:rsidRPr="007C103A">
        <w:rPr>
          <w:rFonts w:asciiTheme="minorHAnsi" w:hAnsiTheme="minorHAnsi" w:cs="Arial"/>
          <w:bCs/>
          <w:snapToGrid w:val="0"/>
        </w:rPr>
        <w:t xml:space="preserve">For the comparator, the submission relied on </w:t>
      </w:r>
      <w:r w:rsidR="002371F7" w:rsidRPr="007C103A">
        <w:rPr>
          <w:rFonts w:asciiTheme="minorHAnsi" w:hAnsiTheme="minorHAnsi" w:cs="Arial"/>
          <w:bCs/>
          <w:snapToGrid w:val="0"/>
        </w:rPr>
        <w:t xml:space="preserve">a published paper describing </w:t>
      </w:r>
      <w:r w:rsidR="00255E76" w:rsidRPr="007C103A">
        <w:rPr>
          <w:rFonts w:asciiTheme="minorHAnsi" w:hAnsiTheme="minorHAnsi" w:cs="Arial"/>
          <w:bCs/>
          <w:snapToGrid w:val="0"/>
        </w:rPr>
        <w:t xml:space="preserve">response to rituximab-based salvage chemotherapy from </w:t>
      </w:r>
      <w:r w:rsidR="002371F7" w:rsidRPr="007C103A">
        <w:rPr>
          <w:rFonts w:asciiTheme="minorHAnsi" w:hAnsiTheme="minorHAnsi" w:cs="Arial"/>
          <w:bCs/>
          <w:snapToGrid w:val="0"/>
        </w:rPr>
        <w:t>pooled patient data from four databases (S</w:t>
      </w:r>
      <w:r w:rsidR="00255E76" w:rsidRPr="007C103A">
        <w:rPr>
          <w:rFonts w:asciiTheme="minorHAnsi" w:hAnsiTheme="minorHAnsi" w:cs="Arial"/>
          <w:bCs/>
          <w:snapToGrid w:val="0"/>
        </w:rPr>
        <w:t>C</w:t>
      </w:r>
      <w:r w:rsidR="002371F7" w:rsidRPr="007C103A">
        <w:rPr>
          <w:rFonts w:asciiTheme="minorHAnsi" w:hAnsiTheme="minorHAnsi" w:cs="Arial"/>
          <w:bCs/>
          <w:snapToGrid w:val="0"/>
        </w:rPr>
        <w:t>HOLAR-1)</w:t>
      </w:r>
      <w:r w:rsidR="00F9750F" w:rsidRPr="007C103A">
        <w:rPr>
          <w:rFonts w:asciiTheme="minorHAnsi" w:hAnsiTheme="minorHAnsi" w:cs="Arial"/>
          <w:bCs/>
          <w:snapToGrid w:val="0"/>
        </w:rPr>
        <w:t>,</w:t>
      </w:r>
      <w:r w:rsidR="002371F7" w:rsidRPr="007C103A">
        <w:rPr>
          <w:rFonts w:asciiTheme="minorHAnsi" w:hAnsiTheme="minorHAnsi" w:cs="Arial"/>
          <w:bCs/>
          <w:snapToGrid w:val="0"/>
        </w:rPr>
        <w:t xml:space="preserve"> and a cohort from an Australian registry database (LaRDR).</w:t>
      </w:r>
      <w:r w:rsidR="00B21ACE" w:rsidRPr="007C103A">
        <w:rPr>
          <w:rFonts w:asciiTheme="minorHAnsi" w:hAnsiTheme="minorHAnsi" w:cs="Arial"/>
          <w:bCs/>
          <w:snapToGrid w:val="0"/>
        </w:rPr>
        <w:t xml:space="preserve"> The PBAC considered that the risk of bias was high in </w:t>
      </w:r>
      <w:r w:rsidR="00D63D72" w:rsidRPr="007C103A">
        <w:rPr>
          <w:rFonts w:asciiTheme="minorHAnsi" w:hAnsiTheme="minorHAnsi" w:cs="Arial"/>
          <w:bCs/>
          <w:snapToGrid w:val="0"/>
        </w:rPr>
        <w:t xml:space="preserve">each of </w:t>
      </w:r>
      <w:r w:rsidR="00B21ACE" w:rsidRPr="007C103A">
        <w:rPr>
          <w:rFonts w:asciiTheme="minorHAnsi" w:hAnsiTheme="minorHAnsi" w:cs="Arial"/>
          <w:bCs/>
          <w:snapToGrid w:val="0"/>
        </w:rPr>
        <w:t>the three studies.</w:t>
      </w:r>
    </w:p>
    <w:p w14:paraId="7DA19FAF" w14:textId="77777777" w:rsidR="00B21ACE" w:rsidRPr="007C103A" w:rsidRDefault="00B21ACE" w:rsidP="00991EB6">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lastRenderedPageBreak/>
        <w:t>The PBAC considered that the efficacy results from the SADAL study were difficult to interpret, given its single arm nature.</w:t>
      </w:r>
    </w:p>
    <w:p w14:paraId="3C780731" w14:textId="77777777" w:rsidR="00B80FE6" w:rsidRPr="007C103A" w:rsidRDefault="00B21ACE"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PBAC considered that the patient populations in SADAL and SCHOLAR-1 were not comparable as SADAL patients were older, more heavily treated, had worse prognostic indicators and were ineligible for </w:t>
      </w:r>
      <w:r w:rsidR="00B80FE6" w:rsidRPr="007C103A">
        <w:rPr>
          <w:rFonts w:asciiTheme="minorHAnsi" w:hAnsiTheme="minorHAnsi" w:cs="Arial"/>
          <w:bCs/>
          <w:snapToGrid w:val="0"/>
        </w:rPr>
        <w:t xml:space="preserve">autologous stem cell transplant. In addition, the PBAC noted that the populations </w:t>
      </w:r>
      <w:r w:rsidR="00D63D72" w:rsidRPr="007C103A">
        <w:rPr>
          <w:rFonts w:asciiTheme="minorHAnsi" w:hAnsiTheme="minorHAnsi" w:cs="Arial"/>
          <w:bCs/>
          <w:snapToGrid w:val="0"/>
        </w:rPr>
        <w:t xml:space="preserve">in SADAL was </w:t>
      </w:r>
      <w:r w:rsidR="00B80FE6" w:rsidRPr="007C103A">
        <w:rPr>
          <w:rFonts w:asciiTheme="minorHAnsi" w:hAnsiTheme="minorHAnsi" w:cs="Arial"/>
          <w:bCs/>
          <w:snapToGrid w:val="0"/>
        </w:rPr>
        <w:t xml:space="preserve">not representative of the proposed PBS population as patients were required to have had at least 60 days </w:t>
      </w:r>
      <w:r w:rsidR="00255E76" w:rsidRPr="007C103A">
        <w:rPr>
          <w:rFonts w:asciiTheme="minorHAnsi" w:hAnsiTheme="minorHAnsi" w:cs="Arial"/>
          <w:bCs/>
          <w:snapToGrid w:val="0"/>
        </w:rPr>
        <w:t xml:space="preserve">between </w:t>
      </w:r>
      <w:r w:rsidR="00B80FE6" w:rsidRPr="007C103A">
        <w:rPr>
          <w:rFonts w:asciiTheme="minorHAnsi" w:hAnsiTheme="minorHAnsi" w:cs="Arial"/>
          <w:bCs/>
          <w:snapToGrid w:val="0"/>
        </w:rPr>
        <w:t xml:space="preserve">last receiving chemotherapy </w:t>
      </w:r>
      <w:r w:rsidR="00255E76" w:rsidRPr="007C103A">
        <w:rPr>
          <w:rFonts w:asciiTheme="minorHAnsi" w:hAnsiTheme="minorHAnsi" w:cs="Arial"/>
          <w:bCs/>
          <w:snapToGrid w:val="0"/>
        </w:rPr>
        <w:t>and starting treatment with selinexor</w:t>
      </w:r>
      <w:r w:rsidR="00D63D72" w:rsidRPr="007C103A">
        <w:rPr>
          <w:rFonts w:asciiTheme="minorHAnsi" w:hAnsiTheme="minorHAnsi" w:cs="Arial"/>
          <w:bCs/>
          <w:snapToGrid w:val="0"/>
        </w:rPr>
        <w:t xml:space="preserve">, which is not what would occur in clinical practice. The PBAC also noted that </w:t>
      </w:r>
      <w:r w:rsidRPr="007C103A">
        <w:rPr>
          <w:rFonts w:asciiTheme="minorHAnsi" w:hAnsiTheme="minorHAnsi" w:cs="Arial"/>
          <w:bCs/>
          <w:snapToGrid w:val="0"/>
        </w:rPr>
        <w:t>approximately half of the patients included in SCHOLAR-1 were not refractory to second-line therapy</w:t>
      </w:r>
      <w:r w:rsidR="00B80FE6" w:rsidRPr="007C103A">
        <w:rPr>
          <w:rFonts w:asciiTheme="minorHAnsi" w:hAnsiTheme="minorHAnsi" w:cs="Arial"/>
          <w:bCs/>
          <w:snapToGrid w:val="0"/>
        </w:rPr>
        <w:t>. The PBAC noted that the submission did not provide information on the patients in the LaRDR study.</w:t>
      </w:r>
    </w:p>
    <w:p w14:paraId="63B8BE23" w14:textId="77777777" w:rsidR="00255E76" w:rsidRPr="007C103A" w:rsidRDefault="00B80FE6"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PBAC </w:t>
      </w:r>
      <w:r w:rsidR="006F5AB2" w:rsidRPr="007C103A">
        <w:rPr>
          <w:rFonts w:asciiTheme="minorHAnsi" w:hAnsiTheme="minorHAnsi" w:cs="Arial"/>
          <w:bCs/>
          <w:snapToGrid w:val="0"/>
        </w:rPr>
        <w:t>noted that the submission did not present any comparative data</w:t>
      </w:r>
      <w:r w:rsidR="00B21ACE" w:rsidRPr="007C103A">
        <w:rPr>
          <w:rFonts w:asciiTheme="minorHAnsi" w:hAnsiTheme="minorHAnsi" w:cs="Arial"/>
          <w:bCs/>
          <w:snapToGrid w:val="0"/>
        </w:rPr>
        <w:t xml:space="preserve">, instead </w:t>
      </w:r>
      <w:r w:rsidR="00255E76" w:rsidRPr="007C103A">
        <w:rPr>
          <w:rFonts w:asciiTheme="minorHAnsi" w:hAnsiTheme="minorHAnsi" w:cs="Arial"/>
          <w:bCs/>
          <w:snapToGrid w:val="0"/>
        </w:rPr>
        <w:t xml:space="preserve">it </w:t>
      </w:r>
      <w:r w:rsidR="00B21ACE" w:rsidRPr="007C103A">
        <w:rPr>
          <w:rFonts w:asciiTheme="minorHAnsi" w:hAnsiTheme="minorHAnsi" w:cs="Arial"/>
          <w:bCs/>
          <w:snapToGrid w:val="0"/>
        </w:rPr>
        <w:t>present</w:t>
      </w:r>
      <w:r w:rsidR="00255E76" w:rsidRPr="007C103A">
        <w:rPr>
          <w:rFonts w:asciiTheme="minorHAnsi" w:hAnsiTheme="minorHAnsi" w:cs="Arial"/>
          <w:bCs/>
          <w:snapToGrid w:val="0"/>
        </w:rPr>
        <w:t>ed</w:t>
      </w:r>
      <w:r w:rsidR="00B21ACE" w:rsidRPr="007C103A">
        <w:rPr>
          <w:rFonts w:asciiTheme="minorHAnsi" w:hAnsiTheme="minorHAnsi" w:cs="Arial"/>
          <w:bCs/>
          <w:snapToGrid w:val="0"/>
        </w:rPr>
        <w:t xml:space="preserve"> a graphical overlay of the survival curves from the SADAL, SCHOLAR-1 and LaRDR studies and digitised a</w:t>
      </w:r>
      <w:r w:rsidR="00D41C10" w:rsidRPr="007C103A">
        <w:rPr>
          <w:rFonts w:asciiTheme="minorHAnsi" w:hAnsiTheme="minorHAnsi" w:cs="Arial"/>
          <w:bCs/>
          <w:snapToGrid w:val="0"/>
        </w:rPr>
        <w:t>n overall</w:t>
      </w:r>
      <w:r w:rsidR="00B21ACE" w:rsidRPr="007C103A">
        <w:rPr>
          <w:rFonts w:asciiTheme="minorHAnsi" w:hAnsiTheme="minorHAnsi" w:cs="Arial"/>
          <w:bCs/>
          <w:snapToGrid w:val="0"/>
        </w:rPr>
        <w:t xml:space="preserve"> survival </w:t>
      </w:r>
      <w:r w:rsidR="00D41C10" w:rsidRPr="007C103A">
        <w:rPr>
          <w:rFonts w:asciiTheme="minorHAnsi" w:hAnsiTheme="minorHAnsi" w:cs="Arial"/>
          <w:bCs/>
          <w:snapToGrid w:val="0"/>
        </w:rPr>
        <w:t xml:space="preserve">(OS) </w:t>
      </w:r>
      <w:r w:rsidR="00B21ACE" w:rsidRPr="007C103A">
        <w:rPr>
          <w:rFonts w:asciiTheme="minorHAnsi" w:hAnsiTheme="minorHAnsi" w:cs="Arial"/>
          <w:bCs/>
          <w:snapToGrid w:val="0"/>
        </w:rPr>
        <w:t xml:space="preserve">estimate. </w:t>
      </w:r>
      <w:r w:rsidRPr="007C103A">
        <w:rPr>
          <w:rFonts w:asciiTheme="minorHAnsi" w:hAnsiTheme="minorHAnsi" w:cs="Arial"/>
          <w:bCs/>
          <w:snapToGrid w:val="0"/>
        </w:rPr>
        <w:t>The PBAC considered that the results were difficult to interpret given th</w:t>
      </w:r>
      <w:r w:rsidR="00255E76" w:rsidRPr="007C103A">
        <w:rPr>
          <w:rFonts w:asciiTheme="minorHAnsi" w:hAnsiTheme="minorHAnsi" w:cs="Arial"/>
          <w:bCs/>
          <w:snapToGrid w:val="0"/>
        </w:rPr>
        <w:t xml:space="preserve">at the populations were not comparable. </w:t>
      </w:r>
      <w:r w:rsidR="00D41C10" w:rsidRPr="007C103A">
        <w:rPr>
          <w:rFonts w:asciiTheme="minorHAnsi" w:hAnsiTheme="minorHAnsi" w:cs="Arial"/>
          <w:bCs/>
          <w:snapToGrid w:val="0"/>
        </w:rPr>
        <w:t>The PBAC also noted that no progression free survival (PFS) data were presented for the comparator.</w:t>
      </w:r>
    </w:p>
    <w:p w14:paraId="41632EAA" w14:textId="77777777" w:rsidR="00255E76" w:rsidRPr="007C103A" w:rsidRDefault="00255E76"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PBAC considered that the submissions claim that selinexor was superior compared to </w:t>
      </w:r>
      <w:proofErr w:type="spellStart"/>
      <w:r w:rsidRPr="007C103A">
        <w:rPr>
          <w:rFonts w:asciiTheme="minorHAnsi" w:hAnsiTheme="minorHAnsi" w:cs="Arial"/>
          <w:bCs/>
          <w:snapToGrid w:val="0"/>
        </w:rPr>
        <w:t>RGemOx</w:t>
      </w:r>
      <w:proofErr w:type="spellEnd"/>
      <w:r w:rsidRPr="007C103A">
        <w:rPr>
          <w:rFonts w:asciiTheme="minorHAnsi" w:hAnsiTheme="minorHAnsi" w:cs="Arial"/>
          <w:bCs/>
          <w:snapToGrid w:val="0"/>
        </w:rPr>
        <w:t xml:space="preserve"> in terms of comparative effectiveness could not be supported </w:t>
      </w:r>
      <w:r w:rsidR="006319E9" w:rsidRPr="007C103A">
        <w:rPr>
          <w:rFonts w:asciiTheme="minorHAnsi" w:hAnsiTheme="minorHAnsi" w:cs="Arial"/>
          <w:bCs/>
          <w:snapToGrid w:val="0"/>
        </w:rPr>
        <w:t>based on the</w:t>
      </w:r>
      <w:r w:rsidRPr="007C103A">
        <w:rPr>
          <w:rFonts w:asciiTheme="minorHAnsi" w:hAnsiTheme="minorHAnsi" w:cs="Arial"/>
          <w:bCs/>
          <w:snapToGrid w:val="0"/>
        </w:rPr>
        <w:t xml:space="preserve"> data presented.</w:t>
      </w:r>
    </w:p>
    <w:p w14:paraId="15020375" w14:textId="77777777" w:rsidR="004C7743" w:rsidRPr="007C103A" w:rsidRDefault="00255E76"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PBAC noted that the results from the SADAL study indicated that selinexor was associated with a high incidence of </w:t>
      </w:r>
      <w:r w:rsidR="00562FC7" w:rsidRPr="007C103A">
        <w:rPr>
          <w:rFonts w:asciiTheme="minorHAnsi" w:hAnsiTheme="minorHAnsi" w:cs="Arial"/>
          <w:bCs/>
          <w:snapToGrid w:val="0"/>
        </w:rPr>
        <w:t xml:space="preserve">treatment emergent </w:t>
      </w:r>
      <w:r w:rsidRPr="007C103A">
        <w:rPr>
          <w:rFonts w:asciiTheme="minorHAnsi" w:hAnsiTheme="minorHAnsi" w:cs="Arial"/>
          <w:bCs/>
          <w:snapToGrid w:val="0"/>
        </w:rPr>
        <w:t>adverse events</w:t>
      </w:r>
      <w:r w:rsidR="00457EF6" w:rsidRPr="007C103A">
        <w:rPr>
          <w:rFonts w:asciiTheme="minorHAnsi" w:hAnsiTheme="minorHAnsi" w:cs="Arial"/>
          <w:bCs/>
          <w:snapToGrid w:val="0"/>
        </w:rPr>
        <w:t xml:space="preserve">. </w:t>
      </w:r>
      <w:r w:rsidR="00562FC7" w:rsidRPr="007C103A">
        <w:rPr>
          <w:rFonts w:asciiTheme="minorHAnsi" w:hAnsiTheme="minorHAnsi" w:cs="Arial"/>
          <w:bCs/>
          <w:snapToGrid w:val="0"/>
        </w:rPr>
        <w:t>The PBAC particularly noted the high incidence of Grade 3 or 4 adverse events (80.3%) associated with selinexor treatment</w:t>
      </w:r>
      <w:r w:rsidR="008701F8" w:rsidRPr="007C103A">
        <w:rPr>
          <w:rFonts w:asciiTheme="minorHAnsi" w:hAnsiTheme="minorHAnsi" w:cs="Arial"/>
          <w:bCs/>
          <w:snapToGrid w:val="0"/>
        </w:rPr>
        <w:t xml:space="preserve"> and </w:t>
      </w:r>
      <w:r w:rsidR="0052081B" w:rsidRPr="007C103A">
        <w:rPr>
          <w:rFonts w:asciiTheme="minorHAnsi" w:hAnsiTheme="minorHAnsi" w:cs="Arial"/>
          <w:bCs/>
          <w:snapToGrid w:val="0"/>
        </w:rPr>
        <w:t>the high proportion of patients (</w:t>
      </w:r>
      <w:r w:rsidR="008701F8" w:rsidRPr="007C103A">
        <w:rPr>
          <w:rFonts w:asciiTheme="minorHAnsi" w:hAnsiTheme="minorHAnsi" w:cs="Arial"/>
          <w:bCs/>
          <w:snapToGrid w:val="0"/>
        </w:rPr>
        <w:t>27.5%</w:t>
      </w:r>
      <w:r w:rsidR="0052081B" w:rsidRPr="007C103A">
        <w:rPr>
          <w:rFonts w:asciiTheme="minorHAnsi" w:hAnsiTheme="minorHAnsi" w:cs="Arial"/>
          <w:bCs/>
          <w:snapToGrid w:val="0"/>
        </w:rPr>
        <w:t>) that</w:t>
      </w:r>
      <w:r w:rsidR="008701F8" w:rsidRPr="007C103A">
        <w:rPr>
          <w:rFonts w:asciiTheme="minorHAnsi" w:hAnsiTheme="minorHAnsi" w:cs="Arial"/>
          <w:bCs/>
          <w:snapToGrid w:val="0"/>
        </w:rPr>
        <w:t xml:space="preserve"> required a dose reduction</w:t>
      </w:r>
      <w:r w:rsidR="00562FC7" w:rsidRPr="007C103A">
        <w:rPr>
          <w:rFonts w:asciiTheme="minorHAnsi" w:hAnsiTheme="minorHAnsi" w:cs="Arial"/>
          <w:bCs/>
          <w:snapToGrid w:val="0"/>
        </w:rPr>
        <w:t>.</w:t>
      </w:r>
    </w:p>
    <w:p w14:paraId="094B4EDD" w14:textId="77777777" w:rsidR="00562FC7" w:rsidRPr="007C103A" w:rsidRDefault="00562FC7"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PBAC, noting that the submission did not present any comparative safety data, considered that the claim that selinexor was superior compared to </w:t>
      </w:r>
      <w:proofErr w:type="spellStart"/>
      <w:r w:rsidRPr="007C103A">
        <w:rPr>
          <w:rFonts w:asciiTheme="minorHAnsi" w:hAnsiTheme="minorHAnsi" w:cs="Arial"/>
          <w:bCs/>
          <w:snapToGrid w:val="0"/>
        </w:rPr>
        <w:t>RGemOx</w:t>
      </w:r>
      <w:proofErr w:type="spellEnd"/>
      <w:r w:rsidRPr="007C103A">
        <w:rPr>
          <w:rFonts w:asciiTheme="minorHAnsi" w:hAnsiTheme="minorHAnsi" w:cs="Arial"/>
          <w:bCs/>
          <w:snapToGrid w:val="0"/>
        </w:rPr>
        <w:t xml:space="preserve"> in terms of safety was not reasonable.</w:t>
      </w:r>
    </w:p>
    <w:p w14:paraId="291D1FF8" w14:textId="77777777" w:rsidR="0062124E" w:rsidRPr="007C103A" w:rsidRDefault="00B661CC"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Noting that the </w:t>
      </w:r>
      <w:r w:rsidR="008701F8" w:rsidRPr="007C103A">
        <w:rPr>
          <w:rFonts w:asciiTheme="minorHAnsi" w:hAnsiTheme="minorHAnsi" w:cs="Arial"/>
          <w:bCs/>
          <w:snapToGrid w:val="0"/>
        </w:rPr>
        <w:t>patient cohorts in SADAL and SCHOLAR-1 were not comparable and could not be used to infer a treatment effect, t</w:t>
      </w:r>
      <w:r w:rsidRPr="007C103A">
        <w:rPr>
          <w:rFonts w:asciiTheme="minorHAnsi" w:hAnsiTheme="minorHAnsi" w:cs="Arial"/>
          <w:bCs/>
          <w:snapToGrid w:val="0"/>
        </w:rPr>
        <w:t xml:space="preserve">he PBAC considered that the cost utility analysis presented in the submission was highly unreliable. </w:t>
      </w:r>
      <w:r w:rsidR="00D41C10" w:rsidRPr="007C103A">
        <w:rPr>
          <w:rFonts w:asciiTheme="minorHAnsi" w:hAnsiTheme="minorHAnsi" w:cs="Arial"/>
          <w:bCs/>
          <w:snapToGrid w:val="0"/>
        </w:rPr>
        <w:t>In addition, t</w:t>
      </w:r>
      <w:r w:rsidRPr="007C103A">
        <w:rPr>
          <w:rFonts w:asciiTheme="minorHAnsi" w:hAnsiTheme="minorHAnsi" w:cs="Arial"/>
          <w:bCs/>
          <w:snapToGrid w:val="0"/>
        </w:rPr>
        <w:t xml:space="preserve">he PBAC </w:t>
      </w:r>
      <w:r w:rsidR="00D41C10" w:rsidRPr="007C103A">
        <w:rPr>
          <w:rFonts w:asciiTheme="minorHAnsi" w:hAnsiTheme="minorHAnsi" w:cs="Arial"/>
          <w:bCs/>
          <w:snapToGrid w:val="0"/>
        </w:rPr>
        <w:t xml:space="preserve">noted </w:t>
      </w:r>
      <w:r w:rsidR="00A76536" w:rsidRPr="007C103A">
        <w:rPr>
          <w:rFonts w:asciiTheme="minorHAnsi" w:hAnsiTheme="minorHAnsi" w:cs="Arial"/>
          <w:bCs/>
          <w:snapToGrid w:val="0"/>
        </w:rPr>
        <w:t>uncertainties related to</w:t>
      </w:r>
      <w:r w:rsidR="0062124E" w:rsidRPr="007C103A">
        <w:rPr>
          <w:rFonts w:asciiTheme="minorHAnsi" w:hAnsiTheme="minorHAnsi" w:cs="Arial"/>
          <w:bCs/>
          <w:snapToGrid w:val="0"/>
        </w:rPr>
        <w:t>:</w:t>
      </w:r>
    </w:p>
    <w:p w14:paraId="5D6042F6" w14:textId="77777777" w:rsidR="0052081B" w:rsidRPr="007C103A" w:rsidRDefault="00A0152D" w:rsidP="0062124E">
      <w:pPr>
        <w:widowControl w:val="0"/>
        <w:numPr>
          <w:ilvl w:val="1"/>
          <w:numId w:val="41"/>
        </w:numPr>
        <w:spacing w:after="120"/>
        <w:ind w:left="1077" w:hanging="357"/>
        <w:rPr>
          <w:rFonts w:asciiTheme="minorHAnsi" w:hAnsiTheme="minorHAnsi" w:cs="Arial"/>
          <w:bCs/>
          <w:snapToGrid w:val="0"/>
        </w:rPr>
      </w:pPr>
      <w:r w:rsidRPr="007C103A">
        <w:rPr>
          <w:rFonts w:asciiTheme="minorHAnsi" w:hAnsiTheme="minorHAnsi" w:cs="Arial"/>
          <w:bCs/>
          <w:snapToGrid w:val="0"/>
        </w:rPr>
        <w:t>t</w:t>
      </w:r>
      <w:r w:rsidR="0052081B" w:rsidRPr="007C103A">
        <w:rPr>
          <w:rFonts w:asciiTheme="minorHAnsi" w:hAnsiTheme="minorHAnsi" w:cs="Arial"/>
          <w:bCs/>
          <w:snapToGrid w:val="0"/>
        </w:rPr>
        <w:t>he lack</w:t>
      </w:r>
      <w:r w:rsidRPr="007C103A">
        <w:rPr>
          <w:rFonts w:asciiTheme="minorHAnsi" w:hAnsiTheme="minorHAnsi" w:cs="Arial"/>
          <w:bCs/>
          <w:snapToGrid w:val="0"/>
        </w:rPr>
        <w:t xml:space="preserve"> of patient characteristic data </w:t>
      </w:r>
      <w:r w:rsidR="007651AB" w:rsidRPr="007C103A">
        <w:rPr>
          <w:rFonts w:asciiTheme="minorHAnsi" w:hAnsiTheme="minorHAnsi" w:cs="Arial"/>
          <w:bCs/>
          <w:snapToGrid w:val="0"/>
        </w:rPr>
        <w:t>to inform</w:t>
      </w:r>
      <w:r w:rsidRPr="007C103A">
        <w:rPr>
          <w:rFonts w:asciiTheme="minorHAnsi" w:hAnsiTheme="minorHAnsi" w:cs="Arial"/>
          <w:bCs/>
          <w:snapToGrid w:val="0"/>
        </w:rPr>
        <w:t xml:space="preserve"> the comparator arm of the model;</w:t>
      </w:r>
    </w:p>
    <w:p w14:paraId="50F5B75A" w14:textId="77777777" w:rsidR="0062124E" w:rsidRPr="007C103A" w:rsidRDefault="00D41C10" w:rsidP="0062124E">
      <w:pPr>
        <w:widowControl w:val="0"/>
        <w:numPr>
          <w:ilvl w:val="1"/>
          <w:numId w:val="41"/>
        </w:numPr>
        <w:spacing w:after="120"/>
        <w:ind w:left="1077" w:hanging="357"/>
        <w:rPr>
          <w:rFonts w:asciiTheme="minorHAnsi" w:hAnsiTheme="minorHAnsi" w:cs="Arial"/>
          <w:bCs/>
          <w:snapToGrid w:val="0"/>
        </w:rPr>
      </w:pPr>
      <w:r w:rsidRPr="007C103A">
        <w:rPr>
          <w:rFonts w:asciiTheme="minorHAnsi" w:hAnsiTheme="minorHAnsi" w:cs="Arial"/>
          <w:bCs/>
          <w:snapToGrid w:val="0"/>
        </w:rPr>
        <w:t>the lack of PFS</w:t>
      </w:r>
      <w:r w:rsidR="00B661CC" w:rsidRPr="007C103A">
        <w:rPr>
          <w:rFonts w:asciiTheme="minorHAnsi" w:hAnsiTheme="minorHAnsi" w:cs="Arial"/>
          <w:bCs/>
          <w:snapToGrid w:val="0"/>
        </w:rPr>
        <w:t xml:space="preserve"> data for the comparator arm, </w:t>
      </w:r>
    </w:p>
    <w:p w14:paraId="7D87C551" w14:textId="77777777" w:rsidR="0062124E" w:rsidRPr="007C103A" w:rsidRDefault="00B661CC" w:rsidP="0062124E">
      <w:pPr>
        <w:widowControl w:val="0"/>
        <w:numPr>
          <w:ilvl w:val="1"/>
          <w:numId w:val="41"/>
        </w:numPr>
        <w:spacing w:after="120"/>
        <w:ind w:left="1077" w:hanging="357"/>
        <w:rPr>
          <w:rFonts w:asciiTheme="minorHAnsi" w:hAnsiTheme="minorHAnsi" w:cs="Arial"/>
          <w:bCs/>
          <w:snapToGrid w:val="0"/>
        </w:rPr>
      </w:pPr>
      <w:r w:rsidRPr="007C103A">
        <w:rPr>
          <w:rFonts w:asciiTheme="minorHAnsi" w:hAnsiTheme="minorHAnsi" w:cs="Arial"/>
          <w:bCs/>
          <w:snapToGrid w:val="0"/>
        </w:rPr>
        <w:t xml:space="preserve">the </w:t>
      </w:r>
      <w:r w:rsidR="00D41C10" w:rsidRPr="007C103A">
        <w:rPr>
          <w:rFonts w:asciiTheme="minorHAnsi" w:hAnsiTheme="minorHAnsi" w:cs="Arial"/>
          <w:bCs/>
          <w:snapToGrid w:val="0"/>
        </w:rPr>
        <w:t xml:space="preserve">application of </w:t>
      </w:r>
      <w:r w:rsidRPr="007C103A">
        <w:rPr>
          <w:rFonts w:asciiTheme="minorHAnsi" w:hAnsiTheme="minorHAnsi" w:cs="Arial"/>
          <w:bCs/>
          <w:snapToGrid w:val="0"/>
        </w:rPr>
        <w:t xml:space="preserve">utility values </w:t>
      </w:r>
      <w:r w:rsidR="00D41C10" w:rsidRPr="007C103A">
        <w:rPr>
          <w:rFonts w:asciiTheme="minorHAnsi" w:hAnsiTheme="minorHAnsi" w:cs="Arial"/>
          <w:bCs/>
          <w:snapToGrid w:val="0"/>
        </w:rPr>
        <w:t xml:space="preserve">which </w:t>
      </w:r>
      <w:r w:rsidRPr="007C103A">
        <w:rPr>
          <w:rFonts w:asciiTheme="minorHAnsi" w:hAnsiTheme="minorHAnsi" w:cs="Arial"/>
          <w:bCs/>
          <w:snapToGrid w:val="0"/>
        </w:rPr>
        <w:t>we</w:t>
      </w:r>
      <w:r w:rsidR="00D41C10" w:rsidRPr="007C103A">
        <w:rPr>
          <w:rFonts w:asciiTheme="minorHAnsi" w:hAnsiTheme="minorHAnsi" w:cs="Arial"/>
          <w:bCs/>
          <w:snapToGrid w:val="0"/>
        </w:rPr>
        <w:t>re based on a very small sample size of patients</w:t>
      </w:r>
      <w:r w:rsidR="0062124E" w:rsidRPr="007C103A">
        <w:rPr>
          <w:rFonts w:asciiTheme="minorHAnsi" w:hAnsiTheme="minorHAnsi" w:cs="Arial"/>
          <w:bCs/>
          <w:snapToGrid w:val="0"/>
        </w:rPr>
        <w:t xml:space="preserve"> (N = 37)</w:t>
      </w:r>
      <w:r w:rsidR="00D41C10" w:rsidRPr="007C103A">
        <w:rPr>
          <w:rFonts w:asciiTheme="minorHAnsi" w:hAnsiTheme="minorHAnsi" w:cs="Arial"/>
          <w:bCs/>
          <w:snapToGrid w:val="0"/>
        </w:rPr>
        <w:t xml:space="preserve">, some who had other forms of B-cell non-Hodgkin lymphoma, </w:t>
      </w:r>
    </w:p>
    <w:p w14:paraId="5CA9BB85" w14:textId="77777777" w:rsidR="0062124E" w:rsidRPr="007C103A" w:rsidRDefault="00A76536" w:rsidP="0062124E">
      <w:pPr>
        <w:widowControl w:val="0"/>
        <w:numPr>
          <w:ilvl w:val="1"/>
          <w:numId w:val="41"/>
        </w:numPr>
        <w:spacing w:after="120"/>
        <w:ind w:left="1077" w:hanging="357"/>
        <w:rPr>
          <w:rFonts w:asciiTheme="minorHAnsi" w:hAnsiTheme="minorHAnsi" w:cs="Arial"/>
          <w:bCs/>
          <w:snapToGrid w:val="0"/>
        </w:rPr>
      </w:pPr>
      <w:r w:rsidRPr="007C103A">
        <w:rPr>
          <w:rFonts w:asciiTheme="minorHAnsi" w:hAnsiTheme="minorHAnsi" w:cs="Arial"/>
          <w:bCs/>
          <w:snapToGrid w:val="0"/>
        </w:rPr>
        <w:t>the</w:t>
      </w:r>
      <w:r w:rsidR="00A0152D" w:rsidRPr="007C103A">
        <w:rPr>
          <w:rFonts w:asciiTheme="minorHAnsi" w:hAnsiTheme="minorHAnsi" w:cs="Arial"/>
          <w:bCs/>
          <w:snapToGrid w:val="0"/>
        </w:rPr>
        <w:t xml:space="preserve"> use of the</w:t>
      </w:r>
      <w:r w:rsidRPr="007C103A">
        <w:rPr>
          <w:rFonts w:asciiTheme="minorHAnsi" w:hAnsiTheme="minorHAnsi" w:cs="Arial"/>
          <w:bCs/>
          <w:snapToGrid w:val="0"/>
        </w:rPr>
        <w:t xml:space="preserve"> generalised F distribution</w:t>
      </w:r>
      <w:r w:rsidR="00A0152D" w:rsidRPr="007C103A">
        <w:rPr>
          <w:rFonts w:asciiTheme="minorHAnsi" w:hAnsiTheme="minorHAnsi" w:cs="Arial"/>
          <w:bCs/>
          <w:snapToGrid w:val="0"/>
        </w:rPr>
        <w:t>, which was not the best fit in terms of AIC and BIC values,</w:t>
      </w:r>
      <w:r w:rsidRPr="007C103A">
        <w:rPr>
          <w:rFonts w:asciiTheme="minorHAnsi" w:hAnsiTheme="minorHAnsi" w:cs="Arial"/>
          <w:bCs/>
          <w:snapToGrid w:val="0"/>
        </w:rPr>
        <w:t xml:space="preserve"> for extrapolation of the </w:t>
      </w:r>
      <w:r w:rsidR="00A0152D" w:rsidRPr="007C103A">
        <w:rPr>
          <w:rFonts w:asciiTheme="minorHAnsi" w:hAnsiTheme="minorHAnsi" w:cs="Arial"/>
          <w:bCs/>
          <w:snapToGrid w:val="0"/>
        </w:rPr>
        <w:t xml:space="preserve">selinexor </w:t>
      </w:r>
      <w:r w:rsidRPr="007C103A">
        <w:rPr>
          <w:rFonts w:asciiTheme="minorHAnsi" w:hAnsiTheme="minorHAnsi" w:cs="Arial"/>
          <w:bCs/>
          <w:snapToGrid w:val="0"/>
        </w:rPr>
        <w:t>OS curve</w:t>
      </w:r>
      <w:r w:rsidR="0062124E" w:rsidRPr="007C103A">
        <w:rPr>
          <w:rFonts w:asciiTheme="minorHAnsi" w:hAnsiTheme="minorHAnsi" w:cs="Arial"/>
          <w:bCs/>
          <w:snapToGrid w:val="0"/>
        </w:rPr>
        <w:t>;</w:t>
      </w:r>
      <w:r w:rsidRPr="007C103A">
        <w:rPr>
          <w:rFonts w:asciiTheme="minorHAnsi" w:hAnsiTheme="minorHAnsi" w:cs="Arial"/>
          <w:bCs/>
          <w:snapToGrid w:val="0"/>
        </w:rPr>
        <w:t xml:space="preserve"> </w:t>
      </w:r>
      <w:r w:rsidR="00D41C10" w:rsidRPr="007C103A">
        <w:rPr>
          <w:rFonts w:asciiTheme="minorHAnsi" w:hAnsiTheme="minorHAnsi" w:cs="Arial"/>
          <w:bCs/>
          <w:snapToGrid w:val="0"/>
        </w:rPr>
        <w:t xml:space="preserve">and </w:t>
      </w:r>
    </w:p>
    <w:p w14:paraId="768BCA56" w14:textId="77777777" w:rsidR="0062124E" w:rsidRPr="007C103A" w:rsidRDefault="00D41C10" w:rsidP="0062124E">
      <w:pPr>
        <w:widowControl w:val="0"/>
        <w:numPr>
          <w:ilvl w:val="1"/>
          <w:numId w:val="41"/>
        </w:numPr>
        <w:spacing w:after="120"/>
        <w:ind w:left="1077" w:hanging="357"/>
        <w:rPr>
          <w:rFonts w:asciiTheme="minorHAnsi" w:hAnsiTheme="minorHAnsi" w:cs="Arial"/>
          <w:bCs/>
          <w:snapToGrid w:val="0"/>
        </w:rPr>
      </w:pPr>
      <w:r w:rsidRPr="007C103A">
        <w:rPr>
          <w:rFonts w:asciiTheme="minorHAnsi" w:hAnsiTheme="minorHAnsi" w:cs="Arial"/>
          <w:bCs/>
          <w:snapToGrid w:val="0"/>
        </w:rPr>
        <w:lastRenderedPageBreak/>
        <w:t xml:space="preserve">concerns regarding the dose intensity of selinexor applied. </w:t>
      </w:r>
    </w:p>
    <w:p w14:paraId="6BDE2A18" w14:textId="77777777" w:rsidR="00A0152D" w:rsidRPr="007C103A" w:rsidRDefault="00D41C10" w:rsidP="00402235">
      <w:pPr>
        <w:pStyle w:val="3-BodyText"/>
      </w:pPr>
      <w:r w:rsidRPr="007C103A">
        <w:t xml:space="preserve">The PBAC considered that the resultant </w:t>
      </w:r>
      <w:r w:rsidR="00161F9F" w:rsidRPr="007C103A">
        <w:t>incremental cost effectiveness ratio (</w:t>
      </w:r>
      <w:r w:rsidRPr="007C103A">
        <w:t>ICER</w:t>
      </w:r>
      <w:r w:rsidR="00161F9F" w:rsidRPr="007C103A">
        <w:t>)</w:t>
      </w:r>
      <w:r w:rsidRPr="007C103A">
        <w:t xml:space="preserve"> of </w:t>
      </w:r>
      <w:r w:rsidR="00402235" w:rsidRPr="00402235">
        <w:rPr>
          <w:bCs/>
          <w:lang w:eastAsia="en-GB"/>
        </w:rPr>
        <w:t xml:space="preserve">$55,000 to &lt; $75,000 </w:t>
      </w:r>
      <w:r w:rsidRPr="007C103A">
        <w:t xml:space="preserve">per </w:t>
      </w:r>
      <w:r w:rsidR="00161F9F" w:rsidRPr="007C103A">
        <w:t>quality adjusted life year (</w:t>
      </w:r>
      <w:r w:rsidRPr="007C103A">
        <w:t>QALY</w:t>
      </w:r>
      <w:r w:rsidR="00161F9F" w:rsidRPr="007C103A">
        <w:t>)</w:t>
      </w:r>
      <w:r w:rsidRPr="007C103A">
        <w:t xml:space="preserve"> was highly uncertain</w:t>
      </w:r>
      <w:r w:rsidR="00A2584A" w:rsidRPr="007C103A">
        <w:t xml:space="preserve"> and likely underestimated. </w:t>
      </w:r>
      <w:r w:rsidRPr="007C103A">
        <w:t xml:space="preserve">The PBAC noted that the pre-PBAC response presented a revised base case </w:t>
      </w:r>
      <w:r w:rsidRPr="007C103A">
        <w:rPr>
          <w:iCs/>
        </w:rPr>
        <w:t xml:space="preserve">which applied </w:t>
      </w:r>
      <w:r w:rsidR="00A0152D" w:rsidRPr="007C103A">
        <w:rPr>
          <w:iCs/>
        </w:rPr>
        <w:t xml:space="preserve">(i) </w:t>
      </w:r>
      <w:r w:rsidRPr="007C103A">
        <w:rPr>
          <w:iCs/>
        </w:rPr>
        <w:t>a five-year time horizon</w:t>
      </w:r>
      <w:r w:rsidR="00A76536" w:rsidRPr="007C103A">
        <w:rPr>
          <w:iCs/>
        </w:rPr>
        <w:t xml:space="preserve"> (reduced from 7 years)</w:t>
      </w:r>
      <w:r w:rsidR="00A0152D" w:rsidRPr="007C103A">
        <w:rPr>
          <w:iCs/>
        </w:rPr>
        <w:t>;</w:t>
      </w:r>
      <w:r w:rsidRPr="007C103A">
        <w:rPr>
          <w:iCs/>
        </w:rPr>
        <w:t xml:space="preserve"> </w:t>
      </w:r>
      <w:r w:rsidR="00A0152D" w:rsidRPr="007C103A">
        <w:rPr>
          <w:iCs/>
        </w:rPr>
        <w:t xml:space="preserve">(ii) </w:t>
      </w:r>
      <w:r w:rsidRPr="007C103A">
        <w:rPr>
          <w:iCs/>
        </w:rPr>
        <w:t>OS convergence from 36 to 48 months</w:t>
      </w:r>
      <w:r w:rsidR="00A76536" w:rsidRPr="007C103A">
        <w:rPr>
          <w:iCs/>
        </w:rPr>
        <w:t xml:space="preserve"> (revised from 60 to 84 months)</w:t>
      </w:r>
      <w:r w:rsidR="00A0152D" w:rsidRPr="007C103A">
        <w:rPr>
          <w:iCs/>
        </w:rPr>
        <w:t>;</w:t>
      </w:r>
      <w:r w:rsidRPr="007C103A">
        <w:rPr>
          <w:iCs/>
        </w:rPr>
        <w:t xml:space="preserve"> and </w:t>
      </w:r>
      <w:r w:rsidR="00A0152D" w:rsidRPr="007C103A">
        <w:rPr>
          <w:iCs/>
        </w:rPr>
        <w:t xml:space="preserve">(iii) </w:t>
      </w:r>
      <w:r w:rsidRPr="007C103A">
        <w:rPr>
          <w:iCs/>
        </w:rPr>
        <w:t>the assumption of no PFS benefit</w:t>
      </w:r>
      <w:r w:rsidR="00A0152D" w:rsidRPr="007C103A">
        <w:rPr>
          <w:iCs/>
        </w:rPr>
        <w:t xml:space="preserve">, </w:t>
      </w:r>
      <w:r w:rsidR="006F0181" w:rsidRPr="007C103A">
        <w:rPr>
          <w:iCs/>
        </w:rPr>
        <w:t xml:space="preserve">and </w:t>
      </w:r>
      <w:r w:rsidR="00A0152D" w:rsidRPr="007C103A">
        <w:rPr>
          <w:iCs/>
        </w:rPr>
        <w:t>result</w:t>
      </w:r>
      <w:r w:rsidR="006F0181" w:rsidRPr="007C103A">
        <w:rPr>
          <w:iCs/>
        </w:rPr>
        <w:t>ed</w:t>
      </w:r>
      <w:r w:rsidR="00A0152D" w:rsidRPr="007C103A">
        <w:rPr>
          <w:iCs/>
        </w:rPr>
        <w:t xml:space="preserve"> </w:t>
      </w:r>
      <w:r w:rsidRPr="007C103A">
        <w:rPr>
          <w:iCs/>
        </w:rPr>
        <w:t xml:space="preserve">in an ICER of </w:t>
      </w:r>
      <w:r w:rsidR="00402235" w:rsidRPr="00402235">
        <w:rPr>
          <w:iCs/>
        </w:rPr>
        <w:t xml:space="preserve">$95,000 to &lt; $115,000 </w:t>
      </w:r>
      <w:r w:rsidRPr="007C103A">
        <w:rPr>
          <w:iCs/>
        </w:rPr>
        <w:t xml:space="preserve">per QALY. The PBAC noted that the pre-PBAC response also proposed a reduced </w:t>
      </w:r>
      <w:r w:rsidR="00E03DAD" w:rsidRPr="007C103A">
        <w:rPr>
          <w:iCs/>
        </w:rPr>
        <w:t>price</w:t>
      </w:r>
      <w:r w:rsidRPr="007C103A">
        <w:rPr>
          <w:iCs/>
        </w:rPr>
        <w:t xml:space="preserve"> for selinexor, which resulted in an ICER for the revised base case of </w:t>
      </w:r>
      <w:r w:rsidR="00402235" w:rsidRPr="00402235">
        <w:rPr>
          <w:iCs/>
        </w:rPr>
        <w:t>$75,000 to &lt; $95,000</w:t>
      </w:r>
      <w:r w:rsidR="00402235">
        <w:rPr>
          <w:iCs/>
        </w:rPr>
        <w:t xml:space="preserve"> </w:t>
      </w:r>
      <w:r w:rsidRPr="007C103A">
        <w:rPr>
          <w:iCs/>
        </w:rPr>
        <w:t xml:space="preserve">per QALY. </w:t>
      </w:r>
      <w:r w:rsidR="00341D03" w:rsidRPr="007C103A">
        <w:t>The PBAC considered that the revised base case ICER remained unacceptably uncertain and, in this context, considered the ICER to be high.</w:t>
      </w:r>
    </w:p>
    <w:p w14:paraId="4501C771" w14:textId="77777777" w:rsidR="00A0152D" w:rsidRPr="007C103A" w:rsidRDefault="00A0152D" w:rsidP="00A0152D">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PBAC noted that </w:t>
      </w:r>
      <w:proofErr w:type="gramStart"/>
      <w:r w:rsidRPr="007C103A">
        <w:rPr>
          <w:rFonts w:asciiTheme="minorHAnsi" w:hAnsiTheme="minorHAnsi" w:cs="Arial"/>
          <w:bCs/>
          <w:snapToGrid w:val="0"/>
        </w:rPr>
        <w:t>the majority of</w:t>
      </w:r>
      <w:proofErr w:type="gramEnd"/>
      <w:r w:rsidRPr="007C103A">
        <w:rPr>
          <w:rFonts w:asciiTheme="minorHAnsi" w:hAnsiTheme="minorHAnsi" w:cs="Arial"/>
          <w:bCs/>
          <w:snapToGrid w:val="0"/>
        </w:rPr>
        <w:t xml:space="preserve"> the incremental </w:t>
      </w:r>
      <w:r w:rsidR="006F0181" w:rsidRPr="007C103A">
        <w:rPr>
          <w:rFonts w:asciiTheme="minorHAnsi" w:hAnsiTheme="minorHAnsi" w:cs="Arial"/>
          <w:bCs/>
          <w:snapToGrid w:val="0"/>
        </w:rPr>
        <w:t>gains</w:t>
      </w:r>
      <w:r w:rsidRPr="007C103A">
        <w:rPr>
          <w:rFonts w:asciiTheme="minorHAnsi" w:hAnsiTheme="minorHAnsi" w:cs="Arial"/>
          <w:bCs/>
          <w:snapToGrid w:val="0"/>
        </w:rPr>
        <w:t xml:space="preserve"> in health outcomes </w:t>
      </w:r>
      <w:r w:rsidR="006F0181" w:rsidRPr="007C103A">
        <w:rPr>
          <w:rFonts w:asciiTheme="minorHAnsi" w:hAnsiTheme="minorHAnsi" w:cs="Arial"/>
          <w:bCs/>
          <w:snapToGrid w:val="0"/>
        </w:rPr>
        <w:t xml:space="preserve">attributed to selinexor </w:t>
      </w:r>
      <w:r w:rsidRPr="007C103A">
        <w:rPr>
          <w:rFonts w:asciiTheme="minorHAnsi" w:hAnsiTheme="minorHAnsi" w:cs="Arial"/>
          <w:bCs/>
          <w:snapToGrid w:val="0"/>
        </w:rPr>
        <w:t xml:space="preserve">were due to </w:t>
      </w:r>
      <w:r w:rsidR="006F0181" w:rsidRPr="007C103A">
        <w:rPr>
          <w:rFonts w:asciiTheme="minorHAnsi" w:hAnsiTheme="minorHAnsi" w:cs="Arial"/>
          <w:bCs/>
          <w:snapToGrid w:val="0"/>
        </w:rPr>
        <w:t xml:space="preserve">modelled differences in post-progression outcomes. The PBAC </w:t>
      </w:r>
      <w:r w:rsidRPr="007C103A">
        <w:rPr>
          <w:rFonts w:asciiTheme="minorHAnsi" w:hAnsiTheme="minorHAnsi" w:cs="Arial"/>
          <w:bCs/>
          <w:snapToGrid w:val="0"/>
        </w:rPr>
        <w:t>considered that, given the differences between the patient cohorts in SADAL and SCHOLAR-1 and the lack of clinical certainty in t</w:t>
      </w:r>
      <w:r w:rsidR="006F0181" w:rsidRPr="007C103A">
        <w:rPr>
          <w:rFonts w:asciiTheme="minorHAnsi" w:hAnsiTheme="minorHAnsi" w:cs="Arial"/>
          <w:bCs/>
          <w:snapToGrid w:val="0"/>
        </w:rPr>
        <w:t xml:space="preserve">erms of efficacy of </w:t>
      </w:r>
      <w:r w:rsidRPr="007C103A">
        <w:rPr>
          <w:rFonts w:asciiTheme="minorHAnsi" w:hAnsiTheme="minorHAnsi" w:cs="Arial"/>
          <w:bCs/>
          <w:snapToGrid w:val="0"/>
        </w:rPr>
        <w:t xml:space="preserve">selinexor over </w:t>
      </w:r>
      <w:proofErr w:type="spellStart"/>
      <w:r w:rsidRPr="007C103A">
        <w:rPr>
          <w:rFonts w:asciiTheme="minorHAnsi" w:hAnsiTheme="minorHAnsi" w:cs="Arial"/>
          <w:bCs/>
          <w:snapToGrid w:val="0"/>
        </w:rPr>
        <w:t>RGemOx</w:t>
      </w:r>
      <w:proofErr w:type="spellEnd"/>
      <w:r w:rsidRPr="007C103A">
        <w:rPr>
          <w:rFonts w:asciiTheme="minorHAnsi" w:hAnsiTheme="minorHAnsi" w:cs="Arial"/>
          <w:bCs/>
          <w:snapToGrid w:val="0"/>
        </w:rPr>
        <w:t>, any benefit attributed to selinexor should be conservative.</w:t>
      </w:r>
    </w:p>
    <w:p w14:paraId="704D031A" w14:textId="77777777" w:rsidR="00D41C10" w:rsidRPr="007C103A" w:rsidRDefault="00124956"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In terms of the utilisation estimates, the PBAC agreed with the DUSC and considered that the eligible population was </w:t>
      </w:r>
      <w:r w:rsidR="007651AB" w:rsidRPr="007C103A">
        <w:rPr>
          <w:rFonts w:asciiTheme="minorHAnsi" w:hAnsiTheme="minorHAnsi" w:cs="Arial"/>
          <w:bCs/>
          <w:snapToGrid w:val="0"/>
        </w:rPr>
        <w:t>underestimated,</w:t>
      </w:r>
      <w:r w:rsidRPr="007C103A">
        <w:rPr>
          <w:rFonts w:asciiTheme="minorHAnsi" w:hAnsiTheme="minorHAnsi" w:cs="Arial"/>
          <w:bCs/>
          <w:snapToGrid w:val="0"/>
        </w:rPr>
        <w:t xml:space="preserve"> and the treated population was overestimated for the reasons outlined in parag</w:t>
      </w:r>
      <w:r w:rsidR="00015912">
        <w:rPr>
          <w:rFonts w:asciiTheme="minorHAnsi" w:hAnsiTheme="minorHAnsi" w:cs="Arial"/>
          <w:bCs/>
          <w:snapToGrid w:val="0"/>
        </w:rPr>
        <w:t xml:space="preserve">raph 6.45. The PBAC noted that </w:t>
      </w:r>
      <w:r w:rsidRPr="007C103A">
        <w:rPr>
          <w:rFonts w:asciiTheme="minorHAnsi" w:hAnsiTheme="minorHAnsi" w:cs="Arial"/>
          <w:bCs/>
          <w:snapToGrid w:val="0"/>
        </w:rPr>
        <w:t>uptake of selinexor (</w:t>
      </w:r>
      <w:r w:rsidR="004A77F8">
        <w:rPr>
          <w:rFonts w:asciiTheme="minorHAnsi" w:hAnsiTheme="minorHAnsi" w:cs="Arial"/>
          <w:bCs/>
          <w:noProof/>
          <w:snapToGrid w:val="0"/>
          <w:color w:val="000000"/>
          <w:highlight w:val="black"/>
        </w:rPr>
        <w:t>''''''</w:t>
      </w:r>
      <w:r w:rsidRPr="007C103A">
        <w:rPr>
          <w:rFonts w:asciiTheme="minorHAnsi" w:hAnsiTheme="minorHAnsi" w:cs="Arial"/>
          <w:bCs/>
          <w:snapToGrid w:val="0"/>
        </w:rPr>
        <w:t xml:space="preserve">% in Year 1, increasing to </w:t>
      </w:r>
      <w:r w:rsidR="004A77F8">
        <w:rPr>
          <w:rFonts w:asciiTheme="minorHAnsi" w:hAnsiTheme="minorHAnsi" w:cs="Arial"/>
          <w:bCs/>
          <w:noProof/>
          <w:snapToGrid w:val="0"/>
          <w:color w:val="000000"/>
          <w:highlight w:val="black"/>
        </w:rPr>
        <w:t>'''''</w:t>
      </w:r>
      <w:r w:rsidRPr="007C103A">
        <w:rPr>
          <w:rFonts w:asciiTheme="minorHAnsi" w:hAnsiTheme="minorHAnsi" w:cs="Arial"/>
          <w:bCs/>
          <w:snapToGrid w:val="0"/>
        </w:rPr>
        <w:t xml:space="preserve">% in Years 3 to 6) was overestimated, particularly considering the lack of comparative efficacy data and the high incidence of adverse events, and that </w:t>
      </w:r>
      <w:r w:rsidR="00FA26F1" w:rsidRPr="007C103A">
        <w:rPr>
          <w:rFonts w:asciiTheme="minorHAnsi" w:hAnsiTheme="minorHAnsi" w:cs="Arial"/>
          <w:bCs/>
          <w:snapToGrid w:val="0"/>
        </w:rPr>
        <w:t xml:space="preserve">separate rates for </w:t>
      </w:r>
      <w:r w:rsidRPr="007C103A">
        <w:rPr>
          <w:rFonts w:asciiTheme="minorHAnsi" w:hAnsiTheme="minorHAnsi" w:cs="Arial"/>
          <w:bCs/>
          <w:snapToGrid w:val="0"/>
        </w:rPr>
        <w:t xml:space="preserve">compliance rate </w:t>
      </w:r>
      <w:r w:rsidR="00FA26F1" w:rsidRPr="007C103A">
        <w:rPr>
          <w:rFonts w:asciiTheme="minorHAnsi" w:hAnsiTheme="minorHAnsi" w:cs="Arial"/>
          <w:bCs/>
          <w:snapToGrid w:val="0"/>
        </w:rPr>
        <w:t>and dose intensity should have been applied.</w:t>
      </w:r>
    </w:p>
    <w:p w14:paraId="557D0078" w14:textId="77777777" w:rsidR="00FA26F1" w:rsidRPr="007C103A" w:rsidRDefault="00FA26F1"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 xml:space="preserve">The PBAC noted that the submission did not propose a </w:t>
      </w:r>
      <w:r w:rsidR="00977014" w:rsidRPr="007C103A">
        <w:rPr>
          <w:rFonts w:asciiTheme="minorHAnsi" w:hAnsiTheme="minorHAnsi" w:cs="Arial"/>
          <w:bCs/>
          <w:snapToGrid w:val="0"/>
        </w:rPr>
        <w:t>R</w:t>
      </w:r>
      <w:r w:rsidRPr="007C103A">
        <w:rPr>
          <w:rFonts w:asciiTheme="minorHAnsi" w:hAnsiTheme="minorHAnsi" w:cs="Arial"/>
          <w:bCs/>
          <w:snapToGrid w:val="0"/>
        </w:rPr>
        <w:t xml:space="preserve">isk </w:t>
      </w:r>
      <w:r w:rsidR="00977014" w:rsidRPr="007C103A">
        <w:rPr>
          <w:rFonts w:asciiTheme="minorHAnsi" w:hAnsiTheme="minorHAnsi" w:cs="Arial"/>
          <w:bCs/>
          <w:snapToGrid w:val="0"/>
        </w:rPr>
        <w:t>S</w:t>
      </w:r>
      <w:r w:rsidRPr="007C103A">
        <w:rPr>
          <w:rFonts w:asciiTheme="minorHAnsi" w:hAnsiTheme="minorHAnsi" w:cs="Arial"/>
          <w:bCs/>
          <w:snapToGrid w:val="0"/>
        </w:rPr>
        <w:t xml:space="preserve">haring </w:t>
      </w:r>
      <w:r w:rsidR="00977014" w:rsidRPr="007C103A">
        <w:rPr>
          <w:rFonts w:asciiTheme="minorHAnsi" w:hAnsiTheme="minorHAnsi" w:cs="Arial"/>
          <w:bCs/>
          <w:snapToGrid w:val="0"/>
        </w:rPr>
        <w:t>A</w:t>
      </w:r>
      <w:r w:rsidRPr="007C103A">
        <w:rPr>
          <w:rFonts w:asciiTheme="minorHAnsi" w:hAnsiTheme="minorHAnsi" w:cs="Arial"/>
          <w:bCs/>
          <w:snapToGrid w:val="0"/>
        </w:rPr>
        <w:t>rrangement (RSA).</w:t>
      </w:r>
    </w:p>
    <w:p w14:paraId="3787D788" w14:textId="77777777" w:rsidR="00FA26F1" w:rsidRPr="007C103A" w:rsidRDefault="00FA26F1"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The PBAC considered that a</w:t>
      </w:r>
      <w:r w:rsidR="00083410" w:rsidRPr="007C103A">
        <w:rPr>
          <w:rFonts w:asciiTheme="minorHAnsi" w:hAnsiTheme="minorHAnsi" w:cs="Arial"/>
          <w:bCs/>
          <w:snapToGrid w:val="0"/>
        </w:rPr>
        <w:t>ny future</w:t>
      </w:r>
      <w:r w:rsidRPr="007C103A">
        <w:rPr>
          <w:rFonts w:asciiTheme="minorHAnsi" w:hAnsiTheme="minorHAnsi" w:cs="Arial"/>
          <w:bCs/>
          <w:snapToGrid w:val="0"/>
        </w:rPr>
        <w:t xml:space="preserve"> resubmission for </w:t>
      </w:r>
      <w:r w:rsidR="009736FE" w:rsidRPr="007C103A">
        <w:rPr>
          <w:rFonts w:asciiTheme="minorHAnsi" w:hAnsiTheme="minorHAnsi" w:cs="Arial"/>
          <w:bCs/>
          <w:snapToGrid w:val="0"/>
        </w:rPr>
        <w:t>selinexor</w:t>
      </w:r>
      <w:r w:rsidRPr="007C103A">
        <w:rPr>
          <w:rFonts w:asciiTheme="minorHAnsi" w:hAnsiTheme="minorHAnsi" w:cs="Arial"/>
          <w:bCs/>
          <w:snapToGrid w:val="0"/>
        </w:rPr>
        <w:t xml:space="preserve"> should present:</w:t>
      </w:r>
    </w:p>
    <w:p w14:paraId="7164515F" w14:textId="77777777" w:rsidR="00053D52" w:rsidRPr="007C103A" w:rsidRDefault="00053D52" w:rsidP="00FA26F1">
      <w:pPr>
        <w:widowControl w:val="0"/>
        <w:numPr>
          <w:ilvl w:val="1"/>
          <w:numId w:val="40"/>
        </w:numPr>
        <w:spacing w:after="120"/>
        <w:ind w:left="1077" w:hanging="357"/>
        <w:rPr>
          <w:rFonts w:asciiTheme="minorHAnsi" w:hAnsiTheme="minorHAnsi" w:cs="Arial"/>
          <w:bCs/>
          <w:snapToGrid w:val="0"/>
        </w:rPr>
      </w:pPr>
      <w:r w:rsidRPr="007C103A">
        <w:rPr>
          <w:rFonts w:asciiTheme="minorHAnsi" w:hAnsiTheme="minorHAnsi" w:cs="Arial"/>
          <w:bCs/>
          <w:snapToGrid w:val="0"/>
        </w:rPr>
        <w:t xml:space="preserve">efficacy data for selinexor that </w:t>
      </w:r>
      <w:r w:rsidR="006F0181" w:rsidRPr="007C103A">
        <w:rPr>
          <w:rFonts w:asciiTheme="minorHAnsi" w:hAnsiTheme="minorHAnsi" w:cs="Arial"/>
          <w:bCs/>
          <w:snapToGrid w:val="0"/>
        </w:rPr>
        <w:t>i</w:t>
      </w:r>
      <w:r w:rsidRPr="007C103A">
        <w:rPr>
          <w:rFonts w:asciiTheme="minorHAnsi" w:hAnsiTheme="minorHAnsi" w:cs="Arial"/>
          <w:bCs/>
          <w:snapToGrid w:val="0"/>
        </w:rPr>
        <w:t xml:space="preserve">s more relevant to the proposed PBS population. The PBAC suggested that it might be possible to adjust the efficacy data from the SADAL </w:t>
      </w:r>
      <w:r w:rsidR="000D18AD" w:rsidRPr="007C103A">
        <w:rPr>
          <w:rFonts w:asciiTheme="minorHAnsi" w:hAnsiTheme="minorHAnsi" w:cs="Arial"/>
          <w:bCs/>
          <w:snapToGrid w:val="0"/>
        </w:rPr>
        <w:t>study</w:t>
      </w:r>
      <w:r w:rsidRPr="007C103A">
        <w:rPr>
          <w:rFonts w:asciiTheme="minorHAnsi" w:hAnsiTheme="minorHAnsi" w:cs="Arial"/>
          <w:bCs/>
          <w:snapToGrid w:val="0"/>
        </w:rPr>
        <w:t xml:space="preserve"> </w:t>
      </w:r>
      <w:r w:rsidR="006F0181" w:rsidRPr="007C103A">
        <w:rPr>
          <w:rFonts w:asciiTheme="minorHAnsi" w:hAnsiTheme="minorHAnsi" w:cs="Arial"/>
          <w:bCs/>
          <w:snapToGrid w:val="0"/>
        </w:rPr>
        <w:t>by</w:t>
      </w:r>
      <w:r w:rsidRPr="007C103A">
        <w:rPr>
          <w:rFonts w:asciiTheme="minorHAnsi" w:hAnsiTheme="minorHAnsi" w:cs="Arial"/>
          <w:bCs/>
          <w:snapToGrid w:val="0"/>
        </w:rPr>
        <w:t xml:space="preserve"> estimat</w:t>
      </w:r>
      <w:r w:rsidR="006F0181" w:rsidRPr="007C103A">
        <w:rPr>
          <w:rFonts w:asciiTheme="minorHAnsi" w:hAnsiTheme="minorHAnsi" w:cs="Arial"/>
          <w:bCs/>
          <w:snapToGrid w:val="0"/>
        </w:rPr>
        <w:t>ing</w:t>
      </w:r>
      <w:r w:rsidRPr="007C103A">
        <w:rPr>
          <w:rFonts w:asciiTheme="minorHAnsi" w:hAnsiTheme="minorHAnsi" w:cs="Arial"/>
          <w:bCs/>
          <w:snapToGrid w:val="0"/>
        </w:rPr>
        <w:t xml:space="preserve"> the impact of removing the study criteria that required a break of 60 days between chemotherapy and selinexor;</w:t>
      </w:r>
    </w:p>
    <w:p w14:paraId="3092A8F7" w14:textId="77777777" w:rsidR="00FA26F1" w:rsidRPr="007C103A" w:rsidRDefault="00FA26F1" w:rsidP="00FA26F1">
      <w:pPr>
        <w:widowControl w:val="0"/>
        <w:numPr>
          <w:ilvl w:val="1"/>
          <w:numId w:val="40"/>
        </w:numPr>
        <w:spacing w:after="120"/>
        <w:ind w:left="1077" w:hanging="357"/>
        <w:rPr>
          <w:rFonts w:asciiTheme="minorHAnsi" w:hAnsiTheme="minorHAnsi" w:cs="Arial"/>
          <w:bCs/>
          <w:snapToGrid w:val="0"/>
        </w:rPr>
      </w:pPr>
      <w:r w:rsidRPr="007C103A">
        <w:rPr>
          <w:rFonts w:asciiTheme="minorHAnsi" w:hAnsiTheme="minorHAnsi" w:cs="Arial"/>
          <w:bCs/>
          <w:snapToGrid w:val="0"/>
        </w:rPr>
        <w:t>more comparative data</w:t>
      </w:r>
      <w:r w:rsidR="00053D52" w:rsidRPr="007C103A">
        <w:rPr>
          <w:rFonts w:asciiTheme="minorHAnsi" w:hAnsiTheme="minorHAnsi" w:cs="Arial"/>
          <w:bCs/>
          <w:snapToGrid w:val="0"/>
        </w:rPr>
        <w:t xml:space="preserve">, possibly </w:t>
      </w:r>
      <w:r w:rsidR="006F0181" w:rsidRPr="007C103A">
        <w:rPr>
          <w:rFonts w:asciiTheme="minorHAnsi" w:hAnsiTheme="minorHAnsi" w:cs="Arial"/>
          <w:bCs/>
          <w:snapToGrid w:val="0"/>
        </w:rPr>
        <w:t xml:space="preserve">by presenting data for </w:t>
      </w:r>
      <w:r w:rsidR="00053D52" w:rsidRPr="007C103A">
        <w:rPr>
          <w:rFonts w:asciiTheme="minorHAnsi" w:hAnsiTheme="minorHAnsi" w:cs="Arial"/>
          <w:bCs/>
          <w:snapToGrid w:val="0"/>
        </w:rPr>
        <w:t>a basket of rituximab-containing therapies in the proposed population</w:t>
      </w:r>
      <w:r w:rsidRPr="007C103A">
        <w:rPr>
          <w:rFonts w:asciiTheme="minorHAnsi" w:hAnsiTheme="minorHAnsi" w:cs="Arial"/>
          <w:bCs/>
          <w:snapToGrid w:val="0"/>
        </w:rPr>
        <w:t>;</w:t>
      </w:r>
    </w:p>
    <w:p w14:paraId="0568E486" w14:textId="77777777" w:rsidR="00FA26F1" w:rsidRPr="007C103A" w:rsidRDefault="00FA26F1" w:rsidP="00FA26F1">
      <w:pPr>
        <w:widowControl w:val="0"/>
        <w:numPr>
          <w:ilvl w:val="1"/>
          <w:numId w:val="40"/>
        </w:numPr>
        <w:spacing w:after="120"/>
        <w:ind w:left="1077" w:hanging="357"/>
        <w:rPr>
          <w:rFonts w:asciiTheme="minorHAnsi" w:hAnsiTheme="minorHAnsi" w:cs="Arial"/>
          <w:bCs/>
          <w:snapToGrid w:val="0"/>
        </w:rPr>
      </w:pPr>
      <w:r w:rsidRPr="007C103A">
        <w:rPr>
          <w:rFonts w:asciiTheme="minorHAnsi" w:hAnsiTheme="minorHAnsi" w:cs="Arial"/>
          <w:bCs/>
          <w:snapToGrid w:val="0"/>
        </w:rPr>
        <w:t xml:space="preserve">a revised economic model which </w:t>
      </w:r>
      <w:r w:rsidR="00841DA8" w:rsidRPr="007C103A">
        <w:rPr>
          <w:rFonts w:asciiTheme="minorHAnsi" w:hAnsiTheme="minorHAnsi" w:cs="Arial"/>
          <w:bCs/>
          <w:snapToGrid w:val="0"/>
        </w:rPr>
        <w:t>addressed the uncertainties outlined in paragraph 7.11 and was</w:t>
      </w:r>
      <w:r w:rsidRPr="007C103A">
        <w:rPr>
          <w:rFonts w:asciiTheme="minorHAnsi" w:hAnsiTheme="minorHAnsi" w:cs="Arial"/>
          <w:bCs/>
          <w:snapToGrid w:val="0"/>
        </w:rPr>
        <w:t xml:space="preserve"> conservative in its assumptions</w:t>
      </w:r>
      <w:r w:rsidR="00841DA8" w:rsidRPr="007C103A">
        <w:rPr>
          <w:rFonts w:asciiTheme="minorHAnsi" w:hAnsiTheme="minorHAnsi" w:cs="Arial"/>
          <w:bCs/>
          <w:snapToGrid w:val="0"/>
        </w:rPr>
        <w:t xml:space="preserve">. The PBAC considered that the revised model should result in a base case ICER which </w:t>
      </w:r>
      <w:r w:rsidR="006319E9" w:rsidRPr="007C103A">
        <w:rPr>
          <w:rFonts w:asciiTheme="minorHAnsi" w:hAnsiTheme="minorHAnsi" w:cs="Arial"/>
          <w:bCs/>
          <w:snapToGrid w:val="0"/>
        </w:rPr>
        <w:t xml:space="preserve">appropriately accounts for </w:t>
      </w:r>
      <w:r w:rsidR="00841DA8" w:rsidRPr="007C103A">
        <w:rPr>
          <w:rFonts w:asciiTheme="minorHAnsi" w:hAnsiTheme="minorHAnsi" w:cs="Arial"/>
          <w:bCs/>
          <w:snapToGrid w:val="0"/>
        </w:rPr>
        <w:t>the uncertainties in the clinical data</w:t>
      </w:r>
      <w:r w:rsidRPr="007C103A">
        <w:rPr>
          <w:rFonts w:asciiTheme="minorHAnsi" w:hAnsiTheme="minorHAnsi" w:cs="Arial"/>
          <w:bCs/>
          <w:snapToGrid w:val="0"/>
        </w:rPr>
        <w:t>;</w:t>
      </w:r>
    </w:p>
    <w:p w14:paraId="2413A586" w14:textId="77777777" w:rsidR="00FA26F1" w:rsidRPr="007C103A" w:rsidRDefault="00FA26F1" w:rsidP="00FA26F1">
      <w:pPr>
        <w:widowControl w:val="0"/>
        <w:numPr>
          <w:ilvl w:val="1"/>
          <w:numId w:val="40"/>
        </w:numPr>
        <w:spacing w:after="120"/>
        <w:ind w:left="1077" w:hanging="357"/>
        <w:rPr>
          <w:rFonts w:asciiTheme="minorHAnsi" w:hAnsiTheme="minorHAnsi" w:cs="Arial"/>
          <w:bCs/>
          <w:snapToGrid w:val="0"/>
        </w:rPr>
      </w:pPr>
      <w:r w:rsidRPr="007C103A">
        <w:rPr>
          <w:rFonts w:asciiTheme="minorHAnsi" w:hAnsiTheme="minorHAnsi" w:cs="Arial"/>
          <w:bCs/>
          <w:snapToGrid w:val="0"/>
        </w:rPr>
        <w:t>revised utilisation and financial estimates</w:t>
      </w:r>
      <w:r w:rsidR="00053D52" w:rsidRPr="007C103A">
        <w:rPr>
          <w:rFonts w:asciiTheme="minorHAnsi" w:hAnsiTheme="minorHAnsi" w:cs="Arial"/>
          <w:bCs/>
          <w:snapToGrid w:val="0"/>
        </w:rPr>
        <w:t xml:space="preserve"> which incorporate </w:t>
      </w:r>
      <w:r w:rsidRPr="007C103A">
        <w:rPr>
          <w:rFonts w:asciiTheme="minorHAnsi" w:hAnsiTheme="minorHAnsi" w:cs="Arial"/>
          <w:bCs/>
          <w:snapToGrid w:val="0"/>
        </w:rPr>
        <w:t>the advice provided by DUSC (paragraph 6.45); and</w:t>
      </w:r>
    </w:p>
    <w:p w14:paraId="20C1CC0A" w14:textId="77777777" w:rsidR="00FA26F1" w:rsidRPr="007C103A" w:rsidRDefault="00FA26F1" w:rsidP="00FA26F1">
      <w:pPr>
        <w:widowControl w:val="0"/>
        <w:numPr>
          <w:ilvl w:val="1"/>
          <w:numId w:val="40"/>
        </w:numPr>
        <w:spacing w:after="120"/>
        <w:ind w:left="1077" w:hanging="357"/>
        <w:rPr>
          <w:rFonts w:asciiTheme="minorHAnsi" w:hAnsiTheme="minorHAnsi" w:cs="Arial"/>
          <w:bCs/>
          <w:snapToGrid w:val="0"/>
        </w:rPr>
      </w:pPr>
      <w:proofErr w:type="gramStart"/>
      <w:r w:rsidRPr="007C103A">
        <w:rPr>
          <w:rFonts w:asciiTheme="minorHAnsi" w:hAnsiTheme="minorHAnsi" w:cs="Arial"/>
          <w:bCs/>
          <w:snapToGrid w:val="0"/>
        </w:rPr>
        <w:t>a</w:t>
      </w:r>
      <w:proofErr w:type="gramEnd"/>
      <w:r w:rsidRPr="007C103A">
        <w:rPr>
          <w:rFonts w:asciiTheme="minorHAnsi" w:hAnsiTheme="minorHAnsi" w:cs="Arial"/>
          <w:bCs/>
          <w:snapToGrid w:val="0"/>
        </w:rPr>
        <w:t xml:space="preserve"> RSA to help mitigate the </w:t>
      </w:r>
      <w:r w:rsidR="006319E9" w:rsidRPr="007C103A">
        <w:rPr>
          <w:rFonts w:asciiTheme="minorHAnsi" w:hAnsiTheme="minorHAnsi" w:cs="Arial"/>
          <w:bCs/>
          <w:snapToGrid w:val="0"/>
        </w:rPr>
        <w:t xml:space="preserve">financial </w:t>
      </w:r>
      <w:r w:rsidRPr="007C103A">
        <w:rPr>
          <w:rFonts w:asciiTheme="minorHAnsi" w:hAnsiTheme="minorHAnsi" w:cs="Arial"/>
          <w:bCs/>
          <w:snapToGrid w:val="0"/>
        </w:rPr>
        <w:t xml:space="preserve">risks </w:t>
      </w:r>
      <w:r w:rsidR="006319E9" w:rsidRPr="007C103A">
        <w:rPr>
          <w:rFonts w:asciiTheme="minorHAnsi" w:hAnsiTheme="minorHAnsi" w:cs="Arial"/>
          <w:bCs/>
          <w:snapToGrid w:val="0"/>
        </w:rPr>
        <w:t xml:space="preserve">given the uncertainties associated with </w:t>
      </w:r>
      <w:r w:rsidR="006319E9" w:rsidRPr="007C103A">
        <w:rPr>
          <w:rFonts w:asciiTheme="minorHAnsi" w:hAnsiTheme="minorHAnsi" w:cs="Arial"/>
          <w:bCs/>
          <w:snapToGrid w:val="0"/>
        </w:rPr>
        <w:lastRenderedPageBreak/>
        <w:t>the clinical data</w:t>
      </w:r>
      <w:r w:rsidRPr="007C103A">
        <w:rPr>
          <w:rFonts w:asciiTheme="minorHAnsi" w:hAnsiTheme="minorHAnsi" w:cs="Arial"/>
          <w:bCs/>
          <w:snapToGrid w:val="0"/>
        </w:rPr>
        <w:t xml:space="preserve"> and </w:t>
      </w:r>
      <w:r w:rsidR="006319E9" w:rsidRPr="007C103A">
        <w:rPr>
          <w:rFonts w:asciiTheme="minorHAnsi" w:hAnsiTheme="minorHAnsi" w:cs="Arial"/>
          <w:bCs/>
          <w:snapToGrid w:val="0"/>
        </w:rPr>
        <w:t>hence</w:t>
      </w:r>
      <w:r w:rsidRPr="007C103A">
        <w:rPr>
          <w:rFonts w:asciiTheme="minorHAnsi" w:hAnsiTheme="minorHAnsi" w:cs="Arial"/>
          <w:bCs/>
          <w:snapToGrid w:val="0"/>
        </w:rPr>
        <w:t xml:space="preserve"> cost effectiveness.</w:t>
      </w:r>
    </w:p>
    <w:p w14:paraId="45BD649D" w14:textId="77777777" w:rsidR="008701F8" w:rsidRPr="007C103A" w:rsidRDefault="006319E9" w:rsidP="000D1E0A">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A</w:t>
      </w:r>
      <w:r w:rsidR="008701F8" w:rsidRPr="007C103A">
        <w:rPr>
          <w:rFonts w:asciiTheme="minorHAnsi" w:hAnsiTheme="minorHAnsi" w:cs="Arial"/>
          <w:bCs/>
          <w:snapToGrid w:val="0"/>
        </w:rPr>
        <w:t xml:space="preserve"> resubmission may be lodged at any future standard due date for PBAC submission using the standard re-entry pathway.</w:t>
      </w:r>
    </w:p>
    <w:p w14:paraId="0DC9B1BB" w14:textId="77777777" w:rsidR="000D1E0A" w:rsidRPr="00AB36BF" w:rsidRDefault="00FA26F1" w:rsidP="00AB36BF">
      <w:pPr>
        <w:widowControl w:val="0"/>
        <w:numPr>
          <w:ilvl w:val="1"/>
          <w:numId w:val="1"/>
        </w:numPr>
        <w:spacing w:after="120"/>
        <w:rPr>
          <w:rFonts w:asciiTheme="minorHAnsi" w:hAnsiTheme="minorHAnsi" w:cs="Arial"/>
          <w:bCs/>
          <w:snapToGrid w:val="0"/>
        </w:rPr>
      </w:pPr>
      <w:r w:rsidRPr="007C103A">
        <w:rPr>
          <w:rFonts w:asciiTheme="minorHAnsi" w:hAnsiTheme="minorHAnsi" w:cs="Arial"/>
          <w:bCs/>
          <w:snapToGrid w:val="0"/>
        </w:rPr>
        <w:t>The PBAC advised that this submission is eligible for an Independent Review.</w:t>
      </w:r>
    </w:p>
    <w:p w14:paraId="0DB40C7B" w14:textId="77777777" w:rsidR="000D1E0A" w:rsidRPr="007C103A" w:rsidRDefault="000D1E0A" w:rsidP="000D1E0A">
      <w:pPr>
        <w:spacing w:before="240"/>
        <w:rPr>
          <w:rFonts w:asciiTheme="minorHAnsi" w:hAnsiTheme="minorHAnsi" w:cs="Arial"/>
          <w:b/>
          <w:bCs/>
          <w:snapToGrid w:val="0"/>
        </w:rPr>
      </w:pPr>
      <w:r w:rsidRPr="007C103A">
        <w:rPr>
          <w:rFonts w:asciiTheme="minorHAnsi" w:hAnsiTheme="minorHAnsi" w:cs="Arial"/>
          <w:b/>
          <w:bCs/>
          <w:snapToGrid w:val="0"/>
        </w:rPr>
        <w:t>Outcome:</w:t>
      </w:r>
    </w:p>
    <w:p w14:paraId="4F4F9157" w14:textId="77777777" w:rsidR="000D1E0A" w:rsidRPr="007C103A" w:rsidRDefault="00AB36BF" w:rsidP="000D1E0A">
      <w:pPr>
        <w:rPr>
          <w:rFonts w:asciiTheme="minorHAnsi" w:hAnsiTheme="minorHAnsi" w:cs="Arial"/>
          <w:bCs/>
          <w:snapToGrid w:val="0"/>
        </w:rPr>
      </w:pPr>
      <w:r>
        <w:rPr>
          <w:rFonts w:asciiTheme="minorHAnsi" w:hAnsiTheme="minorHAnsi" w:cs="Arial"/>
          <w:bCs/>
          <w:snapToGrid w:val="0"/>
        </w:rPr>
        <w:t>Not recommended</w:t>
      </w:r>
    </w:p>
    <w:p w14:paraId="3A879B76" w14:textId="77777777" w:rsidR="000D1E0A" w:rsidRDefault="000D1E0A" w:rsidP="000D1E0A">
      <w:pPr>
        <w:widowControl w:val="0"/>
        <w:rPr>
          <w:rFonts w:asciiTheme="minorHAnsi" w:hAnsiTheme="minorHAnsi" w:cs="Arial"/>
          <w:b/>
          <w:bCs/>
          <w:snapToGrid w:val="0"/>
        </w:rPr>
      </w:pPr>
    </w:p>
    <w:p w14:paraId="7F63C412" w14:textId="77777777" w:rsidR="00236E57" w:rsidRPr="00236E57" w:rsidRDefault="00236E57" w:rsidP="00236E57">
      <w:pPr>
        <w:pStyle w:val="2-SectionHeading"/>
      </w:pPr>
      <w:r w:rsidRPr="00C07617">
        <w:t>Context for Decision</w:t>
      </w:r>
    </w:p>
    <w:p w14:paraId="3165EE4F" w14:textId="77777777" w:rsidR="00236E57" w:rsidRPr="007129F2" w:rsidRDefault="00236E57" w:rsidP="00236E57">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E742BA2" w14:textId="77777777" w:rsidR="00236E57" w:rsidRPr="00236E57" w:rsidRDefault="00236E57" w:rsidP="00236E57">
      <w:pPr>
        <w:pStyle w:val="2-SectionHeading"/>
      </w:pPr>
      <w:r>
        <w:t>Sponsor’s Comment</w:t>
      </w:r>
    </w:p>
    <w:p w14:paraId="39BAC503" w14:textId="77777777" w:rsidR="00236E57" w:rsidRPr="001179AC" w:rsidRDefault="00836D9D" w:rsidP="00836D9D">
      <w:pPr>
        <w:spacing w:after="120"/>
        <w:ind w:left="720"/>
        <w:rPr>
          <w:rFonts w:cs="Arial"/>
          <w:bCs/>
        </w:rPr>
      </w:pPr>
      <w:r w:rsidRPr="00836D9D">
        <w:rPr>
          <w:rFonts w:cs="Arial"/>
          <w:bCs/>
        </w:rPr>
        <w:t>Antengene is committed to working with the PBAC to secure equitable access to selinexor for patients and physicians in relapsed/refractory diffuse large B-Cell lymphoma.  Patients at this late stage have very limited options and it is important for them to have access to novel agents with a new mechanism of action.  We wish to thank and acknowledge the contribution of clinicians, patients, and advocacy groups in supporting this submission.</w:t>
      </w:r>
    </w:p>
    <w:p w14:paraId="4D24D1CA" w14:textId="77777777" w:rsidR="00236E57" w:rsidRPr="007C103A" w:rsidRDefault="00236E57" w:rsidP="000D1E0A">
      <w:pPr>
        <w:widowControl w:val="0"/>
        <w:rPr>
          <w:rFonts w:asciiTheme="minorHAnsi" w:hAnsiTheme="minorHAnsi" w:cs="Arial"/>
          <w:b/>
          <w:bCs/>
          <w:snapToGrid w:val="0"/>
        </w:rPr>
      </w:pPr>
    </w:p>
    <w:sectPr w:rsidR="00236E57" w:rsidRPr="007C103A" w:rsidSect="0025100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EB59" w14:textId="77777777" w:rsidR="004A77F8" w:rsidRDefault="004A77F8" w:rsidP="00124A51">
      <w:r>
        <w:separator/>
      </w:r>
    </w:p>
    <w:p w14:paraId="03039F6F" w14:textId="77777777" w:rsidR="004A77F8" w:rsidRDefault="004A77F8"/>
  </w:endnote>
  <w:endnote w:type="continuationSeparator" w:id="0">
    <w:p w14:paraId="7BD734B2" w14:textId="77777777" w:rsidR="004A77F8" w:rsidRDefault="004A77F8" w:rsidP="00124A51">
      <w:r>
        <w:continuationSeparator/>
      </w:r>
    </w:p>
    <w:p w14:paraId="0A0D7A77" w14:textId="77777777" w:rsidR="004A77F8" w:rsidRDefault="004A7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rlett">
    <w:panose1 w:val="00000000000000000000"/>
    <w:charset w:val="02"/>
    <w:family w:val="auto"/>
    <w:pitch w:val="variable"/>
    <w:sig w:usb0="00000000" w:usb1="10000000" w:usb2="00000000" w:usb3="00000000" w:csb0="80000000"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999C" w14:textId="77777777" w:rsidR="004A77F8" w:rsidRDefault="004A7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027804"/>
      <w:docPartObj>
        <w:docPartGallery w:val="Page Numbers (Bottom of Page)"/>
        <w:docPartUnique/>
      </w:docPartObj>
    </w:sdtPr>
    <w:sdtEndPr>
      <w:rPr>
        <w:noProof/>
      </w:rPr>
    </w:sdtEndPr>
    <w:sdtContent>
      <w:p w14:paraId="11140EEE" w14:textId="77777777" w:rsidR="00236E57" w:rsidRDefault="00236E57" w:rsidP="00032E29">
        <w:pPr>
          <w:pStyle w:val="Footer"/>
          <w:jc w:val="center"/>
        </w:pPr>
      </w:p>
      <w:p w14:paraId="498D7B21" w14:textId="622F911D" w:rsidR="00236E57" w:rsidRDefault="00236E57" w:rsidP="00032E29">
        <w:pPr>
          <w:pStyle w:val="Footer"/>
          <w:jc w:val="center"/>
        </w:pPr>
        <w:r w:rsidRPr="00032E29">
          <w:rPr>
            <w:b/>
          </w:rPr>
          <w:fldChar w:fldCharType="begin"/>
        </w:r>
        <w:r w:rsidRPr="00032E29">
          <w:rPr>
            <w:b/>
          </w:rPr>
          <w:instrText xml:space="preserve"> PAGE   \* MERGEFORMAT </w:instrText>
        </w:r>
        <w:r w:rsidRPr="00032E29">
          <w:rPr>
            <w:b/>
          </w:rPr>
          <w:fldChar w:fldCharType="separate"/>
        </w:r>
        <w:r w:rsidR="00F97F8C">
          <w:rPr>
            <w:b/>
            <w:noProof/>
          </w:rPr>
          <w:t>19</w:t>
        </w:r>
        <w:r w:rsidRPr="00032E29">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4910" w14:textId="77777777" w:rsidR="004A77F8" w:rsidRDefault="004A7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F34C" w14:textId="77777777" w:rsidR="004A77F8" w:rsidRDefault="004A77F8" w:rsidP="00124A51">
      <w:r>
        <w:separator/>
      </w:r>
    </w:p>
    <w:p w14:paraId="1AE5AD83" w14:textId="77777777" w:rsidR="004A77F8" w:rsidRDefault="004A77F8"/>
  </w:footnote>
  <w:footnote w:type="continuationSeparator" w:id="0">
    <w:p w14:paraId="065CFE20" w14:textId="77777777" w:rsidR="004A77F8" w:rsidRDefault="004A77F8" w:rsidP="00124A51">
      <w:r>
        <w:continuationSeparator/>
      </w:r>
    </w:p>
    <w:p w14:paraId="388DC301" w14:textId="77777777" w:rsidR="004A77F8" w:rsidRDefault="004A7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83DE" w14:textId="77777777" w:rsidR="004A77F8" w:rsidRDefault="004A7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5A9C" w14:textId="77777777" w:rsidR="00236E57" w:rsidRPr="00032E29" w:rsidRDefault="00236E57" w:rsidP="00032E29">
    <w:pPr>
      <w:pStyle w:val="Header"/>
      <w:ind w:left="360"/>
      <w:rPr>
        <w:rFonts w:asciiTheme="minorHAnsi" w:hAnsiTheme="minorHAnsi" w:cs="Arial"/>
        <w:i/>
      </w:rPr>
    </w:pPr>
    <w:r w:rsidRPr="00236E57">
      <w:rPr>
        <w:rFonts w:asciiTheme="minorHAnsi" w:hAnsiTheme="minorHAnsi" w:cs="Arial"/>
        <w:i/>
      </w:rPr>
      <w:t xml:space="preserve">Public Summary Document </w:t>
    </w:r>
    <w:r w:rsidRPr="00032E29">
      <w:rPr>
        <w:rFonts w:asciiTheme="minorHAnsi" w:hAnsiTheme="minorHAnsi" w:cs="Arial"/>
        <w:i/>
      </w:rPr>
      <w:t>– July 2021 PBAC Meeting</w:t>
    </w:r>
  </w:p>
  <w:p w14:paraId="67C1F580" w14:textId="77777777" w:rsidR="00236E57" w:rsidRDefault="00236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79D1" w14:textId="77777777" w:rsidR="004A77F8" w:rsidRDefault="004A7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7D7C76"/>
    <w:multiLevelType w:val="hybridMultilevel"/>
    <w:tmpl w:val="559E2364"/>
    <w:lvl w:ilvl="0" w:tplc="0EA2BFF8">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A10A7"/>
    <w:multiLevelType w:val="hybridMultilevel"/>
    <w:tmpl w:val="AEB045E0"/>
    <w:lvl w:ilvl="0" w:tplc="E3026B88">
      <w:start w:val="1"/>
      <w:numFmt w:val="lowerRoman"/>
      <w:lvlText w:val="(%1)"/>
      <w:lvlJc w:val="left"/>
      <w:pPr>
        <w:ind w:left="1080" w:hanging="720"/>
      </w:pPr>
      <w:rPr>
        <w:rFonts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FE6F44"/>
    <w:multiLevelType w:val="hybridMultilevel"/>
    <w:tmpl w:val="75F4B4AA"/>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114DBF"/>
    <w:multiLevelType w:val="multilevel"/>
    <w:tmpl w:val="CFCE8C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0A1150"/>
    <w:multiLevelType w:val="hybridMultilevel"/>
    <w:tmpl w:val="6840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81F0A"/>
    <w:multiLevelType w:val="multilevel"/>
    <w:tmpl w:val="12C42ABE"/>
    <w:lvl w:ilvl="0">
      <w:start w:val="2"/>
      <w:numFmt w:val="decimal"/>
      <w:lvlText w:val="%1"/>
      <w:lvlJc w:val="left"/>
      <w:pPr>
        <w:ind w:left="360" w:hanging="360"/>
      </w:pPr>
      <w:rPr>
        <w:rFonts w:ascii="Arial Narrow" w:eastAsiaTheme="majorEastAsia" w:hAnsi="Arial Narrow" w:cstheme="majorBidi" w:hint="default"/>
        <w:i w:val="0"/>
        <w:sz w:val="20"/>
      </w:rPr>
    </w:lvl>
    <w:lvl w:ilvl="1">
      <w:start w:val="5"/>
      <w:numFmt w:val="decimal"/>
      <w:lvlText w:val="%1.%2"/>
      <w:lvlJc w:val="left"/>
      <w:pPr>
        <w:ind w:left="360" w:hanging="360"/>
      </w:pPr>
      <w:rPr>
        <w:rFonts w:ascii="Arial Narrow" w:eastAsiaTheme="majorEastAsia" w:hAnsi="Arial Narrow" w:cstheme="majorBidi" w:hint="default"/>
        <w:i w:val="0"/>
        <w:sz w:val="20"/>
      </w:rPr>
    </w:lvl>
    <w:lvl w:ilvl="2">
      <w:start w:val="1"/>
      <w:numFmt w:val="decimal"/>
      <w:lvlText w:val="%1.%2.%3"/>
      <w:lvlJc w:val="left"/>
      <w:pPr>
        <w:ind w:left="360" w:hanging="360"/>
      </w:pPr>
      <w:rPr>
        <w:rFonts w:ascii="Arial Narrow" w:eastAsiaTheme="majorEastAsia" w:hAnsi="Arial Narrow" w:cstheme="majorBidi" w:hint="default"/>
        <w:i w:val="0"/>
        <w:sz w:val="20"/>
      </w:rPr>
    </w:lvl>
    <w:lvl w:ilvl="3">
      <w:start w:val="1"/>
      <w:numFmt w:val="decimal"/>
      <w:lvlText w:val="%1.%2.%3.%4"/>
      <w:lvlJc w:val="left"/>
      <w:pPr>
        <w:ind w:left="720" w:hanging="720"/>
      </w:pPr>
      <w:rPr>
        <w:rFonts w:ascii="Arial Narrow" w:eastAsiaTheme="majorEastAsia" w:hAnsi="Arial Narrow" w:cstheme="majorBidi" w:hint="default"/>
        <w:i w:val="0"/>
        <w:sz w:val="20"/>
      </w:rPr>
    </w:lvl>
    <w:lvl w:ilvl="4">
      <w:start w:val="1"/>
      <w:numFmt w:val="decimal"/>
      <w:lvlText w:val="%1.%2.%3.%4.%5"/>
      <w:lvlJc w:val="left"/>
      <w:pPr>
        <w:ind w:left="720" w:hanging="720"/>
      </w:pPr>
      <w:rPr>
        <w:rFonts w:ascii="Arial Narrow" w:eastAsiaTheme="majorEastAsia" w:hAnsi="Arial Narrow" w:cstheme="majorBidi" w:hint="default"/>
        <w:i w:val="0"/>
        <w:sz w:val="20"/>
      </w:rPr>
    </w:lvl>
    <w:lvl w:ilvl="5">
      <w:start w:val="1"/>
      <w:numFmt w:val="decimal"/>
      <w:lvlText w:val="%1.%2.%3.%4.%5.%6"/>
      <w:lvlJc w:val="left"/>
      <w:pPr>
        <w:ind w:left="720" w:hanging="720"/>
      </w:pPr>
      <w:rPr>
        <w:rFonts w:ascii="Arial Narrow" w:eastAsiaTheme="majorEastAsia" w:hAnsi="Arial Narrow" w:cstheme="majorBidi" w:hint="default"/>
        <w:i w:val="0"/>
        <w:sz w:val="20"/>
      </w:rPr>
    </w:lvl>
    <w:lvl w:ilvl="6">
      <w:start w:val="1"/>
      <w:numFmt w:val="decimal"/>
      <w:lvlText w:val="%1.%2.%3.%4.%5.%6.%7"/>
      <w:lvlJc w:val="left"/>
      <w:pPr>
        <w:ind w:left="1080" w:hanging="1080"/>
      </w:pPr>
      <w:rPr>
        <w:rFonts w:ascii="Arial Narrow" w:eastAsiaTheme="majorEastAsia" w:hAnsi="Arial Narrow" w:cstheme="majorBidi" w:hint="default"/>
        <w:i w:val="0"/>
        <w:sz w:val="20"/>
      </w:rPr>
    </w:lvl>
    <w:lvl w:ilvl="7">
      <w:start w:val="1"/>
      <w:numFmt w:val="decimal"/>
      <w:lvlText w:val="%1.%2.%3.%4.%5.%6.%7.%8"/>
      <w:lvlJc w:val="left"/>
      <w:pPr>
        <w:ind w:left="1080" w:hanging="1080"/>
      </w:pPr>
      <w:rPr>
        <w:rFonts w:ascii="Arial Narrow" w:eastAsiaTheme="majorEastAsia" w:hAnsi="Arial Narrow" w:cstheme="majorBidi" w:hint="default"/>
        <w:i w:val="0"/>
        <w:sz w:val="20"/>
      </w:rPr>
    </w:lvl>
    <w:lvl w:ilvl="8">
      <w:start w:val="1"/>
      <w:numFmt w:val="decimal"/>
      <w:lvlText w:val="%1.%2.%3.%4.%5.%6.%7.%8.%9"/>
      <w:lvlJc w:val="left"/>
      <w:pPr>
        <w:ind w:left="1080" w:hanging="1080"/>
      </w:pPr>
      <w:rPr>
        <w:rFonts w:ascii="Arial Narrow" w:eastAsiaTheme="majorEastAsia" w:hAnsi="Arial Narrow" w:cstheme="majorBidi" w:hint="default"/>
        <w:i w:val="0"/>
        <w:sz w:val="20"/>
      </w:rPr>
    </w:lvl>
  </w:abstractNum>
  <w:abstractNum w:abstractNumId="10" w15:restartNumberingAfterBreak="0">
    <w:nsid w:val="17443BE5"/>
    <w:multiLevelType w:val="hybridMultilevel"/>
    <w:tmpl w:val="E97C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6689F"/>
    <w:multiLevelType w:val="hybridMultilevel"/>
    <w:tmpl w:val="D618D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D5628A"/>
    <w:multiLevelType w:val="hybridMultilevel"/>
    <w:tmpl w:val="6C32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D108A8"/>
    <w:multiLevelType w:val="hybridMultilevel"/>
    <w:tmpl w:val="665C6554"/>
    <w:lvl w:ilvl="0" w:tplc="A2146C4E">
      <w:start w:val="1"/>
      <w:numFmt w:val="lowerRoman"/>
      <w:lvlText w:val="(%1)"/>
      <w:lvlJc w:val="left"/>
      <w:pPr>
        <w:ind w:left="1080" w:hanging="72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3E365F"/>
    <w:multiLevelType w:val="hybridMultilevel"/>
    <w:tmpl w:val="11566E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FA1DDB"/>
    <w:multiLevelType w:val="hybridMultilevel"/>
    <w:tmpl w:val="0EBE1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875468"/>
    <w:multiLevelType w:val="hybridMultilevel"/>
    <w:tmpl w:val="BCA8EB0A"/>
    <w:lvl w:ilvl="0" w:tplc="92B21A94">
      <w:start w:val="1"/>
      <w:numFmt w:val="bullet"/>
      <w:lvlText w:val="•"/>
      <w:lvlJc w:val="left"/>
      <w:pPr>
        <w:ind w:left="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3C7890">
      <w:start w:val="1"/>
      <w:numFmt w:val="bullet"/>
      <w:lvlText w:val="o"/>
      <w:lvlJc w:val="left"/>
      <w:pPr>
        <w:ind w:left="1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E289CA">
      <w:start w:val="1"/>
      <w:numFmt w:val="bullet"/>
      <w:lvlText w:val="▪"/>
      <w:lvlJc w:val="left"/>
      <w:pPr>
        <w:ind w:left="1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A2B66A">
      <w:start w:val="1"/>
      <w:numFmt w:val="bullet"/>
      <w:lvlText w:val="•"/>
      <w:lvlJc w:val="left"/>
      <w:pPr>
        <w:ind w:left="2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828694">
      <w:start w:val="1"/>
      <w:numFmt w:val="bullet"/>
      <w:lvlText w:val="o"/>
      <w:lvlJc w:val="left"/>
      <w:pPr>
        <w:ind w:left="3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4472D8">
      <w:start w:val="1"/>
      <w:numFmt w:val="bullet"/>
      <w:lvlText w:val="▪"/>
      <w:lvlJc w:val="left"/>
      <w:pPr>
        <w:ind w:left="4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885C40">
      <w:start w:val="1"/>
      <w:numFmt w:val="bullet"/>
      <w:lvlText w:val="•"/>
      <w:lvlJc w:val="left"/>
      <w:pPr>
        <w:ind w:left="4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D06B78">
      <w:start w:val="1"/>
      <w:numFmt w:val="bullet"/>
      <w:lvlText w:val="o"/>
      <w:lvlJc w:val="left"/>
      <w:pPr>
        <w:ind w:left="5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0C7CBA">
      <w:start w:val="1"/>
      <w:numFmt w:val="bullet"/>
      <w:lvlText w:val="▪"/>
      <w:lvlJc w:val="left"/>
      <w:pPr>
        <w:ind w:left="6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A059B"/>
    <w:multiLevelType w:val="hybridMultilevel"/>
    <w:tmpl w:val="B3E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cs="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2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442297"/>
    <w:multiLevelType w:val="hybridMultilevel"/>
    <w:tmpl w:val="E6FE4E00"/>
    <w:lvl w:ilvl="0" w:tplc="C324F4FC">
      <w:start w:val="1"/>
      <w:numFmt w:val="bullet"/>
      <w:pStyle w:val="Bulletpoin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4E084F"/>
    <w:multiLevelType w:val="hybridMultilevel"/>
    <w:tmpl w:val="6CA4344A"/>
    <w:lvl w:ilvl="0" w:tplc="0588B0FE">
      <w:start w:val="1"/>
      <w:numFmt w:val="lowerRoman"/>
      <w:lvlText w:val="(%1)"/>
      <w:lvlJc w:val="left"/>
      <w:pPr>
        <w:ind w:left="1080" w:hanging="720"/>
      </w:pPr>
      <w:rPr>
        <w:rFonts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65D2A"/>
    <w:multiLevelType w:val="multilevel"/>
    <w:tmpl w:val="BF0A96A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29A6EE2"/>
    <w:multiLevelType w:val="multilevel"/>
    <w:tmpl w:val="4C84D02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FA3C06"/>
    <w:multiLevelType w:val="hybridMultilevel"/>
    <w:tmpl w:val="AB04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B25FF2"/>
    <w:multiLevelType w:val="multilevel"/>
    <w:tmpl w:val="03F42B46"/>
    <w:lvl w:ilvl="0">
      <w:start w:val="2"/>
      <w:numFmt w:val="decimal"/>
      <w:lvlText w:val="%1"/>
      <w:lvlJc w:val="left"/>
      <w:pPr>
        <w:ind w:left="360" w:hanging="360"/>
      </w:pPr>
      <w:rPr>
        <w:rFonts w:ascii="Arial Narrow" w:eastAsiaTheme="majorEastAsia" w:hAnsi="Arial Narrow" w:cstheme="majorBidi" w:hint="default"/>
        <w:i w:val="0"/>
        <w:sz w:val="20"/>
      </w:rPr>
    </w:lvl>
    <w:lvl w:ilvl="1">
      <w:start w:val="5"/>
      <w:numFmt w:val="decimal"/>
      <w:lvlText w:val="%1.%2"/>
      <w:lvlJc w:val="left"/>
      <w:pPr>
        <w:ind w:left="360" w:hanging="360"/>
      </w:pPr>
      <w:rPr>
        <w:rFonts w:ascii="Arial Narrow" w:eastAsiaTheme="majorEastAsia" w:hAnsi="Arial Narrow" w:cstheme="majorBidi" w:hint="default"/>
        <w:i w:val="0"/>
        <w:sz w:val="20"/>
      </w:rPr>
    </w:lvl>
    <w:lvl w:ilvl="2">
      <w:start w:val="1"/>
      <w:numFmt w:val="decimal"/>
      <w:lvlText w:val="%1.%2.%3"/>
      <w:lvlJc w:val="left"/>
      <w:pPr>
        <w:ind w:left="360" w:hanging="360"/>
      </w:pPr>
      <w:rPr>
        <w:rFonts w:ascii="Arial Narrow" w:eastAsiaTheme="majorEastAsia" w:hAnsi="Arial Narrow" w:cstheme="majorBidi" w:hint="default"/>
        <w:i w:val="0"/>
        <w:sz w:val="20"/>
      </w:rPr>
    </w:lvl>
    <w:lvl w:ilvl="3">
      <w:start w:val="1"/>
      <w:numFmt w:val="decimal"/>
      <w:lvlText w:val="%1.%2.%3.%4"/>
      <w:lvlJc w:val="left"/>
      <w:pPr>
        <w:ind w:left="720" w:hanging="720"/>
      </w:pPr>
      <w:rPr>
        <w:rFonts w:ascii="Arial Narrow" w:eastAsiaTheme="majorEastAsia" w:hAnsi="Arial Narrow" w:cstheme="majorBidi" w:hint="default"/>
        <w:i w:val="0"/>
        <w:sz w:val="20"/>
      </w:rPr>
    </w:lvl>
    <w:lvl w:ilvl="4">
      <w:start w:val="1"/>
      <w:numFmt w:val="decimal"/>
      <w:lvlText w:val="%1.%2.%3.%4.%5"/>
      <w:lvlJc w:val="left"/>
      <w:pPr>
        <w:ind w:left="720" w:hanging="720"/>
      </w:pPr>
      <w:rPr>
        <w:rFonts w:ascii="Arial Narrow" w:eastAsiaTheme="majorEastAsia" w:hAnsi="Arial Narrow" w:cstheme="majorBidi" w:hint="default"/>
        <w:i w:val="0"/>
        <w:sz w:val="20"/>
      </w:rPr>
    </w:lvl>
    <w:lvl w:ilvl="5">
      <w:start w:val="1"/>
      <w:numFmt w:val="decimal"/>
      <w:lvlText w:val="%1.%2.%3.%4.%5.%6"/>
      <w:lvlJc w:val="left"/>
      <w:pPr>
        <w:ind w:left="720" w:hanging="720"/>
      </w:pPr>
      <w:rPr>
        <w:rFonts w:ascii="Arial Narrow" w:eastAsiaTheme="majorEastAsia" w:hAnsi="Arial Narrow" w:cstheme="majorBidi" w:hint="default"/>
        <w:i w:val="0"/>
        <w:sz w:val="20"/>
      </w:rPr>
    </w:lvl>
    <w:lvl w:ilvl="6">
      <w:start w:val="1"/>
      <w:numFmt w:val="decimal"/>
      <w:lvlText w:val="%1.%2.%3.%4.%5.%6.%7"/>
      <w:lvlJc w:val="left"/>
      <w:pPr>
        <w:ind w:left="1080" w:hanging="1080"/>
      </w:pPr>
      <w:rPr>
        <w:rFonts w:ascii="Arial Narrow" w:eastAsiaTheme="majorEastAsia" w:hAnsi="Arial Narrow" w:cstheme="majorBidi" w:hint="default"/>
        <w:i w:val="0"/>
        <w:sz w:val="20"/>
      </w:rPr>
    </w:lvl>
    <w:lvl w:ilvl="7">
      <w:start w:val="1"/>
      <w:numFmt w:val="decimal"/>
      <w:lvlText w:val="%1.%2.%3.%4.%5.%6.%7.%8"/>
      <w:lvlJc w:val="left"/>
      <w:pPr>
        <w:ind w:left="1080" w:hanging="1080"/>
      </w:pPr>
      <w:rPr>
        <w:rFonts w:ascii="Arial Narrow" w:eastAsiaTheme="majorEastAsia" w:hAnsi="Arial Narrow" w:cstheme="majorBidi" w:hint="default"/>
        <w:i w:val="0"/>
        <w:sz w:val="20"/>
      </w:rPr>
    </w:lvl>
    <w:lvl w:ilvl="8">
      <w:start w:val="1"/>
      <w:numFmt w:val="decimal"/>
      <w:lvlText w:val="%1.%2.%3.%4.%5.%6.%7.%8.%9"/>
      <w:lvlJc w:val="left"/>
      <w:pPr>
        <w:ind w:left="1080" w:hanging="1080"/>
      </w:pPr>
      <w:rPr>
        <w:rFonts w:ascii="Arial Narrow" w:eastAsiaTheme="majorEastAsia" w:hAnsi="Arial Narrow" w:cstheme="majorBidi" w:hint="default"/>
        <w:i w:val="0"/>
        <w:sz w:val="20"/>
      </w:rPr>
    </w:lvl>
  </w:abstractNum>
  <w:abstractNum w:abstractNumId="3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233202417">
    <w:abstractNumId w:val="37"/>
  </w:num>
  <w:num w:numId="2" w16cid:durableId="826436612">
    <w:abstractNumId w:val="25"/>
  </w:num>
  <w:num w:numId="3" w16cid:durableId="1571378659">
    <w:abstractNumId w:val="26"/>
  </w:num>
  <w:num w:numId="4" w16cid:durableId="2052924158">
    <w:abstractNumId w:val="21"/>
  </w:num>
  <w:num w:numId="5" w16cid:durableId="680592859">
    <w:abstractNumId w:val="0"/>
  </w:num>
  <w:num w:numId="6" w16cid:durableId="1606234293">
    <w:abstractNumId w:val="37"/>
  </w:num>
  <w:num w:numId="7" w16cid:durableId="1249846493">
    <w:abstractNumId w:val="35"/>
  </w:num>
  <w:num w:numId="8" w16cid:durableId="11239635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7418656">
    <w:abstractNumId w:val="12"/>
  </w:num>
  <w:num w:numId="10" w16cid:durableId="1951007309">
    <w:abstractNumId w:val="38"/>
  </w:num>
  <w:num w:numId="11" w16cid:durableId="413740914">
    <w:abstractNumId w:val="33"/>
  </w:num>
  <w:num w:numId="12" w16cid:durableId="467479074">
    <w:abstractNumId w:val="27"/>
  </w:num>
  <w:num w:numId="13" w16cid:durableId="547181942">
    <w:abstractNumId w:val="24"/>
  </w:num>
  <w:num w:numId="14" w16cid:durableId="1263302662">
    <w:abstractNumId w:val="13"/>
  </w:num>
  <w:num w:numId="15" w16cid:durableId="464274530">
    <w:abstractNumId w:val="22"/>
  </w:num>
  <w:num w:numId="16" w16cid:durableId="637416915">
    <w:abstractNumId w:val="10"/>
  </w:num>
  <w:num w:numId="17" w16cid:durableId="2045594569">
    <w:abstractNumId w:val="6"/>
  </w:num>
  <w:num w:numId="18" w16cid:durableId="1234312955">
    <w:abstractNumId w:val="8"/>
  </w:num>
  <w:num w:numId="19" w16cid:durableId="1232078705">
    <w:abstractNumId w:val="20"/>
  </w:num>
  <w:num w:numId="20" w16cid:durableId="2104839908">
    <w:abstractNumId w:val="36"/>
  </w:num>
  <w:num w:numId="21" w16cid:durableId="845292552">
    <w:abstractNumId w:val="9"/>
  </w:num>
  <w:num w:numId="22" w16cid:durableId="1326475881">
    <w:abstractNumId w:val="23"/>
  </w:num>
  <w:num w:numId="23" w16cid:durableId="1704936596">
    <w:abstractNumId w:val="2"/>
  </w:num>
  <w:num w:numId="24" w16cid:durableId="1343975168">
    <w:abstractNumId w:val="39"/>
  </w:num>
  <w:num w:numId="25" w16cid:durableId="921377722">
    <w:abstractNumId w:val="16"/>
  </w:num>
  <w:num w:numId="26" w16cid:durableId="1772509984">
    <w:abstractNumId w:val="5"/>
  </w:num>
  <w:num w:numId="27" w16cid:durableId="900940869">
    <w:abstractNumId w:val="28"/>
  </w:num>
  <w:num w:numId="28" w16cid:durableId="2088724414">
    <w:abstractNumId w:val="18"/>
  </w:num>
  <w:num w:numId="29" w16cid:durableId="69162534">
    <w:abstractNumId w:val="17"/>
  </w:num>
  <w:num w:numId="30" w16cid:durableId="1589344046">
    <w:abstractNumId w:val="3"/>
  </w:num>
  <w:num w:numId="31" w16cid:durableId="777944008">
    <w:abstractNumId w:val="34"/>
  </w:num>
  <w:num w:numId="32" w16cid:durableId="1248728156">
    <w:abstractNumId w:val="29"/>
  </w:num>
  <w:num w:numId="33" w16cid:durableId="388191770">
    <w:abstractNumId w:val="4"/>
  </w:num>
  <w:num w:numId="34" w16cid:durableId="1039670444">
    <w:abstractNumId w:val="1"/>
  </w:num>
  <w:num w:numId="35" w16cid:durableId="1221481481">
    <w:abstractNumId w:val="15"/>
  </w:num>
  <w:num w:numId="36" w16cid:durableId="1710955480">
    <w:abstractNumId w:val="19"/>
  </w:num>
  <w:num w:numId="37" w16cid:durableId="1033919853">
    <w:abstractNumId w:val="14"/>
  </w:num>
  <w:num w:numId="38" w16cid:durableId="160661906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5589427">
    <w:abstractNumId w:val="32"/>
  </w:num>
  <w:num w:numId="40" w16cid:durableId="1964843451">
    <w:abstractNumId w:val="30"/>
  </w:num>
  <w:num w:numId="41" w16cid:durableId="285626566">
    <w:abstractNumId w:val="7"/>
  </w:num>
  <w:num w:numId="42" w16cid:durableId="1487015333">
    <w:abstractNumId w:val="11"/>
  </w:num>
  <w:num w:numId="43" w16cid:durableId="280772304">
    <w:abstractNumId w:val="37"/>
  </w:num>
  <w:num w:numId="44" w16cid:durableId="1646664826">
    <w:abstractNumId w:val="37"/>
  </w:num>
  <w:num w:numId="45" w16cid:durableId="172771241">
    <w:abstractNumId w:val="37"/>
  </w:num>
  <w:num w:numId="46" w16cid:durableId="1710451784">
    <w:abstractNumId w:val="37"/>
  </w:num>
  <w:num w:numId="47" w16cid:durableId="337081793">
    <w:abstractNumId w:val="37"/>
  </w:num>
  <w:num w:numId="48" w16cid:durableId="1562400146">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29A6"/>
    <w:rsid w:val="00003499"/>
    <w:rsid w:val="000039B7"/>
    <w:rsid w:val="00004230"/>
    <w:rsid w:val="000042CC"/>
    <w:rsid w:val="0000639A"/>
    <w:rsid w:val="00007A0D"/>
    <w:rsid w:val="0001072F"/>
    <w:rsid w:val="00011C80"/>
    <w:rsid w:val="00011D27"/>
    <w:rsid w:val="00013247"/>
    <w:rsid w:val="00013E51"/>
    <w:rsid w:val="00015886"/>
    <w:rsid w:val="00015912"/>
    <w:rsid w:val="000162EF"/>
    <w:rsid w:val="000169A4"/>
    <w:rsid w:val="000207C9"/>
    <w:rsid w:val="00020FED"/>
    <w:rsid w:val="0002225F"/>
    <w:rsid w:val="00022F28"/>
    <w:rsid w:val="00023763"/>
    <w:rsid w:val="000274B8"/>
    <w:rsid w:val="00032E29"/>
    <w:rsid w:val="00033863"/>
    <w:rsid w:val="00035799"/>
    <w:rsid w:val="00035DC0"/>
    <w:rsid w:val="00036829"/>
    <w:rsid w:val="00040895"/>
    <w:rsid w:val="000410A7"/>
    <w:rsid w:val="0004160F"/>
    <w:rsid w:val="000435EE"/>
    <w:rsid w:val="00043C37"/>
    <w:rsid w:val="00045017"/>
    <w:rsid w:val="000454BE"/>
    <w:rsid w:val="00045814"/>
    <w:rsid w:val="00045A2B"/>
    <w:rsid w:val="0004698F"/>
    <w:rsid w:val="000539D0"/>
    <w:rsid w:val="00053D52"/>
    <w:rsid w:val="00054621"/>
    <w:rsid w:val="000546D7"/>
    <w:rsid w:val="00056ECF"/>
    <w:rsid w:val="000604DF"/>
    <w:rsid w:val="000653B5"/>
    <w:rsid w:val="00066360"/>
    <w:rsid w:val="00066AF8"/>
    <w:rsid w:val="00067981"/>
    <w:rsid w:val="00071248"/>
    <w:rsid w:val="00071DDA"/>
    <w:rsid w:val="000720B9"/>
    <w:rsid w:val="0007224A"/>
    <w:rsid w:val="00072258"/>
    <w:rsid w:val="000737F7"/>
    <w:rsid w:val="000754E8"/>
    <w:rsid w:val="0007672F"/>
    <w:rsid w:val="00076B54"/>
    <w:rsid w:val="000774F0"/>
    <w:rsid w:val="00080909"/>
    <w:rsid w:val="000812CA"/>
    <w:rsid w:val="00081E63"/>
    <w:rsid w:val="000822AA"/>
    <w:rsid w:val="0008258D"/>
    <w:rsid w:val="00082CEC"/>
    <w:rsid w:val="00083410"/>
    <w:rsid w:val="00083E99"/>
    <w:rsid w:val="00084FA8"/>
    <w:rsid w:val="000856C5"/>
    <w:rsid w:val="00085C31"/>
    <w:rsid w:val="000902D9"/>
    <w:rsid w:val="00090C36"/>
    <w:rsid w:val="00090C7E"/>
    <w:rsid w:val="00090D6F"/>
    <w:rsid w:val="00092600"/>
    <w:rsid w:val="0009262B"/>
    <w:rsid w:val="00093310"/>
    <w:rsid w:val="0009445C"/>
    <w:rsid w:val="00095200"/>
    <w:rsid w:val="00095FE5"/>
    <w:rsid w:val="00096284"/>
    <w:rsid w:val="000A1BC0"/>
    <w:rsid w:val="000A37C3"/>
    <w:rsid w:val="000A47BD"/>
    <w:rsid w:val="000A4BF2"/>
    <w:rsid w:val="000A6039"/>
    <w:rsid w:val="000A6612"/>
    <w:rsid w:val="000A6774"/>
    <w:rsid w:val="000A7453"/>
    <w:rsid w:val="000A7D08"/>
    <w:rsid w:val="000B0121"/>
    <w:rsid w:val="000B0670"/>
    <w:rsid w:val="000B0E75"/>
    <w:rsid w:val="000B2723"/>
    <w:rsid w:val="000B2DCB"/>
    <w:rsid w:val="000B3087"/>
    <w:rsid w:val="000B3E18"/>
    <w:rsid w:val="000B5CE0"/>
    <w:rsid w:val="000B6CAC"/>
    <w:rsid w:val="000B7612"/>
    <w:rsid w:val="000B78AE"/>
    <w:rsid w:val="000C2760"/>
    <w:rsid w:val="000C297F"/>
    <w:rsid w:val="000C3DF9"/>
    <w:rsid w:val="000C6713"/>
    <w:rsid w:val="000C6AF7"/>
    <w:rsid w:val="000C7037"/>
    <w:rsid w:val="000C7855"/>
    <w:rsid w:val="000D18AD"/>
    <w:rsid w:val="000D1BFC"/>
    <w:rsid w:val="000D1D5D"/>
    <w:rsid w:val="000D1E0A"/>
    <w:rsid w:val="000D281A"/>
    <w:rsid w:val="000D2848"/>
    <w:rsid w:val="000D326A"/>
    <w:rsid w:val="000D37A8"/>
    <w:rsid w:val="000D4E2E"/>
    <w:rsid w:val="000D51FB"/>
    <w:rsid w:val="000E01D3"/>
    <w:rsid w:val="000E0640"/>
    <w:rsid w:val="000E135D"/>
    <w:rsid w:val="000E223A"/>
    <w:rsid w:val="000E2C96"/>
    <w:rsid w:val="000E3B75"/>
    <w:rsid w:val="000E40F7"/>
    <w:rsid w:val="000E584D"/>
    <w:rsid w:val="000E6B2B"/>
    <w:rsid w:val="000F00BA"/>
    <w:rsid w:val="000F316A"/>
    <w:rsid w:val="000F3C74"/>
    <w:rsid w:val="000F4BB8"/>
    <w:rsid w:val="000F4D4A"/>
    <w:rsid w:val="000F4FA9"/>
    <w:rsid w:val="000F53FB"/>
    <w:rsid w:val="000F7127"/>
    <w:rsid w:val="000F7B54"/>
    <w:rsid w:val="00100F8A"/>
    <w:rsid w:val="00104064"/>
    <w:rsid w:val="0010452E"/>
    <w:rsid w:val="00105AE2"/>
    <w:rsid w:val="001060C6"/>
    <w:rsid w:val="00106B80"/>
    <w:rsid w:val="0011032E"/>
    <w:rsid w:val="00110AA1"/>
    <w:rsid w:val="00110FBA"/>
    <w:rsid w:val="00112C42"/>
    <w:rsid w:val="001131DF"/>
    <w:rsid w:val="0011348B"/>
    <w:rsid w:val="00115982"/>
    <w:rsid w:val="00116C53"/>
    <w:rsid w:val="001171B9"/>
    <w:rsid w:val="00120433"/>
    <w:rsid w:val="00121799"/>
    <w:rsid w:val="001222FC"/>
    <w:rsid w:val="00122550"/>
    <w:rsid w:val="00122E2A"/>
    <w:rsid w:val="00123902"/>
    <w:rsid w:val="001243D3"/>
    <w:rsid w:val="001247EE"/>
    <w:rsid w:val="00124956"/>
    <w:rsid w:val="00124A51"/>
    <w:rsid w:val="00126621"/>
    <w:rsid w:val="00126B1D"/>
    <w:rsid w:val="0012790F"/>
    <w:rsid w:val="001301E9"/>
    <w:rsid w:val="001316F0"/>
    <w:rsid w:val="00131D82"/>
    <w:rsid w:val="00132B22"/>
    <w:rsid w:val="00133D36"/>
    <w:rsid w:val="00133FCD"/>
    <w:rsid w:val="00135BD7"/>
    <w:rsid w:val="00137645"/>
    <w:rsid w:val="0014015A"/>
    <w:rsid w:val="00140E02"/>
    <w:rsid w:val="00140E99"/>
    <w:rsid w:val="0014309E"/>
    <w:rsid w:val="00143F67"/>
    <w:rsid w:val="00145540"/>
    <w:rsid w:val="001456B0"/>
    <w:rsid w:val="001532A5"/>
    <w:rsid w:val="001534CE"/>
    <w:rsid w:val="001563FB"/>
    <w:rsid w:val="00156F8F"/>
    <w:rsid w:val="00157130"/>
    <w:rsid w:val="001576B1"/>
    <w:rsid w:val="001602EB"/>
    <w:rsid w:val="0016047B"/>
    <w:rsid w:val="00160A4C"/>
    <w:rsid w:val="0016114D"/>
    <w:rsid w:val="00161F9F"/>
    <w:rsid w:val="00162558"/>
    <w:rsid w:val="00162913"/>
    <w:rsid w:val="00163EFF"/>
    <w:rsid w:val="00163F66"/>
    <w:rsid w:val="001661FB"/>
    <w:rsid w:val="001671A0"/>
    <w:rsid w:val="0016767F"/>
    <w:rsid w:val="00173565"/>
    <w:rsid w:val="00173B07"/>
    <w:rsid w:val="00173D99"/>
    <w:rsid w:val="001751FA"/>
    <w:rsid w:val="001752BD"/>
    <w:rsid w:val="00176D6C"/>
    <w:rsid w:val="00177FAB"/>
    <w:rsid w:val="00181D9C"/>
    <w:rsid w:val="00182D00"/>
    <w:rsid w:val="00182F25"/>
    <w:rsid w:val="00184B0E"/>
    <w:rsid w:val="00185843"/>
    <w:rsid w:val="0018665A"/>
    <w:rsid w:val="0018752F"/>
    <w:rsid w:val="00193838"/>
    <w:rsid w:val="00194AD8"/>
    <w:rsid w:val="00195222"/>
    <w:rsid w:val="001952C1"/>
    <w:rsid w:val="001975D8"/>
    <w:rsid w:val="001A0FBD"/>
    <w:rsid w:val="001A178E"/>
    <w:rsid w:val="001A3108"/>
    <w:rsid w:val="001A43FA"/>
    <w:rsid w:val="001A47C5"/>
    <w:rsid w:val="001A4E60"/>
    <w:rsid w:val="001A59FB"/>
    <w:rsid w:val="001A5E9E"/>
    <w:rsid w:val="001A6062"/>
    <w:rsid w:val="001A6354"/>
    <w:rsid w:val="001A6366"/>
    <w:rsid w:val="001A7AE8"/>
    <w:rsid w:val="001A7D17"/>
    <w:rsid w:val="001B204E"/>
    <w:rsid w:val="001B2372"/>
    <w:rsid w:val="001B3443"/>
    <w:rsid w:val="001B36F6"/>
    <w:rsid w:val="001B4D20"/>
    <w:rsid w:val="001B6372"/>
    <w:rsid w:val="001B70D1"/>
    <w:rsid w:val="001C1DD7"/>
    <w:rsid w:val="001C23DB"/>
    <w:rsid w:val="001C2A9B"/>
    <w:rsid w:val="001C4299"/>
    <w:rsid w:val="001C4874"/>
    <w:rsid w:val="001C52D9"/>
    <w:rsid w:val="001C5F94"/>
    <w:rsid w:val="001C665A"/>
    <w:rsid w:val="001C6E66"/>
    <w:rsid w:val="001C78E4"/>
    <w:rsid w:val="001D0501"/>
    <w:rsid w:val="001D1100"/>
    <w:rsid w:val="001D1391"/>
    <w:rsid w:val="001D25D7"/>
    <w:rsid w:val="001D40D9"/>
    <w:rsid w:val="001D44C9"/>
    <w:rsid w:val="001D50B2"/>
    <w:rsid w:val="001D7645"/>
    <w:rsid w:val="001E1E86"/>
    <w:rsid w:val="001E238E"/>
    <w:rsid w:val="001E2483"/>
    <w:rsid w:val="001E2B1E"/>
    <w:rsid w:val="001E2CFF"/>
    <w:rsid w:val="001E2F24"/>
    <w:rsid w:val="001E30D4"/>
    <w:rsid w:val="001E34DF"/>
    <w:rsid w:val="001E52EB"/>
    <w:rsid w:val="001E61D2"/>
    <w:rsid w:val="001E6924"/>
    <w:rsid w:val="001E73B5"/>
    <w:rsid w:val="001E740C"/>
    <w:rsid w:val="001F0C63"/>
    <w:rsid w:val="001F1235"/>
    <w:rsid w:val="001F1833"/>
    <w:rsid w:val="001F1CB3"/>
    <w:rsid w:val="001F38B5"/>
    <w:rsid w:val="001F4081"/>
    <w:rsid w:val="001F40BE"/>
    <w:rsid w:val="001F45CB"/>
    <w:rsid w:val="001F7361"/>
    <w:rsid w:val="001F7B6D"/>
    <w:rsid w:val="00200523"/>
    <w:rsid w:val="002008C9"/>
    <w:rsid w:val="002008DA"/>
    <w:rsid w:val="00200C64"/>
    <w:rsid w:val="002011B0"/>
    <w:rsid w:val="00203181"/>
    <w:rsid w:val="00203783"/>
    <w:rsid w:val="0020385F"/>
    <w:rsid w:val="00204A60"/>
    <w:rsid w:val="00205DF4"/>
    <w:rsid w:val="002068A0"/>
    <w:rsid w:val="00207021"/>
    <w:rsid w:val="0020732F"/>
    <w:rsid w:val="0020767E"/>
    <w:rsid w:val="00207AD9"/>
    <w:rsid w:val="00207D00"/>
    <w:rsid w:val="002105C1"/>
    <w:rsid w:val="00212963"/>
    <w:rsid w:val="00212CD5"/>
    <w:rsid w:val="00213490"/>
    <w:rsid w:val="00213EF5"/>
    <w:rsid w:val="00216BF5"/>
    <w:rsid w:val="00223B49"/>
    <w:rsid w:val="00223D5A"/>
    <w:rsid w:val="00224DD4"/>
    <w:rsid w:val="002270D6"/>
    <w:rsid w:val="00227154"/>
    <w:rsid w:val="002278A0"/>
    <w:rsid w:val="002309CC"/>
    <w:rsid w:val="0023209F"/>
    <w:rsid w:val="00233C01"/>
    <w:rsid w:val="0023413C"/>
    <w:rsid w:val="002346F0"/>
    <w:rsid w:val="00236247"/>
    <w:rsid w:val="0023629D"/>
    <w:rsid w:val="00236AC5"/>
    <w:rsid w:val="00236BB5"/>
    <w:rsid w:val="00236E57"/>
    <w:rsid w:val="002371F7"/>
    <w:rsid w:val="00237255"/>
    <w:rsid w:val="002424AF"/>
    <w:rsid w:val="00243401"/>
    <w:rsid w:val="00243804"/>
    <w:rsid w:val="002439DC"/>
    <w:rsid w:val="002441D2"/>
    <w:rsid w:val="00244DC8"/>
    <w:rsid w:val="002458BA"/>
    <w:rsid w:val="00245CE9"/>
    <w:rsid w:val="0024636C"/>
    <w:rsid w:val="002466F2"/>
    <w:rsid w:val="00247925"/>
    <w:rsid w:val="00251006"/>
    <w:rsid w:val="002524D5"/>
    <w:rsid w:val="00253B1D"/>
    <w:rsid w:val="00254DCF"/>
    <w:rsid w:val="00255015"/>
    <w:rsid w:val="0025534B"/>
    <w:rsid w:val="002556E8"/>
    <w:rsid w:val="00255832"/>
    <w:rsid w:val="00255BB7"/>
    <w:rsid w:val="00255E76"/>
    <w:rsid w:val="00256AB9"/>
    <w:rsid w:val="00257541"/>
    <w:rsid w:val="00257A39"/>
    <w:rsid w:val="00257AC4"/>
    <w:rsid w:val="002603C0"/>
    <w:rsid w:val="002607F2"/>
    <w:rsid w:val="00261EEF"/>
    <w:rsid w:val="00262A1A"/>
    <w:rsid w:val="00262A87"/>
    <w:rsid w:val="00264D26"/>
    <w:rsid w:val="00264DAF"/>
    <w:rsid w:val="002664C7"/>
    <w:rsid w:val="00267642"/>
    <w:rsid w:val="00267AEA"/>
    <w:rsid w:val="002700E6"/>
    <w:rsid w:val="0027294B"/>
    <w:rsid w:val="00273EB4"/>
    <w:rsid w:val="00274682"/>
    <w:rsid w:val="00274B1F"/>
    <w:rsid w:val="00275C5A"/>
    <w:rsid w:val="00281014"/>
    <w:rsid w:val="00282A0F"/>
    <w:rsid w:val="0028665D"/>
    <w:rsid w:val="00287D28"/>
    <w:rsid w:val="00287E7C"/>
    <w:rsid w:val="00294372"/>
    <w:rsid w:val="002A14AB"/>
    <w:rsid w:val="002A2ADE"/>
    <w:rsid w:val="002A2F50"/>
    <w:rsid w:val="002A43A1"/>
    <w:rsid w:val="002A4795"/>
    <w:rsid w:val="002B05A1"/>
    <w:rsid w:val="002B09A4"/>
    <w:rsid w:val="002B1B0D"/>
    <w:rsid w:val="002B1C1F"/>
    <w:rsid w:val="002B432F"/>
    <w:rsid w:val="002B57D4"/>
    <w:rsid w:val="002B62B3"/>
    <w:rsid w:val="002B6754"/>
    <w:rsid w:val="002B6CCE"/>
    <w:rsid w:val="002B72FA"/>
    <w:rsid w:val="002B7746"/>
    <w:rsid w:val="002C2510"/>
    <w:rsid w:val="002C2775"/>
    <w:rsid w:val="002C27C1"/>
    <w:rsid w:val="002C5000"/>
    <w:rsid w:val="002C5099"/>
    <w:rsid w:val="002C5889"/>
    <w:rsid w:val="002C5C7A"/>
    <w:rsid w:val="002C624A"/>
    <w:rsid w:val="002C624F"/>
    <w:rsid w:val="002C71CE"/>
    <w:rsid w:val="002D0815"/>
    <w:rsid w:val="002D08F8"/>
    <w:rsid w:val="002D0DA3"/>
    <w:rsid w:val="002D2FFF"/>
    <w:rsid w:val="002D577C"/>
    <w:rsid w:val="002D5F5A"/>
    <w:rsid w:val="002D7FDB"/>
    <w:rsid w:val="002E1071"/>
    <w:rsid w:val="002E15B9"/>
    <w:rsid w:val="002E2158"/>
    <w:rsid w:val="002E4ED3"/>
    <w:rsid w:val="002E4F02"/>
    <w:rsid w:val="002E5764"/>
    <w:rsid w:val="002E7127"/>
    <w:rsid w:val="002E7722"/>
    <w:rsid w:val="002E7766"/>
    <w:rsid w:val="002E7A5E"/>
    <w:rsid w:val="002F07A4"/>
    <w:rsid w:val="002F07BA"/>
    <w:rsid w:val="002F0DA9"/>
    <w:rsid w:val="002F1014"/>
    <w:rsid w:val="002F34F1"/>
    <w:rsid w:val="002F3961"/>
    <w:rsid w:val="002F643C"/>
    <w:rsid w:val="002F68A7"/>
    <w:rsid w:val="002F704A"/>
    <w:rsid w:val="002F71C0"/>
    <w:rsid w:val="002F74F1"/>
    <w:rsid w:val="002F7659"/>
    <w:rsid w:val="00301017"/>
    <w:rsid w:val="0030155F"/>
    <w:rsid w:val="00302D14"/>
    <w:rsid w:val="0030587B"/>
    <w:rsid w:val="00306D98"/>
    <w:rsid w:val="0030786C"/>
    <w:rsid w:val="0031031A"/>
    <w:rsid w:val="00310981"/>
    <w:rsid w:val="0031241F"/>
    <w:rsid w:val="003124D9"/>
    <w:rsid w:val="00312594"/>
    <w:rsid w:val="00315498"/>
    <w:rsid w:val="00315DD0"/>
    <w:rsid w:val="00316474"/>
    <w:rsid w:val="00322107"/>
    <w:rsid w:val="00322355"/>
    <w:rsid w:val="00322846"/>
    <w:rsid w:val="00322848"/>
    <w:rsid w:val="00324478"/>
    <w:rsid w:val="00325004"/>
    <w:rsid w:val="00326955"/>
    <w:rsid w:val="00326DA7"/>
    <w:rsid w:val="003270E4"/>
    <w:rsid w:val="00330DAA"/>
    <w:rsid w:val="00330F5C"/>
    <w:rsid w:val="00335EE7"/>
    <w:rsid w:val="003366C9"/>
    <w:rsid w:val="003371B0"/>
    <w:rsid w:val="00340DF1"/>
    <w:rsid w:val="00341D03"/>
    <w:rsid w:val="0034240C"/>
    <w:rsid w:val="00347EBA"/>
    <w:rsid w:val="0035030E"/>
    <w:rsid w:val="003517F9"/>
    <w:rsid w:val="00351BA9"/>
    <w:rsid w:val="003529B9"/>
    <w:rsid w:val="00352C2D"/>
    <w:rsid w:val="00354CE2"/>
    <w:rsid w:val="00354F64"/>
    <w:rsid w:val="0035620E"/>
    <w:rsid w:val="00357917"/>
    <w:rsid w:val="00360345"/>
    <w:rsid w:val="00361A05"/>
    <w:rsid w:val="003624C4"/>
    <w:rsid w:val="00363B00"/>
    <w:rsid w:val="003654AC"/>
    <w:rsid w:val="00365C1D"/>
    <w:rsid w:val="0036628D"/>
    <w:rsid w:val="00366677"/>
    <w:rsid w:val="00367A14"/>
    <w:rsid w:val="003710CF"/>
    <w:rsid w:val="0037358A"/>
    <w:rsid w:val="003748DB"/>
    <w:rsid w:val="003750F6"/>
    <w:rsid w:val="003760FC"/>
    <w:rsid w:val="003805E8"/>
    <w:rsid w:val="00382B5E"/>
    <w:rsid w:val="0038365C"/>
    <w:rsid w:val="00383696"/>
    <w:rsid w:val="0038369B"/>
    <w:rsid w:val="00383B78"/>
    <w:rsid w:val="00385A9D"/>
    <w:rsid w:val="003902B1"/>
    <w:rsid w:val="0039100E"/>
    <w:rsid w:val="0039179C"/>
    <w:rsid w:val="00392B9B"/>
    <w:rsid w:val="00394BF7"/>
    <w:rsid w:val="00396896"/>
    <w:rsid w:val="00396FD0"/>
    <w:rsid w:val="003A1145"/>
    <w:rsid w:val="003A1A7A"/>
    <w:rsid w:val="003A2392"/>
    <w:rsid w:val="003A2831"/>
    <w:rsid w:val="003A30A9"/>
    <w:rsid w:val="003A3CB6"/>
    <w:rsid w:val="003A3ED1"/>
    <w:rsid w:val="003A44DB"/>
    <w:rsid w:val="003A542E"/>
    <w:rsid w:val="003A5856"/>
    <w:rsid w:val="003A596B"/>
    <w:rsid w:val="003A5DF9"/>
    <w:rsid w:val="003B2EC8"/>
    <w:rsid w:val="003B3971"/>
    <w:rsid w:val="003B3A20"/>
    <w:rsid w:val="003B411A"/>
    <w:rsid w:val="003B522F"/>
    <w:rsid w:val="003B5481"/>
    <w:rsid w:val="003B55D1"/>
    <w:rsid w:val="003B5B61"/>
    <w:rsid w:val="003C148D"/>
    <w:rsid w:val="003C1654"/>
    <w:rsid w:val="003C3B01"/>
    <w:rsid w:val="003C5542"/>
    <w:rsid w:val="003C7D19"/>
    <w:rsid w:val="003C7D2F"/>
    <w:rsid w:val="003C7FD8"/>
    <w:rsid w:val="003D1828"/>
    <w:rsid w:val="003D1DE4"/>
    <w:rsid w:val="003D1E9A"/>
    <w:rsid w:val="003D2422"/>
    <w:rsid w:val="003D39A1"/>
    <w:rsid w:val="003D3FBF"/>
    <w:rsid w:val="003D4A30"/>
    <w:rsid w:val="003D7452"/>
    <w:rsid w:val="003D79BB"/>
    <w:rsid w:val="003D7C98"/>
    <w:rsid w:val="003D7D9D"/>
    <w:rsid w:val="003E0497"/>
    <w:rsid w:val="003E0543"/>
    <w:rsid w:val="003E11FE"/>
    <w:rsid w:val="003E127D"/>
    <w:rsid w:val="003E5BF5"/>
    <w:rsid w:val="003E60D2"/>
    <w:rsid w:val="003E749E"/>
    <w:rsid w:val="003F4156"/>
    <w:rsid w:val="003F4F0C"/>
    <w:rsid w:val="003F5ADF"/>
    <w:rsid w:val="003F762D"/>
    <w:rsid w:val="003F7817"/>
    <w:rsid w:val="004002B9"/>
    <w:rsid w:val="00400B29"/>
    <w:rsid w:val="00402235"/>
    <w:rsid w:val="00402C6B"/>
    <w:rsid w:val="00403056"/>
    <w:rsid w:val="004043A6"/>
    <w:rsid w:val="0040504B"/>
    <w:rsid w:val="004051FF"/>
    <w:rsid w:val="004059F4"/>
    <w:rsid w:val="00407FE5"/>
    <w:rsid w:val="004101B0"/>
    <w:rsid w:val="00410326"/>
    <w:rsid w:val="00410708"/>
    <w:rsid w:val="00410EC7"/>
    <w:rsid w:val="00411B39"/>
    <w:rsid w:val="004127A7"/>
    <w:rsid w:val="00413474"/>
    <w:rsid w:val="00413A1E"/>
    <w:rsid w:val="00414476"/>
    <w:rsid w:val="00414C2E"/>
    <w:rsid w:val="004151CF"/>
    <w:rsid w:val="00416364"/>
    <w:rsid w:val="004179F4"/>
    <w:rsid w:val="0042047F"/>
    <w:rsid w:val="00420AA6"/>
    <w:rsid w:val="00420B9F"/>
    <w:rsid w:val="0042192C"/>
    <w:rsid w:val="00422260"/>
    <w:rsid w:val="0042240E"/>
    <w:rsid w:val="0042413F"/>
    <w:rsid w:val="00424EF1"/>
    <w:rsid w:val="004319F8"/>
    <w:rsid w:val="00431E55"/>
    <w:rsid w:val="004321F6"/>
    <w:rsid w:val="00433044"/>
    <w:rsid w:val="00433CD8"/>
    <w:rsid w:val="00434088"/>
    <w:rsid w:val="004375B9"/>
    <w:rsid w:val="004428D0"/>
    <w:rsid w:val="00443FAF"/>
    <w:rsid w:val="00444185"/>
    <w:rsid w:val="004443A7"/>
    <w:rsid w:val="0044442C"/>
    <w:rsid w:val="00445941"/>
    <w:rsid w:val="00446248"/>
    <w:rsid w:val="004464EB"/>
    <w:rsid w:val="00447D26"/>
    <w:rsid w:val="00447DFC"/>
    <w:rsid w:val="004522D0"/>
    <w:rsid w:val="00452FFD"/>
    <w:rsid w:val="00455D45"/>
    <w:rsid w:val="00456C22"/>
    <w:rsid w:val="00457EF6"/>
    <w:rsid w:val="00460753"/>
    <w:rsid w:val="00461229"/>
    <w:rsid w:val="00464595"/>
    <w:rsid w:val="004651C0"/>
    <w:rsid w:val="004658B5"/>
    <w:rsid w:val="00465A7D"/>
    <w:rsid w:val="00467FDC"/>
    <w:rsid w:val="00471EA5"/>
    <w:rsid w:val="00472A79"/>
    <w:rsid w:val="00473F19"/>
    <w:rsid w:val="00473F53"/>
    <w:rsid w:val="00474E17"/>
    <w:rsid w:val="00475E22"/>
    <w:rsid w:val="0047695E"/>
    <w:rsid w:val="0048088E"/>
    <w:rsid w:val="00480F2B"/>
    <w:rsid w:val="00482720"/>
    <w:rsid w:val="004835E7"/>
    <w:rsid w:val="00486217"/>
    <w:rsid w:val="004866AF"/>
    <w:rsid w:val="004867E2"/>
    <w:rsid w:val="0048773C"/>
    <w:rsid w:val="00490B17"/>
    <w:rsid w:val="00491B3A"/>
    <w:rsid w:val="00492CFD"/>
    <w:rsid w:val="00493E6F"/>
    <w:rsid w:val="00494207"/>
    <w:rsid w:val="00494DD5"/>
    <w:rsid w:val="00494F45"/>
    <w:rsid w:val="004962D2"/>
    <w:rsid w:val="004A0AA0"/>
    <w:rsid w:val="004A0DA1"/>
    <w:rsid w:val="004A13D6"/>
    <w:rsid w:val="004A1E21"/>
    <w:rsid w:val="004A3219"/>
    <w:rsid w:val="004A3571"/>
    <w:rsid w:val="004A52E9"/>
    <w:rsid w:val="004A6040"/>
    <w:rsid w:val="004A6597"/>
    <w:rsid w:val="004A6CCB"/>
    <w:rsid w:val="004A7075"/>
    <w:rsid w:val="004A77F8"/>
    <w:rsid w:val="004A7848"/>
    <w:rsid w:val="004B16A3"/>
    <w:rsid w:val="004B1CB4"/>
    <w:rsid w:val="004B2F18"/>
    <w:rsid w:val="004B3DDB"/>
    <w:rsid w:val="004B44FD"/>
    <w:rsid w:val="004B5CFC"/>
    <w:rsid w:val="004B6F79"/>
    <w:rsid w:val="004B774D"/>
    <w:rsid w:val="004C4AED"/>
    <w:rsid w:val="004C5C0A"/>
    <w:rsid w:val="004C62E0"/>
    <w:rsid w:val="004C7743"/>
    <w:rsid w:val="004D11E5"/>
    <w:rsid w:val="004D267D"/>
    <w:rsid w:val="004D2C2D"/>
    <w:rsid w:val="004D3B32"/>
    <w:rsid w:val="004D3F42"/>
    <w:rsid w:val="004D4D94"/>
    <w:rsid w:val="004D5F66"/>
    <w:rsid w:val="004D69B5"/>
    <w:rsid w:val="004D6DB5"/>
    <w:rsid w:val="004D7227"/>
    <w:rsid w:val="004D76E2"/>
    <w:rsid w:val="004E0825"/>
    <w:rsid w:val="004E0E7F"/>
    <w:rsid w:val="004E0EB8"/>
    <w:rsid w:val="004E18E9"/>
    <w:rsid w:val="004E2ADC"/>
    <w:rsid w:val="004E40A1"/>
    <w:rsid w:val="004E43B2"/>
    <w:rsid w:val="004E45B7"/>
    <w:rsid w:val="004E5914"/>
    <w:rsid w:val="004E7137"/>
    <w:rsid w:val="004F1D02"/>
    <w:rsid w:val="004F2679"/>
    <w:rsid w:val="004F2F21"/>
    <w:rsid w:val="004F3DE5"/>
    <w:rsid w:val="004F5F65"/>
    <w:rsid w:val="004F6913"/>
    <w:rsid w:val="004F6C9D"/>
    <w:rsid w:val="004F7865"/>
    <w:rsid w:val="0050174E"/>
    <w:rsid w:val="00501854"/>
    <w:rsid w:val="00501B71"/>
    <w:rsid w:val="0050219B"/>
    <w:rsid w:val="00503F17"/>
    <w:rsid w:val="005040A8"/>
    <w:rsid w:val="00506928"/>
    <w:rsid w:val="005077EF"/>
    <w:rsid w:val="00507A7B"/>
    <w:rsid w:val="00510D18"/>
    <w:rsid w:val="00511AD5"/>
    <w:rsid w:val="00511DC7"/>
    <w:rsid w:val="005142C5"/>
    <w:rsid w:val="00514488"/>
    <w:rsid w:val="0051501B"/>
    <w:rsid w:val="005152B5"/>
    <w:rsid w:val="005153DD"/>
    <w:rsid w:val="0051669B"/>
    <w:rsid w:val="00517965"/>
    <w:rsid w:val="005200AE"/>
    <w:rsid w:val="0052081B"/>
    <w:rsid w:val="00520F89"/>
    <w:rsid w:val="0052123C"/>
    <w:rsid w:val="00521319"/>
    <w:rsid w:val="00522507"/>
    <w:rsid w:val="00522BC8"/>
    <w:rsid w:val="00523C28"/>
    <w:rsid w:val="0052609C"/>
    <w:rsid w:val="00526116"/>
    <w:rsid w:val="0053176B"/>
    <w:rsid w:val="00532276"/>
    <w:rsid w:val="00532304"/>
    <w:rsid w:val="00534368"/>
    <w:rsid w:val="00536F42"/>
    <w:rsid w:val="00537182"/>
    <w:rsid w:val="00541EDD"/>
    <w:rsid w:val="00542743"/>
    <w:rsid w:val="00542C2D"/>
    <w:rsid w:val="00544BD7"/>
    <w:rsid w:val="005478BD"/>
    <w:rsid w:val="005479E3"/>
    <w:rsid w:val="005501FE"/>
    <w:rsid w:val="005503E5"/>
    <w:rsid w:val="00551572"/>
    <w:rsid w:val="00551985"/>
    <w:rsid w:val="00552BD3"/>
    <w:rsid w:val="00553223"/>
    <w:rsid w:val="005532A0"/>
    <w:rsid w:val="00555109"/>
    <w:rsid w:val="00556B35"/>
    <w:rsid w:val="0055741A"/>
    <w:rsid w:val="005611B7"/>
    <w:rsid w:val="005618D4"/>
    <w:rsid w:val="00562410"/>
    <w:rsid w:val="00562FC7"/>
    <w:rsid w:val="00564B2D"/>
    <w:rsid w:val="00565DF0"/>
    <w:rsid w:val="0056696F"/>
    <w:rsid w:val="00572269"/>
    <w:rsid w:val="0057244A"/>
    <w:rsid w:val="00572F26"/>
    <w:rsid w:val="005750C5"/>
    <w:rsid w:val="005752DE"/>
    <w:rsid w:val="00575AB1"/>
    <w:rsid w:val="00575D8D"/>
    <w:rsid w:val="00576972"/>
    <w:rsid w:val="00580376"/>
    <w:rsid w:val="00583180"/>
    <w:rsid w:val="00583699"/>
    <w:rsid w:val="00585CDD"/>
    <w:rsid w:val="00587058"/>
    <w:rsid w:val="00591221"/>
    <w:rsid w:val="005916C0"/>
    <w:rsid w:val="00591957"/>
    <w:rsid w:val="00594771"/>
    <w:rsid w:val="00596D65"/>
    <w:rsid w:val="00597BF9"/>
    <w:rsid w:val="005A00A2"/>
    <w:rsid w:val="005A081E"/>
    <w:rsid w:val="005A309A"/>
    <w:rsid w:val="005A373D"/>
    <w:rsid w:val="005A3F3F"/>
    <w:rsid w:val="005A59EB"/>
    <w:rsid w:val="005A76CF"/>
    <w:rsid w:val="005B0B58"/>
    <w:rsid w:val="005B4E53"/>
    <w:rsid w:val="005B5857"/>
    <w:rsid w:val="005B6632"/>
    <w:rsid w:val="005B697D"/>
    <w:rsid w:val="005B7603"/>
    <w:rsid w:val="005C1B83"/>
    <w:rsid w:val="005C25FF"/>
    <w:rsid w:val="005C2D55"/>
    <w:rsid w:val="005C31E2"/>
    <w:rsid w:val="005C346B"/>
    <w:rsid w:val="005C6265"/>
    <w:rsid w:val="005D044D"/>
    <w:rsid w:val="005D0ABD"/>
    <w:rsid w:val="005D18AD"/>
    <w:rsid w:val="005D1C9F"/>
    <w:rsid w:val="005D26B4"/>
    <w:rsid w:val="005D4A0A"/>
    <w:rsid w:val="005D536C"/>
    <w:rsid w:val="005E202E"/>
    <w:rsid w:val="005E31F7"/>
    <w:rsid w:val="005E44FB"/>
    <w:rsid w:val="005E45A6"/>
    <w:rsid w:val="005E4915"/>
    <w:rsid w:val="005E634A"/>
    <w:rsid w:val="005E6CBC"/>
    <w:rsid w:val="005E72FF"/>
    <w:rsid w:val="005E73C0"/>
    <w:rsid w:val="005F1F99"/>
    <w:rsid w:val="005F2706"/>
    <w:rsid w:val="005F5723"/>
    <w:rsid w:val="005F6A8F"/>
    <w:rsid w:val="005F6BB7"/>
    <w:rsid w:val="005F7588"/>
    <w:rsid w:val="006014E8"/>
    <w:rsid w:val="0060292C"/>
    <w:rsid w:val="00603DB9"/>
    <w:rsid w:val="00606FBA"/>
    <w:rsid w:val="00607669"/>
    <w:rsid w:val="006076F4"/>
    <w:rsid w:val="00607AFD"/>
    <w:rsid w:val="00612F97"/>
    <w:rsid w:val="0061345D"/>
    <w:rsid w:val="0061549B"/>
    <w:rsid w:val="00616585"/>
    <w:rsid w:val="00616802"/>
    <w:rsid w:val="00617E12"/>
    <w:rsid w:val="006202E5"/>
    <w:rsid w:val="00620C25"/>
    <w:rsid w:val="00621141"/>
    <w:rsid w:val="0062124E"/>
    <w:rsid w:val="00621477"/>
    <w:rsid w:val="00621ADA"/>
    <w:rsid w:val="00623F7B"/>
    <w:rsid w:val="0063158F"/>
    <w:rsid w:val="006317AD"/>
    <w:rsid w:val="006319E9"/>
    <w:rsid w:val="00631D6B"/>
    <w:rsid w:val="00632183"/>
    <w:rsid w:val="006330A1"/>
    <w:rsid w:val="0063360D"/>
    <w:rsid w:val="0063479F"/>
    <w:rsid w:val="006353F0"/>
    <w:rsid w:val="006357B5"/>
    <w:rsid w:val="006364A1"/>
    <w:rsid w:val="0063678E"/>
    <w:rsid w:val="00637BFD"/>
    <w:rsid w:val="00640746"/>
    <w:rsid w:val="00641C4E"/>
    <w:rsid w:val="00641FB3"/>
    <w:rsid w:val="0064434C"/>
    <w:rsid w:val="0064484B"/>
    <w:rsid w:val="00645381"/>
    <w:rsid w:val="006471CC"/>
    <w:rsid w:val="00647A29"/>
    <w:rsid w:val="00647ADD"/>
    <w:rsid w:val="0065079F"/>
    <w:rsid w:val="00652A28"/>
    <w:rsid w:val="0065379F"/>
    <w:rsid w:val="0065576D"/>
    <w:rsid w:val="00656188"/>
    <w:rsid w:val="006567D0"/>
    <w:rsid w:val="00656A09"/>
    <w:rsid w:val="0065715A"/>
    <w:rsid w:val="006610F1"/>
    <w:rsid w:val="00661C6B"/>
    <w:rsid w:val="00662C70"/>
    <w:rsid w:val="0066462F"/>
    <w:rsid w:val="006651BC"/>
    <w:rsid w:val="00665D54"/>
    <w:rsid w:val="00670AE7"/>
    <w:rsid w:val="00671004"/>
    <w:rsid w:val="00672646"/>
    <w:rsid w:val="00674E42"/>
    <w:rsid w:val="006758A2"/>
    <w:rsid w:val="006813F8"/>
    <w:rsid w:val="00682112"/>
    <w:rsid w:val="00682BA6"/>
    <w:rsid w:val="0068508E"/>
    <w:rsid w:val="00685609"/>
    <w:rsid w:val="00686957"/>
    <w:rsid w:val="006870E4"/>
    <w:rsid w:val="006872BA"/>
    <w:rsid w:val="00690795"/>
    <w:rsid w:val="0069160A"/>
    <w:rsid w:val="00691648"/>
    <w:rsid w:val="006917D7"/>
    <w:rsid w:val="0069434C"/>
    <w:rsid w:val="0069452F"/>
    <w:rsid w:val="00694F44"/>
    <w:rsid w:val="00695B17"/>
    <w:rsid w:val="00696F51"/>
    <w:rsid w:val="006979A5"/>
    <w:rsid w:val="006A1E7F"/>
    <w:rsid w:val="006A321D"/>
    <w:rsid w:val="006A42AF"/>
    <w:rsid w:val="006A6B99"/>
    <w:rsid w:val="006A6F23"/>
    <w:rsid w:val="006A7E5F"/>
    <w:rsid w:val="006B261B"/>
    <w:rsid w:val="006B2C90"/>
    <w:rsid w:val="006B35E6"/>
    <w:rsid w:val="006B465A"/>
    <w:rsid w:val="006B6834"/>
    <w:rsid w:val="006B6DD0"/>
    <w:rsid w:val="006C0399"/>
    <w:rsid w:val="006C0764"/>
    <w:rsid w:val="006C1E15"/>
    <w:rsid w:val="006C2A8E"/>
    <w:rsid w:val="006C3255"/>
    <w:rsid w:val="006C3F26"/>
    <w:rsid w:val="006D00C6"/>
    <w:rsid w:val="006D0D17"/>
    <w:rsid w:val="006D3C7D"/>
    <w:rsid w:val="006D4659"/>
    <w:rsid w:val="006D5D5F"/>
    <w:rsid w:val="006D6820"/>
    <w:rsid w:val="006D68FB"/>
    <w:rsid w:val="006E041F"/>
    <w:rsid w:val="006E2534"/>
    <w:rsid w:val="006E2868"/>
    <w:rsid w:val="006F0181"/>
    <w:rsid w:val="006F0B3F"/>
    <w:rsid w:val="006F2B3F"/>
    <w:rsid w:val="006F306C"/>
    <w:rsid w:val="006F32AC"/>
    <w:rsid w:val="006F33D7"/>
    <w:rsid w:val="006F4A53"/>
    <w:rsid w:val="006F5AB2"/>
    <w:rsid w:val="006F63A5"/>
    <w:rsid w:val="0070142B"/>
    <w:rsid w:val="00701873"/>
    <w:rsid w:val="0070276E"/>
    <w:rsid w:val="00702F8F"/>
    <w:rsid w:val="0070508A"/>
    <w:rsid w:val="007055B2"/>
    <w:rsid w:val="007068BF"/>
    <w:rsid w:val="007079FC"/>
    <w:rsid w:val="00711A36"/>
    <w:rsid w:val="00711BFA"/>
    <w:rsid w:val="00712721"/>
    <w:rsid w:val="00714C26"/>
    <w:rsid w:val="0071529C"/>
    <w:rsid w:val="007170DA"/>
    <w:rsid w:val="007172AD"/>
    <w:rsid w:val="007200DE"/>
    <w:rsid w:val="00720801"/>
    <w:rsid w:val="00721ADD"/>
    <w:rsid w:val="00721DB3"/>
    <w:rsid w:val="00722B1B"/>
    <w:rsid w:val="0072416F"/>
    <w:rsid w:val="00727C94"/>
    <w:rsid w:val="00731B0A"/>
    <w:rsid w:val="00731C4B"/>
    <w:rsid w:val="00731EAE"/>
    <w:rsid w:val="00732751"/>
    <w:rsid w:val="00733073"/>
    <w:rsid w:val="007347EE"/>
    <w:rsid w:val="00735033"/>
    <w:rsid w:val="00735328"/>
    <w:rsid w:val="0073685B"/>
    <w:rsid w:val="007449BF"/>
    <w:rsid w:val="00746BC0"/>
    <w:rsid w:val="00746EF8"/>
    <w:rsid w:val="007510B4"/>
    <w:rsid w:val="00751EFD"/>
    <w:rsid w:val="00752142"/>
    <w:rsid w:val="007523F9"/>
    <w:rsid w:val="00752751"/>
    <w:rsid w:val="00753155"/>
    <w:rsid w:val="0075357E"/>
    <w:rsid w:val="007535D5"/>
    <w:rsid w:val="0075476E"/>
    <w:rsid w:val="007573E8"/>
    <w:rsid w:val="00760C4E"/>
    <w:rsid w:val="00760F9E"/>
    <w:rsid w:val="007610D6"/>
    <w:rsid w:val="007627BE"/>
    <w:rsid w:val="007629EB"/>
    <w:rsid w:val="00764F03"/>
    <w:rsid w:val="007651AB"/>
    <w:rsid w:val="00765B1A"/>
    <w:rsid w:val="007660B4"/>
    <w:rsid w:val="00767966"/>
    <w:rsid w:val="0077006A"/>
    <w:rsid w:val="00772BCC"/>
    <w:rsid w:val="00777335"/>
    <w:rsid w:val="007843F2"/>
    <w:rsid w:val="0078521C"/>
    <w:rsid w:val="00785622"/>
    <w:rsid w:val="00785A9F"/>
    <w:rsid w:val="00791DE4"/>
    <w:rsid w:val="007925DF"/>
    <w:rsid w:val="00795767"/>
    <w:rsid w:val="00796F0F"/>
    <w:rsid w:val="007A02EB"/>
    <w:rsid w:val="007A08AA"/>
    <w:rsid w:val="007A0A12"/>
    <w:rsid w:val="007A132D"/>
    <w:rsid w:val="007A1345"/>
    <w:rsid w:val="007A2DDB"/>
    <w:rsid w:val="007A70BA"/>
    <w:rsid w:val="007B0D68"/>
    <w:rsid w:val="007B15FC"/>
    <w:rsid w:val="007B251D"/>
    <w:rsid w:val="007B4675"/>
    <w:rsid w:val="007B4879"/>
    <w:rsid w:val="007B4F58"/>
    <w:rsid w:val="007B528D"/>
    <w:rsid w:val="007B63CA"/>
    <w:rsid w:val="007B77D1"/>
    <w:rsid w:val="007B7854"/>
    <w:rsid w:val="007B7C3C"/>
    <w:rsid w:val="007C07C7"/>
    <w:rsid w:val="007C103A"/>
    <w:rsid w:val="007C124D"/>
    <w:rsid w:val="007C1CD9"/>
    <w:rsid w:val="007C32EF"/>
    <w:rsid w:val="007C361D"/>
    <w:rsid w:val="007C4B84"/>
    <w:rsid w:val="007C586F"/>
    <w:rsid w:val="007C70FF"/>
    <w:rsid w:val="007C78B9"/>
    <w:rsid w:val="007C7C25"/>
    <w:rsid w:val="007D004F"/>
    <w:rsid w:val="007D0B38"/>
    <w:rsid w:val="007D5440"/>
    <w:rsid w:val="007D5B67"/>
    <w:rsid w:val="007D5FEF"/>
    <w:rsid w:val="007D69EB"/>
    <w:rsid w:val="007D712A"/>
    <w:rsid w:val="007E0182"/>
    <w:rsid w:val="007E128F"/>
    <w:rsid w:val="007E1F4F"/>
    <w:rsid w:val="007E25CF"/>
    <w:rsid w:val="007E5222"/>
    <w:rsid w:val="007E5617"/>
    <w:rsid w:val="007F1017"/>
    <w:rsid w:val="007F47FE"/>
    <w:rsid w:val="007F4A3F"/>
    <w:rsid w:val="007F4A61"/>
    <w:rsid w:val="007F5255"/>
    <w:rsid w:val="007F56CC"/>
    <w:rsid w:val="007F5E84"/>
    <w:rsid w:val="007F6003"/>
    <w:rsid w:val="007F61C2"/>
    <w:rsid w:val="007F6C77"/>
    <w:rsid w:val="00803407"/>
    <w:rsid w:val="00804B60"/>
    <w:rsid w:val="00805142"/>
    <w:rsid w:val="008059B6"/>
    <w:rsid w:val="00805FCE"/>
    <w:rsid w:val="00807A8B"/>
    <w:rsid w:val="00811383"/>
    <w:rsid w:val="00812149"/>
    <w:rsid w:val="0081247A"/>
    <w:rsid w:val="00812CAC"/>
    <w:rsid w:val="00816361"/>
    <w:rsid w:val="008166EF"/>
    <w:rsid w:val="00816FEF"/>
    <w:rsid w:val="008171F1"/>
    <w:rsid w:val="00817929"/>
    <w:rsid w:val="00817CB0"/>
    <w:rsid w:val="008204CD"/>
    <w:rsid w:val="00820A8C"/>
    <w:rsid w:val="008215FB"/>
    <w:rsid w:val="00821F7A"/>
    <w:rsid w:val="00821FDF"/>
    <w:rsid w:val="00822105"/>
    <w:rsid w:val="00823174"/>
    <w:rsid w:val="0082318D"/>
    <w:rsid w:val="00825751"/>
    <w:rsid w:val="008262B0"/>
    <w:rsid w:val="008264EB"/>
    <w:rsid w:val="008318FD"/>
    <w:rsid w:val="00833B05"/>
    <w:rsid w:val="0083556E"/>
    <w:rsid w:val="00835690"/>
    <w:rsid w:val="00835AFD"/>
    <w:rsid w:val="008362B4"/>
    <w:rsid w:val="00836D9D"/>
    <w:rsid w:val="0084060B"/>
    <w:rsid w:val="008408E1"/>
    <w:rsid w:val="00840CA2"/>
    <w:rsid w:val="00841DA8"/>
    <w:rsid w:val="0084266E"/>
    <w:rsid w:val="0084374F"/>
    <w:rsid w:val="00844A22"/>
    <w:rsid w:val="008462E9"/>
    <w:rsid w:val="00847703"/>
    <w:rsid w:val="00847908"/>
    <w:rsid w:val="008479AD"/>
    <w:rsid w:val="00847DF5"/>
    <w:rsid w:val="0085309D"/>
    <w:rsid w:val="00856897"/>
    <w:rsid w:val="00856E9A"/>
    <w:rsid w:val="008578D0"/>
    <w:rsid w:val="0086075D"/>
    <w:rsid w:val="00860B79"/>
    <w:rsid w:val="00862502"/>
    <w:rsid w:val="00862CC1"/>
    <w:rsid w:val="008660D4"/>
    <w:rsid w:val="008701F8"/>
    <w:rsid w:val="00871FA9"/>
    <w:rsid w:val="008728E9"/>
    <w:rsid w:val="0087499A"/>
    <w:rsid w:val="00874EB9"/>
    <w:rsid w:val="008776AD"/>
    <w:rsid w:val="00877D79"/>
    <w:rsid w:val="00882874"/>
    <w:rsid w:val="00882E3C"/>
    <w:rsid w:val="00883299"/>
    <w:rsid w:val="00883787"/>
    <w:rsid w:val="008855E4"/>
    <w:rsid w:val="00886CD2"/>
    <w:rsid w:val="00887842"/>
    <w:rsid w:val="008906E1"/>
    <w:rsid w:val="00891E6F"/>
    <w:rsid w:val="0089275D"/>
    <w:rsid w:val="00892A36"/>
    <w:rsid w:val="00893239"/>
    <w:rsid w:val="00894489"/>
    <w:rsid w:val="008963A5"/>
    <w:rsid w:val="00896957"/>
    <w:rsid w:val="00896D5D"/>
    <w:rsid w:val="00897686"/>
    <w:rsid w:val="008A3155"/>
    <w:rsid w:val="008A3363"/>
    <w:rsid w:val="008A3371"/>
    <w:rsid w:val="008A3C3E"/>
    <w:rsid w:val="008A4411"/>
    <w:rsid w:val="008A79DE"/>
    <w:rsid w:val="008B1757"/>
    <w:rsid w:val="008B17FE"/>
    <w:rsid w:val="008B3420"/>
    <w:rsid w:val="008B7992"/>
    <w:rsid w:val="008B7D7E"/>
    <w:rsid w:val="008B7E8E"/>
    <w:rsid w:val="008C0C78"/>
    <w:rsid w:val="008C3A5E"/>
    <w:rsid w:val="008C5610"/>
    <w:rsid w:val="008C5739"/>
    <w:rsid w:val="008C668A"/>
    <w:rsid w:val="008C6AC5"/>
    <w:rsid w:val="008C7ECB"/>
    <w:rsid w:val="008D3A8C"/>
    <w:rsid w:val="008D3B86"/>
    <w:rsid w:val="008D4755"/>
    <w:rsid w:val="008D4C3D"/>
    <w:rsid w:val="008D5347"/>
    <w:rsid w:val="008D743C"/>
    <w:rsid w:val="008E0D3C"/>
    <w:rsid w:val="008E0FD7"/>
    <w:rsid w:val="008E13E1"/>
    <w:rsid w:val="008E1834"/>
    <w:rsid w:val="008E1AAA"/>
    <w:rsid w:val="008E1B9E"/>
    <w:rsid w:val="008E341D"/>
    <w:rsid w:val="008E55AB"/>
    <w:rsid w:val="008E7E4C"/>
    <w:rsid w:val="008F0E8F"/>
    <w:rsid w:val="008F120A"/>
    <w:rsid w:val="008F27E0"/>
    <w:rsid w:val="008F48EB"/>
    <w:rsid w:val="008F4F0B"/>
    <w:rsid w:val="008F6CA2"/>
    <w:rsid w:val="00901423"/>
    <w:rsid w:val="009015A3"/>
    <w:rsid w:val="00902010"/>
    <w:rsid w:val="00904038"/>
    <w:rsid w:val="009046C4"/>
    <w:rsid w:val="009058D9"/>
    <w:rsid w:val="009062A5"/>
    <w:rsid w:val="00910FA7"/>
    <w:rsid w:val="00911272"/>
    <w:rsid w:val="009135D6"/>
    <w:rsid w:val="009138A6"/>
    <w:rsid w:val="00913D27"/>
    <w:rsid w:val="00914C77"/>
    <w:rsid w:val="009150CB"/>
    <w:rsid w:val="00921ACB"/>
    <w:rsid w:val="00921F39"/>
    <w:rsid w:val="0092369B"/>
    <w:rsid w:val="00926023"/>
    <w:rsid w:val="0092774E"/>
    <w:rsid w:val="00927F39"/>
    <w:rsid w:val="00933B9B"/>
    <w:rsid w:val="00934731"/>
    <w:rsid w:val="00934988"/>
    <w:rsid w:val="009369DE"/>
    <w:rsid w:val="00937089"/>
    <w:rsid w:val="00937A87"/>
    <w:rsid w:val="0094010C"/>
    <w:rsid w:val="00940D7F"/>
    <w:rsid w:val="00941950"/>
    <w:rsid w:val="00943B8B"/>
    <w:rsid w:val="00944F8A"/>
    <w:rsid w:val="00944F96"/>
    <w:rsid w:val="00945744"/>
    <w:rsid w:val="009510A2"/>
    <w:rsid w:val="00952ECD"/>
    <w:rsid w:val="00953257"/>
    <w:rsid w:val="0095474C"/>
    <w:rsid w:val="00961332"/>
    <w:rsid w:val="0096139A"/>
    <w:rsid w:val="0096296B"/>
    <w:rsid w:val="00962CAD"/>
    <w:rsid w:val="00962CB9"/>
    <w:rsid w:val="00963965"/>
    <w:rsid w:val="00964312"/>
    <w:rsid w:val="00965B8A"/>
    <w:rsid w:val="009678A8"/>
    <w:rsid w:val="0097071F"/>
    <w:rsid w:val="009717AC"/>
    <w:rsid w:val="009736FE"/>
    <w:rsid w:val="009751C1"/>
    <w:rsid w:val="0097650D"/>
    <w:rsid w:val="00977014"/>
    <w:rsid w:val="009811F1"/>
    <w:rsid w:val="00983E57"/>
    <w:rsid w:val="00985DE2"/>
    <w:rsid w:val="0098675D"/>
    <w:rsid w:val="00990C66"/>
    <w:rsid w:val="00991EB6"/>
    <w:rsid w:val="009926E0"/>
    <w:rsid w:val="0099451E"/>
    <w:rsid w:val="00995922"/>
    <w:rsid w:val="00996B1A"/>
    <w:rsid w:val="009A15A9"/>
    <w:rsid w:val="009A284F"/>
    <w:rsid w:val="009A2DCC"/>
    <w:rsid w:val="009A4BCC"/>
    <w:rsid w:val="009A5ABC"/>
    <w:rsid w:val="009A7F10"/>
    <w:rsid w:val="009B0BEA"/>
    <w:rsid w:val="009B3E26"/>
    <w:rsid w:val="009B4EB5"/>
    <w:rsid w:val="009C0332"/>
    <w:rsid w:val="009C31C1"/>
    <w:rsid w:val="009C3706"/>
    <w:rsid w:val="009C3A3A"/>
    <w:rsid w:val="009C6CEA"/>
    <w:rsid w:val="009C73DE"/>
    <w:rsid w:val="009C766C"/>
    <w:rsid w:val="009C7B85"/>
    <w:rsid w:val="009D0254"/>
    <w:rsid w:val="009D16A9"/>
    <w:rsid w:val="009D1A64"/>
    <w:rsid w:val="009D25A1"/>
    <w:rsid w:val="009D5389"/>
    <w:rsid w:val="009D5B91"/>
    <w:rsid w:val="009D765F"/>
    <w:rsid w:val="009D792E"/>
    <w:rsid w:val="009E0DFE"/>
    <w:rsid w:val="009E26BF"/>
    <w:rsid w:val="009E31F6"/>
    <w:rsid w:val="009E4C07"/>
    <w:rsid w:val="009E5826"/>
    <w:rsid w:val="009F23EB"/>
    <w:rsid w:val="009F28EF"/>
    <w:rsid w:val="009F3D08"/>
    <w:rsid w:val="009F5DE5"/>
    <w:rsid w:val="009F69DB"/>
    <w:rsid w:val="009F6BB2"/>
    <w:rsid w:val="009F7B1F"/>
    <w:rsid w:val="00A01184"/>
    <w:rsid w:val="00A0152D"/>
    <w:rsid w:val="00A037C2"/>
    <w:rsid w:val="00A03D43"/>
    <w:rsid w:val="00A04380"/>
    <w:rsid w:val="00A05472"/>
    <w:rsid w:val="00A05C32"/>
    <w:rsid w:val="00A0653F"/>
    <w:rsid w:val="00A07D2E"/>
    <w:rsid w:val="00A11CD0"/>
    <w:rsid w:val="00A12E1E"/>
    <w:rsid w:val="00A13187"/>
    <w:rsid w:val="00A13948"/>
    <w:rsid w:val="00A1555B"/>
    <w:rsid w:val="00A155C5"/>
    <w:rsid w:val="00A16AD8"/>
    <w:rsid w:val="00A21C95"/>
    <w:rsid w:val="00A21CF3"/>
    <w:rsid w:val="00A24813"/>
    <w:rsid w:val="00A24CB9"/>
    <w:rsid w:val="00A2584A"/>
    <w:rsid w:val="00A27806"/>
    <w:rsid w:val="00A27AEC"/>
    <w:rsid w:val="00A27D1A"/>
    <w:rsid w:val="00A320DB"/>
    <w:rsid w:val="00A34A53"/>
    <w:rsid w:val="00A357D8"/>
    <w:rsid w:val="00A35D16"/>
    <w:rsid w:val="00A37BCD"/>
    <w:rsid w:val="00A40873"/>
    <w:rsid w:val="00A408B7"/>
    <w:rsid w:val="00A41689"/>
    <w:rsid w:val="00A42592"/>
    <w:rsid w:val="00A4285C"/>
    <w:rsid w:val="00A42A52"/>
    <w:rsid w:val="00A43B5F"/>
    <w:rsid w:val="00A43C59"/>
    <w:rsid w:val="00A47665"/>
    <w:rsid w:val="00A50251"/>
    <w:rsid w:val="00A50ECD"/>
    <w:rsid w:val="00A51263"/>
    <w:rsid w:val="00A518F3"/>
    <w:rsid w:val="00A52729"/>
    <w:rsid w:val="00A52813"/>
    <w:rsid w:val="00A53675"/>
    <w:rsid w:val="00A55722"/>
    <w:rsid w:val="00A564D7"/>
    <w:rsid w:val="00A56B6A"/>
    <w:rsid w:val="00A578DC"/>
    <w:rsid w:val="00A640A9"/>
    <w:rsid w:val="00A640E2"/>
    <w:rsid w:val="00A64D65"/>
    <w:rsid w:val="00A6725B"/>
    <w:rsid w:val="00A7050C"/>
    <w:rsid w:val="00A70605"/>
    <w:rsid w:val="00A73134"/>
    <w:rsid w:val="00A75232"/>
    <w:rsid w:val="00A76001"/>
    <w:rsid w:val="00A76536"/>
    <w:rsid w:val="00A777B2"/>
    <w:rsid w:val="00A825D4"/>
    <w:rsid w:val="00A828F6"/>
    <w:rsid w:val="00A82B73"/>
    <w:rsid w:val="00A83C1B"/>
    <w:rsid w:val="00A86E8B"/>
    <w:rsid w:val="00A87164"/>
    <w:rsid w:val="00A9202A"/>
    <w:rsid w:val="00A93072"/>
    <w:rsid w:val="00A93591"/>
    <w:rsid w:val="00A938BD"/>
    <w:rsid w:val="00A93953"/>
    <w:rsid w:val="00A95179"/>
    <w:rsid w:val="00A959D8"/>
    <w:rsid w:val="00A97ABF"/>
    <w:rsid w:val="00AA05DA"/>
    <w:rsid w:val="00AA113D"/>
    <w:rsid w:val="00AA6763"/>
    <w:rsid w:val="00AA6BD5"/>
    <w:rsid w:val="00AA6BD8"/>
    <w:rsid w:val="00AA6C7D"/>
    <w:rsid w:val="00AA7740"/>
    <w:rsid w:val="00AA7FD6"/>
    <w:rsid w:val="00AB042A"/>
    <w:rsid w:val="00AB19EF"/>
    <w:rsid w:val="00AB2D34"/>
    <w:rsid w:val="00AB3430"/>
    <w:rsid w:val="00AB349F"/>
    <w:rsid w:val="00AB36BF"/>
    <w:rsid w:val="00AB37B9"/>
    <w:rsid w:val="00AB469C"/>
    <w:rsid w:val="00AB4AD1"/>
    <w:rsid w:val="00AB5E07"/>
    <w:rsid w:val="00AB6D7A"/>
    <w:rsid w:val="00AB7CFA"/>
    <w:rsid w:val="00AC2FDC"/>
    <w:rsid w:val="00AC5B48"/>
    <w:rsid w:val="00AC7820"/>
    <w:rsid w:val="00AD1450"/>
    <w:rsid w:val="00AD2124"/>
    <w:rsid w:val="00AD6502"/>
    <w:rsid w:val="00AD78A3"/>
    <w:rsid w:val="00AE03DD"/>
    <w:rsid w:val="00AE0695"/>
    <w:rsid w:val="00AE0A5C"/>
    <w:rsid w:val="00AE16E0"/>
    <w:rsid w:val="00AE1CFD"/>
    <w:rsid w:val="00AE2C91"/>
    <w:rsid w:val="00AE3E7E"/>
    <w:rsid w:val="00AE3F87"/>
    <w:rsid w:val="00AF1315"/>
    <w:rsid w:val="00AF19BF"/>
    <w:rsid w:val="00AF2DC3"/>
    <w:rsid w:val="00AF4E4F"/>
    <w:rsid w:val="00AF6CF8"/>
    <w:rsid w:val="00B00740"/>
    <w:rsid w:val="00B00B78"/>
    <w:rsid w:val="00B0209D"/>
    <w:rsid w:val="00B033E5"/>
    <w:rsid w:val="00B034D6"/>
    <w:rsid w:val="00B03A63"/>
    <w:rsid w:val="00B06367"/>
    <w:rsid w:val="00B06B81"/>
    <w:rsid w:val="00B11ECB"/>
    <w:rsid w:val="00B15526"/>
    <w:rsid w:val="00B15AF0"/>
    <w:rsid w:val="00B1771D"/>
    <w:rsid w:val="00B17DE9"/>
    <w:rsid w:val="00B201A4"/>
    <w:rsid w:val="00B201D1"/>
    <w:rsid w:val="00B213A6"/>
    <w:rsid w:val="00B21ACE"/>
    <w:rsid w:val="00B235B0"/>
    <w:rsid w:val="00B24DF6"/>
    <w:rsid w:val="00B25C06"/>
    <w:rsid w:val="00B32C40"/>
    <w:rsid w:val="00B34FE2"/>
    <w:rsid w:val="00B35166"/>
    <w:rsid w:val="00B357D8"/>
    <w:rsid w:val="00B360F4"/>
    <w:rsid w:val="00B36A00"/>
    <w:rsid w:val="00B37BFC"/>
    <w:rsid w:val="00B40358"/>
    <w:rsid w:val="00B41614"/>
    <w:rsid w:val="00B42851"/>
    <w:rsid w:val="00B42F80"/>
    <w:rsid w:val="00B435CB"/>
    <w:rsid w:val="00B43717"/>
    <w:rsid w:val="00B44156"/>
    <w:rsid w:val="00B44AB6"/>
    <w:rsid w:val="00B4723D"/>
    <w:rsid w:val="00B47CB1"/>
    <w:rsid w:val="00B505C8"/>
    <w:rsid w:val="00B50DB8"/>
    <w:rsid w:val="00B530BC"/>
    <w:rsid w:val="00B531FD"/>
    <w:rsid w:val="00B53654"/>
    <w:rsid w:val="00B53905"/>
    <w:rsid w:val="00B53907"/>
    <w:rsid w:val="00B5458B"/>
    <w:rsid w:val="00B54B5B"/>
    <w:rsid w:val="00B5562E"/>
    <w:rsid w:val="00B55D65"/>
    <w:rsid w:val="00B57000"/>
    <w:rsid w:val="00B60939"/>
    <w:rsid w:val="00B60AFD"/>
    <w:rsid w:val="00B613C5"/>
    <w:rsid w:val="00B62715"/>
    <w:rsid w:val="00B6471D"/>
    <w:rsid w:val="00B65611"/>
    <w:rsid w:val="00B661CC"/>
    <w:rsid w:val="00B665FF"/>
    <w:rsid w:val="00B66654"/>
    <w:rsid w:val="00B70E8E"/>
    <w:rsid w:val="00B75BC4"/>
    <w:rsid w:val="00B768D1"/>
    <w:rsid w:val="00B76C92"/>
    <w:rsid w:val="00B80FE6"/>
    <w:rsid w:val="00B818A4"/>
    <w:rsid w:val="00B8402A"/>
    <w:rsid w:val="00B84117"/>
    <w:rsid w:val="00B858F0"/>
    <w:rsid w:val="00B85AA2"/>
    <w:rsid w:val="00B8649C"/>
    <w:rsid w:val="00B8695D"/>
    <w:rsid w:val="00B87C72"/>
    <w:rsid w:val="00B87DD2"/>
    <w:rsid w:val="00B87F0A"/>
    <w:rsid w:val="00B91312"/>
    <w:rsid w:val="00B92D0B"/>
    <w:rsid w:val="00B94945"/>
    <w:rsid w:val="00B94DD6"/>
    <w:rsid w:val="00BA1C7A"/>
    <w:rsid w:val="00BA322D"/>
    <w:rsid w:val="00BA5C92"/>
    <w:rsid w:val="00BA5E6A"/>
    <w:rsid w:val="00BA63FA"/>
    <w:rsid w:val="00BB00B3"/>
    <w:rsid w:val="00BB00FA"/>
    <w:rsid w:val="00BB0BDD"/>
    <w:rsid w:val="00BB0C8B"/>
    <w:rsid w:val="00BB176C"/>
    <w:rsid w:val="00BB1954"/>
    <w:rsid w:val="00BB2338"/>
    <w:rsid w:val="00BB2A73"/>
    <w:rsid w:val="00BB369C"/>
    <w:rsid w:val="00BB38E1"/>
    <w:rsid w:val="00BB3A45"/>
    <w:rsid w:val="00BB4947"/>
    <w:rsid w:val="00BB4ACC"/>
    <w:rsid w:val="00BB5F98"/>
    <w:rsid w:val="00BB6945"/>
    <w:rsid w:val="00BB703E"/>
    <w:rsid w:val="00BB732D"/>
    <w:rsid w:val="00BB7405"/>
    <w:rsid w:val="00BC0E77"/>
    <w:rsid w:val="00BC19D0"/>
    <w:rsid w:val="00BC3631"/>
    <w:rsid w:val="00BC591F"/>
    <w:rsid w:val="00BC5953"/>
    <w:rsid w:val="00BC77F0"/>
    <w:rsid w:val="00BC7D6D"/>
    <w:rsid w:val="00BC7DB0"/>
    <w:rsid w:val="00BD2108"/>
    <w:rsid w:val="00BD502B"/>
    <w:rsid w:val="00BD5CAC"/>
    <w:rsid w:val="00BD68A3"/>
    <w:rsid w:val="00BD6938"/>
    <w:rsid w:val="00BD6CF3"/>
    <w:rsid w:val="00BE0ECA"/>
    <w:rsid w:val="00BE1012"/>
    <w:rsid w:val="00BE140C"/>
    <w:rsid w:val="00BE18C2"/>
    <w:rsid w:val="00BE2180"/>
    <w:rsid w:val="00BE21F2"/>
    <w:rsid w:val="00BE4275"/>
    <w:rsid w:val="00BE5463"/>
    <w:rsid w:val="00BE66C5"/>
    <w:rsid w:val="00BF06AE"/>
    <w:rsid w:val="00BF0F95"/>
    <w:rsid w:val="00BF1AB4"/>
    <w:rsid w:val="00BF2433"/>
    <w:rsid w:val="00BF2545"/>
    <w:rsid w:val="00BF3FE3"/>
    <w:rsid w:val="00BF56B8"/>
    <w:rsid w:val="00BF61C9"/>
    <w:rsid w:val="00BF6C94"/>
    <w:rsid w:val="00BF6D62"/>
    <w:rsid w:val="00BF7AD7"/>
    <w:rsid w:val="00C00424"/>
    <w:rsid w:val="00C01973"/>
    <w:rsid w:val="00C0278B"/>
    <w:rsid w:val="00C0356B"/>
    <w:rsid w:val="00C10DDE"/>
    <w:rsid w:val="00C10ECC"/>
    <w:rsid w:val="00C1179F"/>
    <w:rsid w:val="00C122EF"/>
    <w:rsid w:val="00C12C14"/>
    <w:rsid w:val="00C1315A"/>
    <w:rsid w:val="00C136CA"/>
    <w:rsid w:val="00C15520"/>
    <w:rsid w:val="00C15F04"/>
    <w:rsid w:val="00C179B3"/>
    <w:rsid w:val="00C17BC6"/>
    <w:rsid w:val="00C17E3F"/>
    <w:rsid w:val="00C200A1"/>
    <w:rsid w:val="00C200AA"/>
    <w:rsid w:val="00C237ED"/>
    <w:rsid w:val="00C24632"/>
    <w:rsid w:val="00C25418"/>
    <w:rsid w:val="00C25D9C"/>
    <w:rsid w:val="00C263D9"/>
    <w:rsid w:val="00C2778B"/>
    <w:rsid w:val="00C31649"/>
    <w:rsid w:val="00C32A3B"/>
    <w:rsid w:val="00C3434C"/>
    <w:rsid w:val="00C3500C"/>
    <w:rsid w:val="00C40385"/>
    <w:rsid w:val="00C41768"/>
    <w:rsid w:val="00C46BD8"/>
    <w:rsid w:val="00C475AA"/>
    <w:rsid w:val="00C51C2C"/>
    <w:rsid w:val="00C53C98"/>
    <w:rsid w:val="00C56FCF"/>
    <w:rsid w:val="00C57749"/>
    <w:rsid w:val="00C57B6C"/>
    <w:rsid w:val="00C60E49"/>
    <w:rsid w:val="00C628A6"/>
    <w:rsid w:val="00C634DD"/>
    <w:rsid w:val="00C64344"/>
    <w:rsid w:val="00C65108"/>
    <w:rsid w:val="00C65576"/>
    <w:rsid w:val="00C66165"/>
    <w:rsid w:val="00C67E3B"/>
    <w:rsid w:val="00C7060A"/>
    <w:rsid w:val="00C7151A"/>
    <w:rsid w:val="00C715E7"/>
    <w:rsid w:val="00C717E3"/>
    <w:rsid w:val="00C71D82"/>
    <w:rsid w:val="00C71F60"/>
    <w:rsid w:val="00C72241"/>
    <w:rsid w:val="00C72554"/>
    <w:rsid w:val="00C732E7"/>
    <w:rsid w:val="00C750C8"/>
    <w:rsid w:val="00C7560F"/>
    <w:rsid w:val="00C7721B"/>
    <w:rsid w:val="00C77E85"/>
    <w:rsid w:val="00C80A0E"/>
    <w:rsid w:val="00C80B83"/>
    <w:rsid w:val="00C8213F"/>
    <w:rsid w:val="00C85154"/>
    <w:rsid w:val="00C85948"/>
    <w:rsid w:val="00C8797A"/>
    <w:rsid w:val="00C900B8"/>
    <w:rsid w:val="00C9070B"/>
    <w:rsid w:val="00C90C71"/>
    <w:rsid w:val="00C9102E"/>
    <w:rsid w:val="00C91FD1"/>
    <w:rsid w:val="00C931CF"/>
    <w:rsid w:val="00C938CF"/>
    <w:rsid w:val="00C93AAC"/>
    <w:rsid w:val="00C94053"/>
    <w:rsid w:val="00C9624D"/>
    <w:rsid w:val="00C962F8"/>
    <w:rsid w:val="00C96385"/>
    <w:rsid w:val="00C969DA"/>
    <w:rsid w:val="00CA2C77"/>
    <w:rsid w:val="00CA38C7"/>
    <w:rsid w:val="00CA3A11"/>
    <w:rsid w:val="00CA444F"/>
    <w:rsid w:val="00CA5207"/>
    <w:rsid w:val="00CA5245"/>
    <w:rsid w:val="00CA71F4"/>
    <w:rsid w:val="00CA7B09"/>
    <w:rsid w:val="00CB12A5"/>
    <w:rsid w:val="00CB1CAC"/>
    <w:rsid w:val="00CB2F2A"/>
    <w:rsid w:val="00CB3432"/>
    <w:rsid w:val="00CB3D44"/>
    <w:rsid w:val="00CB54EB"/>
    <w:rsid w:val="00CB5B1A"/>
    <w:rsid w:val="00CB61E6"/>
    <w:rsid w:val="00CB69F7"/>
    <w:rsid w:val="00CB6B22"/>
    <w:rsid w:val="00CB70F4"/>
    <w:rsid w:val="00CB7F5F"/>
    <w:rsid w:val="00CC0461"/>
    <w:rsid w:val="00CC080C"/>
    <w:rsid w:val="00CC1378"/>
    <w:rsid w:val="00CC16E1"/>
    <w:rsid w:val="00CC1B39"/>
    <w:rsid w:val="00CC35EA"/>
    <w:rsid w:val="00CC3848"/>
    <w:rsid w:val="00CC3C6E"/>
    <w:rsid w:val="00CC6882"/>
    <w:rsid w:val="00CD38A9"/>
    <w:rsid w:val="00CD3F77"/>
    <w:rsid w:val="00CD52A8"/>
    <w:rsid w:val="00CD5F6F"/>
    <w:rsid w:val="00CD6ADC"/>
    <w:rsid w:val="00CD7193"/>
    <w:rsid w:val="00CE1A90"/>
    <w:rsid w:val="00CE38C8"/>
    <w:rsid w:val="00CE6274"/>
    <w:rsid w:val="00CE6CA7"/>
    <w:rsid w:val="00CE77B6"/>
    <w:rsid w:val="00CF08EB"/>
    <w:rsid w:val="00CF1546"/>
    <w:rsid w:val="00CF2177"/>
    <w:rsid w:val="00CF296C"/>
    <w:rsid w:val="00CF2B8D"/>
    <w:rsid w:val="00CF335A"/>
    <w:rsid w:val="00CF3A97"/>
    <w:rsid w:val="00CF456B"/>
    <w:rsid w:val="00CF5A22"/>
    <w:rsid w:val="00D0262E"/>
    <w:rsid w:val="00D03CB0"/>
    <w:rsid w:val="00D05E3D"/>
    <w:rsid w:val="00D06139"/>
    <w:rsid w:val="00D066AA"/>
    <w:rsid w:val="00D0775D"/>
    <w:rsid w:val="00D110BD"/>
    <w:rsid w:val="00D1302F"/>
    <w:rsid w:val="00D13675"/>
    <w:rsid w:val="00D13B5A"/>
    <w:rsid w:val="00D141E1"/>
    <w:rsid w:val="00D14354"/>
    <w:rsid w:val="00D15314"/>
    <w:rsid w:val="00D174FA"/>
    <w:rsid w:val="00D17D6C"/>
    <w:rsid w:val="00D2155B"/>
    <w:rsid w:val="00D23D11"/>
    <w:rsid w:val="00D244B6"/>
    <w:rsid w:val="00D24A11"/>
    <w:rsid w:val="00D2754D"/>
    <w:rsid w:val="00D27B27"/>
    <w:rsid w:val="00D3215E"/>
    <w:rsid w:val="00D327E0"/>
    <w:rsid w:val="00D33BE9"/>
    <w:rsid w:val="00D33F93"/>
    <w:rsid w:val="00D350F8"/>
    <w:rsid w:val="00D357FF"/>
    <w:rsid w:val="00D35A85"/>
    <w:rsid w:val="00D41391"/>
    <w:rsid w:val="00D41C10"/>
    <w:rsid w:val="00D424C7"/>
    <w:rsid w:val="00D42855"/>
    <w:rsid w:val="00D43B2A"/>
    <w:rsid w:val="00D43D83"/>
    <w:rsid w:val="00D46895"/>
    <w:rsid w:val="00D47575"/>
    <w:rsid w:val="00D5185C"/>
    <w:rsid w:val="00D51932"/>
    <w:rsid w:val="00D5243B"/>
    <w:rsid w:val="00D52788"/>
    <w:rsid w:val="00D533EC"/>
    <w:rsid w:val="00D5679F"/>
    <w:rsid w:val="00D56A37"/>
    <w:rsid w:val="00D56A95"/>
    <w:rsid w:val="00D60E77"/>
    <w:rsid w:val="00D630C1"/>
    <w:rsid w:val="00D63973"/>
    <w:rsid w:val="00D63D72"/>
    <w:rsid w:val="00D6606F"/>
    <w:rsid w:val="00D67CBD"/>
    <w:rsid w:val="00D70B94"/>
    <w:rsid w:val="00D70F16"/>
    <w:rsid w:val="00D72F57"/>
    <w:rsid w:val="00D7303D"/>
    <w:rsid w:val="00D75524"/>
    <w:rsid w:val="00D766A8"/>
    <w:rsid w:val="00D76A44"/>
    <w:rsid w:val="00D815EF"/>
    <w:rsid w:val="00D81C1A"/>
    <w:rsid w:val="00D81F26"/>
    <w:rsid w:val="00D86231"/>
    <w:rsid w:val="00D9080F"/>
    <w:rsid w:val="00D91923"/>
    <w:rsid w:val="00D9253F"/>
    <w:rsid w:val="00D93407"/>
    <w:rsid w:val="00D93753"/>
    <w:rsid w:val="00DA0317"/>
    <w:rsid w:val="00DA10CB"/>
    <w:rsid w:val="00DA3167"/>
    <w:rsid w:val="00DA36CF"/>
    <w:rsid w:val="00DA4DC3"/>
    <w:rsid w:val="00DA61B6"/>
    <w:rsid w:val="00DA77A5"/>
    <w:rsid w:val="00DB3087"/>
    <w:rsid w:val="00DB3DBF"/>
    <w:rsid w:val="00DB484F"/>
    <w:rsid w:val="00DB4A61"/>
    <w:rsid w:val="00DC02A0"/>
    <w:rsid w:val="00DC04F6"/>
    <w:rsid w:val="00DC0690"/>
    <w:rsid w:val="00DC0BAA"/>
    <w:rsid w:val="00DC0ED1"/>
    <w:rsid w:val="00DC1952"/>
    <w:rsid w:val="00DC1D65"/>
    <w:rsid w:val="00DC2F63"/>
    <w:rsid w:val="00DC3C57"/>
    <w:rsid w:val="00DC5501"/>
    <w:rsid w:val="00DC7154"/>
    <w:rsid w:val="00DC7E8A"/>
    <w:rsid w:val="00DD0F78"/>
    <w:rsid w:val="00DD1AED"/>
    <w:rsid w:val="00DD273C"/>
    <w:rsid w:val="00DD28FD"/>
    <w:rsid w:val="00DD3364"/>
    <w:rsid w:val="00DD3F28"/>
    <w:rsid w:val="00DD4537"/>
    <w:rsid w:val="00DD4E15"/>
    <w:rsid w:val="00DD6A18"/>
    <w:rsid w:val="00DD7B17"/>
    <w:rsid w:val="00DE048F"/>
    <w:rsid w:val="00DE0598"/>
    <w:rsid w:val="00DE2304"/>
    <w:rsid w:val="00DE3138"/>
    <w:rsid w:val="00DE37F8"/>
    <w:rsid w:val="00DE3C14"/>
    <w:rsid w:val="00DE4FCB"/>
    <w:rsid w:val="00DE5D07"/>
    <w:rsid w:val="00DE72A7"/>
    <w:rsid w:val="00DE7832"/>
    <w:rsid w:val="00DE7956"/>
    <w:rsid w:val="00DF0E3F"/>
    <w:rsid w:val="00DF1409"/>
    <w:rsid w:val="00DF18FC"/>
    <w:rsid w:val="00DF4F37"/>
    <w:rsid w:val="00DF5D2B"/>
    <w:rsid w:val="00DF70B0"/>
    <w:rsid w:val="00DF76AE"/>
    <w:rsid w:val="00E003C0"/>
    <w:rsid w:val="00E00E8E"/>
    <w:rsid w:val="00E03492"/>
    <w:rsid w:val="00E03DAD"/>
    <w:rsid w:val="00E048BF"/>
    <w:rsid w:val="00E04DB9"/>
    <w:rsid w:val="00E05630"/>
    <w:rsid w:val="00E06DBB"/>
    <w:rsid w:val="00E070EE"/>
    <w:rsid w:val="00E10149"/>
    <w:rsid w:val="00E11340"/>
    <w:rsid w:val="00E120A7"/>
    <w:rsid w:val="00E12195"/>
    <w:rsid w:val="00E122A1"/>
    <w:rsid w:val="00E12E3A"/>
    <w:rsid w:val="00E16372"/>
    <w:rsid w:val="00E16494"/>
    <w:rsid w:val="00E20E4D"/>
    <w:rsid w:val="00E20ED6"/>
    <w:rsid w:val="00E21358"/>
    <w:rsid w:val="00E2249B"/>
    <w:rsid w:val="00E22886"/>
    <w:rsid w:val="00E22A0D"/>
    <w:rsid w:val="00E2352F"/>
    <w:rsid w:val="00E2365E"/>
    <w:rsid w:val="00E244F6"/>
    <w:rsid w:val="00E2771E"/>
    <w:rsid w:val="00E311EF"/>
    <w:rsid w:val="00E312FB"/>
    <w:rsid w:val="00E32180"/>
    <w:rsid w:val="00E34948"/>
    <w:rsid w:val="00E3512D"/>
    <w:rsid w:val="00E35786"/>
    <w:rsid w:val="00E37569"/>
    <w:rsid w:val="00E401B2"/>
    <w:rsid w:val="00E41D9F"/>
    <w:rsid w:val="00E41E30"/>
    <w:rsid w:val="00E42F73"/>
    <w:rsid w:val="00E43D70"/>
    <w:rsid w:val="00E466F3"/>
    <w:rsid w:val="00E47B2C"/>
    <w:rsid w:val="00E51560"/>
    <w:rsid w:val="00E51DC3"/>
    <w:rsid w:val="00E53FC8"/>
    <w:rsid w:val="00E54347"/>
    <w:rsid w:val="00E55424"/>
    <w:rsid w:val="00E557AC"/>
    <w:rsid w:val="00E55915"/>
    <w:rsid w:val="00E55BB5"/>
    <w:rsid w:val="00E60AEF"/>
    <w:rsid w:val="00E6157A"/>
    <w:rsid w:val="00E62344"/>
    <w:rsid w:val="00E6397E"/>
    <w:rsid w:val="00E65E79"/>
    <w:rsid w:val="00E665B3"/>
    <w:rsid w:val="00E66BA2"/>
    <w:rsid w:val="00E67416"/>
    <w:rsid w:val="00E718B6"/>
    <w:rsid w:val="00E723BA"/>
    <w:rsid w:val="00E73581"/>
    <w:rsid w:val="00E74DF0"/>
    <w:rsid w:val="00E75181"/>
    <w:rsid w:val="00E76280"/>
    <w:rsid w:val="00E76E5F"/>
    <w:rsid w:val="00E774DC"/>
    <w:rsid w:val="00E81167"/>
    <w:rsid w:val="00E833F7"/>
    <w:rsid w:val="00E83BDF"/>
    <w:rsid w:val="00E86403"/>
    <w:rsid w:val="00E87A1D"/>
    <w:rsid w:val="00E9094A"/>
    <w:rsid w:val="00E91D35"/>
    <w:rsid w:val="00E926A5"/>
    <w:rsid w:val="00E92E70"/>
    <w:rsid w:val="00E94593"/>
    <w:rsid w:val="00E947A8"/>
    <w:rsid w:val="00E95FC9"/>
    <w:rsid w:val="00E97296"/>
    <w:rsid w:val="00EA06A3"/>
    <w:rsid w:val="00EA17C3"/>
    <w:rsid w:val="00EA2528"/>
    <w:rsid w:val="00EA2CAA"/>
    <w:rsid w:val="00EA3864"/>
    <w:rsid w:val="00EA7F1C"/>
    <w:rsid w:val="00EB0EFD"/>
    <w:rsid w:val="00EB15B6"/>
    <w:rsid w:val="00EB2D06"/>
    <w:rsid w:val="00EB3D06"/>
    <w:rsid w:val="00EB4916"/>
    <w:rsid w:val="00EB78C4"/>
    <w:rsid w:val="00EC00C9"/>
    <w:rsid w:val="00EC0DD9"/>
    <w:rsid w:val="00EC2649"/>
    <w:rsid w:val="00EC31ED"/>
    <w:rsid w:val="00EC5836"/>
    <w:rsid w:val="00EC5B0B"/>
    <w:rsid w:val="00EC688C"/>
    <w:rsid w:val="00EC752B"/>
    <w:rsid w:val="00ED53FC"/>
    <w:rsid w:val="00ED57EA"/>
    <w:rsid w:val="00ED5BD4"/>
    <w:rsid w:val="00ED6B26"/>
    <w:rsid w:val="00EE07D3"/>
    <w:rsid w:val="00EE1996"/>
    <w:rsid w:val="00EE1C01"/>
    <w:rsid w:val="00EE22AF"/>
    <w:rsid w:val="00EE4ACC"/>
    <w:rsid w:val="00EE577D"/>
    <w:rsid w:val="00EE5C42"/>
    <w:rsid w:val="00EE6A07"/>
    <w:rsid w:val="00EE6BF4"/>
    <w:rsid w:val="00EF0171"/>
    <w:rsid w:val="00EF1B25"/>
    <w:rsid w:val="00EF1DA0"/>
    <w:rsid w:val="00EF264D"/>
    <w:rsid w:val="00EF2CEA"/>
    <w:rsid w:val="00EF4747"/>
    <w:rsid w:val="00EF4BF8"/>
    <w:rsid w:val="00EF5C61"/>
    <w:rsid w:val="00EF7913"/>
    <w:rsid w:val="00F0029A"/>
    <w:rsid w:val="00F00396"/>
    <w:rsid w:val="00F00F06"/>
    <w:rsid w:val="00F01E0A"/>
    <w:rsid w:val="00F02253"/>
    <w:rsid w:val="00F02525"/>
    <w:rsid w:val="00F03C2E"/>
    <w:rsid w:val="00F04A66"/>
    <w:rsid w:val="00F04B4B"/>
    <w:rsid w:val="00F0516C"/>
    <w:rsid w:val="00F053D1"/>
    <w:rsid w:val="00F067A2"/>
    <w:rsid w:val="00F07748"/>
    <w:rsid w:val="00F07B9E"/>
    <w:rsid w:val="00F1116F"/>
    <w:rsid w:val="00F1263A"/>
    <w:rsid w:val="00F15B77"/>
    <w:rsid w:val="00F16ED0"/>
    <w:rsid w:val="00F21059"/>
    <w:rsid w:val="00F226A9"/>
    <w:rsid w:val="00F23E05"/>
    <w:rsid w:val="00F24837"/>
    <w:rsid w:val="00F2575F"/>
    <w:rsid w:val="00F2746E"/>
    <w:rsid w:val="00F27565"/>
    <w:rsid w:val="00F310D4"/>
    <w:rsid w:val="00F31D5A"/>
    <w:rsid w:val="00F335EB"/>
    <w:rsid w:val="00F33975"/>
    <w:rsid w:val="00F33DE9"/>
    <w:rsid w:val="00F35E6D"/>
    <w:rsid w:val="00F3619A"/>
    <w:rsid w:val="00F36CB9"/>
    <w:rsid w:val="00F40AAA"/>
    <w:rsid w:val="00F40BA7"/>
    <w:rsid w:val="00F40F9D"/>
    <w:rsid w:val="00F41ACD"/>
    <w:rsid w:val="00F43F2E"/>
    <w:rsid w:val="00F4525E"/>
    <w:rsid w:val="00F45484"/>
    <w:rsid w:val="00F456ED"/>
    <w:rsid w:val="00F46CB6"/>
    <w:rsid w:val="00F4756D"/>
    <w:rsid w:val="00F47DE8"/>
    <w:rsid w:val="00F50210"/>
    <w:rsid w:val="00F5083F"/>
    <w:rsid w:val="00F52173"/>
    <w:rsid w:val="00F542C1"/>
    <w:rsid w:val="00F55E73"/>
    <w:rsid w:val="00F55EDA"/>
    <w:rsid w:val="00F56C80"/>
    <w:rsid w:val="00F60092"/>
    <w:rsid w:val="00F61C18"/>
    <w:rsid w:val="00F643CF"/>
    <w:rsid w:val="00F64B26"/>
    <w:rsid w:val="00F65F4B"/>
    <w:rsid w:val="00F67A69"/>
    <w:rsid w:val="00F70BFF"/>
    <w:rsid w:val="00F70C9D"/>
    <w:rsid w:val="00F7229E"/>
    <w:rsid w:val="00F74CD9"/>
    <w:rsid w:val="00F75D10"/>
    <w:rsid w:val="00F808D0"/>
    <w:rsid w:val="00F80A7B"/>
    <w:rsid w:val="00F80E5D"/>
    <w:rsid w:val="00F81BFF"/>
    <w:rsid w:val="00F81E78"/>
    <w:rsid w:val="00F83BF9"/>
    <w:rsid w:val="00F851CE"/>
    <w:rsid w:val="00F910FA"/>
    <w:rsid w:val="00F91219"/>
    <w:rsid w:val="00F92444"/>
    <w:rsid w:val="00F93856"/>
    <w:rsid w:val="00F9393E"/>
    <w:rsid w:val="00F94334"/>
    <w:rsid w:val="00F95411"/>
    <w:rsid w:val="00F96FD0"/>
    <w:rsid w:val="00F9750F"/>
    <w:rsid w:val="00F97A78"/>
    <w:rsid w:val="00F97F8C"/>
    <w:rsid w:val="00F97FF4"/>
    <w:rsid w:val="00FA0B20"/>
    <w:rsid w:val="00FA2299"/>
    <w:rsid w:val="00FA24E7"/>
    <w:rsid w:val="00FA26F1"/>
    <w:rsid w:val="00FA5388"/>
    <w:rsid w:val="00FA5EE6"/>
    <w:rsid w:val="00FA7956"/>
    <w:rsid w:val="00FB0A36"/>
    <w:rsid w:val="00FB1B89"/>
    <w:rsid w:val="00FB2FCB"/>
    <w:rsid w:val="00FB390A"/>
    <w:rsid w:val="00FB44ED"/>
    <w:rsid w:val="00FB4AF4"/>
    <w:rsid w:val="00FB6F62"/>
    <w:rsid w:val="00FB7C55"/>
    <w:rsid w:val="00FC1074"/>
    <w:rsid w:val="00FC121A"/>
    <w:rsid w:val="00FC1884"/>
    <w:rsid w:val="00FC19CF"/>
    <w:rsid w:val="00FC231B"/>
    <w:rsid w:val="00FC2921"/>
    <w:rsid w:val="00FC371D"/>
    <w:rsid w:val="00FC5CEC"/>
    <w:rsid w:val="00FC5F0B"/>
    <w:rsid w:val="00FC79A9"/>
    <w:rsid w:val="00FD0C30"/>
    <w:rsid w:val="00FD1A82"/>
    <w:rsid w:val="00FD2100"/>
    <w:rsid w:val="00FD2E23"/>
    <w:rsid w:val="00FD3335"/>
    <w:rsid w:val="00FD436C"/>
    <w:rsid w:val="00FD446D"/>
    <w:rsid w:val="00FD4F2C"/>
    <w:rsid w:val="00FD56F2"/>
    <w:rsid w:val="00FD6394"/>
    <w:rsid w:val="00FD68F2"/>
    <w:rsid w:val="00FE0E6C"/>
    <w:rsid w:val="00FE1CDC"/>
    <w:rsid w:val="00FE260A"/>
    <w:rsid w:val="00FE36BB"/>
    <w:rsid w:val="00FE70C3"/>
    <w:rsid w:val="00FF0DF8"/>
    <w:rsid w:val="00FF1667"/>
    <w:rsid w:val="00FF2AD9"/>
    <w:rsid w:val="00FF359F"/>
    <w:rsid w:val="00FF3DCF"/>
    <w:rsid w:val="00FF45D5"/>
    <w:rsid w:val="00FF47E4"/>
    <w:rsid w:val="00FF492C"/>
    <w:rsid w:val="00FF4A21"/>
    <w:rsid w:val="00FF5AA3"/>
    <w:rsid w:val="00FF5AD8"/>
    <w:rsid w:val="00FF5D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B19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E5F"/>
    <w:pPr>
      <w:jc w:val="both"/>
    </w:pPr>
    <w:rPr>
      <w:rFonts w:ascii="Calibri" w:hAnsi="Calibri"/>
      <w:sz w:val="24"/>
      <w:szCs w:val="24"/>
      <w:lang w:eastAsia="en-GB"/>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aption2,Caption Char1 Char,Caption Char Char Char,Caption Char1 Char Char Char,Caption Char Char Char Char Char,Caption Char Char1 Char,Caption Char1 Char1,- H17,Table Caption,c,! Q"/>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aption2 Char,Caption Char1 Char Char,Caption Char Char Char Char,Caption Char1 Char Char Char Char,Caption Char Char Char Char Char Char,- H17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Dossi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table" w:customStyle="1" w:styleId="Summarybox2">
    <w:name w:val="Summary box2"/>
    <w:basedOn w:val="TableNormal"/>
    <w:uiPriority w:val="59"/>
    <w:rsid w:val="00E86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D00C6"/>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6D00C6"/>
    <w:rPr>
      <w:rFonts w:ascii="Arial Narrow" w:hAnsi="Arial Narrow"/>
      <w:lang w:eastAsia="en-US"/>
    </w:rPr>
  </w:style>
  <w:style w:type="paragraph" w:customStyle="1" w:styleId="PbacTableHeading">
    <w:name w:val="Pbac Table Heading"/>
    <w:basedOn w:val="PBACTableText"/>
    <w:rsid w:val="006D00C6"/>
    <w:pPr>
      <w:spacing w:before="0" w:after="80"/>
    </w:pPr>
    <w:rPr>
      <w:rFonts w:eastAsiaTheme="minorHAnsi" w:cs="Arial"/>
      <w:b/>
    </w:rPr>
  </w:style>
  <w:style w:type="character" w:customStyle="1" w:styleId="UnresolvedMention1">
    <w:name w:val="Unresolved Mention1"/>
    <w:basedOn w:val="DefaultParagraphFont"/>
    <w:uiPriority w:val="99"/>
    <w:semiHidden/>
    <w:unhideWhenUsed/>
    <w:rsid w:val="00204A60"/>
    <w:rPr>
      <w:color w:val="605E5C"/>
      <w:shd w:val="clear" w:color="auto" w:fill="E1DFDD"/>
    </w:rPr>
  </w:style>
  <w:style w:type="table" w:styleId="TableGridLight">
    <w:name w:val="Grid Table Light"/>
    <w:basedOn w:val="TableNormal"/>
    <w:uiPriority w:val="40"/>
    <w:rsid w:val="00877D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uiPriority w:val="21"/>
    <w:qFormat/>
    <w:rsid w:val="00877D79"/>
    <w:rPr>
      <w:b/>
      <w:bCs/>
      <w:i/>
      <w:iCs/>
    </w:rPr>
  </w:style>
  <w:style w:type="character" w:customStyle="1" w:styleId="CaptionFootnoteChar">
    <w:name w:val="Caption Footnote Char"/>
    <w:basedOn w:val="DefaultParagraphFont"/>
    <w:link w:val="CaptionFootnote"/>
    <w:rsid w:val="00877D79"/>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877D79"/>
    <w:rPr>
      <w:rFonts w:asciiTheme="minorHAnsi" w:hAnsiTheme="minorHAnsi"/>
      <w:kern w:val="28"/>
      <w:sz w:val="16"/>
    </w:rPr>
  </w:style>
  <w:style w:type="character" w:customStyle="1" w:styleId="Small">
    <w:name w:val="Small"/>
    <w:basedOn w:val="DefaultParagraphFont"/>
    <w:uiPriority w:val="4"/>
    <w:qFormat/>
    <w:rsid w:val="00877D79"/>
    <w:rPr>
      <w:rFonts w:ascii="Calibri" w:hAnsi="Calibri"/>
      <w:sz w:val="20"/>
    </w:rPr>
  </w:style>
  <w:style w:type="paragraph" w:customStyle="1" w:styleId="TableLeft">
    <w:name w:val="Table Left"/>
    <w:basedOn w:val="Normal"/>
    <w:link w:val="TableLeftChar"/>
    <w:uiPriority w:val="99"/>
    <w:qFormat/>
    <w:rsid w:val="00877D79"/>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877D79"/>
    <w:rPr>
      <w:rFonts w:ascii="Calibri" w:eastAsiaTheme="majorEastAsia" w:hAnsi="Calibri" w:cstheme="majorBidi"/>
      <w:sz w:val="18"/>
      <w:szCs w:val="22"/>
      <w:lang w:eastAsia="en-US" w:bidi="en-US"/>
    </w:rPr>
  </w:style>
  <w:style w:type="character" w:customStyle="1" w:styleId="SmallBold">
    <w:name w:val="Small Bold"/>
    <w:basedOn w:val="Small"/>
    <w:uiPriority w:val="4"/>
    <w:qFormat/>
    <w:rsid w:val="00877D79"/>
    <w:rPr>
      <w:rFonts w:ascii="Calibri" w:hAnsi="Calibri"/>
      <w:b/>
      <w:sz w:val="20"/>
      <w:lang w:val="en-AU"/>
    </w:rPr>
  </w:style>
  <w:style w:type="paragraph" w:customStyle="1" w:styleId="TableBullets">
    <w:name w:val="Table Bullets"/>
    <w:basedOn w:val="TableLeft"/>
    <w:uiPriority w:val="5"/>
    <w:qFormat/>
    <w:rsid w:val="00877D79"/>
    <w:pPr>
      <w:numPr>
        <w:numId w:val="17"/>
      </w:numPr>
      <w:ind w:left="432" w:hanging="432"/>
    </w:pPr>
  </w:style>
  <w:style w:type="table" w:customStyle="1" w:styleId="TableGrid1">
    <w:name w:val="Table Grid1"/>
    <w:basedOn w:val="TableNormal"/>
    <w:next w:val="TableGrid"/>
    <w:uiPriority w:val="59"/>
    <w:rsid w:val="00877D7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ubmissionstandard1">
    <w:name w:val="Submission standard1"/>
    <w:basedOn w:val="TableNormal"/>
    <w:uiPriority w:val="99"/>
    <w:qFormat/>
    <w:rsid w:val="00877D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arlett" w:hAnsi="Marlett"/>
        <w:b/>
        <w:sz w:val="20"/>
      </w:rPr>
      <w:tblPr/>
      <w:tcPr>
        <w:shd w:val="clear" w:color="auto" w:fill="BFBFBF" w:themeFill="background1" w:themeFillShade="BF"/>
      </w:tcPr>
    </w:tblStylePr>
  </w:style>
  <w:style w:type="table" w:customStyle="1" w:styleId="Submissionstandard3">
    <w:name w:val="Submission standard3"/>
    <w:basedOn w:val="TableNormal"/>
    <w:uiPriority w:val="99"/>
    <w:qFormat/>
    <w:rsid w:val="00877D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Elephant" w:hAnsi="Elephant"/>
        <w:b/>
        <w:sz w:val="20"/>
      </w:rPr>
      <w:tblPr/>
      <w:tcPr>
        <w:shd w:val="clear" w:color="auto" w:fill="BFBFBF" w:themeFill="background1" w:themeFillShade="BF"/>
      </w:tcPr>
    </w:tblStylePr>
  </w:style>
  <w:style w:type="paragraph" w:styleId="FootnoteText">
    <w:name w:val="footnote text"/>
    <w:basedOn w:val="Normal"/>
    <w:link w:val="FootnoteTextChar"/>
    <w:semiHidden/>
    <w:unhideWhenUsed/>
    <w:rsid w:val="00E51DC3"/>
    <w:rPr>
      <w:sz w:val="20"/>
      <w:szCs w:val="20"/>
    </w:rPr>
  </w:style>
  <w:style w:type="character" w:customStyle="1" w:styleId="FootnoteTextChar">
    <w:name w:val="Footnote Text Char"/>
    <w:basedOn w:val="DefaultParagraphFont"/>
    <w:link w:val="FootnoteText"/>
    <w:semiHidden/>
    <w:rsid w:val="00E51DC3"/>
    <w:rPr>
      <w:rFonts w:ascii="Calibri" w:hAnsi="Calibri" w:cs="Arial"/>
    </w:rPr>
  </w:style>
  <w:style w:type="character" w:styleId="FootnoteReference">
    <w:name w:val="footnote reference"/>
    <w:basedOn w:val="DefaultParagraphFont"/>
    <w:semiHidden/>
    <w:unhideWhenUsed/>
    <w:rsid w:val="00E51DC3"/>
    <w:rPr>
      <w:vertAlign w:val="superscript"/>
    </w:rPr>
  </w:style>
  <w:style w:type="character" w:styleId="EndnoteReference">
    <w:name w:val="endnote reference"/>
    <w:basedOn w:val="DefaultParagraphFont"/>
    <w:uiPriority w:val="99"/>
    <w:semiHidden/>
    <w:unhideWhenUsed/>
    <w:rsid w:val="00DE0598"/>
    <w:rPr>
      <w:vertAlign w:val="superscript"/>
    </w:rPr>
  </w:style>
  <w:style w:type="paragraph" w:customStyle="1" w:styleId="NormalBullets">
    <w:name w:val="Normal Bullets"/>
    <w:basedOn w:val="Normal"/>
    <w:uiPriority w:val="3"/>
    <w:qFormat/>
    <w:rsid w:val="00A408B7"/>
    <w:pPr>
      <w:numPr>
        <w:numId w:val="22"/>
      </w:numPr>
      <w:spacing w:after="240" w:line="276" w:lineRule="auto"/>
      <w:ind w:left="357" w:hanging="357"/>
      <w:contextualSpacing/>
    </w:pPr>
    <w:rPr>
      <w:rFonts w:eastAsiaTheme="majorEastAsia" w:cstheme="majorBidi"/>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61492916">
      <w:bodyDiv w:val="1"/>
      <w:marLeft w:val="0"/>
      <w:marRight w:val="0"/>
      <w:marTop w:val="0"/>
      <w:marBottom w:val="0"/>
      <w:divBdr>
        <w:top w:val="none" w:sz="0" w:space="0" w:color="auto"/>
        <w:left w:val="none" w:sz="0" w:space="0" w:color="auto"/>
        <w:bottom w:val="none" w:sz="0" w:space="0" w:color="auto"/>
        <w:right w:val="none" w:sz="0" w:space="0" w:color="auto"/>
      </w:divBdr>
      <w:divsChild>
        <w:div w:id="1827821995">
          <w:marLeft w:val="0"/>
          <w:marRight w:val="0"/>
          <w:marTop w:val="0"/>
          <w:marBottom w:val="0"/>
          <w:divBdr>
            <w:top w:val="none" w:sz="0" w:space="0" w:color="auto"/>
            <w:left w:val="none" w:sz="0" w:space="0" w:color="auto"/>
            <w:bottom w:val="none" w:sz="0" w:space="0" w:color="auto"/>
            <w:right w:val="none" w:sz="0" w:space="0" w:color="auto"/>
          </w:divBdr>
          <w:divsChild>
            <w:div w:id="804196496">
              <w:marLeft w:val="0"/>
              <w:marRight w:val="0"/>
              <w:marTop w:val="0"/>
              <w:marBottom w:val="0"/>
              <w:divBdr>
                <w:top w:val="none" w:sz="0" w:space="0" w:color="auto"/>
                <w:left w:val="none" w:sz="0" w:space="0" w:color="auto"/>
                <w:bottom w:val="none" w:sz="0" w:space="0" w:color="auto"/>
                <w:right w:val="none" w:sz="0" w:space="0" w:color="auto"/>
              </w:divBdr>
              <w:divsChild>
                <w:div w:id="10851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52990196">
      <w:bodyDiv w:val="1"/>
      <w:marLeft w:val="0"/>
      <w:marRight w:val="0"/>
      <w:marTop w:val="0"/>
      <w:marBottom w:val="0"/>
      <w:divBdr>
        <w:top w:val="none" w:sz="0" w:space="0" w:color="auto"/>
        <w:left w:val="none" w:sz="0" w:space="0" w:color="auto"/>
        <w:bottom w:val="none" w:sz="0" w:space="0" w:color="auto"/>
        <w:right w:val="none" w:sz="0" w:space="0" w:color="auto"/>
      </w:divBdr>
      <w:divsChild>
        <w:div w:id="1997686770">
          <w:marLeft w:val="0"/>
          <w:marRight w:val="0"/>
          <w:marTop w:val="0"/>
          <w:marBottom w:val="0"/>
          <w:divBdr>
            <w:top w:val="none" w:sz="0" w:space="0" w:color="auto"/>
            <w:left w:val="none" w:sz="0" w:space="0" w:color="auto"/>
            <w:bottom w:val="none" w:sz="0" w:space="0" w:color="auto"/>
            <w:right w:val="none" w:sz="0" w:space="0" w:color="auto"/>
          </w:divBdr>
          <w:divsChild>
            <w:div w:id="1231386268">
              <w:marLeft w:val="0"/>
              <w:marRight w:val="0"/>
              <w:marTop w:val="0"/>
              <w:marBottom w:val="0"/>
              <w:divBdr>
                <w:top w:val="none" w:sz="0" w:space="0" w:color="auto"/>
                <w:left w:val="none" w:sz="0" w:space="0" w:color="auto"/>
                <w:bottom w:val="none" w:sz="0" w:space="0" w:color="auto"/>
                <w:right w:val="none" w:sz="0" w:space="0" w:color="auto"/>
              </w:divBdr>
              <w:divsChild>
                <w:div w:id="10839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6840">
      <w:bodyDiv w:val="1"/>
      <w:marLeft w:val="0"/>
      <w:marRight w:val="0"/>
      <w:marTop w:val="0"/>
      <w:marBottom w:val="0"/>
      <w:divBdr>
        <w:top w:val="none" w:sz="0" w:space="0" w:color="auto"/>
        <w:left w:val="none" w:sz="0" w:space="0" w:color="auto"/>
        <w:bottom w:val="none" w:sz="0" w:space="0" w:color="auto"/>
        <w:right w:val="none" w:sz="0" w:space="0" w:color="auto"/>
      </w:divBdr>
    </w:div>
    <w:div w:id="692993733">
      <w:bodyDiv w:val="1"/>
      <w:marLeft w:val="0"/>
      <w:marRight w:val="0"/>
      <w:marTop w:val="0"/>
      <w:marBottom w:val="0"/>
      <w:divBdr>
        <w:top w:val="none" w:sz="0" w:space="0" w:color="auto"/>
        <w:left w:val="none" w:sz="0" w:space="0" w:color="auto"/>
        <w:bottom w:val="none" w:sz="0" w:space="0" w:color="auto"/>
        <w:right w:val="none" w:sz="0" w:space="0" w:color="auto"/>
      </w:divBdr>
      <w:divsChild>
        <w:div w:id="876815981">
          <w:marLeft w:val="0"/>
          <w:marRight w:val="0"/>
          <w:marTop w:val="0"/>
          <w:marBottom w:val="0"/>
          <w:divBdr>
            <w:top w:val="none" w:sz="0" w:space="0" w:color="auto"/>
            <w:left w:val="none" w:sz="0" w:space="0" w:color="auto"/>
            <w:bottom w:val="none" w:sz="0" w:space="0" w:color="auto"/>
            <w:right w:val="none" w:sz="0" w:space="0" w:color="auto"/>
          </w:divBdr>
          <w:divsChild>
            <w:div w:id="219177061">
              <w:marLeft w:val="0"/>
              <w:marRight w:val="0"/>
              <w:marTop w:val="0"/>
              <w:marBottom w:val="0"/>
              <w:divBdr>
                <w:top w:val="none" w:sz="0" w:space="0" w:color="auto"/>
                <w:left w:val="none" w:sz="0" w:space="0" w:color="auto"/>
                <w:bottom w:val="none" w:sz="0" w:space="0" w:color="auto"/>
                <w:right w:val="none" w:sz="0" w:space="0" w:color="auto"/>
              </w:divBdr>
              <w:divsChild>
                <w:div w:id="549806374">
                  <w:marLeft w:val="0"/>
                  <w:marRight w:val="0"/>
                  <w:marTop w:val="0"/>
                  <w:marBottom w:val="0"/>
                  <w:divBdr>
                    <w:top w:val="none" w:sz="0" w:space="0" w:color="auto"/>
                    <w:left w:val="none" w:sz="0" w:space="0" w:color="auto"/>
                    <w:bottom w:val="none" w:sz="0" w:space="0" w:color="auto"/>
                    <w:right w:val="none" w:sz="0" w:space="0" w:color="auto"/>
                  </w:divBdr>
                  <w:divsChild>
                    <w:div w:id="7401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8882">
      <w:bodyDiv w:val="1"/>
      <w:marLeft w:val="0"/>
      <w:marRight w:val="0"/>
      <w:marTop w:val="0"/>
      <w:marBottom w:val="0"/>
      <w:divBdr>
        <w:top w:val="none" w:sz="0" w:space="0" w:color="auto"/>
        <w:left w:val="none" w:sz="0" w:space="0" w:color="auto"/>
        <w:bottom w:val="none" w:sz="0" w:space="0" w:color="auto"/>
        <w:right w:val="none" w:sz="0" w:space="0" w:color="auto"/>
      </w:divBdr>
      <w:divsChild>
        <w:div w:id="1820266925">
          <w:marLeft w:val="0"/>
          <w:marRight w:val="0"/>
          <w:marTop w:val="0"/>
          <w:marBottom w:val="0"/>
          <w:divBdr>
            <w:top w:val="none" w:sz="0" w:space="0" w:color="auto"/>
            <w:left w:val="none" w:sz="0" w:space="0" w:color="auto"/>
            <w:bottom w:val="none" w:sz="0" w:space="0" w:color="auto"/>
            <w:right w:val="none" w:sz="0" w:space="0" w:color="auto"/>
          </w:divBdr>
          <w:divsChild>
            <w:div w:id="1793093636">
              <w:marLeft w:val="0"/>
              <w:marRight w:val="0"/>
              <w:marTop w:val="0"/>
              <w:marBottom w:val="0"/>
              <w:divBdr>
                <w:top w:val="none" w:sz="0" w:space="0" w:color="auto"/>
                <w:left w:val="none" w:sz="0" w:space="0" w:color="auto"/>
                <w:bottom w:val="none" w:sz="0" w:space="0" w:color="auto"/>
                <w:right w:val="none" w:sz="0" w:space="0" w:color="auto"/>
              </w:divBdr>
              <w:divsChild>
                <w:div w:id="777527348">
                  <w:marLeft w:val="0"/>
                  <w:marRight w:val="0"/>
                  <w:marTop w:val="0"/>
                  <w:marBottom w:val="0"/>
                  <w:divBdr>
                    <w:top w:val="none" w:sz="0" w:space="0" w:color="auto"/>
                    <w:left w:val="none" w:sz="0" w:space="0" w:color="auto"/>
                    <w:bottom w:val="none" w:sz="0" w:space="0" w:color="auto"/>
                    <w:right w:val="none" w:sz="0" w:space="0" w:color="auto"/>
                  </w:divBdr>
                  <w:divsChild>
                    <w:div w:id="2353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90767">
      <w:bodyDiv w:val="1"/>
      <w:marLeft w:val="0"/>
      <w:marRight w:val="0"/>
      <w:marTop w:val="0"/>
      <w:marBottom w:val="0"/>
      <w:divBdr>
        <w:top w:val="none" w:sz="0" w:space="0" w:color="auto"/>
        <w:left w:val="none" w:sz="0" w:space="0" w:color="auto"/>
        <w:bottom w:val="none" w:sz="0" w:space="0" w:color="auto"/>
        <w:right w:val="none" w:sz="0" w:space="0" w:color="auto"/>
      </w:divBdr>
    </w:div>
    <w:div w:id="108731434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4553">
      <w:bodyDiv w:val="1"/>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530845965">
              <w:marLeft w:val="0"/>
              <w:marRight w:val="0"/>
              <w:marTop w:val="0"/>
              <w:marBottom w:val="0"/>
              <w:divBdr>
                <w:top w:val="none" w:sz="0" w:space="0" w:color="auto"/>
                <w:left w:val="none" w:sz="0" w:space="0" w:color="auto"/>
                <w:bottom w:val="none" w:sz="0" w:space="0" w:color="auto"/>
                <w:right w:val="none" w:sz="0" w:space="0" w:color="auto"/>
              </w:divBdr>
              <w:divsChild>
                <w:div w:id="19164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1312">
      <w:bodyDiv w:val="1"/>
      <w:marLeft w:val="0"/>
      <w:marRight w:val="0"/>
      <w:marTop w:val="0"/>
      <w:marBottom w:val="0"/>
      <w:divBdr>
        <w:top w:val="none" w:sz="0" w:space="0" w:color="auto"/>
        <w:left w:val="none" w:sz="0" w:space="0" w:color="auto"/>
        <w:bottom w:val="none" w:sz="0" w:space="0" w:color="auto"/>
        <w:right w:val="none" w:sz="0" w:space="0" w:color="auto"/>
      </w:divBdr>
      <w:divsChild>
        <w:div w:id="57753426">
          <w:marLeft w:val="0"/>
          <w:marRight w:val="0"/>
          <w:marTop w:val="0"/>
          <w:marBottom w:val="0"/>
          <w:divBdr>
            <w:top w:val="none" w:sz="0" w:space="0" w:color="auto"/>
            <w:left w:val="none" w:sz="0" w:space="0" w:color="auto"/>
            <w:bottom w:val="none" w:sz="0" w:space="0" w:color="auto"/>
            <w:right w:val="none" w:sz="0" w:space="0" w:color="auto"/>
          </w:divBdr>
          <w:divsChild>
            <w:div w:id="2110806946">
              <w:marLeft w:val="0"/>
              <w:marRight w:val="0"/>
              <w:marTop w:val="0"/>
              <w:marBottom w:val="0"/>
              <w:divBdr>
                <w:top w:val="none" w:sz="0" w:space="0" w:color="auto"/>
                <w:left w:val="none" w:sz="0" w:space="0" w:color="auto"/>
                <w:bottom w:val="none" w:sz="0" w:space="0" w:color="auto"/>
                <w:right w:val="none" w:sz="0" w:space="0" w:color="auto"/>
              </w:divBdr>
              <w:divsChild>
                <w:div w:id="17857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0757">
      <w:bodyDiv w:val="1"/>
      <w:marLeft w:val="0"/>
      <w:marRight w:val="0"/>
      <w:marTop w:val="0"/>
      <w:marBottom w:val="0"/>
      <w:divBdr>
        <w:top w:val="none" w:sz="0" w:space="0" w:color="auto"/>
        <w:left w:val="none" w:sz="0" w:space="0" w:color="auto"/>
        <w:bottom w:val="none" w:sz="0" w:space="0" w:color="auto"/>
        <w:right w:val="none" w:sz="0" w:space="0" w:color="auto"/>
      </w:divBdr>
    </w:div>
    <w:div w:id="1742555240">
      <w:bodyDiv w:val="1"/>
      <w:marLeft w:val="0"/>
      <w:marRight w:val="0"/>
      <w:marTop w:val="0"/>
      <w:marBottom w:val="0"/>
      <w:divBdr>
        <w:top w:val="none" w:sz="0" w:space="0" w:color="auto"/>
        <w:left w:val="none" w:sz="0" w:space="0" w:color="auto"/>
        <w:bottom w:val="none" w:sz="0" w:space="0" w:color="auto"/>
        <w:right w:val="none" w:sz="0" w:space="0" w:color="auto"/>
      </w:divBdr>
      <w:divsChild>
        <w:div w:id="89588435">
          <w:marLeft w:val="0"/>
          <w:marRight w:val="0"/>
          <w:marTop w:val="0"/>
          <w:marBottom w:val="0"/>
          <w:divBdr>
            <w:top w:val="none" w:sz="0" w:space="0" w:color="auto"/>
            <w:left w:val="none" w:sz="0" w:space="0" w:color="auto"/>
            <w:bottom w:val="none" w:sz="0" w:space="0" w:color="auto"/>
            <w:right w:val="none" w:sz="0" w:space="0" w:color="auto"/>
          </w:divBdr>
          <w:divsChild>
            <w:div w:id="1961493654">
              <w:marLeft w:val="0"/>
              <w:marRight w:val="0"/>
              <w:marTop w:val="0"/>
              <w:marBottom w:val="0"/>
              <w:divBdr>
                <w:top w:val="none" w:sz="0" w:space="0" w:color="auto"/>
                <w:left w:val="none" w:sz="0" w:space="0" w:color="auto"/>
                <w:bottom w:val="none" w:sz="0" w:space="0" w:color="auto"/>
                <w:right w:val="none" w:sz="0" w:space="0" w:color="auto"/>
              </w:divBdr>
              <w:divsChild>
                <w:div w:id="405957632">
                  <w:marLeft w:val="0"/>
                  <w:marRight w:val="0"/>
                  <w:marTop w:val="0"/>
                  <w:marBottom w:val="0"/>
                  <w:divBdr>
                    <w:top w:val="none" w:sz="0" w:space="0" w:color="auto"/>
                    <w:left w:val="none" w:sz="0" w:space="0" w:color="auto"/>
                    <w:bottom w:val="none" w:sz="0" w:space="0" w:color="auto"/>
                    <w:right w:val="none" w:sz="0" w:space="0" w:color="auto"/>
                  </w:divBdr>
                  <w:divsChild>
                    <w:div w:id="7145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31441">
      <w:bodyDiv w:val="1"/>
      <w:marLeft w:val="0"/>
      <w:marRight w:val="0"/>
      <w:marTop w:val="0"/>
      <w:marBottom w:val="0"/>
      <w:divBdr>
        <w:top w:val="none" w:sz="0" w:space="0" w:color="auto"/>
        <w:left w:val="none" w:sz="0" w:space="0" w:color="auto"/>
        <w:bottom w:val="none" w:sz="0" w:space="0" w:color="auto"/>
        <w:right w:val="none" w:sz="0" w:space="0" w:color="auto"/>
      </w:divBdr>
      <w:divsChild>
        <w:div w:id="1497571286">
          <w:marLeft w:val="0"/>
          <w:marRight w:val="0"/>
          <w:marTop w:val="0"/>
          <w:marBottom w:val="0"/>
          <w:divBdr>
            <w:top w:val="none" w:sz="0" w:space="0" w:color="auto"/>
            <w:left w:val="none" w:sz="0" w:space="0" w:color="auto"/>
            <w:bottom w:val="none" w:sz="0" w:space="0" w:color="auto"/>
            <w:right w:val="none" w:sz="0" w:space="0" w:color="auto"/>
          </w:divBdr>
          <w:divsChild>
            <w:div w:id="1543056593">
              <w:marLeft w:val="0"/>
              <w:marRight w:val="0"/>
              <w:marTop w:val="0"/>
              <w:marBottom w:val="0"/>
              <w:divBdr>
                <w:top w:val="none" w:sz="0" w:space="0" w:color="auto"/>
                <w:left w:val="none" w:sz="0" w:space="0" w:color="auto"/>
                <w:bottom w:val="none" w:sz="0" w:space="0" w:color="auto"/>
                <w:right w:val="none" w:sz="0" w:space="0" w:color="auto"/>
              </w:divBdr>
              <w:divsChild>
                <w:div w:id="4218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0A6F-6F57-47D6-A50F-481821E4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7615</Words>
  <Characters>41846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2021-11-01T10:43:00Z</dcterms:created>
  <dcterms:modified xsi:type="dcterms:W3CDTF">2024-07-23T00:06:00Z</dcterms:modified>
</cp:coreProperties>
</file>