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732139" w:rsidRDefault="00531FF1" w:rsidP="006965F1">
      <w:pPr>
        <w:pStyle w:val="1-MainHeading"/>
        <w:keepLines/>
      </w:pPr>
      <w:bookmarkStart w:id="0" w:name="_GoBack"/>
      <w:bookmarkEnd w:id="0"/>
      <w:r w:rsidRPr="00732139">
        <w:t>7</w:t>
      </w:r>
      <w:r w:rsidR="00433044" w:rsidRPr="00732139">
        <w:t>.</w:t>
      </w:r>
      <w:r w:rsidRPr="00732139">
        <w:t>04</w:t>
      </w:r>
      <w:r w:rsidR="00163F66" w:rsidRPr="00732139">
        <w:tab/>
      </w:r>
      <w:r w:rsidR="001C0AFE" w:rsidRPr="00732139">
        <w:t>RAVULIZUMAB</w:t>
      </w:r>
      <w:r w:rsidR="00163F66" w:rsidRPr="00732139">
        <w:t>,</w:t>
      </w:r>
      <w:r w:rsidR="00163F66" w:rsidRPr="00732139">
        <w:br/>
      </w:r>
      <w:r w:rsidR="00017475" w:rsidRPr="00732139">
        <w:t>Solution concentrat</w:t>
      </w:r>
      <w:r w:rsidR="001F1A90" w:rsidRPr="00732139">
        <w:t>e for I.V. infusion 300 mg in 3 </w:t>
      </w:r>
      <w:r w:rsidR="00017475" w:rsidRPr="00732139">
        <w:t>mL, Solution concentrate for I.V. infusion 1,100 mg in 11</w:t>
      </w:r>
      <w:r w:rsidR="001F1A90" w:rsidRPr="00732139">
        <w:t> </w:t>
      </w:r>
      <w:r w:rsidR="00017475" w:rsidRPr="00732139">
        <w:t>mL</w:t>
      </w:r>
      <w:r w:rsidR="00163F66" w:rsidRPr="00732139">
        <w:t>,</w:t>
      </w:r>
      <w:r w:rsidR="00163F66" w:rsidRPr="00732139">
        <w:br/>
      </w:r>
      <w:r w:rsidR="00E87E5C" w:rsidRPr="00732139">
        <w:t>Ultomiris®</w:t>
      </w:r>
      <w:r w:rsidR="004A6040" w:rsidRPr="00732139">
        <w:t>,</w:t>
      </w:r>
      <w:r w:rsidR="004A6040" w:rsidRPr="00732139">
        <w:br/>
      </w:r>
      <w:r w:rsidR="002F02C7" w:rsidRPr="00732139">
        <w:t>Alexion Pharmaceuticals Australasia Pty Ltd</w:t>
      </w:r>
      <w:r w:rsidR="00B60939" w:rsidRPr="00732139">
        <w:t>.</w:t>
      </w:r>
    </w:p>
    <w:p w:rsidR="001F0CCA" w:rsidRPr="00732139" w:rsidRDefault="001F0CCA" w:rsidP="006965F1">
      <w:pPr>
        <w:pStyle w:val="1-MainHeading"/>
        <w:keepLines/>
      </w:pPr>
      <w:r w:rsidRPr="00732139">
        <w:tab/>
      </w:r>
      <w:r w:rsidR="008B57A9" w:rsidRPr="00732139">
        <w:t>ECULIZUMAB</w:t>
      </w:r>
    </w:p>
    <w:p w:rsidR="008B57A9" w:rsidRPr="00732139" w:rsidRDefault="008B57A9" w:rsidP="006965F1">
      <w:pPr>
        <w:pStyle w:val="1-MainHeading"/>
        <w:keepLines/>
        <w:spacing w:after="0"/>
      </w:pPr>
      <w:r w:rsidRPr="00732139">
        <w:tab/>
        <w:t xml:space="preserve">Solution concentrate for I.V. infusion 300 mg in </w:t>
      </w:r>
      <w:r w:rsidRPr="00732139">
        <w:br/>
        <w:t xml:space="preserve">30 mL, </w:t>
      </w:r>
    </w:p>
    <w:p w:rsidR="008B57A9" w:rsidRPr="00732139" w:rsidRDefault="008B57A9" w:rsidP="006965F1">
      <w:pPr>
        <w:pStyle w:val="1-MainHeading"/>
        <w:keepLines/>
        <w:spacing w:before="0"/>
        <w:ind w:firstLine="0"/>
      </w:pPr>
      <w:r w:rsidRPr="00732139">
        <w:t>Soliris®,</w:t>
      </w:r>
      <w:r w:rsidRPr="00732139">
        <w:br/>
        <w:t xml:space="preserve">Alexion Pharmaceuticals Australasia Pty Ltd. </w:t>
      </w:r>
    </w:p>
    <w:p w:rsidR="00B50DB8" w:rsidRPr="00732139" w:rsidRDefault="00B50DB8" w:rsidP="004A6040">
      <w:pPr>
        <w:pStyle w:val="2-SectionHeading"/>
      </w:pPr>
      <w:bookmarkStart w:id="1" w:name="_Toc72331246"/>
      <w:r w:rsidRPr="00732139">
        <w:t xml:space="preserve">Purpose of </w:t>
      </w:r>
      <w:r w:rsidR="00CD7193" w:rsidRPr="00732139">
        <w:t>s</w:t>
      </w:r>
      <w:r w:rsidR="00BB3A45" w:rsidRPr="00732139">
        <w:t>ubmission</w:t>
      </w:r>
      <w:bookmarkEnd w:id="1"/>
    </w:p>
    <w:p w:rsidR="002C2775" w:rsidRPr="00732139" w:rsidRDefault="007170DA" w:rsidP="004E18E9">
      <w:pPr>
        <w:pStyle w:val="ExecSumBodyText"/>
      </w:pPr>
      <w:r w:rsidRPr="00732139">
        <w:t>The</w:t>
      </w:r>
      <w:r w:rsidR="00B32FB5">
        <w:t xml:space="preserve"> standard re-entry </w:t>
      </w:r>
      <w:r w:rsidR="00B03EC9" w:rsidRPr="00732139">
        <w:t>re</w:t>
      </w:r>
      <w:r w:rsidRPr="00732139">
        <w:t xml:space="preserve">submission requested </w:t>
      </w:r>
      <w:r w:rsidR="008577F7" w:rsidRPr="00732139">
        <w:t xml:space="preserve">a </w:t>
      </w:r>
      <w:r w:rsidR="008B1757" w:rsidRPr="00732139">
        <w:t>Section 100</w:t>
      </w:r>
      <w:r w:rsidR="00705C78" w:rsidRPr="00732139">
        <w:t>,</w:t>
      </w:r>
      <w:r w:rsidR="008577F7" w:rsidRPr="00732139">
        <w:t xml:space="preserve"> </w:t>
      </w:r>
      <w:r w:rsidR="008B1757" w:rsidRPr="00732139">
        <w:t xml:space="preserve">Authority Required listing for </w:t>
      </w:r>
      <w:r w:rsidR="00705C78" w:rsidRPr="00732139">
        <w:t xml:space="preserve">ravulizumab </w:t>
      </w:r>
      <w:r w:rsidR="008B1757" w:rsidRPr="00732139">
        <w:t xml:space="preserve">for </w:t>
      </w:r>
      <w:r w:rsidR="0050174E" w:rsidRPr="00732139">
        <w:t xml:space="preserve">the </w:t>
      </w:r>
      <w:r w:rsidR="008B1757" w:rsidRPr="00732139">
        <w:t xml:space="preserve">treatment of </w:t>
      </w:r>
      <w:r w:rsidR="00705C78" w:rsidRPr="00732139">
        <w:t>adults with paroxysmal nocturnal haemoglobinuria (PNH)</w:t>
      </w:r>
      <w:r w:rsidR="008B1757" w:rsidRPr="00732139">
        <w:t xml:space="preserve">. </w:t>
      </w:r>
    </w:p>
    <w:p w:rsidR="006318FE" w:rsidRPr="00732139" w:rsidRDefault="006318FE" w:rsidP="004E18E9">
      <w:pPr>
        <w:pStyle w:val="ExecSumBodyText"/>
      </w:pPr>
      <w:r w:rsidRPr="00732139">
        <w:t xml:space="preserve">The </w:t>
      </w:r>
      <w:r w:rsidR="00EC358D" w:rsidRPr="00732139">
        <w:t xml:space="preserve">resubmission aimed </w:t>
      </w:r>
      <w:r w:rsidR="00732139">
        <w:t xml:space="preserve">to </w:t>
      </w:r>
      <w:r w:rsidR="00EC358D" w:rsidRPr="00732139">
        <w:t>address</w:t>
      </w:r>
      <w:r w:rsidR="00732139">
        <w:t xml:space="preserve"> </w:t>
      </w:r>
      <w:r w:rsidR="00EC358D" w:rsidRPr="00732139">
        <w:t xml:space="preserve">concerns expressed by the PBAC </w:t>
      </w:r>
      <w:r w:rsidR="00732139">
        <w:t xml:space="preserve">with </w:t>
      </w:r>
      <w:r w:rsidR="00EC358D" w:rsidRPr="00732139">
        <w:t xml:space="preserve">the July </w:t>
      </w:r>
      <w:r w:rsidR="001532E1" w:rsidRPr="00732139">
        <w:t xml:space="preserve">2020 </w:t>
      </w:r>
      <w:r w:rsidR="00EC358D" w:rsidRPr="00732139">
        <w:t xml:space="preserve">ravulizumab </w:t>
      </w:r>
      <w:r w:rsidR="001532E1" w:rsidRPr="00732139">
        <w:t xml:space="preserve">submission </w:t>
      </w:r>
      <w:r w:rsidR="00EC358D" w:rsidRPr="00732139">
        <w:t>for PNH</w:t>
      </w:r>
      <w:r w:rsidR="00895B49" w:rsidRPr="00732139">
        <w:t xml:space="preserve"> </w:t>
      </w:r>
      <w:r w:rsidR="00DD6881" w:rsidRPr="00732139">
        <w:t xml:space="preserve">as well as </w:t>
      </w:r>
      <w:r w:rsidR="0003541E" w:rsidRPr="00732139">
        <w:t xml:space="preserve">the </w:t>
      </w:r>
      <w:r w:rsidR="00895B49" w:rsidRPr="00732139">
        <w:t xml:space="preserve">PBAC’s </w:t>
      </w:r>
      <w:r w:rsidR="0003541E" w:rsidRPr="00732139">
        <w:t xml:space="preserve">July 2020 </w:t>
      </w:r>
      <w:r w:rsidR="00895B49" w:rsidRPr="00732139">
        <w:t>request</w:t>
      </w:r>
      <w:r w:rsidR="003B70FA" w:rsidRPr="00732139">
        <w:t xml:space="preserve"> for a cost-effectiveness analysis of eculizumab versus best supportive care (BSC)</w:t>
      </w:r>
      <w:r w:rsidR="00EC358D" w:rsidRPr="00732139">
        <w:t>.</w:t>
      </w:r>
    </w:p>
    <w:p w:rsidR="0046435D" w:rsidRPr="00732139" w:rsidRDefault="005750C5" w:rsidP="004E18E9">
      <w:pPr>
        <w:pStyle w:val="ExecSumBodyText"/>
      </w:pPr>
      <w:r w:rsidRPr="00732139">
        <w:t xml:space="preserve">Listing was requested on the basis of a </w:t>
      </w:r>
      <w:r w:rsidR="00347601" w:rsidRPr="00732139">
        <w:t xml:space="preserve">cost-utility analysis of eculizumab versus </w:t>
      </w:r>
      <w:r w:rsidR="003B70FA" w:rsidRPr="00732139">
        <w:t>BSC</w:t>
      </w:r>
      <w:r w:rsidR="00347601" w:rsidRPr="00732139">
        <w:t xml:space="preserve">, </w:t>
      </w:r>
      <w:r w:rsidR="009A0A08" w:rsidRPr="00732139">
        <w:t xml:space="preserve">a cost-minimisation analysis of ravulizumab versus eculizumab and </w:t>
      </w:r>
      <w:r w:rsidR="00DF594A" w:rsidRPr="00732139">
        <w:t>a cost-utility analysis of</w:t>
      </w:r>
      <w:r w:rsidR="00194E6A" w:rsidRPr="00732139">
        <w:t xml:space="preserve"> </w:t>
      </w:r>
      <w:r w:rsidR="009A0A08" w:rsidRPr="00732139">
        <w:t xml:space="preserve">ravulizumab </w:t>
      </w:r>
      <w:r w:rsidR="0014613D" w:rsidRPr="00732139">
        <w:t xml:space="preserve">(using eculizumab as a proxy) versus </w:t>
      </w:r>
      <w:r w:rsidR="003B70FA" w:rsidRPr="00732139">
        <w:t>BSC</w:t>
      </w:r>
      <w:r w:rsidR="0014613D" w:rsidRPr="00732139">
        <w:t xml:space="preserve">. </w:t>
      </w:r>
    </w:p>
    <w:p w:rsidR="008B1757" w:rsidRPr="00732139" w:rsidRDefault="008B1757" w:rsidP="00230DB1">
      <w:pPr>
        <w:pStyle w:val="TableFigureCaption"/>
      </w:pPr>
      <w:r w:rsidRPr="00732139">
        <w:lastRenderedPageBreak/>
        <w:t xml:space="preserve">Table </w:t>
      </w:r>
      <w:r w:rsidR="001476F5" w:rsidRPr="00732139">
        <w:t>1</w:t>
      </w:r>
      <w:r w:rsidRPr="00732139">
        <w:t>:</w:t>
      </w:r>
      <w:r w:rsidR="00BC591F" w:rsidRPr="00732139">
        <w:t xml:space="preserve"> </w:t>
      </w:r>
      <w:r w:rsidRPr="00732139">
        <w:t xml:space="preserve">Key components of the clinical issue addressed </w:t>
      </w:r>
      <w:r w:rsidR="00123BD3" w:rsidRPr="00732139">
        <w:t>in</w:t>
      </w:r>
      <w:r w:rsidRPr="00732139">
        <w:t xml:space="preserve">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677"/>
      </w:tblGrid>
      <w:tr w:rsidR="001476F5" w:rsidRPr="00732139" w:rsidTr="00531FF1">
        <w:tc>
          <w:tcPr>
            <w:tcW w:w="1479" w:type="dxa"/>
            <w:vAlign w:val="center"/>
          </w:tcPr>
          <w:p w:rsidR="001476F5" w:rsidRPr="00732139" w:rsidRDefault="001476F5" w:rsidP="00531FF1">
            <w:pPr>
              <w:pStyle w:val="Tableheadingrow"/>
              <w:rPr>
                <w:lang w:val="en-AU"/>
              </w:rPr>
            </w:pPr>
            <w:r w:rsidRPr="00732139">
              <w:rPr>
                <w:lang w:val="en-AU"/>
              </w:rPr>
              <w:t>Component</w:t>
            </w:r>
          </w:p>
        </w:tc>
        <w:tc>
          <w:tcPr>
            <w:tcW w:w="7677" w:type="dxa"/>
            <w:vAlign w:val="center"/>
          </w:tcPr>
          <w:p w:rsidR="001476F5" w:rsidRPr="00732139" w:rsidRDefault="001476F5" w:rsidP="00531FF1">
            <w:pPr>
              <w:pStyle w:val="Tableheadingrow"/>
              <w:rPr>
                <w:lang w:val="en-AU"/>
              </w:rPr>
            </w:pPr>
            <w:r w:rsidRPr="00732139">
              <w:rPr>
                <w:lang w:val="en-AU"/>
              </w:rPr>
              <w:t>Description</w:t>
            </w:r>
          </w:p>
        </w:tc>
      </w:tr>
      <w:tr w:rsidR="001476F5" w:rsidRPr="00732139" w:rsidTr="00531FF1">
        <w:tc>
          <w:tcPr>
            <w:tcW w:w="1479" w:type="dxa"/>
            <w:vAlign w:val="center"/>
          </w:tcPr>
          <w:p w:rsidR="001476F5" w:rsidRPr="00732139" w:rsidRDefault="001476F5" w:rsidP="00531FF1">
            <w:pPr>
              <w:pStyle w:val="TableText"/>
            </w:pPr>
            <w:r w:rsidRPr="00732139">
              <w:t>Population</w:t>
            </w:r>
          </w:p>
        </w:tc>
        <w:tc>
          <w:tcPr>
            <w:tcW w:w="7677" w:type="dxa"/>
            <w:vAlign w:val="center"/>
          </w:tcPr>
          <w:p w:rsidR="001476F5" w:rsidRPr="00732139" w:rsidRDefault="001476F5" w:rsidP="00531FF1">
            <w:pPr>
              <w:pStyle w:val="TableText"/>
            </w:pPr>
            <w:r w:rsidRPr="00732139">
              <w:t>Adult patients with paroxysmal nocturnal haemoglobinuria (PNH) who are eligible for treatment with eculizumab under the Life Saving Drugs Program (LSDP)</w:t>
            </w:r>
          </w:p>
        </w:tc>
      </w:tr>
      <w:tr w:rsidR="001476F5" w:rsidRPr="00732139" w:rsidTr="00531FF1">
        <w:tc>
          <w:tcPr>
            <w:tcW w:w="1479" w:type="dxa"/>
            <w:vAlign w:val="center"/>
          </w:tcPr>
          <w:p w:rsidR="001476F5" w:rsidRPr="00732139" w:rsidRDefault="001476F5" w:rsidP="00531FF1">
            <w:pPr>
              <w:pStyle w:val="TableText"/>
            </w:pPr>
            <w:r w:rsidRPr="00732139">
              <w:t>Intervention</w:t>
            </w:r>
          </w:p>
        </w:tc>
        <w:tc>
          <w:tcPr>
            <w:tcW w:w="7677" w:type="dxa"/>
            <w:vAlign w:val="center"/>
          </w:tcPr>
          <w:p w:rsidR="001476F5" w:rsidRPr="00732139" w:rsidRDefault="001476F5" w:rsidP="00531FF1">
            <w:pPr>
              <w:pStyle w:val="TableText"/>
            </w:pPr>
            <w:r w:rsidRPr="00732139">
              <w:t>Eculizumab (intravenous infusion every 2 weeks; maintenance dosing) or ravulizumab (intravenous infusion every 8 weeks; maintenance dosing)</w:t>
            </w:r>
          </w:p>
        </w:tc>
      </w:tr>
      <w:tr w:rsidR="001476F5" w:rsidRPr="00732139" w:rsidTr="00531FF1">
        <w:tc>
          <w:tcPr>
            <w:tcW w:w="1479" w:type="dxa"/>
            <w:vAlign w:val="center"/>
          </w:tcPr>
          <w:p w:rsidR="001476F5" w:rsidRPr="00732139" w:rsidRDefault="001476F5" w:rsidP="00531FF1">
            <w:pPr>
              <w:pStyle w:val="TableText"/>
            </w:pPr>
            <w:r w:rsidRPr="00732139">
              <w:t>Comparator</w:t>
            </w:r>
          </w:p>
        </w:tc>
        <w:tc>
          <w:tcPr>
            <w:tcW w:w="7677" w:type="dxa"/>
            <w:vAlign w:val="center"/>
          </w:tcPr>
          <w:p w:rsidR="001476F5" w:rsidRPr="00732139" w:rsidRDefault="001476F5" w:rsidP="00531FF1">
            <w:pPr>
              <w:pStyle w:val="TableText"/>
            </w:pPr>
            <w:r w:rsidRPr="00732139">
              <w:t>Eculizumab, best supportive care (BSC)</w:t>
            </w:r>
          </w:p>
        </w:tc>
      </w:tr>
      <w:tr w:rsidR="001476F5" w:rsidRPr="00732139" w:rsidTr="00531FF1">
        <w:tc>
          <w:tcPr>
            <w:tcW w:w="1479" w:type="dxa"/>
            <w:vAlign w:val="center"/>
          </w:tcPr>
          <w:p w:rsidR="001476F5" w:rsidRPr="00732139" w:rsidRDefault="001476F5" w:rsidP="00531FF1">
            <w:pPr>
              <w:pStyle w:val="TableText"/>
            </w:pPr>
            <w:r w:rsidRPr="00732139">
              <w:t>Outcomes</w:t>
            </w:r>
          </w:p>
        </w:tc>
        <w:tc>
          <w:tcPr>
            <w:tcW w:w="7677" w:type="dxa"/>
            <w:vAlign w:val="center"/>
          </w:tcPr>
          <w:p w:rsidR="001476F5" w:rsidRPr="00732139" w:rsidRDefault="001476F5" w:rsidP="00531FF1">
            <w:pPr>
              <w:pStyle w:val="TableText"/>
            </w:pPr>
            <w:r w:rsidRPr="00732139">
              <w:t>Eculizumab vs BSC:</w:t>
            </w:r>
          </w:p>
          <w:p w:rsidR="001476F5" w:rsidRPr="00732139" w:rsidRDefault="001476F5" w:rsidP="00531FF1">
            <w:pPr>
              <w:pStyle w:val="TableText"/>
            </w:pPr>
            <w:r w:rsidRPr="00732139">
              <w:t>- Transfusion avoidance, haemolysis, breakthrough haemolysis, quality of life, and survival Ravulizumab vs eculizumab:</w:t>
            </w:r>
          </w:p>
          <w:p w:rsidR="001476F5" w:rsidRPr="00732139" w:rsidRDefault="001476F5" w:rsidP="00531FF1">
            <w:pPr>
              <w:pStyle w:val="TableText"/>
            </w:pPr>
            <w:r w:rsidRPr="00732139">
              <w:t>- Transfusion avoidance, haemolysis; breakthrough haemolysis; quality of life, stabilised haemoglobin</w:t>
            </w:r>
          </w:p>
          <w:p w:rsidR="001476F5" w:rsidRPr="00732139" w:rsidRDefault="001476F5" w:rsidP="00531FF1">
            <w:pPr>
              <w:pStyle w:val="TableText"/>
            </w:pPr>
            <w:r w:rsidRPr="00732139">
              <w:t>Ravulizumab vs BSC:</w:t>
            </w:r>
          </w:p>
          <w:p w:rsidR="001476F5" w:rsidRPr="00732139" w:rsidRDefault="001476F5" w:rsidP="00531FF1">
            <w:pPr>
              <w:pStyle w:val="TableText"/>
            </w:pPr>
            <w:r w:rsidRPr="00732139">
              <w:t>- Transfusion avoidance, haemolysis, breakthrough haemolysis, quality of life, and survival</w:t>
            </w:r>
          </w:p>
        </w:tc>
      </w:tr>
      <w:tr w:rsidR="001476F5" w:rsidRPr="00732139" w:rsidTr="00531FF1">
        <w:tc>
          <w:tcPr>
            <w:tcW w:w="1479" w:type="dxa"/>
            <w:vAlign w:val="center"/>
          </w:tcPr>
          <w:p w:rsidR="001476F5" w:rsidRPr="00732139" w:rsidRDefault="001476F5" w:rsidP="00531FF1">
            <w:pPr>
              <w:pStyle w:val="TableText"/>
            </w:pPr>
            <w:r w:rsidRPr="00732139">
              <w:t>Clinical claim</w:t>
            </w:r>
          </w:p>
        </w:tc>
        <w:tc>
          <w:tcPr>
            <w:tcW w:w="7677" w:type="dxa"/>
            <w:vAlign w:val="center"/>
          </w:tcPr>
          <w:p w:rsidR="001476F5" w:rsidRPr="00732139" w:rsidRDefault="001476F5" w:rsidP="00531FF1">
            <w:pPr>
              <w:pStyle w:val="TableText"/>
            </w:pPr>
            <w:r w:rsidRPr="00732139">
              <w:t>Eculizumab is superior in terms of efficacy and inferior in terms of safety compared to BSC.</w:t>
            </w:r>
          </w:p>
          <w:p w:rsidR="001476F5" w:rsidRPr="00732139" w:rsidRDefault="001476F5" w:rsidP="00531FF1">
            <w:pPr>
              <w:pStyle w:val="TableText"/>
            </w:pPr>
            <w:r w:rsidRPr="00732139">
              <w:t>Ravulizumab is non-inferior in terms of efficacy and safety compared to eculizumab.</w:t>
            </w:r>
          </w:p>
          <w:p w:rsidR="001476F5" w:rsidRPr="00732139" w:rsidRDefault="001476F5" w:rsidP="00531FF1">
            <w:pPr>
              <w:pStyle w:val="TableText"/>
            </w:pPr>
            <w:r w:rsidRPr="00732139">
              <w:t>Ravulizumab is superior in terms of efficacy and inferior in terms of safety compared to BSC.</w:t>
            </w:r>
          </w:p>
        </w:tc>
      </w:tr>
    </w:tbl>
    <w:p w:rsidR="001476F5" w:rsidRPr="00732139" w:rsidRDefault="001476F5" w:rsidP="001476F5">
      <w:pPr>
        <w:pStyle w:val="TableFigureFooter"/>
      </w:pPr>
      <w:r w:rsidRPr="00732139">
        <w:t>Source: Table 1.2, p9 of the resubmission</w:t>
      </w:r>
    </w:p>
    <w:p w:rsidR="005C25FF" w:rsidRPr="00732139" w:rsidRDefault="005C25FF" w:rsidP="004A6040">
      <w:pPr>
        <w:pStyle w:val="2-SectionHeading"/>
      </w:pPr>
      <w:bookmarkStart w:id="2" w:name="_Toc72331247"/>
      <w:r w:rsidRPr="00732139">
        <w:t>Background</w:t>
      </w:r>
      <w:bookmarkEnd w:id="2"/>
    </w:p>
    <w:p w:rsidR="005C25FF" w:rsidRPr="00732139" w:rsidRDefault="005C25FF" w:rsidP="004A6040">
      <w:pPr>
        <w:pStyle w:val="3-SubsectionHeading"/>
      </w:pPr>
      <w:bookmarkStart w:id="3" w:name="_Toc22897638"/>
      <w:bookmarkStart w:id="4" w:name="_Toc72331248"/>
      <w:r w:rsidRPr="00732139">
        <w:t>Registration status</w:t>
      </w:r>
      <w:bookmarkEnd w:id="3"/>
      <w:bookmarkEnd w:id="4"/>
    </w:p>
    <w:p w:rsidR="005C25FF" w:rsidRPr="00732139" w:rsidRDefault="00732139" w:rsidP="004E18E9">
      <w:pPr>
        <w:pStyle w:val="ExecSumBodyText"/>
      </w:pPr>
      <w:r>
        <w:t>The TGA approved r</w:t>
      </w:r>
      <w:r w:rsidR="00AF462D" w:rsidRPr="00732139">
        <w:t xml:space="preserve">avulizumab 10 mg/mL (300 mg in 30 mL) for the treatment of adult patients with </w:t>
      </w:r>
      <w:r w:rsidR="0003541E" w:rsidRPr="00732139">
        <w:t>PNH</w:t>
      </w:r>
      <w:r w:rsidR="00AF462D" w:rsidRPr="00732139">
        <w:t xml:space="preserve"> on 17 October 2019. The requested PBS listing in the resubmission pertains to higher strength ravulizumab (100 mg/mL) formulations, which are available in 300 mg in 3 mL and 1,100 mg in 11 mL vials. The </w:t>
      </w:r>
      <w:r>
        <w:t xml:space="preserve">TGA approved the </w:t>
      </w:r>
      <w:r w:rsidR="00AF462D" w:rsidRPr="00732139">
        <w:t xml:space="preserve">higher strength formulations in </w:t>
      </w:r>
      <w:r w:rsidR="00742C11" w:rsidRPr="00732139">
        <w:t>March</w:t>
      </w:r>
      <w:r w:rsidR="00AF462D" w:rsidRPr="00732139">
        <w:t xml:space="preserve"> 2021.</w:t>
      </w:r>
    </w:p>
    <w:p w:rsidR="00646936" w:rsidRPr="00732139" w:rsidRDefault="00646936" w:rsidP="004E18E9">
      <w:pPr>
        <w:pStyle w:val="ExecSumBodyText"/>
      </w:pPr>
      <w:r w:rsidRPr="00732139">
        <w:t xml:space="preserve">Eculizumab was TGA registered on the 20 March 2009 for the treatment of patients with PNH to reduce </w:t>
      </w:r>
      <w:r w:rsidR="00732139" w:rsidRPr="00732139">
        <w:t>haemolysis and</w:t>
      </w:r>
      <w:r w:rsidRPr="00732139">
        <w:t xml:space="preserve"> was approved for TGA registration for treatment of patients with atypical Haemolytic Uraemic Syndrome (aHUS) on 3 October 2012.</w:t>
      </w:r>
    </w:p>
    <w:p w:rsidR="005C25FF" w:rsidRPr="00732139" w:rsidRDefault="005C25FF" w:rsidP="004E18E9">
      <w:pPr>
        <w:pStyle w:val="3-SubsectionHeading"/>
      </w:pPr>
      <w:bookmarkStart w:id="5" w:name="_Toc22897639"/>
      <w:bookmarkStart w:id="6" w:name="_Toc72331249"/>
      <w:r w:rsidRPr="00732139">
        <w:t>Previous PBAC consideration</w:t>
      </w:r>
      <w:bookmarkEnd w:id="5"/>
      <w:bookmarkEnd w:id="6"/>
    </w:p>
    <w:p w:rsidR="005C25FF" w:rsidRPr="00732139" w:rsidRDefault="00F516E4" w:rsidP="00F516E4">
      <w:pPr>
        <w:pStyle w:val="ExecSumBodyText"/>
        <w:rPr>
          <w:snapToGrid/>
          <w:color w:val="0066FF"/>
        </w:rPr>
      </w:pPr>
      <w:r w:rsidRPr="00732139">
        <w:rPr>
          <w:snapToGrid/>
        </w:rPr>
        <w:t>The outstanding matters</w:t>
      </w:r>
      <w:r w:rsidR="00E06C08" w:rsidRPr="00732139">
        <w:rPr>
          <w:snapToGrid/>
        </w:rPr>
        <w:t xml:space="preserve"> of concern</w:t>
      </w:r>
      <w:r w:rsidR="00491325" w:rsidRPr="00732139">
        <w:rPr>
          <w:snapToGrid/>
        </w:rPr>
        <w:t xml:space="preserve"> from the previous July 2020 PBAC meeting are summarised in the table below.</w:t>
      </w:r>
    </w:p>
    <w:p w:rsidR="00A4219D" w:rsidRPr="00732139" w:rsidRDefault="00A4219D" w:rsidP="00A4219D">
      <w:pPr>
        <w:pStyle w:val="TableFigureCaption"/>
      </w:pPr>
      <w:r w:rsidRPr="00732139">
        <w:t>Table 2: Summary of key matters of concern</w:t>
      </w:r>
    </w:p>
    <w:tbl>
      <w:tblPr>
        <w:tblStyle w:val="TableGrid"/>
        <w:tblW w:w="0" w:type="auto"/>
        <w:tblCellMar>
          <w:left w:w="57" w:type="dxa"/>
          <w:right w:w="57" w:type="dxa"/>
        </w:tblCellMar>
        <w:tblLook w:val="04A0" w:firstRow="1" w:lastRow="0" w:firstColumn="1" w:lastColumn="0" w:noHBand="0" w:noVBand="1"/>
        <w:tblCaption w:val="Table 2: Summary of key matters of concern"/>
      </w:tblPr>
      <w:tblGrid>
        <w:gridCol w:w="4815"/>
        <w:gridCol w:w="4202"/>
      </w:tblGrid>
      <w:tr w:rsidR="00A4219D" w:rsidRPr="00732139" w:rsidTr="009F63B0">
        <w:trPr>
          <w:cantSplit/>
          <w:tblHeader/>
        </w:trPr>
        <w:tc>
          <w:tcPr>
            <w:tcW w:w="4815" w:type="dxa"/>
            <w:vAlign w:val="center"/>
          </w:tcPr>
          <w:p w:rsidR="00A4219D" w:rsidRPr="00732139" w:rsidRDefault="00A4219D" w:rsidP="00F44353">
            <w:pPr>
              <w:pStyle w:val="Tableheadingrow"/>
              <w:keepNext w:val="0"/>
              <w:widowControl w:val="0"/>
              <w:rPr>
                <w:lang w:val="en-AU"/>
              </w:rPr>
            </w:pPr>
            <w:r w:rsidRPr="00732139">
              <w:rPr>
                <w:lang w:val="en-AU"/>
              </w:rPr>
              <w:t>Matter of concern</w:t>
            </w:r>
          </w:p>
        </w:tc>
        <w:tc>
          <w:tcPr>
            <w:tcW w:w="4202" w:type="dxa"/>
            <w:vAlign w:val="center"/>
          </w:tcPr>
          <w:p w:rsidR="00A4219D" w:rsidRPr="00732139" w:rsidRDefault="00A4219D" w:rsidP="00F44353">
            <w:pPr>
              <w:pStyle w:val="Tableheadingrow"/>
              <w:keepNext w:val="0"/>
              <w:widowControl w:val="0"/>
              <w:rPr>
                <w:lang w:val="en-AU"/>
              </w:rPr>
            </w:pPr>
            <w:r w:rsidRPr="00732139">
              <w:rPr>
                <w:lang w:val="en-AU"/>
              </w:rPr>
              <w:t>How the resubmission addresses it</w:t>
            </w:r>
          </w:p>
        </w:tc>
      </w:tr>
      <w:tr w:rsidR="00A4219D" w:rsidRPr="00732139" w:rsidTr="009F63B0">
        <w:trPr>
          <w:cantSplit/>
        </w:trPr>
        <w:tc>
          <w:tcPr>
            <w:tcW w:w="4815" w:type="dxa"/>
            <w:vAlign w:val="center"/>
          </w:tcPr>
          <w:p w:rsidR="00A4219D" w:rsidRPr="00732139" w:rsidRDefault="00A4219D" w:rsidP="00F44353">
            <w:pPr>
              <w:pStyle w:val="Tableheadingrow"/>
              <w:keepNext w:val="0"/>
              <w:widowControl w:val="0"/>
              <w:rPr>
                <w:b w:val="0"/>
                <w:bCs/>
                <w:iCs/>
                <w:lang w:val="en-AU"/>
              </w:rPr>
            </w:pPr>
            <w:r w:rsidRPr="00732139">
              <w:rPr>
                <w:b w:val="0"/>
                <w:bCs/>
                <w:iCs/>
                <w:lang w:val="en-AU"/>
              </w:rPr>
              <w:t xml:space="preserve">The PBAC considered that ravulizumab was non-inferior to eculizumab for short-term outcomes including transfusion avoidance, haemolysis (measured by </w:t>
            </w:r>
            <w:r w:rsidR="00974A70" w:rsidRPr="00732139">
              <w:rPr>
                <w:b w:val="0"/>
                <w:bCs/>
                <w:iCs/>
                <w:lang w:val="en-AU"/>
              </w:rPr>
              <w:t xml:space="preserve">LDH </w:t>
            </w:r>
            <w:r w:rsidRPr="00732139">
              <w:rPr>
                <w:b w:val="0"/>
                <w:bCs/>
                <w:iCs/>
                <w:lang w:val="en-AU"/>
              </w:rPr>
              <w:t>change), breakthrough haemolysis (BTH), quality of life and stabilised haemoglobin (para 7.3, ravulizumab PSD, July 2020 PBAC meeting).</w:t>
            </w:r>
          </w:p>
        </w:tc>
        <w:tc>
          <w:tcPr>
            <w:tcW w:w="4202" w:type="dxa"/>
            <w:vAlign w:val="center"/>
          </w:tcPr>
          <w:p w:rsidR="00A4219D" w:rsidRPr="00732139" w:rsidRDefault="00A4219D" w:rsidP="00F44353">
            <w:pPr>
              <w:pStyle w:val="Tableheadingrow"/>
              <w:keepNext w:val="0"/>
              <w:widowControl w:val="0"/>
              <w:rPr>
                <w:b w:val="0"/>
                <w:bCs/>
                <w:lang w:val="en-AU"/>
              </w:rPr>
            </w:pPr>
            <w:r w:rsidRPr="00732139">
              <w:rPr>
                <w:b w:val="0"/>
                <w:bCs/>
                <w:lang w:val="en-AU"/>
              </w:rPr>
              <w:t>The clinical claim of superiority for ravulizumab versus eculizumab in terms of BTH was removed.</w:t>
            </w:r>
          </w:p>
          <w:p w:rsidR="00A4219D" w:rsidRPr="00732139" w:rsidRDefault="00A4219D" w:rsidP="00F44353">
            <w:pPr>
              <w:pStyle w:val="Tableheadingrow"/>
              <w:keepNext w:val="0"/>
              <w:widowControl w:val="0"/>
              <w:rPr>
                <w:b w:val="0"/>
                <w:bCs/>
                <w:lang w:val="en-AU"/>
              </w:rPr>
            </w:pPr>
          </w:p>
          <w:p w:rsidR="00A4219D" w:rsidRPr="00732139" w:rsidRDefault="00A4219D" w:rsidP="00F44353">
            <w:pPr>
              <w:pStyle w:val="Tableheadingrow"/>
              <w:keepNext w:val="0"/>
              <w:widowControl w:val="0"/>
              <w:rPr>
                <w:b w:val="0"/>
                <w:bCs/>
                <w:lang w:val="en-AU"/>
              </w:rPr>
            </w:pPr>
            <w:r w:rsidRPr="00732139">
              <w:rPr>
                <w:b w:val="0"/>
                <w:bCs/>
                <w:lang w:val="en-AU"/>
              </w:rPr>
              <w:t>The resubmission presented a cost-minimisation analysis of ravulizumab and eculizumab based on a claim of non-inferior efficacy and safety.</w:t>
            </w:r>
          </w:p>
        </w:tc>
      </w:tr>
      <w:tr w:rsidR="00A4219D" w:rsidRPr="00732139" w:rsidTr="009F63B0">
        <w:trPr>
          <w:cantSplit/>
        </w:trPr>
        <w:tc>
          <w:tcPr>
            <w:tcW w:w="4815" w:type="dxa"/>
            <w:vAlign w:val="center"/>
          </w:tcPr>
          <w:p w:rsidR="00A4219D" w:rsidRPr="00732139" w:rsidRDefault="00A4219D" w:rsidP="00F44353">
            <w:pPr>
              <w:pStyle w:val="Tableheadingrow"/>
              <w:keepNext w:val="0"/>
              <w:widowControl w:val="0"/>
              <w:rPr>
                <w:b w:val="0"/>
                <w:bCs/>
                <w:iCs/>
                <w:lang w:val="en-AU"/>
              </w:rPr>
            </w:pPr>
            <w:r w:rsidRPr="00732139">
              <w:rPr>
                <w:b w:val="0"/>
                <w:bCs/>
                <w:iCs/>
                <w:lang w:val="en-AU"/>
              </w:rPr>
              <w:t>The PBAC considered that due to the lack of long-term follow-up data available for ravulizumab, it was uncertain whether a patient’s lifespan would be substantially extended as a direct consequence of use of ravulizumab (para 7.8, ravulizumab PSD, July 2020 PBAC meeting).</w:t>
            </w:r>
          </w:p>
        </w:tc>
        <w:tc>
          <w:tcPr>
            <w:tcW w:w="4202" w:type="dxa"/>
            <w:vAlign w:val="center"/>
          </w:tcPr>
          <w:p w:rsidR="00A4219D" w:rsidRPr="00732139" w:rsidRDefault="00A4219D" w:rsidP="00F44353">
            <w:pPr>
              <w:pStyle w:val="Tableheadingrow"/>
              <w:keepNext w:val="0"/>
              <w:widowControl w:val="0"/>
              <w:rPr>
                <w:b w:val="0"/>
                <w:bCs/>
                <w:lang w:val="en-AU"/>
              </w:rPr>
            </w:pPr>
            <w:r w:rsidRPr="00732139">
              <w:rPr>
                <w:b w:val="0"/>
                <w:bCs/>
                <w:lang w:val="en-AU"/>
              </w:rPr>
              <w:t>The resubmission provided additional analyses based on 24-month follow-up data from the extension periods of the key trials (301 and 302) for ravulizumab</w:t>
            </w:r>
            <w:r w:rsidRPr="00732139">
              <w:rPr>
                <w:lang w:val="en-AU"/>
              </w:rPr>
              <w:t xml:space="preserve"> </w:t>
            </w:r>
            <w:r w:rsidRPr="00732139">
              <w:rPr>
                <w:b w:val="0"/>
                <w:bCs/>
                <w:lang w:val="en-AU"/>
              </w:rPr>
              <w:t>for outcomes including transfusion avoidance, haemolysis (measured by LDH change),</w:t>
            </w:r>
            <w:r w:rsidR="00BF39D4" w:rsidRPr="00732139">
              <w:rPr>
                <w:b w:val="0"/>
                <w:bCs/>
                <w:lang w:val="en-AU"/>
              </w:rPr>
              <w:t xml:space="preserve"> </w:t>
            </w:r>
            <w:r w:rsidRPr="00732139">
              <w:rPr>
                <w:b w:val="0"/>
                <w:bCs/>
                <w:lang w:val="en-AU"/>
              </w:rPr>
              <w:t>BTH, quality of life and stabilised haemoglobin</w:t>
            </w:r>
          </w:p>
        </w:tc>
      </w:tr>
      <w:tr w:rsidR="00A4219D" w:rsidRPr="00732139" w:rsidTr="009F63B0">
        <w:trPr>
          <w:cantSplit/>
        </w:trPr>
        <w:tc>
          <w:tcPr>
            <w:tcW w:w="4815" w:type="dxa"/>
            <w:vAlign w:val="center"/>
          </w:tcPr>
          <w:p w:rsidR="00A4219D" w:rsidRPr="00732139" w:rsidRDefault="00A4219D" w:rsidP="00F44353">
            <w:pPr>
              <w:pStyle w:val="Tableheadingrow"/>
              <w:keepNext w:val="0"/>
              <w:widowControl w:val="0"/>
              <w:rPr>
                <w:b w:val="0"/>
                <w:bCs/>
                <w:iCs/>
                <w:lang w:val="en-AU"/>
              </w:rPr>
            </w:pPr>
            <w:r w:rsidRPr="00732139">
              <w:rPr>
                <w:b w:val="0"/>
                <w:bCs/>
                <w:iCs/>
                <w:lang w:val="en-AU"/>
              </w:rPr>
              <w:lastRenderedPageBreak/>
              <w:t>The PBAC noted the submission’s claim of non-inferior survival of ravulizumab versus eculizumab, and superior survival versus BSC, was entirely based on the available survival data for eculizumab, an assumption that non-inferiority for measure</w:t>
            </w:r>
            <w:r w:rsidR="00F44353" w:rsidRPr="00732139">
              <w:rPr>
                <w:b w:val="0"/>
                <w:bCs/>
                <w:iCs/>
                <w:lang w:val="en-AU"/>
              </w:rPr>
              <w:t>d</w:t>
            </w:r>
            <w:r w:rsidRPr="00732139">
              <w:rPr>
                <w:b w:val="0"/>
                <w:bCs/>
                <w:iCs/>
                <w:lang w:val="en-AU"/>
              </w:rPr>
              <w:t xml:space="preserve"> surrogate outcomes may be extended to survival and that ravulizumab is a pharmacological analogue of eculizumab. The PBAC considered that it may not be reasonable to assume that the superior survival benefit previously accepted for eculizumab versus BSC can be applied to ravulizumab in the absence of any long-term survival data for ravulizumab. Moreover, the magnitude of any survival benefit of eculizumab versus BSC is in itself unclear, given the lack of contemporary data for BSC survival outcomes (para 7.4, ravulizumab PSD, July 2020 PBAC meeting).</w:t>
            </w:r>
          </w:p>
        </w:tc>
        <w:tc>
          <w:tcPr>
            <w:tcW w:w="4202" w:type="dxa"/>
            <w:vAlign w:val="center"/>
          </w:tcPr>
          <w:p w:rsidR="00A4219D" w:rsidRPr="00732139" w:rsidRDefault="00A4219D" w:rsidP="00F44353">
            <w:pPr>
              <w:pStyle w:val="TableText"/>
              <w:keepNext w:val="0"/>
              <w:widowControl w:val="0"/>
            </w:pPr>
            <w:r w:rsidRPr="00732139">
              <w:t>The resubmission presented new survival data for eculizumab versus BSC based on the following:</w:t>
            </w:r>
          </w:p>
          <w:p w:rsidR="00A4219D" w:rsidRPr="00732139" w:rsidRDefault="00A4219D" w:rsidP="00F44353">
            <w:pPr>
              <w:pStyle w:val="TableText"/>
              <w:keepNext w:val="0"/>
              <w:widowControl w:val="0"/>
            </w:pPr>
            <w:r w:rsidRPr="00732139">
              <w:t>- Systematic review of published natural history of PNH studies and survival in eculizumab treated and untreated patients.</w:t>
            </w:r>
          </w:p>
          <w:p w:rsidR="00A4219D" w:rsidRPr="00732139" w:rsidRDefault="00A4219D" w:rsidP="00F44353">
            <w:pPr>
              <w:pStyle w:val="TableText"/>
              <w:keepNext w:val="0"/>
              <w:widowControl w:val="0"/>
              <w:rPr>
                <w:b/>
                <w:bCs w:val="0"/>
              </w:rPr>
            </w:pPr>
            <w:r w:rsidRPr="00732139">
              <w:t xml:space="preserve">- Survival comparison of eculizumab ever-treated and eculizumab never-treated patients based on data from the International PNH registry. </w:t>
            </w:r>
          </w:p>
        </w:tc>
      </w:tr>
      <w:tr w:rsidR="00A4219D" w:rsidRPr="00732139" w:rsidTr="009F63B0">
        <w:trPr>
          <w:cantSplit/>
        </w:trPr>
        <w:tc>
          <w:tcPr>
            <w:tcW w:w="4815" w:type="dxa"/>
            <w:vAlign w:val="center"/>
          </w:tcPr>
          <w:p w:rsidR="00A4219D" w:rsidRPr="00732139" w:rsidRDefault="00A4219D" w:rsidP="00F44353">
            <w:pPr>
              <w:pStyle w:val="Tableheadingrow"/>
              <w:keepNext w:val="0"/>
              <w:widowControl w:val="0"/>
              <w:rPr>
                <w:b w:val="0"/>
                <w:bCs/>
                <w:iCs/>
                <w:lang w:val="en-AU"/>
              </w:rPr>
            </w:pPr>
            <w:r w:rsidRPr="00732139">
              <w:rPr>
                <w:b w:val="0"/>
                <w:bCs/>
                <w:iCs/>
                <w:lang w:val="en-AU"/>
              </w:rPr>
              <w:t>The PBAC considered there was substantial uncertainty in the modelled economic analysis of ravulizumab (using eculizumab as a proxy) versus BSC and considered the model structure lacked face validity and was therefore not reliable for decision-making (para 7.10, ravulizumab PSD, July 2020 PBAC meeting).</w:t>
            </w:r>
          </w:p>
          <w:p w:rsidR="0022619D" w:rsidRPr="00732139" w:rsidRDefault="0022619D" w:rsidP="00F44353">
            <w:pPr>
              <w:pStyle w:val="Tableheadingrow"/>
              <w:keepNext w:val="0"/>
              <w:widowControl w:val="0"/>
              <w:rPr>
                <w:b w:val="0"/>
                <w:bCs/>
                <w:iCs/>
                <w:lang w:val="en-AU"/>
              </w:rPr>
            </w:pPr>
            <w:r w:rsidRPr="00732139">
              <w:rPr>
                <w:b w:val="0"/>
                <w:bCs/>
                <w:iCs/>
                <w:lang w:val="en-AU"/>
              </w:rPr>
              <w:t>The PBAC considered that any resubmission should be a major resubmission and require a new economic model, and potentially, a significant price reduction (para 7.17, ravulizumab PSD, July 2020 PBAC meeting).</w:t>
            </w:r>
          </w:p>
        </w:tc>
        <w:tc>
          <w:tcPr>
            <w:tcW w:w="4202" w:type="dxa"/>
            <w:vAlign w:val="center"/>
          </w:tcPr>
          <w:p w:rsidR="00A4219D" w:rsidRPr="00732139" w:rsidRDefault="0022619D" w:rsidP="00F44353">
            <w:pPr>
              <w:pStyle w:val="Tableheadingrow"/>
              <w:keepNext w:val="0"/>
              <w:widowControl w:val="0"/>
              <w:rPr>
                <w:b w:val="0"/>
                <w:bCs/>
                <w:lang w:val="en-AU"/>
              </w:rPr>
            </w:pPr>
            <w:r w:rsidRPr="00732139">
              <w:rPr>
                <w:b w:val="0"/>
                <w:bCs/>
                <w:lang w:val="en-AU"/>
              </w:rPr>
              <w:t xml:space="preserve">The </w:t>
            </w:r>
            <w:r w:rsidR="002C0E6F" w:rsidRPr="00732139">
              <w:rPr>
                <w:b w:val="0"/>
                <w:bCs/>
                <w:lang w:val="en-AU"/>
              </w:rPr>
              <w:t xml:space="preserve">model structure in the resubmission was </w:t>
            </w:r>
            <w:r w:rsidR="0009616F" w:rsidRPr="00732139">
              <w:rPr>
                <w:b w:val="0"/>
                <w:bCs/>
                <w:lang w:val="en-AU"/>
              </w:rPr>
              <w:t xml:space="preserve">fundamentally </w:t>
            </w:r>
            <w:r w:rsidR="002C0E6F" w:rsidRPr="00732139">
              <w:rPr>
                <w:b w:val="0"/>
                <w:bCs/>
                <w:lang w:val="en-AU"/>
              </w:rPr>
              <w:t xml:space="preserve">unchanged, however, there were no transitions to </w:t>
            </w:r>
            <w:r w:rsidR="0009616F" w:rsidRPr="00732139">
              <w:rPr>
                <w:b w:val="0"/>
                <w:bCs/>
                <w:lang w:val="en-AU"/>
              </w:rPr>
              <w:t xml:space="preserve">spontaneous remission in the base case. The model was essentially a survival model with two health states, ‘alive with PNH’ and ‘dead’. </w:t>
            </w:r>
          </w:p>
          <w:p w:rsidR="004B0968" w:rsidRPr="00732139" w:rsidRDefault="004B0968" w:rsidP="00F44353">
            <w:pPr>
              <w:pStyle w:val="Tableheadingrow"/>
              <w:keepNext w:val="0"/>
              <w:widowControl w:val="0"/>
              <w:rPr>
                <w:b w:val="0"/>
                <w:bCs/>
                <w:lang w:val="en-AU"/>
              </w:rPr>
            </w:pPr>
            <w:r w:rsidRPr="00732139">
              <w:rPr>
                <w:b w:val="0"/>
                <w:bCs/>
                <w:lang w:val="en-AU"/>
              </w:rPr>
              <w:t xml:space="preserve">The </w:t>
            </w:r>
            <w:r w:rsidR="0078774E" w:rsidRPr="00732139">
              <w:rPr>
                <w:b w:val="0"/>
                <w:bCs/>
                <w:lang w:val="en-AU"/>
              </w:rPr>
              <w:t xml:space="preserve">proposed </w:t>
            </w:r>
            <w:r w:rsidRPr="00732139">
              <w:rPr>
                <w:b w:val="0"/>
                <w:bCs/>
                <w:lang w:val="en-AU"/>
              </w:rPr>
              <w:t>price of ravulizumab</w:t>
            </w:r>
            <w:r w:rsidR="00291197" w:rsidRPr="00732139">
              <w:rPr>
                <w:b w:val="0"/>
                <w:bCs/>
                <w:lang w:val="en-AU"/>
              </w:rPr>
              <w:t xml:space="preserve"> ($</w:t>
            </w:r>
            <w:r w:rsidR="008661E6">
              <w:rPr>
                <w:b w:val="0"/>
                <w:bCs/>
                <w:noProof/>
                <w:color w:val="000000"/>
                <w:highlight w:val="black"/>
                <w:lang w:val="en-AU"/>
              </w:rPr>
              <w:t>''''''''''''''''''''''</w:t>
            </w:r>
            <w:r w:rsidR="00542967" w:rsidRPr="00732139">
              <w:rPr>
                <w:b w:val="0"/>
                <w:bCs/>
                <w:lang w:val="en-AU"/>
              </w:rPr>
              <w:t>)</w:t>
            </w:r>
            <w:r w:rsidRPr="00732139">
              <w:rPr>
                <w:b w:val="0"/>
                <w:bCs/>
                <w:lang w:val="en-AU"/>
              </w:rPr>
              <w:t xml:space="preserve"> was revised based on </w:t>
            </w:r>
            <w:r w:rsidR="0078774E" w:rsidRPr="00732139">
              <w:rPr>
                <w:b w:val="0"/>
                <w:bCs/>
                <w:lang w:val="en-AU"/>
              </w:rPr>
              <w:t>a</w:t>
            </w:r>
            <w:r w:rsidRPr="00732139">
              <w:rPr>
                <w:b w:val="0"/>
                <w:bCs/>
                <w:lang w:val="en-AU"/>
              </w:rPr>
              <w:t xml:space="preserve"> cost-minimisation analysis versus eculizumab, using the April 2021 price of eculizumab on the LSDP</w:t>
            </w:r>
            <w:r w:rsidR="00542967" w:rsidRPr="00732139">
              <w:rPr>
                <w:b w:val="0"/>
                <w:bCs/>
                <w:lang w:val="en-AU"/>
              </w:rPr>
              <w:t xml:space="preserve"> ($</w:t>
            </w:r>
            <w:r w:rsidR="008661E6">
              <w:rPr>
                <w:b w:val="0"/>
                <w:bCs/>
                <w:noProof/>
                <w:color w:val="000000"/>
                <w:highlight w:val="black"/>
                <w:lang w:val="en-AU"/>
              </w:rPr>
              <w:t>'''''''''''''''</w:t>
            </w:r>
            <w:r w:rsidR="0015028F" w:rsidRPr="00732139">
              <w:rPr>
                <w:b w:val="0"/>
                <w:bCs/>
                <w:lang w:val="en-AU"/>
              </w:rPr>
              <w:t xml:space="preserve"> per 300 mg vial</w:t>
            </w:r>
            <w:r w:rsidR="00542967" w:rsidRPr="00732139">
              <w:rPr>
                <w:b w:val="0"/>
                <w:bCs/>
                <w:lang w:val="en-AU"/>
              </w:rPr>
              <w:t>)</w:t>
            </w:r>
            <w:r w:rsidRPr="00732139">
              <w:rPr>
                <w:b w:val="0"/>
                <w:bCs/>
                <w:lang w:val="en-AU"/>
              </w:rPr>
              <w:t>.</w:t>
            </w:r>
          </w:p>
        </w:tc>
      </w:tr>
      <w:tr w:rsidR="00ED5576" w:rsidRPr="00732139" w:rsidTr="009F63B0">
        <w:trPr>
          <w:cantSplit/>
        </w:trPr>
        <w:tc>
          <w:tcPr>
            <w:tcW w:w="4815" w:type="dxa"/>
            <w:vAlign w:val="center"/>
          </w:tcPr>
          <w:p w:rsidR="00ED5576" w:rsidRPr="00732139" w:rsidRDefault="00ED5576" w:rsidP="00F44353">
            <w:pPr>
              <w:pStyle w:val="Tableheadingrow"/>
              <w:keepNext w:val="0"/>
              <w:widowControl w:val="0"/>
              <w:rPr>
                <w:b w:val="0"/>
                <w:bCs/>
                <w:iCs/>
                <w:lang w:val="en-AU"/>
              </w:rPr>
            </w:pPr>
            <w:r w:rsidRPr="00732139">
              <w:rPr>
                <w:b w:val="0"/>
                <w:bCs/>
                <w:iCs/>
                <w:lang w:val="en-AU"/>
              </w:rPr>
              <w:t>The PBAC considered that the magnitude of survival benefit attributed to ravulizumab</w:t>
            </w:r>
            <w:r w:rsidR="002C4A97" w:rsidRPr="00732139">
              <w:rPr>
                <w:b w:val="0"/>
                <w:bCs/>
                <w:iCs/>
                <w:lang w:val="en-AU"/>
              </w:rPr>
              <w:t xml:space="preserve"> (using eculizumab as a proxy) </w:t>
            </w:r>
            <w:r w:rsidR="00431EE4" w:rsidRPr="00732139">
              <w:rPr>
                <w:b w:val="0"/>
                <w:bCs/>
                <w:iCs/>
                <w:lang w:val="en-AU"/>
              </w:rPr>
              <w:t xml:space="preserve">versus BSC in the model was optimistic and implausible, with most of the outcomes accrued in the extrapolated period. The applicability of the Kelly 2011 retrospective study to represent contemporary BSC was unclear, and likely underestimated survival in the BSC arm (para 7.11, ravulizumab PSD, July 2020 PBAC meeting). </w:t>
            </w:r>
          </w:p>
        </w:tc>
        <w:tc>
          <w:tcPr>
            <w:tcW w:w="4202" w:type="dxa"/>
            <w:vAlign w:val="center"/>
          </w:tcPr>
          <w:p w:rsidR="00ED5576" w:rsidRPr="00732139" w:rsidRDefault="009F05C4" w:rsidP="00F44353">
            <w:pPr>
              <w:pStyle w:val="Tableheadingrow"/>
              <w:keepNext w:val="0"/>
              <w:widowControl w:val="0"/>
              <w:rPr>
                <w:b w:val="0"/>
                <w:bCs/>
                <w:lang w:val="en-AU"/>
              </w:rPr>
            </w:pPr>
            <w:r w:rsidRPr="00732139">
              <w:rPr>
                <w:b w:val="0"/>
                <w:bCs/>
                <w:lang w:val="en-AU"/>
              </w:rPr>
              <w:t>The resubmission used revised clinical inputs</w:t>
            </w:r>
            <w:r w:rsidR="002172DD" w:rsidRPr="00732139">
              <w:rPr>
                <w:b w:val="0"/>
                <w:bCs/>
                <w:lang w:val="en-AU"/>
              </w:rPr>
              <w:t xml:space="preserve"> based on an unpublished analysis of the sponsor’s PNH registry data</w:t>
            </w:r>
            <w:r w:rsidRPr="00732139">
              <w:rPr>
                <w:b w:val="0"/>
                <w:bCs/>
                <w:lang w:val="en-AU"/>
              </w:rPr>
              <w:t xml:space="preserve"> to inform modelled survival for </w:t>
            </w:r>
            <w:r w:rsidR="00FE7CA7" w:rsidRPr="00732139">
              <w:rPr>
                <w:b w:val="0"/>
                <w:bCs/>
                <w:lang w:val="en-AU"/>
              </w:rPr>
              <w:t xml:space="preserve">eculizumab versus BSC. The economic model for ravulizumab versus BSC was reliant on the same </w:t>
            </w:r>
            <w:r w:rsidR="002172DD" w:rsidRPr="00732139">
              <w:rPr>
                <w:b w:val="0"/>
                <w:bCs/>
                <w:lang w:val="en-AU"/>
              </w:rPr>
              <w:t xml:space="preserve">data (based on eculizumab). </w:t>
            </w:r>
          </w:p>
        </w:tc>
      </w:tr>
      <w:tr w:rsidR="00A4219D" w:rsidRPr="00732139" w:rsidTr="009F63B0">
        <w:trPr>
          <w:cantSplit/>
        </w:trPr>
        <w:tc>
          <w:tcPr>
            <w:tcW w:w="4815" w:type="dxa"/>
            <w:vAlign w:val="center"/>
          </w:tcPr>
          <w:p w:rsidR="00A4219D" w:rsidRPr="00732139" w:rsidRDefault="00A4219D" w:rsidP="00F44353">
            <w:pPr>
              <w:pStyle w:val="Tableheadingrow"/>
              <w:keepNext w:val="0"/>
              <w:widowControl w:val="0"/>
              <w:rPr>
                <w:b w:val="0"/>
                <w:bCs/>
                <w:iCs/>
                <w:lang w:val="en-AU"/>
              </w:rPr>
            </w:pPr>
            <w:r w:rsidRPr="00732139">
              <w:rPr>
                <w:b w:val="0"/>
                <w:bCs/>
                <w:iCs/>
                <w:lang w:val="en-AU"/>
              </w:rPr>
              <w:t xml:space="preserve">The PBAC considered that the utility values assigned to patients treated with ravulizumab lacked face validity, considering the need for a utility cap in the ravulizumab arm suggested the application of utility values in the model was inappropriate (para 7.12, ravulizumab PSD, July 2020 PBAC meeting). </w:t>
            </w:r>
          </w:p>
        </w:tc>
        <w:tc>
          <w:tcPr>
            <w:tcW w:w="4202" w:type="dxa"/>
            <w:vAlign w:val="center"/>
          </w:tcPr>
          <w:p w:rsidR="00A4219D" w:rsidRPr="00732139" w:rsidRDefault="00981D9B" w:rsidP="00F44353">
            <w:pPr>
              <w:pStyle w:val="Tableheadingrow"/>
              <w:keepNext w:val="0"/>
              <w:widowControl w:val="0"/>
              <w:rPr>
                <w:b w:val="0"/>
                <w:bCs/>
                <w:lang w:val="en-AU"/>
              </w:rPr>
            </w:pPr>
            <w:r w:rsidRPr="00732139">
              <w:rPr>
                <w:b w:val="0"/>
                <w:bCs/>
                <w:lang w:val="en-AU"/>
              </w:rPr>
              <w:t xml:space="preserve">The resubmission </w:t>
            </w:r>
            <w:r w:rsidR="0045461E" w:rsidRPr="00732139">
              <w:rPr>
                <w:b w:val="0"/>
                <w:bCs/>
                <w:lang w:val="en-AU"/>
              </w:rPr>
              <w:t>used revised utility inputs with the removal of utility gain associated with reduced infusion frequency.</w:t>
            </w:r>
          </w:p>
        </w:tc>
      </w:tr>
      <w:tr w:rsidR="00A4219D" w:rsidRPr="00732139" w:rsidTr="009F63B0">
        <w:trPr>
          <w:cantSplit/>
        </w:trPr>
        <w:tc>
          <w:tcPr>
            <w:tcW w:w="4815" w:type="dxa"/>
            <w:vAlign w:val="center"/>
          </w:tcPr>
          <w:p w:rsidR="00A4219D" w:rsidRPr="00732139" w:rsidRDefault="00E35F37" w:rsidP="00F44353">
            <w:pPr>
              <w:pStyle w:val="Tableheadingrow"/>
              <w:keepNext w:val="0"/>
              <w:widowControl w:val="0"/>
              <w:rPr>
                <w:b w:val="0"/>
                <w:bCs/>
                <w:iCs/>
                <w:lang w:val="en-AU"/>
              </w:rPr>
            </w:pPr>
            <w:r w:rsidRPr="00732139">
              <w:rPr>
                <w:b w:val="0"/>
                <w:bCs/>
                <w:iCs/>
                <w:lang w:val="en-AU"/>
              </w:rPr>
              <w:t>The PBAC considered the net cost of treatment with ravulizumab</w:t>
            </w:r>
            <w:r w:rsidR="00FA76AE" w:rsidRPr="00732139">
              <w:rPr>
                <w:b w:val="0"/>
                <w:bCs/>
                <w:iCs/>
                <w:lang w:val="en-AU"/>
              </w:rPr>
              <w:t xml:space="preserve"> in the financial estimates</w:t>
            </w:r>
            <w:r w:rsidRPr="00732139">
              <w:rPr>
                <w:b w:val="0"/>
                <w:bCs/>
                <w:iCs/>
                <w:lang w:val="en-AU"/>
              </w:rPr>
              <w:t xml:space="preserve"> was highly uncertain and should be re-examined in any resubmission (para 7.15, ravulizumab PSD, July 2020 PBAC meeting). </w:t>
            </w:r>
          </w:p>
        </w:tc>
        <w:tc>
          <w:tcPr>
            <w:tcW w:w="4202" w:type="dxa"/>
            <w:vAlign w:val="center"/>
          </w:tcPr>
          <w:p w:rsidR="00A4219D" w:rsidRPr="00732139" w:rsidRDefault="00235222" w:rsidP="00F44353">
            <w:pPr>
              <w:pStyle w:val="Tableheadingrow"/>
              <w:keepNext w:val="0"/>
              <w:widowControl w:val="0"/>
              <w:rPr>
                <w:b w:val="0"/>
                <w:bCs/>
                <w:lang w:val="en-AU"/>
              </w:rPr>
            </w:pPr>
            <w:r w:rsidRPr="00732139">
              <w:rPr>
                <w:b w:val="0"/>
                <w:bCs/>
                <w:lang w:val="en-AU"/>
              </w:rPr>
              <w:t>A revised market-share approach was used to estimate the financial impact of ravulizumab</w:t>
            </w:r>
            <w:r w:rsidR="001A571D" w:rsidRPr="00732139">
              <w:rPr>
                <w:b w:val="0"/>
                <w:bCs/>
                <w:lang w:val="en-AU"/>
              </w:rPr>
              <w:t xml:space="preserve"> based on estimated number of eculizumab patients on the LSDP and patients treated with eculizumab in clinical trials</w:t>
            </w:r>
            <w:r w:rsidR="00324CCD" w:rsidRPr="00732139">
              <w:rPr>
                <w:b w:val="0"/>
                <w:bCs/>
                <w:lang w:val="en-AU"/>
              </w:rPr>
              <w:t xml:space="preserve">. </w:t>
            </w:r>
          </w:p>
        </w:tc>
      </w:tr>
      <w:tr w:rsidR="00A4219D" w:rsidRPr="00732139" w:rsidTr="009F63B0">
        <w:trPr>
          <w:cantSplit/>
        </w:trPr>
        <w:tc>
          <w:tcPr>
            <w:tcW w:w="4815" w:type="dxa"/>
            <w:vAlign w:val="center"/>
          </w:tcPr>
          <w:p w:rsidR="00A4219D" w:rsidRPr="00732139" w:rsidRDefault="00CE52DE" w:rsidP="00F44353">
            <w:pPr>
              <w:pStyle w:val="Tableheadingrow"/>
              <w:keepNext w:val="0"/>
              <w:widowControl w:val="0"/>
              <w:rPr>
                <w:b w:val="0"/>
                <w:bCs/>
                <w:iCs/>
                <w:lang w:val="en-AU"/>
              </w:rPr>
            </w:pPr>
            <w:r w:rsidRPr="00732139">
              <w:rPr>
                <w:b w:val="0"/>
                <w:bCs/>
                <w:iCs/>
                <w:lang w:val="en-AU"/>
              </w:rPr>
              <w:t xml:space="preserve">The PBAC </w:t>
            </w:r>
            <w:r w:rsidR="00672E2B" w:rsidRPr="00732139">
              <w:rPr>
                <w:b w:val="0"/>
                <w:bCs/>
                <w:iCs/>
                <w:lang w:val="en-AU"/>
              </w:rPr>
              <w:t>noted the submission proposed a risk shar</w:t>
            </w:r>
            <w:r w:rsidR="009E46FC" w:rsidRPr="00732139">
              <w:rPr>
                <w:b w:val="0"/>
                <w:bCs/>
                <w:iCs/>
                <w:lang w:val="en-AU"/>
              </w:rPr>
              <w:t>ing</w:t>
            </w:r>
            <w:r w:rsidR="00672E2B" w:rsidRPr="00732139">
              <w:rPr>
                <w:b w:val="0"/>
                <w:bCs/>
                <w:iCs/>
                <w:lang w:val="en-AU"/>
              </w:rPr>
              <w:t xml:space="preserve"> arrangement to manage uncertainty in cost to Government should ravulizumab be listed on the PBS, with the proposal based on the assumption ravulizumab could be included in the existing Deed of Agreement in place for eculizumab on the LSDP. The PBAC considered the estimated patient numbers and proposed payment thresholds were over-estimated and higher than justified by current LSDP expenditure, even </w:t>
            </w:r>
            <w:r w:rsidR="00283983" w:rsidRPr="00732139">
              <w:rPr>
                <w:b w:val="0"/>
                <w:bCs/>
                <w:iCs/>
                <w:lang w:val="en-AU"/>
              </w:rPr>
              <w:t>accounting for</w:t>
            </w:r>
            <w:r w:rsidR="00672E2B" w:rsidRPr="00732139">
              <w:rPr>
                <w:b w:val="0"/>
                <w:bCs/>
                <w:iCs/>
                <w:lang w:val="en-AU"/>
              </w:rPr>
              <w:t xml:space="preserve"> patients currently receiving treatment through clinical trials (para 7.16, ravulizumab PSD, July 2020 PBAC meeting). </w:t>
            </w:r>
          </w:p>
        </w:tc>
        <w:tc>
          <w:tcPr>
            <w:tcW w:w="4202" w:type="dxa"/>
            <w:vAlign w:val="center"/>
          </w:tcPr>
          <w:p w:rsidR="00A4219D" w:rsidRPr="00732139" w:rsidRDefault="002C27DD" w:rsidP="00F44353">
            <w:pPr>
              <w:pStyle w:val="Tableheadingrow"/>
              <w:keepNext w:val="0"/>
              <w:widowControl w:val="0"/>
              <w:rPr>
                <w:b w:val="0"/>
                <w:bCs/>
                <w:i/>
                <w:iCs/>
                <w:lang w:val="en-AU"/>
              </w:rPr>
            </w:pPr>
            <w:r w:rsidRPr="00732139">
              <w:rPr>
                <w:b w:val="0"/>
                <w:bCs/>
                <w:lang w:val="en-AU"/>
              </w:rPr>
              <w:t xml:space="preserve">The </w:t>
            </w:r>
            <w:r w:rsidR="009C0EE9" w:rsidRPr="00732139">
              <w:rPr>
                <w:b w:val="0"/>
                <w:bCs/>
                <w:lang w:val="en-AU"/>
              </w:rPr>
              <w:t>proposed risk shar</w:t>
            </w:r>
            <w:r w:rsidR="009E46FC" w:rsidRPr="00732139">
              <w:rPr>
                <w:b w:val="0"/>
                <w:bCs/>
                <w:lang w:val="en-AU"/>
              </w:rPr>
              <w:t>ing</w:t>
            </w:r>
            <w:r w:rsidR="009C0EE9" w:rsidRPr="00732139">
              <w:rPr>
                <w:b w:val="0"/>
                <w:bCs/>
                <w:lang w:val="en-AU"/>
              </w:rPr>
              <w:t xml:space="preserve"> arrangement included updated Commonwealth Payment Thresholds based on a revised market-share approach to estimate the eligible patient population</w:t>
            </w:r>
            <w:r w:rsidR="00457B8B" w:rsidRPr="00732139">
              <w:rPr>
                <w:b w:val="0"/>
                <w:bCs/>
                <w:lang w:val="en-AU"/>
              </w:rPr>
              <w:t xml:space="preserve">, </w:t>
            </w:r>
            <w:r w:rsidR="00457B8B" w:rsidRPr="00AA1F14">
              <w:rPr>
                <w:b w:val="0"/>
                <w:bCs/>
                <w:lang w:val="en-AU"/>
              </w:rPr>
              <w:t xml:space="preserve">which </w:t>
            </w:r>
            <w:r w:rsidR="008661E6">
              <w:rPr>
                <w:b w:val="0"/>
                <w:bCs/>
                <w:noProof/>
                <w:color w:val="000000"/>
                <w:highlight w:val="black"/>
                <w:lang w:val="en-AU"/>
              </w:rPr>
              <w:t xml:space="preserve">''''''''''''''''' </w:t>
            </w:r>
            <w:r w:rsidR="00457B8B" w:rsidRPr="00AA1F14">
              <w:rPr>
                <w:b w:val="0"/>
                <w:bCs/>
                <w:lang w:val="en-AU"/>
              </w:rPr>
              <w:t xml:space="preserve">and </w:t>
            </w:r>
            <w:r w:rsidR="008661E6">
              <w:rPr>
                <w:b w:val="0"/>
                <w:bCs/>
                <w:noProof/>
                <w:color w:val="000000"/>
                <w:highlight w:val="black"/>
                <w:lang w:val="en-AU"/>
              </w:rPr>
              <w:t>''''''''''''''''</w:t>
            </w:r>
            <w:r w:rsidR="00457B8B" w:rsidRPr="00AA1F14">
              <w:rPr>
                <w:b w:val="0"/>
                <w:bCs/>
                <w:lang w:val="en-AU"/>
              </w:rPr>
              <w:t xml:space="preserve"> the terms of the existing Deed of Agreement for eculizumab</w:t>
            </w:r>
            <w:r w:rsidR="00D15CBA" w:rsidRPr="00AA1F14">
              <w:rPr>
                <w:b w:val="0"/>
                <w:bCs/>
                <w:lang w:val="en-AU"/>
              </w:rPr>
              <w:t xml:space="preserve"> (assuming </w:t>
            </w:r>
            <w:r w:rsidR="008661E6">
              <w:rPr>
                <w:b w:val="0"/>
                <w:bCs/>
                <w:noProof/>
                <w:color w:val="000000"/>
                <w:highlight w:val="black"/>
                <w:lang w:val="en-AU"/>
              </w:rPr>
              <w:t>'''''''''''''''''''''''''''' ''''''''''''''' '''''' ''''''''''''''''''''' '''' '''''''' ''''''''''''' '''''''''''''''''''''''''</w:t>
            </w:r>
            <w:r w:rsidR="00D15CBA" w:rsidRPr="00AA1F14">
              <w:rPr>
                <w:b w:val="0"/>
                <w:bCs/>
                <w:lang w:val="en-AU"/>
              </w:rPr>
              <w:t>)</w:t>
            </w:r>
            <w:r w:rsidR="005A2FFE" w:rsidRPr="00AA1F14">
              <w:rPr>
                <w:b w:val="0"/>
                <w:bCs/>
                <w:lang w:val="en-AU"/>
              </w:rPr>
              <w:t xml:space="preserve">. The resubmission also proposed the </w:t>
            </w:r>
            <w:r w:rsidR="008661E6">
              <w:rPr>
                <w:b w:val="0"/>
                <w:bCs/>
                <w:noProof/>
                <w:color w:val="000000"/>
                <w:highlight w:val="black"/>
                <w:lang w:val="en-AU"/>
              </w:rPr>
              <w:t>''''''''''''''''''''' '''' ''''''''' '''''''''''''''' ''''''''''''''' ''''''' ''''''''''''''''''''''''''' '''''''''''''''''''' '''''''''''''''''''''' '''''''''''' ''''''''''''''''''''''''' '''''''''''''''''''''''</w:t>
            </w:r>
            <w:r w:rsidR="005A2FFE" w:rsidRPr="00732139">
              <w:rPr>
                <w:b w:val="0"/>
                <w:bCs/>
                <w:lang w:val="en-AU"/>
              </w:rPr>
              <w:t xml:space="preserve"> </w:t>
            </w:r>
          </w:p>
        </w:tc>
      </w:tr>
    </w:tbl>
    <w:p w:rsidR="00A4219D" w:rsidRPr="00732139" w:rsidRDefault="00A4219D" w:rsidP="00A4219D">
      <w:pPr>
        <w:pStyle w:val="TableFigureFooter"/>
      </w:pPr>
      <w:r w:rsidRPr="00732139">
        <w:t xml:space="preserve">Source: </w:t>
      </w:r>
      <w:r w:rsidR="002D1032" w:rsidRPr="00732139">
        <w:t>Table 1.1, p3 of the resubmission</w:t>
      </w:r>
    </w:p>
    <w:p w:rsidR="00A4219D" w:rsidRPr="00732139" w:rsidRDefault="00974A70" w:rsidP="00974A70">
      <w:pPr>
        <w:pStyle w:val="TableFigureFooter"/>
      </w:pPr>
      <w:r w:rsidRPr="00732139">
        <w:t xml:space="preserve">Abbreviations: LDH, lactate dehydrogenase; LSDP, </w:t>
      </w:r>
      <w:r w:rsidR="009E46FC" w:rsidRPr="00732139">
        <w:t>L</w:t>
      </w:r>
      <w:r w:rsidRPr="00732139">
        <w:t xml:space="preserve">ife </w:t>
      </w:r>
      <w:r w:rsidR="009E46FC" w:rsidRPr="00732139">
        <w:t>S</w:t>
      </w:r>
      <w:r w:rsidRPr="00732139">
        <w:t xml:space="preserve">aving </w:t>
      </w:r>
      <w:r w:rsidR="009E46FC" w:rsidRPr="00732139">
        <w:t>D</w:t>
      </w:r>
      <w:r w:rsidRPr="00732139">
        <w:t xml:space="preserve">rugs </w:t>
      </w:r>
      <w:r w:rsidR="009E46FC" w:rsidRPr="00732139">
        <w:t>P</w:t>
      </w:r>
      <w:r w:rsidRPr="00732139">
        <w:t>rogram</w:t>
      </w:r>
    </w:p>
    <w:p w:rsidR="00A4219D" w:rsidRPr="00732139" w:rsidRDefault="00283983" w:rsidP="004240F8">
      <w:pPr>
        <w:pStyle w:val="ExecSumBodyText"/>
        <w:rPr>
          <w:snapToGrid/>
        </w:rPr>
      </w:pPr>
      <w:r w:rsidRPr="00732139">
        <w:rPr>
          <w:snapToGrid/>
        </w:rPr>
        <w:lastRenderedPageBreak/>
        <w:t xml:space="preserve">The PBAC previously noted that eculizumab </w:t>
      </w:r>
      <w:r w:rsidR="004533E2" w:rsidRPr="00732139">
        <w:rPr>
          <w:snapToGrid/>
        </w:rPr>
        <w:t>wa</w:t>
      </w:r>
      <w:r w:rsidR="004731F9" w:rsidRPr="00732139">
        <w:rPr>
          <w:snapToGrid/>
        </w:rPr>
        <w:t>s subject to a review by the LSDP</w:t>
      </w:r>
      <w:r w:rsidR="009E46FC" w:rsidRPr="00732139">
        <w:rPr>
          <w:snapToGrid/>
        </w:rPr>
        <w:t xml:space="preserve"> Expert</w:t>
      </w:r>
      <w:r w:rsidR="004731F9" w:rsidRPr="00732139">
        <w:rPr>
          <w:snapToGrid/>
        </w:rPr>
        <w:t xml:space="preserve"> Panel and the recommendation to the Chief Medical Officer at the end of that review may include advice on the possibility of re-considering eculizumab for the PBS. </w:t>
      </w:r>
      <w:r w:rsidR="006F4A88" w:rsidRPr="00732139">
        <w:rPr>
          <w:snapToGrid/>
        </w:rPr>
        <w:t xml:space="preserve">As such the ravulizumab consideration for PBS listing would be impacted by this outcome (para 7.18, ravulizumab </w:t>
      </w:r>
      <w:r w:rsidR="004240F8" w:rsidRPr="004240F8">
        <w:rPr>
          <w:iCs/>
          <w:snapToGrid/>
        </w:rPr>
        <w:t xml:space="preserve">Public Summary Document </w:t>
      </w:r>
      <w:r w:rsidR="004240F8">
        <w:rPr>
          <w:iCs/>
          <w:snapToGrid/>
        </w:rPr>
        <w:t>(</w:t>
      </w:r>
      <w:r w:rsidR="006F4A88" w:rsidRPr="00732139">
        <w:rPr>
          <w:snapToGrid/>
        </w:rPr>
        <w:t>PSD</w:t>
      </w:r>
      <w:r w:rsidR="004240F8">
        <w:rPr>
          <w:snapToGrid/>
        </w:rPr>
        <w:t>)</w:t>
      </w:r>
      <w:r w:rsidR="006F4A88" w:rsidRPr="00732139">
        <w:rPr>
          <w:snapToGrid/>
        </w:rPr>
        <w:t>, July 2020 PBAC meeting).</w:t>
      </w:r>
    </w:p>
    <w:p w:rsidR="00F45954" w:rsidRPr="00732139" w:rsidRDefault="009219C8" w:rsidP="00F516E4">
      <w:pPr>
        <w:pStyle w:val="ExecSumBodyText"/>
        <w:rPr>
          <w:snapToGrid/>
        </w:rPr>
      </w:pPr>
      <w:r w:rsidRPr="00732139">
        <w:rPr>
          <w:snapToGrid/>
        </w:rPr>
        <w:t>The Draft Final Review Report</w:t>
      </w:r>
      <w:r w:rsidR="009C735E" w:rsidRPr="00732139">
        <w:rPr>
          <w:snapToGrid/>
        </w:rPr>
        <w:t xml:space="preserve"> (May 2020)</w:t>
      </w:r>
      <w:r w:rsidRPr="00732139">
        <w:rPr>
          <w:snapToGrid/>
        </w:rPr>
        <w:t xml:space="preserve"> </w:t>
      </w:r>
      <w:r w:rsidR="00C5515F" w:rsidRPr="00732139">
        <w:rPr>
          <w:snapToGrid/>
        </w:rPr>
        <w:t>of eculizumab for PNH</w:t>
      </w:r>
      <w:r w:rsidR="00F23F82" w:rsidRPr="00732139">
        <w:rPr>
          <w:snapToGrid/>
        </w:rPr>
        <w:t xml:space="preserve"> (referred to as the LSDP report)</w:t>
      </w:r>
      <w:r w:rsidR="00732139">
        <w:rPr>
          <w:snapToGrid/>
        </w:rPr>
        <w:t xml:space="preserve"> was provided with the resubmission</w:t>
      </w:r>
      <w:r w:rsidR="00F23F82" w:rsidRPr="00732139">
        <w:rPr>
          <w:snapToGrid/>
        </w:rPr>
        <w:t xml:space="preserve">. </w:t>
      </w:r>
      <w:r w:rsidR="00F23BC6" w:rsidRPr="00732139">
        <w:rPr>
          <w:snapToGrid/>
        </w:rPr>
        <w:t xml:space="preserve">The resubmission noted that the LSDP </w:t>
      </w:r>
      <w:r w:rsidR="009E46FC" w:rsidRPr="00732139">
        <w:rPr>
          <w:snapToGrid/>
        </w:rPr>
        <w:t>E</w:t>
      </w:r>
      <w:r w:rsidR="00F23BC6" w:rsidRPr="00732139">
        <w:rPr>
          <w:snapToGrid/>
        </w:rPr>
        <w:t xml:space="preserve">xpert </w:t>
      </w:r>
      <w:r w:rsidR="009E46FC" w:rsidRPr="00732139">
        <w:rPr>
          <w:snapToGrid/>
        </w:rPr>
        <w:t>P</w:t>
      </w:r>
      <w:r w:rsidR="00F23BC6" w:rsidRPr="00732139">
        <w:rPr>
          <w:snapToGrid/>
        </w:rPr>
        <w:t xml:space="preserve">anel met in October 2020, </w:t>
      </w:r>
      <w:r w:rsidR="0001367E" w:rsidRPr="00732139">
        <w:rPr>
          <w:snapToGrid/>
        </w:rPr>
        <w:t>however, the outcome of this meeting was not known to the sponsor at the time of the resubmission</w:t>
      </w:r>
      <w:r w:rsidR="00EC19C9" w:rsidRPr="00732139">
        <w:rPr>
          <w:snapToGrid/>
        </w:rPr>
        <w:t xml:space="preserve">. </w:t>
      </w:r>
    </w:p>
    <w:p w:rsidR="00C835D7" w:rsidRPr="00732139" w:rsidRDefault="00DF4B08" w:rsidP="00F516E4">
      <w:pPr>
        <w:pStyle w:val="ExecSumBodyText"/>
        <w:rPr>
          <w:snapToGrid/>
        </w:rPr>
      </w:pPr>
      <w:r w:rsidRPr="00732139">
        <w:rPr>
          <w:snapToGrid/>
        </w:rPr>
        <w:t xml:space="preserve">The </w:t>
      </w:r>
      <w:r w:rsidR="008F399F" w:rsidRPr="00732139">
        <w:rPr>
          <w:snapToGrid/>
        </w:rPr>
        <w:t xml:space="preserve">PBAC and </w:t>
      </w:r>
      <w:r w:rsidRPr="00732139">
        <w:rPr>
          <w:snapToGrid/>
        </w:rPr>
        <w:t>ESC received</w:t>
      </w:r>
      <w:r w:rsidR="00C835D7" w:rsidRPr="00732139">
        <w:rPr>
          <w:snapToGrid/>
        </w:rPr>
        <w:t xml:space="preserve"> the Expert Panel Recommendations for the LSDP Review of PNH and sponsor comment from the Department for noting. The </w:t>
      </w:r>
      <w:r w:rsidR="008F399F" w:rsidRPr="00732139">
        <w:rPr>
          <w:snapToGrid/>
        </w:rPr>
        <w:t>PBAC</w:t>
      </w:r>
      <w:r w:rsidR="00C835D7" w:rsidRPr="00732139">
        <w:rPr>
          <w:snapToGrid/>
        </w:rPr>
        <w:t xml:space="preserve"> </w:t>
      </w:r>
      <w:r w:rsidR="003900DA" w:rsidRPr="00732139">
        <w:rPr>
          <w:snapToGrid/>
        </w:rPr>
        <w:t xml:space="preserve">noted </w:t>
      </w:r>
      <w:r w:rsidR="003900DA" w:rsidRPr="00732139">
        <w:rPr>
          <w:iCs/>
        </w:rPr>
        <w:t xml:space="preserve">that Term of Reference </w:t>
      </w:r>
      <w:r w:rsidR="00D70E52" w:rsidRPr="00732139">
        <w:rPr>
          <w:iCs/>
        </w:rPr>
        <w:t>2</w:t>
      </w:r>
      <w:r w:rsidR="003900DA" w:rsidRPr="00732139">
        <w:rPr>
          <w:iCs/>
        </w:rPr>
        <w:t xml:space="preserve"> (ToR </w:t>
      </w:r>
      <w:r w:rsidR="00D70E52" w:rsidRPr="00732139">
        <w:rPr>
          <w:iCs/>
        </w:rPr>
        <w:t>2</w:t>
      </w:r>
      <w:r w:rsidR="003900DA" w:rsidRPr="00732139">
        <w:rPr>
          <w:iCs/>
        </w:rPr>
        <w:t>) of the LSDP Review of PNH was to ‘</w:t>
      </w:r>
      <w:r w:rsidR="00D70E52" w:rsidRPr="00732139">
        <w:rPr>
          <w:iCs/>
        </w:rPr>
        <w:t>Review evidence for the management of PNH and compare to the LSDP treatment guidelines, patient eligibility and testing requirements for the use of eculizumab</w:t>
      </w:r>
      <w:r w:rsidR="00743CC3" w:rsidRPr="00732139">
        <w:rPr>
          <w:iCs/>
        </w:rPr>
        <w:t xml:space="preserve"> on the program</w:t>
      </w:r>
      <w:r w:rsidR="00D70E52" w:rsidRPr="00732139">
        <w:rPr>
          <w:iCs/>
        </w:rPr>
        <w:t>’. In addition, the PBAC noted ToR 5 was to ‘</w:t>
      </w:r>
      <w:r w:rsidR="003900DA" w:rsidRPr="00732139">
        <w:t xml:space="preserve">Assess the value for money of eculizumab under the current funding arrangements by evaluating the benefit of the drug’s treatment outcomes and cost’. The PBAC </w:t>
      </w:r>
      <w:r w:rsidR="00C835D7" w:rsidRPr="00732139">
        <w:rPr>
          <w:snapToGrid/>
        </w:rPr>
        <w:t xml:space="preserve">considered the following recommendations </w:t>
      </w:r>
      <w:r w:rsidR="003900DA" w:rsidRPr="00732139">
        <w:rPr>
          <w:snapToGrid/>
        </w:rPr>
        <w:t xml:space="preserve">for </w:t>
      </w:r>
      <w:r w:rsidR="00D70E52" w:rsidRPr="00732139">
        <w:rPr>
          <w:snapToGrid/>
        </w:rPr>
        <w:t xml:space="preserve">ToR 2 and </w:t>
      </w:r>
      <w:r w:rsidR="003900DA" w:rsidRPr="00732139">
        <w:rPr>
          <w:snapToGrid/>
        </w:rPr>
        <w:t xml:space="preserve">ToR 5 </w:t>
      </w:r>
      <w:r w:rsidR="008F399F" w:rsidRPr="00732139">
        <w:rPr>
          <w:snapToGrid/>
        </w:rPr>
        <w:t>to be</w:t>
      </w:r>
      <w:r w:rsidR="00C835D7" w:rsidRPr="00732139">
        <w:rPr>
          <w:snapToGrid/>
        </w:rPr>
        <w:t xml:space="preserve"> of particular interest:</w:t>
      </w:r>
    </w:p>
    <w:p w:rsidR="00D70E52" w:rsidRPr="008661E6" w:rsidRDefault="00D70E52" w:rsidP="00330032">
      <w:pPr>
        <w:pStyle w:val="ListParagraph"/>
        <w:numPr>
          <w:ilvl w:val="0"/>
          <w:numId w:val="9"/>
        </w:numPr>
        <w:rPr>
          <w:rFonts w:asciiTheme="minorHAnsi" w:hAnsiTheme="minorHAnsi"/>
          <w:snapToGrid w:val="0"/>
        </w:rPr>
      </w:pPr>
      <w:r w:rsidRPr="00732139">
        <w:rPr>
          <w:rFonts w:asciiTheme="minorHAnsi" w:hAnsiTheme="minorHAnsi"/>
          <w:snapToGrid w:val="0"/>
        </w:rPr>
        <w:t xml:space="preserve">Recommendation 2 (ToR 2): The Expert Panel (EP) advised that </w:t>
      </w:r>
      <w:r w:rsidR="008661E6">
        <w:rPr>
          <w:rFonts w:asciiTheme="minorHAnsi" w:hAnsiTheme="minorHAnsi"/>
          <w:noProof/>
          <w:snapToGrid w:val="0"/>
          <w:color w:val="000000"/>
          <w:highlight w:val="black"/>
        </w:rPr>
        <w:t>'''' ''''''''''''''' '''''''' ''''' ''''''''''''''''' '''''' ''''''''' '''''''''''''''''' '''''' ''''''''' '''''' ''''''''''''''' '''' '''''''''''''' '''''''' '''''' '''''''''''''''''' '''' '''''''''''' '''' '''''''''''''''''''''' ''''''' '''''' '''''' ''' '''''''' '''''''''' ''''''' ''''' ''''''' ''''''''''''''''' ''''' '''''''''''''' '''' '''''' '''''''''''''''' ''''''''''''''''''''''''</w:t>
      </w:r>
    </w:p>
    <w:p w:rsidR="00C835D7" w:rsidRPr="008661E6" w:rsidRDefault="00C835D7" w:rsidP="00EF2D64">
      <w:pPr>
        <w:pStyle w:val="ListParagraph"/>
        <w:numPr>
          <w:ilvl w:val="0"/>
          <w:numId w:val="9"/>
        </w:numPr>
        <w:rPr>
          <w:rFonts w:asciiTheme="minorHAnsi" w:hAnsiTheme="minorHAnsi"/>
          <w:snapToGrid w:val="0"/>
        </w:rPr>
      </w:pPr>
      <w:r w:rsidRPr="00732139">
        <w:rPr>
          <w:rFonts w:asciiTheme="minorHAnsi" w:hAnsiTheme="minorHAnsi"/>
          <w:snapToGrid w:val="0"/>
        </w:rPr>
        <w:t>Recommendation 5</w:t>
      </w:r>
      <w:r w:rsidR="00D70E52" w:rsidRPr="00732139">
        <w:rPr>
          <w:rFonts w:asciiTheme="minorHAnsi" w:hAnsiTheme="minorHAnsi"/>
          <w:snapToGrid w:val="0"/>
        </w:rPr>
        <w:t xml:space="preserve"> (ToR 5)</w:t>
      </w:r>
      <w:r w:rsidRPr="00732139">
        <w:rPr>
          <w:rFonts w:asciiTheme="minorHAnsi" w:hAnsiTheme="minorHAnsi"/>
          <w:snapToGrid w:val="0"/>
        </w:rPr>
        <w:t xml:space="preserve">: The EP noted that </w:t>
      </w:r>
      <w:r w:rsidR="008661E6">
        <w:rPr>
          <w:rFonts w:asciiTheme="minorHAnsi" w:hAnsiTheme="minorHAnsi"/>
          <w:noProof/>
          <w:snapToGrid w:val="0"/>
          <w:color w:val="000000"/>
          <w:highlight w:val="black"/>
        </w:rPr>
        <w:t>'''''''''''''''''' ''''''''''' '''''''''''''''' '''' '''''' '' '''''''''''''' '''''''' ''''''' ''''''''''''''''''''''''''' '''' '''''''''''''' '''' '''''' '''''''''''''''''''''' '''''''' '''''''''''''''''''' '''''''''''''''''''''' ''''''' '''''''' ''''' ''''''''''''''''''''''' '''' ''''''''''''''''''' ''''''''' '''' ''''''''''''''''' ''''''''''' '''''''' ''''''''''''' ''''' '''''''''''' '''''''''' ''''' ''''''' ''''''''''' '''''''' ''''' ''''''''''' '''''''''''''' ''''' '''''''''''''''' ''''''''''''''''''''''' ''''' ''''''' ''''''''''''''''''''' ''''''''' '''''''' ''''''' '''''''''''''''''''''' ''''''''' ''''''' '''''''' '''''' '''''''''''''' ''''''''''' '''''''''''''' '''' '''''''''' '''''''''' '''''''''''''' ''''''''' '''''''''' '''''''' '''''' ''''''''''' ''''''''''''' ''''''''''' ''''''''''''''''''' ''''' '''''''''''''''''''' '''''' ''''''''''' ''''''' '''''''''''''' '''''' '''''' '''''''''' ''''''' '''' ''''''''''' ''''''''''''' ''''''''''''''''' ''''''''' ''''''''''' '''''''''''''' ''''''''''' ''''''' ''''''''''''''''''''''''' '''' ''''''' '''''''''''''''' ''''''' ''''' ''''''''''''''''' '''''''''''''''''''''''''''''' '''''''' '''''' ''''''''''' '''''''''''''''''''''''' ''''' '''''''''''''''''''''' '''''''' ''''''' '''''''' '''' ''''''''''''''''''' ''''''''''' ''''' '''''''''''''' '''''''''''''</w:t>
      </w:r>
    </w:p>
    <w:p w:rsidR="00C835D7" w:rsidRPr="008661E6" w:rsidRDefault="008661E6" w:rsidP="008661E6">
      <w:pPr>
        <w:spacing w:after="160" w:line="276" w:lineRule="auto"/>
        <w:ind w:left="1800" w:hanging="720"/>
        <w:contextualSpacing/>
        <w:jc w:val="left"/>
        <w:rPr>
          <w:rFonts w:asciiTheme="minorHAnsi" w:hAnsiTheme="minorHAnsi"/>
          <w:snapToGrid w:val="0"/>
          <w:highlight w:val="black"/>
        </w:rPr>
      </w:pPr>
      <w:r>
        <w:rPr>
          <w:rFonts w:asciiTheme="minorHAnsi" w:hAnsiTheme="minorHAnsi"/>
          <w:noProof/>
          <w:snapToGrid w:val="0"/>
          <w:color w:val="000000"/>
          <w:highlight w:val="black"/>
        </w:rPr>
        <w:t xml:space="preserve">''''''''''''''''''' '''''''''''' '''' '''''''''''''''''''''' ''''''''' ''''''' ''''''''''''''' '''''''''''''' '''''''''''' </w:t>
      </w:r>
    </w:p>
    <w:p w:rsidR="00C835D7" w:rsidRPr="008661E6" w:rsidRDefault="008661E6" w:rsidP="008661E6">
      <w:pPr>
        <w:spacing w:after="160" w:line="276" w:lineRule="auto"/>
        <w:ind w:left="1800" w:hanging="720"/>
        <w:contextualSpacing/>
        <w:jc w:val="left"/>
        <w:rPr>
          <w:rFonts w:asciiTheme="minorHAnsi" w:hAnsiTheme="minorHAnsi"/>
          <w:snapToGrid w:val="0"/>
          <w:highlight w:val="black"/>
        </w:rPr>
      </w:pPr>
      <w:r>
        <w:rPr>
          <w:rFonts w:asciiTheme="minorHAnsi" w:hAnsiTheme="minorHAnsi"/>
          <w:noProof/>
          <w:snapToGrid w:val="0"/>
          <w:color w:val="000000"/>
          <w:highlight w:val="black"/>
        </w:rPr>
        <w:t xml:space="preserve">'''''''''''' ''''''''''''''''' '''''' '''''''' '''''' '''''''''''''''''''''' '''''' '''''''''' ''''''''' ''''''' ''''''''' ''''' ''''''''''' ''''''''''''' ''''''''''''''''' ''''''''''''' </w:t>
      </w:r>
    </w:p>
    <w:p w:rsidR="00C835D7" w:rsidRPr="008661E6" w:rsidRDefault="008661E6" w:rsidP="008661E6">
      <w:pPr>
        <w:spacing w:after="160" w:line="276" w:lineRule="auto"/>
        <w:ind w:left="1800" w:hanging="720"/>
        <w:contextualSpacing/>
        <w:jc w:val="left"/>
        <w:rPr>
          <w:rFonts w:asciiTheme="minorHAnsi" w:hAnsiTheme="minorHAnsi"/>
          <w:snapToGrid w:val="0"/>
          <w:highlight w:val="black"/>
        </w:rPr>
      </w:pPr>
      <w:r>
        <w:rPr>
          <w:rFonts w:asciiTheme="minorHAnsi" w:hAnsiTheme="minorHAnsi"/>
          <w:noProof/>
          <w:snapToGrid w:val="0"/>
          <w:color w:val="000000"/>
          <w:highlight w:val="black"/>
        </w:rPr>
        <w:t xml:space="preserve">''''''''''''''''''' '''' '''''''''''''''''' '''''''''''''''''''''' '''''''' ''''' ''''''''''''''''''''' '''''' ''''''''''''''''''''''''''' ''''' ''''''''''''''''' ''''''''''''''''''''''''' '''''''''''''''''''''''''''' ''''''''''''''''''''' </w:t>
      </w:r>
    </w:p>
    <w:p w:rsidR="00B56CEA" w:rsidRPr="008661E6" w:rsidRDefault="004E2546" w:rsidP="00EF2D64">
      <w:pPr>
        <w:pStyle w:val="ListParagraph"/>
        <w:numPr>
          <w:ilvl w:val="0"/>
          <w:numId w:val="9"/>
        </w:numPr>
        <w:rPr>
          <w:rFonts w:asciiTheme="minorHAnsi" w:hAnsiTheme="minorHAnsi"/>
          <w:i/>
          <w:snapToGrid w:val="0"/>
        </w:rPr>
      </w:pPr>
      <w:r w:rsidRPr="00732139">
        <w:rPr>
          <w:rFonts w:asciiTheme="minorHAnsi" w:hAnsiTheme="minorHAnsi"/>
          <w:snapToGrid w:val="0"/>
        </w:rPr>
        <w:t>Recommendation 6</w:t>
      </w:r>
      <w:r w:rsidR="00D70E52" w:rsidRPr="00732139">
        <w:rPr>
          <w:rFonts w:asciiTheme="minorHAnsi" w:hAnsiTheme="minorHAnsi"/>
          <w:snapToGrid w:val="0"/>
        </w:rPr>
        <w:t xml:space="preserve"> (ToR 5)</w:t>
      </w:r>
      <w:r w:rsidRPr="00732139">
        <w:rPr>
          <w:rFonts w:asciiTheme="minorHAnsi" w:hAnsiTheme="minorHAnsi"/>
          <w:snapToGrid w:val="0"/>
        </w:rPr>
        <w:t xml:space="preserve">: The EP recommended </w:t>
      </w:r>
      <w:r w:rsidR="008661E6">
        <w:rPr>
          <w:rFonts w:asciiTheme="minorHAnsi" w:hAnsiTheme="minorHAnsi"/>
          <w:noProof/>
          <w:snapToGrid w:val="0"/>
          <w:color w:val="000000"/>
          <w:highlight w:val="black"/>
        </w:rPr>
        <w:t xml:space="preserve">''''''''''''''''''''''' '''''' ''''''''''''''''''''''''''' ''''' '''''''''''''''''' ''''' '''''' '''''''''' '''' '''''''' ''''''''' '''''''' '''''''' ''' '''''''''' ''''' '''''' ''''''' ''''' '''''''''''''''' '''''''''''''''' ''''''''''''''' ''' ''' ''''''''' '''''''''''''' ''''''''''''' '''' '''''''''''''''''' ''''''''' ''''''''''''''''' '''''' </w:t>
      </w:r>
      <w:r w:rsidR="008661E6">
        <w:rPr>
          <w:rFonts w:asciiTheme="minorHAnsi" w:hAnsiTheme="minorHAnsi"/>
          <w:noProof/>
          <w:snapToGrid w:val="0"/>
          <w:color w:val="000000"/>
          <w:highlight w:val="black"/>
        </w:rPr>
        <w:lastRenderedPageBreak/>
        <w:t>'''''''''''''''''' '''''' '''''''''''''''''''' ''''' '''''' '''''''''''''' '''''' ''''''''''''''' ''''' ''''''' '''''''''' '''''''' ''''''''''''''''''''' ''' ''' '''' ''''''''''''''</w:t>
      </w:r>
    </w:p>
    <w:p w:rsidR="00355A42" w:rsidRPr="00732139" w:rsidRDefault="00355A42" w:rsidP="00355A42">
      <w:pPr>
        <w:ind w:left="720"/>
        <w:rPr>
          <w:rFonts w:asciiTheme="minorHAnsi" w:hAnsiTheme="minorHAnsi"/>
          <w:i/>
        </w:rPr>
      </w:pPr>
      <w:bookmarkStart w:id="7" w:name="_Hlk76375324"/>
    </w:p>
    <w:p w:rsidR="00355A42" w:rsidRPr="00732139" w:rsidRDefault="00355A42" w:rsidP="00355A42">
      <w:pPr>
        <w:ind w:left="720"/>
        <w:rPr>
          <w:rFonts w:asciiTheme="minorHAnsi" w:hAnsiTheme="minorHAnsi"/>
          <w:i/>
        </w:rPr>
      </w:pPr>
      <w:r w:rsidRPr="00732139">
        <w:rPr>
          <w:rFonts w:asciiTheme="minorHAnsi" w:hAnsiTheme="minorHAnsi"/>
          <w:i/>
        </w:rPr>
        <w:t>For more detail on PBAC’s view, see section 7 PBAC outcome.</w:t>
      </w:r>
      <w:bookmarkEnd w:id="7"/>
    </w:p>
    <w:p w:rsidR="008C34A2" w:rsidRPr="00732139" w:rsidRDefault="00B50DB8" w:rsidP="008C34A2">
      <w:pPr>
        <w:pStyle w:val="2-SectionHeading"/>
      </w:pPr>
      <w:bookmarkStart w:id="8" w:name="_Toc72331250"/>
      <w:r w:rsidRPr="00732139">
        <w:t>Requested listing</w:t>
      </w:r>
      <w:bookmarkEnd w:id="8"/>
    </w:p>
    <w:p w:rsidR="00591957" w:rsidRPr="00732139" w:rsidRDefault="00BC0236" w:rsidP="004E18E9">
      <w:pPr>
        <w:pStyle w:val="ExecSumBodyText"/>
        <w:rPr>
          <w:iCs/>
        </w:rPr>
      </w:pPr>
      <w:r w:rsidRPr="00732139">
        <w:rPr>
          <w:iCs/>
        </w:rPr>
        <w:t>While the resubmission acknowledged the potential for both eculizumab and ravulizumab to be considered for PBS listing, there were no proposed PBS restrictions for eculizumab.</w:t>
      </w:r>
    </w:p>
    <w:p w:rsidR="007726FE" w:rsidRPr="00732139" w:rsidRDefault="00F17F6C" w:rsidP="004E18E9">
      <w:pPr>
        <w:pStyle w:val="ExecSumBodyText"/>
      </w:pPr>
      <w:r w:rsidRPr="00732139">
        <w:t>The resubmission requested listing of formulations of higher strength ravulizumab 100 mg/mL (available in 300 mg in 3 mL and 1,100 mg in 11 mL vials), compared to the lower strength 10 mg/mL (300 mg in 30 mL vial) requested previously.</w:t>
      </w:r>
    </w:p>
    <w:p w:rsidR="00B96708" w:rsidRPr="00732139" w:rsidRDefault="00B96708" w:rsidP="004E18E9">
      <w:pPr>
        <w:pStyle w:val="ExecSumBodyText"/>
      </w:pPr>
      <w:r w:rsidRPr="00732139">
        <w:t xml:space="preserve">The requested restrictions have been revised from the previous submission, incorporating the Secretariat’s edits during the July 2020 PBAC consideration of ravulizumab (para </w:t>
      </w:r>
      <w:r w:rsidR="004B49C5" w:rsidRPr="00732139">
        <w:t>3</w:t>
      </w:r>
      <w:r w:rsidRPr="00732139">
        <w:t>.1, ravulizumab PSD, July 2020 PBAC meeting). The category of listing has been amended from a Section 100 – H</w:t>
      </w:r>
      <w:r w:rsidR="007330A9" w:rsidRPr="00732139">
        <w:t>ighly Specialised Drugs Program</w:t>
      </w:r>
      <w:r w:rsidRPr="00732139">
        <w:t xml:space="preserve"> (Community Access) Program listing to a regular Section 100 – </w:t>
      </w:r>
      <w:r w:rsidR="007330A9" w:rsidRPr="00732139">
        <w:t>Highly Specialised Drugs Program</w:t>
      </w:r>
      <w:r w:rsidRPr="00732139">
        <w:t xml:space="preserve"> (Public/Private hospital) Program listing due to complexities with the method of administration. </w:t>
      </w:r>
      <w:r w:rsidRPr="00732139">
        <w:rPr>
          <w:iCs/>
        </w:rPr>
        <w:t xml:space="preserve">This was appropriate. </w:t>
      </w:r>
      <w:r w:rsidR="006047C6" w:rsidRPr="00732139">
        <w:rPr>
          <w:iCs/>
        </w:rPr>
        <w:t>Suggestions and additions proposed by the Secretariat are added in italics and suggested deletions are crossed out with strikethrough.</w:t>
      </w:r>
    </w:p>
    <w:p w:rsidR="00E8062B" w:rsidRPr="00732139" w:rsidRDefault="00E8062B" w:rsidP="00E8062B">
      <w:pPr>
        <w:pStyle w:val="ExecSumBodyText"/>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851"/>
        <w:gridCol w:w="850"/>
        <w:gridCol w:w="851"/>
        <w:gridCol w:w="850"/>
        <w:gridCol w:w="1701"/>
        <w:gridCol w:w="1134"/>
      </w:tblGrid>
      <w:tr w:rsidR="00E8062B" w:rsidRPr="00732139" w:rsidTr="00E8062B">
        <w:trPr>
          <w:cantSplit/>
          <w:trHeight w:val="471"/>
        </w:trPr>
        <w:tc>
          <w:tcPr>
            <w:tcW w:w="2830" w:type="dxa"/>
          </w:tcPr>
          <w:p w:rsidR="00E8062B" w:rsidRPr="00732139" w:rsidRDefault="00E8062B" w:rsidP="008D4251">
            <w:pPr>
              <w:keepNext/>
              <w:ind w:left="-57"/>
              <w:rPr>
                <w:rFonts w:ascii="Arial Narrow" w:hAnsi="Arial Narrow"/>
                <w:b/>
                <w:bCs/>
                <w:sz w:val="20"/>
                <w:szCs w:val="20"/>
              </w:rPr>
            </w:pPr>
            <w:r w:rsidRPr="00732139">
              <w:rPr>
                <w:rFonts w:ascii="Arial Narrow" w:hAnsi="Arial Narrow"/>
                <w:b/>
                <w:bCs/>
                <w:sz w:val="20"/>
                <w:szCs w:val="20"/>
              </w:rPr>
              <w:t>MEDICINAL PRODUCT</w:t>
            </w:r>
          </w:p>
          <w:p w:rsidR="00E8062B" w:rsidRPr="00732139" w:rsidRDefault="00E8062B" w:rsidP="008D4251">
            <w:pPr>
              <w:keepNext/>
              <w:ind w:left="-57"/>
              <w:rPr>
                <w:rFonts w:ascii="Arial Narrow" w:hAnsi="Arial Narrow"/>
                <w:b/>
                <w:sz w:val="20"/>
                <w:szCs w:val="20"/>
              </w:rPr>
            </w:pPr>
            <w:r w:rsidRPr="00732139">
              <w:rPr>
                <w:rFonts w:ascii="Arial Narrow" w:hAnsi="Arial Narrow"/>
                <w:b/>
                <w:bCs/>
                <w:sz w:val="20"/>
                <w:szCs w:val="20"/>
              </w:rPr>
              <w:t>medicinal product pack</w:t>
            </w:r>
          </w:p>
        </w:tc>
        <w:tc>
          <w:tcPr>
            <w:tcW w:w="851" w:type="dxa"/>
          </w:tcPr>
          <w:p w:rsidR="00E8062B" w:rsidRPr="00732139" w:rsidRDefault="00E8062B" w:rsidP="008D4251">
            <w:pPr>
              <w:keepNext/>
              <w:ind w:left="-108"/>
              <w:jc w:val="center"/>
              <w:rPr>
                <w:rFonts w:ascii="Arial Narrow" w:hAnsi="Arial Narrow"/>
                <w:b/>
                <w:sz w:val="20"/>
                <w:szCs w:val="20"/>
              </w:rPr>
            </w:pPr>
            <w:r w:rsidRPr="00732139">
              <w:rPr>
                <w:rFonts w:ascii="Arial Narrow" w:hAnsi="Arial Narrow"/>
                <w:b/>
                <w:sz w:val="20"/>
                <w:szCs w:val="20"/>
              </w:rPr>
              <w:t>PBS item code</w:t>
            </w:r>
          </w:p>
        </w:tc>
        <w:tc>
          <w:tcPr>
            <w:tcW w:w="850" w:type="dxa"/>
          </w:tcPr>
          <w:p w:rsidR="00E8062B" w:rsidRPr="00732139" w:rsidRDefault="00E8062B" w:rsidP="008D4251">
            <w:pPr>
              <w:keepNext/>
              <w:ind w:left="-108"/>
              <w:jc w:val="center"/>
              <w:rPr>
                <w:rFonts w:ascii="Arial Narrow" w:hAnsi="Arial Narrow"/>
                <w:b/>
                <w:sz w:val="20"/>
                <w:szCs w:val="20"/>
              </w:rPr>
            </w:pPr>
            <w:r w:rsidRPr="00732139">
              <w:rPr>
                <w:rFonts w:ascii="Arial Narrow" w:hAnsi="Arial Narrow"/>
                <w:b/>
                <w:sz w:val="20"/>
                <w:szCs w:val="20"/>
              </w:rPr>
              <w:t>Max. qty packs</w:t>
            </w:r>
          </w:p>
        </w:tc>
        <w:tc>
          <w:tcPr>
            <w:tcW w:w="851" w:type="dxa"/>
          </w:tcPr>
          <w:p w:rsidR="00E8062B" w:rsidRPr="00732139" w:rsidRDefault="00E8062B" w:rsidP="008D4251">
            <w:pPr>
              <w:keepNext/>
              <w:ind w:left="-108"/>
              <w:jc w:val="center"/>
              <w:rPr>
                <w:rFonts w:ascii="Arial Narrow" w:hAnsi="Arial Narrow"/>
                <w:b/>
                <w:sz w:val="20"/>
                <w:szCs w:val="20"/>
              </w:rPr>
            </w:pPr>
            <w:r w:rsidRPr="00732139">
              <w:rPr>
                <w:rFonts w:ascii="Arial Narrow" w:hAnsi="Arial Narrow"/>
                <w:b/>
                <w:sz w:val="20"/>
                <w:szCs w:val="20"/>
              </w:rPr>
              <w:t>Max. qty units</w:t>
            </w:r>
          </w:p>
        </w:tc>
        <w:tc>
          <w:tcPr>
            <w:tcW w:w="850" w:type="dxa"/>
          </w:tcPr>
          <w:p w:rsidR="00E8062B" w:rsidRPr="00732139" w:rsidRDefault="00E8062B" w:rsidP="008D4251">
            <w:pPr>
              <w:keepNext/>
              <w:ind w:left="-108"/>
              <w:jc w:val="center"/>
              <w:rPr>
                <w:rFonts w:ascii="Arial Narrow" w:hAnsi="Arial Narrow"/>
                <w:b/>
                <w:sz w:val="20"/>
                <w:szCs w:val="20"/>
              </w:rPr>
            </w:pPr>
            <w:r w:rsidRPr="00732139">
              <w:rPr>
                <w:rFonts w:ascii="Arial Narrow" w:hAnsi="Arial Narrow"/>
                <w:b/>
                <w:sz w:val="20"/>
                <w:szCs w:val="20"/>
              </w:rPr>
              <w:t>№.of Rpts</w:t>
            </w:r>
          </w:p>
        </w:tc>
        <w:tc>
          <w:tcPr>
            <w:tcW w:w="1701" w:type="dxa"/>
          </w:tcPr>
          <w:p w:rsidR="00E8062B" w:rsidRPr="00732139" w:rsidRDefault="00E8062B" w:rsidP="008D4251">
            <w:pPr>
              <w:keepNext/>
              <w:ind w:left="-108"/>
              <w:jc w:val="center"/>
              <w:rPr>
                <w:rFonts w:ascii="Arial Narrow" w:hAnsi="Arial Narrow"/>
                <w:b/>
                <w:sz w:val="20"/>
                <w:szCs w:val="20"/>
              </w:rPr>
            </w:pPr>
            <w:r w:rsidRPr="00732139">
              <w:rPr>
                <w:rFonts w:ascii="Arial Narrow" w:hAnsi="Arial Narrow"/>
                <w:b/>
                <w:sz w:val="20"/>
                <w:szCs w:val="20"/>
              </w:rPr>
              <w:t>Dispensed price for maximum quantity (effective price)</w:t>
            </w:r>
          </w:p>
        </w:tc>
        <w:tc>
          <w:tcPr>
            <w:tcW w:w="1134" w:type="dxa"/>
          </w:tcPr>
          <w:p w:rsidR="00E8062B" w:rsidRPr="00732139" w:rsidRDefault="00E8062B" w:rsidP="008D4251">
            <w:pPr>
              <w:keepNext/>
              <w:rPr>
                <w:rFonts w:ascii="Arial Narrow" w:hAnsi="Arial Narrow"/>
                <w:b/>
                <w:sz w:val="20"/>
                <w:szCs w:val="20"/>
              </w:rPr>
            </w:pPr>
            <w:r w:rsidRPr="00732139">
              <w:rPr>
                <w:rFonts w:ascii="Arial Narrow" w:hAnsi="Arial Narrow"/>
                <w:b/>
                <w:sz w:val="20"/>
                <w:szCs w:val="20"/>
              </w:rPr>
              <w:t>Available brands</w:t>
            </w:r>
          </w:p>
        </w:tc>
      </w:tr>
      <w:tr w:rsidR="00E8062B" w:rsidRPr="00732139" w:rsidTr="008D4251">
        <w:trPr>
          <w:cantSplit/>
          <w:trHeight w:val="224"/>
        </w:trPr>
        <w:tc>
          <w:tcPr>
            <w:tcW w:w="9067" w:type="dxa"/>
            <w:gridSpan w:val="7"/>
          </w:tcPr>
          <w:p w:rsidR="00E8062B" w:rsidRPr="00732139" w:rsidRDefault="00E8062B" w:rsidP="008D4251">
            <w:pPr>
              <w:keepNext/>
              <w:ind w:left="-57"/>
              <w:rPr>
                <w:rFonts w:ascii="Arial Narrow" w:hAnsi="Arial Narrow"/>
                <w:sz w:val="20"/>
                <w:szCs w:val="20"/>
              </w:rPr>
            </w:pPr>
            <w:r w:rsidRPr="00732139">
              <w:rPr>
                <w:rFonts w:ascii="Arial Narrow" w:hAnsi="Arial Narrow"/>
                <w:sz w:val="20"/>
                <w:szCs w:val="20"/>
              </w:rPr>
              <w:t>RAVULIZUMAB</w:t>
            </w:r>
          </w:p>
        </w:tc>
      </w:tr>
      <w:tr w:rsidR="00E8062B" w:rsidRPr="00732139" w:rsidTr="00E8062B">
        <w:trPr>
          <w:cantSplit/>
          <w:trHeight w:val="359"/>
        </w:trPr>
        <w:tc>
          <w:tcPr>
            <w:tcW w:w="2830" w:type="dxa"/>
          </w:tcPr>
          <w:p w:rsidR="00E8062B" w:rsidRPr="00732139" w:rsidRDefault="00E8062B" w:rsidP="008D4251">
            <w:pPr>
              <w:keepNext/>
              <w:ind w:left="-57"/>
              <w:rPr>
                <w:rFonts w:ascii="Arial Narrow" w:hAnsi="Arial Narrow"/>
                <w:sz w:val="20"/>
                <w:szCs w:val="20"/>
              </w:rPr>
            </w:pPr>
            <w:r w:rsidRPr="00732139">
              <w:rPr>
                <w:rFonts w:ascii="Arial Narrow" w:hAnsi="Arial Narrow"/>
                <w:sz w:val="20"/>
                <w:szCs w:val="20"/>
              </w:rPr>
              <w:t>Ravulizumab 300 mg/3 mL injection, 3 mL vial</w:t>
            </w:r>
          </w:p>
        </w:tc>
        <w:tc>
          <w:tcPr>
            <w:tcW w:w="851" w:type="dxa"/>
          </w:tcPr>
          <w:p w:rsidR="00E8062B" w:rsidRPr="00732139" w:rsidRDefault="00E8062B" w:rsidP="008D4251">
            <w:pPr>
              <w:keepNext/>
              <w:jc w:val="center"/>
              <w:rPr>
                <w:rFonts w:ascii="Arial Narrow" w:hAnsi="Arial Narrow"/>
                <w:sz w:val="20"/>
                <w:szCs w:val="20"/>
              </w:rPr>
            </w:pPr>
            <w:r w:rsidRPr="00732139">
              <w:rPr>
                <w:rFonts w:ascii="Arial Narrow" w:hAnsi="Arial Narrow"/>
                <w:sz w:val="20"/>
                <w:szCs w:val="20"/>
              </w:rPr>
              <w:t>NEW</w:t>
            </w:r>
          </w:p>
        </w:tc>
        <w:tc>
          <w:tcPr>
            <w:tcW w:w="850" w:type="dxa"/>
          </w:tcPr>
          <w:p w:rsidR="00E8062B" w:rsidRPr="00732139" w:rsidRDefault="00E8062B" w:rsidP="008D4251">
            <w:pPr>
              <w:keepNext/>
              <w:jc w:val="center"/>
              <w:rPr>
                <w:rFonts w:ascii="Arial Narrow" w:hAnsi="Arial Narrow"/>
                <w:sz w:val="20"/>
                <w:szCs w:val="20"/>
              </w:rPr>
            </w:pPr>
            <w:r w:rsidRPr="00732139">
              <w:rPr>
                <w:rFonts w:ascii="Arial Narrow" w:hAnsi="Arial Narrow"/>
                <w:sz w:val="20"/>
                <w:szCs w:val="20"/>
              </w:rPr>
              <w:t>1</w:t>
            </w:r>
          </w:p>
        </w:tc>
        <w:tc>
          <w:tcPr>
            <w:tcW w:w="851" w:type="dxa"/>
          </w:tcPr>
          <w:p w:rsidR="00E8062B" w:rsidRPr="00732139" w:rsidRDefault="00E8062B" w:rsidP="008D4251">
            <w:pPr>
              <w:keepNext/>
              <w:jc w:val="center"/>
              <w:rPr>
                <w:rFonts w:ascii="Arial Narrow" w:hAnsi="Arial Narrow"/>
                <w:sz w:val="20"/>
                <w:szCs w:val="20"/>
              </w:rPr>
            </w:pPr>
            <w:r w:rsidRPr="00732139">
              <w:rPr>
                <w:rFonts w:ascii="Arial Narrow" w:hAnsi="Arial Narrow"/>
                <w:sz w:val="20"/>
                <w:szCs w:val="20"/>
              </w:rPr>
              <w:t>1</w:t>
            </w:r>
          </w:p>
        </w:tc>
        <w:tc>
          <w:tcPr>
            <w:tcW w:w="850" w:type="dxa"/>
          </w:tcPr>
          <w:p w:rsidR="00E8062B" w:rsidRPr="00732139" w:rsidRDefault="00E8062B" w:rsidP="008D4251">
            <w:pPr>
              <w:keepNext/>
              <w:jc w:val="center"/>
              <w:rPr>
                <w:rFonts w:ascii="Arial Narrow" w:hAnsi="Arial Narrow"/>
                <w:sz w:val="20"/>
                <w:szCs w:val="20"/>
              </w:rPr>
            </w:pPr>
            <w:r w:rsidRPr="00732139">
              <w:rPr>
                <w:rFonts w:ascii="Arial Narrow" w:hAnsi="Arial Narrow"/>
                <w:sz w:val="20"/>
                <w:szCs w:val="20"/>
              </w:rPr>
              <w:t>2</w:t>
            </w:r>
          </w:p>
        </w:tc>
        <w:tc>
          <w:tcPr>
            <w:tcW w:w="1701" w:type="dxa"/>
          </w:tcPr>
          <w:p w:rsidR="00E8062B" w:rsidRPr="00732139" w:rsidRDefault="00E8062B" w:rsidP="00E8062B">
            <w:pPr>
              <w:pStyle w:val="TableText"/>
              <w:keepNext w:val="0"/>
              <w:jc w:val="center"/>
              <w:rPr>
                <w:rFonts w:eastAsia="Times New Roman" w:cs="Arial"/>
                <w:bCs w:val="0"/>
                <w:szCs w:val="20"/>
              </w:rPr>
            </w:pPr>
            <w:r w:rsidRPr="00732139">
              <w:rPr>
                <w:rFonts w:eastAsia="Times New Roman" w:cs="Arial"/>
                <w:bCs w:val="0"/>
                <w:szCs w:val="20"/>
              </w:rPr>
              <w:t>Public hospital:</w:t>
            </w:r>
          </w:p>
          <w:p w:rsidR="00E8062B" w:rsidRPr="00732139" w:rsidRDefault="00E8062B" w:rsidP="00E8062B">
            <w:pPr>
              <w:pStyle w:val="TableText"/>
              <w:keepNext w:val="0"/>
              <w:jc w:val="center"/>
              <w:rPr>
                <w:rFonts w:eastAsia="Times New Roman" w:cs="Arial"/>
                <w:bCs w:val="0"/>
                <w:szCs w:val="20"/>
              </w:rPr>
            </w:pPr>
            <w:r w:rsidRPr="00732139">
              <w:rPr>
                <w:rFonts w:eastAsia="Times New Roman" w:cs="Arial"/>
                <w:bCs w:val="0"/>
                <w:szCs w:val="20"/>
              </w:rPr>
              <w:t>$</w:t>
            </w:r>
            <w:r w:rsidR="008661E6">
              <w:rPr>
                <w:rFonts w:eastAsia="Times New Roman" w:cs="Arial"/>
                <w:bCs w:val="0"/>
                <w:noProof/>
                <w:color w:val="000000"/>
                <w:szCs w:val="20"/>
                <w:highlight w:val="black"/>
              </w:rPr>
              <w:t>'''''''''''''''''''''</w:t>
            </w:r>
            <w:r w:rsidRPr="00732139">
              <w:rPr>
                <w:rFonts w:eastAsia="Times New Roman" w:cs="Arial"/>
                <w:bCs w:val="0"/>
                <w:szCs w:val="20"/>
              </w:rPr>
              <w:t xml:space="preserve"> ($</w:t>
            </w:r>
            <w:r w:rsidR="008661E6">
              <w:rPr>
                <w:rFonts w:eastAsia="Times New Roman" w:cs="Arial"/>
                <w:bCs w:val="0"/>
                <w:noProof/>
                <w:color w:val="000000"/>
                <w:szCs w:val="20"/>
                <w:highlight w:val="black"/>
              </w:rPr>
              <w:t>''''''''''''''''''''</w:t>
            </w:r>
            <w:r w:rsidRPr="00732139">
              <w:rPr>
                <w:rFonts w:eastAsia="Times New Roman" w:cs="Arial"/>
                <w:bCs w:val="0"/>
                <w:szCs w:val="20"/>
              </w:rPr>
              <w:t>)</w:t>
            </w:r>
          </w:p>
          <w:p w:rsidR="00E8062B" w:rsidRPr="00732139" w:rsidRDefault="00E8062B" w:rsidP="00E8062B">
            <w:pPr>
              <w:pStyle w:val="TableText"/>
              <w:keepNext w:val="0"/>
              <w:jc w:val="center"/>
              <w:rPr>
                <w:rFonts w:eastAsia="Times New Roman" w:cs="Arial"/>
                <w:bCs w:val="0"/>
                <w:szCs w:val="20"/>
              </w:rPr>
            </w:pPr>
            <w:r w:rsidRPr="00732139">
              <w:rPr>
                <w:rFonts w:eastAsia="Times New Roman" w:cs="Arial"/>
                <w:bCs w:val="0"/>
                <w:szCs w:val="20"/>
              </w:rPr>
              <w:t xml:space="preserve">Private hospital: </w:t>
            </w:r>
          </w:p>
          <w:p w:rsidR="00E8062B" w:rsidRPr="00732139" w:rsidRDefault="00E8062B" w:rsidP="00E8062B">
            <w:pPr>
              <w:keepNext/>
              <w:jc w:val="center"/>
              <w:rPr>
                <w:rFonts w:ascii="Arial Narrow" w:hAnsi="Arial Narrow"/>
                <w:sz w:val="20"/>
                <w:szCs w:val="20"/>
              </w:rPr>
            </w:pPr>
            <w:r w:rsidRPr="00732139">
              <w:rPr>
                <w:rFonts w:ascii="Arial Narrow" w:hAnsi="Arial Narrow"/>
                <w:sz w:val="20"/>
                <w:szCs w:val="20"/>
              </w:rPr>
              <w:t>$</w:t>
            </w:r>
            <w:r w:rsidR="008661E6">
              <w:rPr>
                <w:rFonts w:ascii="Arial Narrow" w:hAnsi="Arial Narrow"/>
                <w:noProof/>
                <w:color w:val="000000"/>
                <w:sz w:val="20"/>
                <w:szCs w:val="20"/>
                <w:highlight w:val="black"/>
              </w:rPr>
              <w:t>'''''''''''''''''''</w:t>
            </w:r>
            <w:r w:rsidRPr="00732139">
              <w:rPr>
                <w:rFonts w:ascii="Arial Narrow" w:hAnsi="Arial Narrow"/>
                <w:sz w:val="20"/>
                <w:szCs w:val="20"/>
              </w:rPr>
              <w:t xml:space="preserve"> ($</w:t>
            </w:r>
            <w:r w:rsidR="008661E6">
              <w:rPr>
                <w:rFonts w:ascii="Arial Narrow" w:hAnsi="Arial Narrow"/>
                <w:noProof/>
                <w:color w:val="000000"/>
                <w:sz w:val="20"/>
                <w:szCs w:val="20"/>
                <w:highlight w:val="black"/>
              </w:rPr>
              <w:t>'''''''''''''''''</w:t>
            </w:r>
            <w:r w:rsidRPr="00732139">
              <w:rPr>
                <w:rFonts w:ascii="Arial Narrow" w:hAnsi="Arial Narrow"/>
                <w:sz w:val="20"/>
                <w:szCs w:val="20"/>
              </w:rPr>
              <w:t>)</w:t>
            </w:r>
          </w:p>
        </w:tc>
        <w:tc>
          <w:tcPr>
            <w:tcW w:w="1134" w:type="dxa"/>
          </w:tcPr>
          <w:p w:rsidR="00E8062B" w:rsidRPr="00732139" w:rsidRDefault="00E8062B" w:rsidP="008D4251">
            <w:pPr>
              <w:keepNext/>
              <w:jc w:val="center"/>
              <w:rPr>
                <w:rFonts w:ascii="Arial Narrow" w:hAnsi="Arial Narrow"/>
                <w:sz w:val="20"/>
                <w:szCs w:val="20"/>
              </w:rPr>
            </w:pPr>
            <w:r w:rsidRPr="00732139">
              <w:rPr>
                <w:rFonts w:ascii="Arial Narrow" w:hAnsi="Arial Narrow"/>
                <w:sz w:val="20"/>
                <w:szCs w:val="20"/>
              </w:rPr>
              <w:t>Ultomiris</w:t>
            </w:r>
          </w:p>
        </w:tc>
      </w:tr>
      <w:tr w:rsidR="00E8062B" w:rsidRPr="00732139" w:rsidTr="00E8062B">
        <w:trPr>
          <w:cantSplit/>
          <w:trHeight w:val="347"/>
        </w:trPr>
        <w:tc>
          <w:tcPr>
            <w:tcW w:w="2830" w:type="dxa"/>
          </w:tcPr>
          <w:p w:rsidR="00E8062B" w:rsidRPr="00732139" w:rsidRDefault="00E8062B" w:rsidP="008D4251">
            <w:pPr>
              <w:keepNext/>
              <w:ind w:left="-57"/>
              <w:rPr>
                <w:rFonts w:ascii="Arial Narrow" w:hAnsi="Arial Narrow"/>
                <w:sz w:val="20"/>
                <w:szCs w:val="20"/>
              </w:rPr>
            </w:pPr>
            <w:r w:rsidRPr="00732139">
              <w:rPr>
                <w:rFonts w:ascii="Arial Narrow" w:hAnsi="Arial Narrow"/>
                <w:sz w:val="20"/>
                <w:szCs w:val="20"/>
              </w:rPr>
              <w:t>Ravulizumab 1.1 g/11 mL injection, 11 mL vial</w:t>
            </w:r>
          </w:p>
        </w:tc>
        <w:tc>
          <w:tcPr>
            <w:tcW w:w="851" w:type="dxa"/>
          </w:tcPr>
          <w:p w:rsidR="00E8062B" w:rsidRPr="00732139" w:rsidRDefault="00E8062B" w:rsidP="008D4251">
            <w:pPr>
              <w:keepNext/>
              <w:jc w:val="center"/>
              <w:rPr>
                <w:rFonts w:ascii="Arial Narrow" w:hAnsi="Arial Narrow"/>
                <w:sz w:val="20"/>
                <w:szCs w:val="20"/>
              </w:rPr>
            </w:pPr>
            <w:r w:rsidRPr="00732139">
              <w:rPr>
                <w:rFonts w:ascii="Arial Narrow" w:hAnsi="Arial Narrow"/>
                <w:sz w:val="20"/>
                <w:szCs w:val="20"/>
              </w:rPr>
              <w:t>NEW</w:t>
            </w:r>
          </w:p>
        </w:tc>
        <w:tc>
          <w:tcPr>
            <w:tcW w:w="850" w:type="dxa"/>
          </w:tcPr>
          <w:p w:rsidR="00E8062B" w:rsidRPr="00732139" w:rsidRDefault="00E8062B" w:rsidP="008D4251">
            <w:pPr>
              <w:keepNext/>
              <w:jc w:val="center"/>
              <w:rPr>
                <w:rFonts w:ascii="Arial Narrow" w:hAnsi="Arial Narrow"/>
                <w:sz w:val="20"/>
                <w:szCs w:val="20"/>
              </w:rPr>
            </w:pPr>
            <w:r w:rsidRPr="00732139">
              <w:rPr>
                <w:rFonts w:ascii="Arial Narrow" w:hAnsi="Arial Narrow"/>
                <w:sz w:val="20"/>
                <w:szCs w:val="20"/>
              </w:rPr>
              <w:t>1</w:t>
            </w:r>
          </w:p>
        </w:tc>
        <w:tc>
          <w:tcPr>
            <w:tcW w:w="851" w:type="dxa"/>
          </w:tcPr>
          <w:p w:rsidR="00E8062B" w:rsidRPr="00732139" w:rsidRDefault="00E8062B" w:rsidP="008D4251">
            <w:pPr>
              <w:keepNext/>
              <w:jc w:val="center"/>
              <w:rPr>
                <w:rFonts w:ascii="Arial Narrow" w:hAnsi="Arial Narrow"/>
                <w:sz w:val="20"/>
                <w:szCs w:val="20"/>
              </w:rPr>
            </w:pPr>
            <w:r w:rsidRPr="00732139">
              <w:rPr>
                <w:rFonts w:ascii="Arial Narrow" w:hAnsi="Arial Narrow"/>
                <w:sz w:val="20"/>
                <w:szCs w:val="20"/>
              </w:rPr>
              <w:t>1</w:t>
            </w:r>
          </w:p>
        </w:tc>
        <w:tc>
          <w:tcPr>
            <w:tcW w:w="850" w:type="dxa"/>
          </w:tcPr>
          <w:p w:rsidR="00E8062B" w:rsidRPr="00732139" w:rsidRDefault="00E8062B" w:rsidP="008D4251">
            <w:pPr>
              <w:keepNext/>
              <w:jc w:val="center"/>
              <w:rPr>
                <w:rFonts w:ascii="Arial Narrow" w:hAnsi="Arial Narrow"/>
                <w:sz w:val="20"/>
                <w:szCs w:val="20"/>
              </w:rPr>
            </w:pPr>
            <w:r w:rsidRPr="00732139">
              <w:rPr>
                <w:rFonts w:ascii="Arial Narrow" w:hAnsi="Arial Narrow"/>
                <w:sz w:val="20"/>
                <w:szCs w:val="20"/>
              </w:rPr>
              <w:t>2</w:t>
            </w:r>
          </w:p>
        </w:tc>
        <w:tc>
          <w:tcPr>
            <w:tcW w:w="1701" w:type="dxa"/>
          </w:tcPr>
          <w:p w:rsidR="00E8062B" w:rsidRPr="00732139" w:rsidRDefault="00E8062B" w:rsidP="00E8062B">
            <w:pPr>
              <w:pStyle w:val="TableText"/>
              <w:keepNext w:val="0"/>
              <w:jc w:val="center"/>
              <w:rPr>
                <w:rFonts w:eastAsia="Times New Roman" w:cs="Arial"/>
                <w:bCs w:val="0"/>
                <w:szCs w:val="20"/>
              </w:rPr>
            </w:pPr>
            <w:r w:rsidRPr="00732139">
              <w:rPr>
                <w:rFonts w:eastAsia="Times New Roman" w:cs="Arial"/>
                <w:bCs w:val="0"/>
                <w:szCs w:val="20"/>
              </w:rPr>
              <w:t>Public hospital:</w:t>
            </w:r>
          </w:p>
          <w:p w:rsidR="00E8062B" w:rsidRPr="00732139" w:rsidRDefault="00E8062B" w:rsidP="00E8062B">
            <w:pPr>
              <w:pStyle w:val="TableText"/>
              <w:keepNext w:val="0"/>
              <w:jc w:val="center"/>
              <w:rPr>
                <w:rFonts w:eastAsia="Times New Roman" w:cs="Arial"/>
                <w:bCs w:val="0"/>
                <w:szCs w:val="20"/>
              </w:rPr>
            </w:pPr>
            <w:r w:rsidRPr="00732139">
              <w:rPr>
                <w:rFonts w:eastAsia="Times New Roman" w:cs="Arial"/>
                <w:bCs w:val="0"/>
                <w:szCs w:val="20"/>
              </w:rPr>
              <w:t>$</w:t>
            </w:r>
            <w:r w:rsidR="008661E6">
              <w:rPr>
                <w:rFonts w:eastAsia="Times New Roman" w:cs="Arial"/>
                <w:bCs w:val="0"/>
                <w:noProof/>
                <w:color w:val="000000"/>
                <w:szCs w:val="20"/>
                <w:highlight w:val="black"/>
              </w:rPr>
              <w:t>'''''''''''''''''''''''</w:t>
            </w:r>
            <w:r w:rsidRPr="00732139">
              <w:rPr>
                <w:rFonts w:eastAsia="Times New Roman" w:cs="Arial"/>
                <w:bCs w:val="0"/>
                <w:szCs w:val="20"/>
              </w:rPr>
              <w:t xml:space="preserve"> ($</w:t>
            </w:r>
            <w:r w:rsidR="008661E6">
              <w:rPr>
                <w:rFonts w:eastAsia="Times New Roman" w:cs="Arial"/>
                <w:bCs w:val="0"/>
                <w:noProof/>
                <w:color w:val="000000"/>
                <w:szCs w:val="20"/>
                <w:highlight w:val="black"/>
              </w:rPr>
              <w:t>''''''''''''''''''''''''</w:t>
            </w:r>
            <w:r w:rsidRPr="00732139">
              <w:rPr>
                <w:rFonts w:eastAsia="Times New Roman" w:cs="Arial"/>
                <w:bCs w:val="0"/>
                <w:szCs w:val="20"/>
              </w:rPr>
              <w:t>)</w:t>
            </w:r>
          </w:p>
          <w:p w:rsidR="00E8062B" w:rsidRPr="00732139" w:rsidRDefault="00E8062B" w:rsidP="00E8062B">
            <w:pPr>
              <w:pStyle w:val="TableText"/>
              <w:keepNext w:val="0"/>
              <w:jc w:val="center"/>
              <w:rPr>
                <w:rFonts w:eastAsia="Times New Roman" w:cs="Arial"/>
                <w:bCs w:val="0"/>
                <w:szCs w:val="20"/>
              </w:rPr>
            </w:pPr>
            <w:r w:rsidRPr="00732139">
              <w:rPr>
                <w:rFonts w:eastAsia="Times New Roman" w:cs="Arial"/>
                <w:bCs w:val="0"/>
                <w:szCs w:val="20"/>
              </w:rPr>
              <w:t xml:space="preserve">Private hospital: </w:t>
            </w:r>
          </w:p>
          <w:p w:rsidR="00E8062B" w:rsidRPr="00732139" w:rsidRDefault="00E8062B" w:rsidP="00E8062B">
            <w:pPr>
              <w:keepNext/>
              <w:jc w:val="center"/>
              <w:rPr>
                <w:rFonts w:ascii="Arial Narrow" w:hAnsi="Arial Narrow"/>
                <w:sz w:val="20"/>
                <w:szCs w:val="20"/>
              </w:rPr>
            </w:pPr>
            <w:r w:rsidRPr="00732139">
              <w:rPr>
                <w:rFonts w:ascii="Arial Narrow" w:hAnsi="Arial Narrow"/>
                <w:sz w:val="20"/>
                <w:szCs w:val="20"/>
              </w:rPr>
              <w:t>$</w:t>
            </w:r>
            <w:r w:rsidR="008661E6">
              <w:rPr>
                <w:rFonts w:ascii="Arial Narrow" w:hAnsi="Arial Narrow"/>
                <w:noProof/>
                <w:color w:val="000000"/>
                <w:sz w:val="20"/>
                <w:szCs w:val="20"/>
                <w:highlight w:val="black"/>
              </w:rPr>
              <w:t>''''''''''''''''''''''</w:t>
            </w:r>
            <w:r w:rsidRPr="00732139">
              <w:rPr>
                <w:rFonts w:ascii="Arial Narrow" w:hAnsi="Arial Narrow"/>
                <w:sz w:val="20"/>
                <w:szCs w:val="20"/>
              </w:rPr>
              <w:t xml:space="preserve"> ($</w:t>
            </w:r>
            <w:r w:rsidR="008661E6">
              <w:rPr>
                <w:rFonts w:ascii="Arial Narrow" w:hAnsi="Arial Narrow"/>
                <w:noProof/>
                <w:color w:val="000000"/>
                <w:sz w:val="20"/>
                <w:szCs w:val="20"/>
                <w:highlight w:val="black"/>
              </w:rPr>
              <w:t>'''''''''''''''''''''''''</w:t>
            </w:r>
            <w:r w:rsidRPr="00732139">
              <w:rPr>
                <w:rFonts w:ascii="Arial Narrow" w:hAnsi="Arial Narrow"/>
                <w:sz w:val="20"/>
                <w:szCs w:val="20"/>
              </w:rPr>
              <w:t>)</w:t>
            </w:r>
          </w:p>
        </w:tc>
        <w:tc>
          <w:tcPr>
            <w:tcW w:w="1134" w:type="dxa"/>
          </w:tcPr>
          <w:p w:rsidR="00E8062B" w:rsidRPr="00732139" w:rsidRDefault="00E8062B" w:rsidP="008D4251">
            <w:pPr>
              <w:keepNext/>
              <w:jc w:val="center"/>
              <w:rPr>
                <w:rFonts w:ascii="Arial Narrow" w:hAnsi="Arial Narrow"/>
                <w:sz w:val="20"/>
                <w:szCs w:val="20"/>
              </w:rPr>
            </w:pPr>
            <w:r w:rsidRPr="00732139">
              <w:rPr>
                <w:rFonts w:ascii="Arial Narrow" w:hAnsi="Arial Narrow"/>
                <w:sz w:val="20"/>
                <w:szCs w:val="20"/>
              </w:rPr>
              <w:t>Ultomiris</w:t>
            </w:r>
          </w:p>
        </w:tc>
      </w:tr>
      <w:tr w:rsidR="00E8062B" w:rsidRPr="00732139" w:rsidTr="008D4251">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E8062B" w:rsidRPr="00732139" w:rsidRDefault="00E8062B" w:rsidP="008D4251">
            <w:pPr>
              <w:rPr>
                <w:rFonts w:ascii="Arial Narrow" w:hAnsi="Arial Narrow"/>
                <w:sz w:val="20"/>
                <w:szCs w:val="20"/>
              </w:rPr>
            </w:pPr>
          </w:p>
        </w:tc>
      </w:tr>
      <w:tr w:rsidR="00E8062B" w:rsidRPr="00732139" w:rsidTr="008D4251">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E8062B" w:rsidRPr="00732139" w:rsidRDefault="00E8062B" w:rsidP="008D4251">
            <w:pPr>
              <w:rPr>
                <w:rFonts w:ascii="Arial Narrow" w:hAnsi="Arial Narrow"/>
                <w:b/>
                <w:sz w:val="20"/>
                <w:szCs w:val="20"/>
              </w:rPr>
            </w:pPr>
            <w:r w:rsidRPr="00732139">
              <w:rPr>
                <w:rFonts w:ascii="Arial Narrow" w:hAnsi="Arial Narrow"/>
                <w:b/>
                <w:sz w:val="20"/>
                <w:szCs w:val="20"/>
              </w:rPr>
              <w:t>Restriction Summary [new] 4567</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rsidR="0047425E" w:rsidRPr="00732139" w:rsidRDefault="0047425E" w:rsidP="008D4251">
            <w:pPr>
              <w:rPr>
                <w:rFonts w:ascii="Arial Narrow" w:hAnsi="Arial Narrow"/>
                <w:sz w:val="20"/>
                <w:szCs w:val="20"/>
              </w:rPr>
            </w:pPr>
            <w:r w:rsidRPr="00732139">
              <w:rPr>
                <w:rFonts w:ascii="Arial Narrow" w:hAnsi="Arial Narrow"/>
                <w:b/>
                <w:sz w:val="20"/>
                <w:szCs w:val="20"/>
              </w:rPr>
              <w:t xml:space="preserve">Category / Program: </w:t>
            </w:r>
            <w:r w:rsidRPr="00732139">
              <w:rPr>
                <w:rFonts w:ascii="Arial Narrow" w:hAnsi="Arial Narrow"/>
                <w:sz w:val="20"/>
                <w:szCs w:val="20"/>
              </w:rPr>
              <w:t>Section 100 – Highly Specialised Drugs Program</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7"/>
            <w:tcBorders>
              <w:top w:val="single" w:sz="4" w:space="0" w:color="auto"/>
              <w:left w:val="single" w:sz="4" w:space="0" w:color="auto"/>
              <w:bottom w:val="single" w:sz="4" w:space="0" w:color="auto"/>
              <w:right w:val="single" w:sz="4" w:space="0" w:color="auto"/>
            </w:tcBorders>
          </w:tcPr>
          <w:p w:rsidR="0047425E" w:rsidRPr="00732139" w:rsidRDefault="0047425E" w:rsidP="008D4251">
            <w:pPr>
              <w:rPr>
                <w:rFonts w:ascii="Arial Narrow" w:hAnsi="Arial Narrow"/>
                <w:b/>
                <w:sz w:val="20"/>
                <w:szCs w:val="20"/>
              </w:rPr>
            </w:pPr>
            <w:r w:rsidRPr="00732139">
              <w:rPr>
                <w:rFonts w:ascii="Arial Narrow" w:hAnsi="Arial Narrow"/>
                <w:b/>
                <w:sz w:val="20"/>
                <w:szCs w:val="20"/>
              </w:rPr>
              <w:t>Prescriber type:</w:t>
            </w:r>
            <w:r w:rsidRPr="00732139">
              <w:rPr>
                <w:rFonts w:ascii="Arial Narrow" w:hAnsi="Arial Narrow"/>
                <w:sz w:val="20"/>
                <w:szCs w:val="20"/>
              </w:rPr>
              <w:t xml:space="preserve"> </w:t>
            </w:r>
            <w:r w:rsidRPr="00732139">
              <w:rPr>
                <w:rFonts w:ascii="Arial Narrow" w:hAnsi="Arial Narrow"/>
                <w:sz w:val="20"/>
                <w:szCs w:val="20"/>
              </w:rPr>
              <w:fldChar w:fldCharType="begin">
                <w:ffData>
                  <w:name w:val=""/>
                  <w:enabled/>
                  <w:calcOnExit w:val="0"/>
                  <w:checkBox>
                    <w:sizeAuto/>
                    <w:default w:val="1"/>
                  </w:checkBox>
                </w:ffData>
              </w:fldChar>
            </w:r>
            <w:r w:rsidRPr="00732139">
              <w:rPr>
                <w:rFonts w:ascii="Arial Narrow" w:hAnsi="Arial Narrow"/>
                <w:sz w:val="20"/>
                <w:szCs w:val="20"/>
              </w:rPr>
              <w:instrText xml:space="preserve"> FORMCHECKBOX </w:instrText>
            </w:r>
            <w:r w:rsidR="00F560E6">
              <w:rPr>
                <w:rFonts w:ascii="Arial Narrow" w:hAnsi="Arial Narrow"/>
                <w:sz w:val="20"/>
                <w:szCs w:val="20"/>
              </w:rPr>
            </w:r>
            <w:r w:rsidR="00F560E6">
              <w:rPr>
                <w:rFonts w:ascii="Arial Narrow" w:hAnsi="Arial Narrow"/>
                <w:sz w:val="20"/>
                <w:szCs w:val="20"/>
              </w:rPr>
              <w:fldChar w:fldCharType="separate"/>
            </w:r>
            <w:r w:rsidRPr="00732139">
              <w:rPr>
                <w:rFonts w:ascii="Arial Narrow" w:hAnsi="Arial Narrow"/>
                <w:sz w:val="20"/>
                <w:szCs w:val="20"/>
              </w:rPr>
              <w:fldChar w:fldCharType="end"/>
            </w:r>
            <w:r w:rsidRPr="00732139">
              <w:rPr>
                <w:rFonts w:ascii="Arial Narrow" w:hAnsi="Arial Narrow"/>
                <w:sz w:val="20"/>
                <w:szCs w:val="20"/>
              </w:rPr>
              <w:t>Medical Practitioners</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rsidR="0047425E" w:rsidRPr="00732139" w:rsidRDefault="0047425E" w:rsidP="008D4251">
            <w:pPr>
              <w:rPr>
                <w:rFonts w:ascii="Arial Narrow" w:eastAsia="Calibri" w:hAnsi="Arial Narrow"/>
                <w:color w:val="FF00FF"/>
                <w:sz w:val="20"/>
                <w:szCs w:val="20"/>
              </w:rPr>
            </w:pPr>
            <w:r w:rsidRPr="00732139">
              <w:rPr>
                <w:rFonts w:ascii="Arial Narrow" w:hAnsi="Arial Narrow"/>
                <w:b/>
                <w:sz w:val="20"/>
                <w:szCs w:val="20"/>
              </w:rPr>
              <w:t xml:space="preserve">Restriction type: </w:t>
            </w:r>
            <w:r w:rsidRPr="00732139">
              <w:rPr>
                <w:rFonts w:ascii="Arial Narrow" w:eastAsia="Calibri" w:hAnsi="Arial Narrow"/>
                <w:sz w:val="20"/>
                <w:szCs w:val="20"/>
              </w:rPr>
              <w:fldChar w:fldCharType="begin">
                <w:ffData>
                  <w:name w:val=""/>
                  <w:enabled/>
                  <w:calcOnExit w:val="0"/>
                  <w:checkBox>
                    <w:sizeAuto/>
                    <w:default w:val="1"/>
                  </w:checkBox>
                </w:ffData>
              </w:fldChar>
            </w:r>
            <w:r w:rsidRPr="00732139">
              <w:rPr>
                <w:rFonts w:ascii="Arial Narrow" w:eastAsia="Calibri" w:hAnsi="Arial Narrow"/>
                <w:sz w:val="20"/>
                <w:szCs w:val="20"/>
              </w:rPr>
              <w:instrText xml:space="preserve"> FORMCHECKBOX </w:instrText>
            </w:r>
            <w:r w:rsidR="00F560E6">
              <w:rPr>
                <w:rFonts w:ascii="Arial Narrow" w:eastAsia="Calibri" w:hAnsi="Arial Narrow"/>
                <w:sz w:val="20"/>
                <w:szCs w:val="20"/>
              </w:rPr>
            </w:r>
            <w:r w:rsidR="00F560E6">
              <w:rPr>
                <w:rFonts w:ascii="Arial Narrow" w:eastAsia="Calibri" w:hAnsi="Arial Narrow"/>
                <w:sz w:val="20"/>
                <w:szCs w:val="20"/>
              </w:rPr>
              <w:fldChar w:fldCharType="separate"/>
            </w:r>
            <w:r w:rsidRPr="00732139">
              <w:rPr>
                <w:rFonts w:ascii="Arial Narrow" w:eastAsia="Calibri" w:hAnsi="Arial Narrow"/>
                <w:sz w:val="20"/>
                <w:szCs w:val="20"/>
              </w:rPr>
              <w:fldChar w:fldCharType="end"/>
            </w:r>
            <w:r w:rsidRPr="00732139">
              <w:rPr>
                <w:rFonts w:ascii="Arial Narrow" w:eastAsia="Calibri" w:hAnsi="Arial Narrow"/>
                <w:sz w:val="20"/>
                <w:szCs w:val="20"/>
              </w:rPr>
              <w:t xml:space="preserve">Authority Required – non-immediate assessment by Services Australia  </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rsidR="0047425E" w:rsidRPr="00732139" w:rsidRDefault="0047425E" w:rsidP="008D4251">
            <w:pPr>
              <w:rPr>
                <w:rFonts w:ascii="Arial Narrow" w:hAnsi="Arial Narrow"/>
                <w:bCs/>
                <w:color w:val="333333"/>
                <w:sz w:val="20"/>
                <w:szCs w:val="20"/>
              </w:rPr>
            </w:pPr>
            <w:r w:rsidRPr="00732139">
              <w:rPr>
                <w:rFonts w:ascii="Arial Narrow" w:hAnsi="Arial Narrow"/>
                <w:b/>
                <w:bCs/>
                <w:color w:val="333333"/>
                <w:sz w:val="20"/>
                <w:szCs w:val="20"/>
              </w:rPr>
              <w:t xml:space="preserve">Episodicity: </w:t>
            </w:r>
            <w:r w:rsidRPr="00732139">
              <w:rPr>
                <w:rFonts w:ascii="Arial Narrow" w:eastAsia="Calibri" w:hAnsi="Arial Narrow"/>
                <w:sz w:val="20"/>
                <w:szCs w:val="20"/>
              </w:rPr>
              <w:t xml:space="preserve">blank </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rsidR="0047425E" w:rsidRPr="00732139" w:rsidRDefault="0047425E" w:rsidP="008D4251">
            <w:pPr>
              <w:rPr>
                <w:rFonts w:ascii="Arial Narrow" w:hAnsi="Arial Narrow"/>
                <w:b/>
                <w:bCs/>
                <w:color w:val="333333"/>
                <w:sz w:val="20"/>
                <w:szCs w:val="20"/>
              </w:rPr>
            </w:pPr>
            <w:r w:rsidRPr="00732139">
              <w:rPr>
                <w:rFonts w:ascii="Arial Narrow" w:hAnsi="Arial Narrow"/>
                <w:b/>
                <w:bCs/>
                <w:color w:val="333333"/>
                <w:sz w:val="20"/>
                <w:szCs w:val="20"/>
              </w:rPr>
              <w:t xml:space="preserve">Severity: </w:t>
            </w:r>
            <w:r w:rsidRPr="00732139">
              <w:rPr>
                <w:rFonts w:ascii="Arial Narrow" w:eastAsia="Calibri" w:hAnsi="Arial Narrow"/>
                <w:sz w:val="20"/>
                <w:szCs w:val="20"/>
              </w:rPr>
              <w:t>blank</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rsidR="0047425E" w:rsidRPr="00732139" w:rsidRDefault="0047425E" w:rsidP="008D4251">
            <w:pPr>
              <w:rPr>
                <w:rFonts w:ascii="Arial Narrow" w:hAnsi="Arial Narrow"/>
                <w:b/>
                <w:bCs/>
                <w:color w:val="333333"/>
                <w:sz w:val="20"/>
                <w:szCs w:val="20"/>
              </w:rPr>
            </w:pPr>
            <w:r w:rsidRPr="00732139">
              <w:rPr>
                <w:rFonts w:ascii="Arial Narrow" w:hAnsi="Arial Narrow"/>
                <w:b/>
                <w:bCs/>
                <w:color w:val="333333"/>
                <w:sz w:val="20"/>
                <w:szCs w:val="20"/>
              </w:rPr>
              <w:t xml:space="preserve">Condition: </w:t>
            </w:r>
            <w:r w:rsidRPr="00732139">
              <w:rPr>
                <w:rFonts w:ascii="Arial Narrow" w:eastAsia="Calibri" w:hAnsi="Arial Narrow"/>
                <w:sz w:val="20"/>
                <w:szCs w:val="20"/>
              </w:rPr>
              <w:t>Paroxysmal nocturnal haemoglobinuria (PNH)</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47425E" w:rsidRPr="00732139" w:rsidRDefault="0047425E" w:rsidP="008D4251">
            <w:pPr>
              <w:rPr>
                <w:rFonts w:ascii="Arial Narrow" w:hAnsi="Arial Narrow"/>
                <w:color w:val="333333"/>
                <w:sz w:val="20"/>
                <w:szCs w:val="20"/>
              </w:rPr>
            </w:pPr>
            <w:r w:rsidRPr="00732139">
              <w:rPr>
                <w:rFonts w:ascii="Arial Narrow" w:hAnsi="Arial Narrow"/>
                <w:b/>
                <w:bCs/>
                <w:color w:val="333333"/>
                <w:sz w:val="20"/>
                <w:szCs w:val="20"/>
              </w:rPr>
              <w:lastRenderedPageBreak/>
              <w:t>Indication:</w:t>
            </w:r>
            <w:r w:rsidRPr="00732139">
              <w:rPr>
                <w:rFonts w:ascii="Arial Narrow" w:hAnsi="Arial Narrow"/>
                <w:color w:val="333333"/>
                <w:sz w:val="20"/>
                <w:szCs w:val="20"/>
              </w:rPr>
              <w:t xml:space="preserve"> </w:t>
            </w:r>
            <w:r w:rsidRPr="00732139">
              <w:rPr>
                <w:rFonts w:ascii="Arial Narrow" w:eastAsia="Calibri" w:hAnsi="Arial Narrow"/>
                <w:sz w:val="20"/>
                <w:szCs w:val="20"/>
              </w:rPr>
              <w:t>Paroxysmal nocturnal haemoglobinuria (PNH)</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47425E" w:rsidRPr="00732139" w:rsidRDefault="0047425E" w:rsidP="008D4251">
            <w:pPr>
              <w:rPr>
                <w:rFonts w:ascii="Arial Narrow" w:eastAsia="Calibri" w:hAnsi="Arial Narrow"/>
                <w:sz w:val="20"/>
                <w:szCs w:val="20"/>
              </w:rPr>
            </w:pPr>
            <w:r w:rsidRPr="00732139">
              <w:rPr>
                <w:rFonts w:ascii="Arial Narrow" w:eastAsia="Calibri" w:hAnsi="Arial Narrow"/>
                <w:b/>
                <w:sz w:val="20"/>
                <w:szCs w:val="20"/>
              </w:rPr>
              <w:t>Treatment Phase:</w:t>
            </w:r>
            <w:r w:rsidRPr="00732139">
              <w:rPr>
                <w:rFonts w:ascii="Arial Narrow" w:eastAsia="Calibri" w:hAnsi="Arial Narrow"/>
                <w:sz w:val="20"/>
                <w:szCs w:val="20"/>
              </w:rPr>
              <w:t xml:space="preserve"> Initial treatment- Initial 1 (new patient)</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b/>
                <w:sz w:val="20"/>
                <w:szCs w:val="20"/>
              </w:rPr>
            </w:pPr>
            <w:r w:rsidRPr="00732139">
              <w:rPr>
                <w:rFonts w:ascii="Arial Narrow" w:hAnsi="Arial Narrow"/>
                <w:b/>
                <w:sz w:val="20"/>
                <w:szCs w:val="20"/>
              </w:rPr>
              <w:t>Clinical criteria:</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i/>
                <w:sz w:val="20"/>
                <w:szCs w:val="20"/>
              </w:rPr>
            </w:pPr>
            <w:r w:rsidRPr="00732139">
              <w:rPr>
                <w:rFonts w:ascii="Arial Narrow" w:hAnsi="Arial Narrow"/>
                <w:sz w:val="20"/>
                <w:szCs w:val="20"/>
              </w:rPr>
              <w:t>Patient must have a diagnosis of PNH established by flow cytometry.</w:t>
            </w:r>
            <w:r w:rsidRPr="00732139">
              <w:rPr>
                <w:rFonts w:ascii="Arial Narrow" w:hAnsi="Arial Narrow"/>
                <w:strike/>
                <w:sz w:val="20"/>
                <w:szCs w:val="20"/>
              </w:rPr>
              <w:t>,</w:t>
            </w:r>
            <w:r w:rsidRPr="00732139">
              <w:rPr>
                <w:strike/>
                <w:sz w:val="20"/>
                <w:szCs w:val="20"/>
              </w:rPr>
              <w:t xml:space="preserve"> </w:t>
            </w:r>
            <w:r w:rsidRPr="00732139">
              <w:rPr>
                <w:rFonts w:ascii="Arial Narrow" w:hAnsi="Arial Narrow"/>
                <w:strike/>
                <w:sz w:val="20"/>
                <w:szCs w:val="20"/>
              </w:rPr>
              <w:t>Patients must not have a small granulocyte clone size: (a granulocyte clone size below 10%)</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b/>
                <w:sz w:val="20"/>
                <w:szCs w:val="20"/>
              </w:rPr>
            </w:pPr>
            <w:r w:rsidRPr="00732139">
              <w:rPr>
                <w:rFonts w:ascii="Arial Narrow" w:hAnsi="Arial Narrow"/>
                <w:b/>
                <w:sz w:val="20"/>
                <w:szCs w:val="20"/>
              </w:rPr>
              <w:t>AND</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sz w:val="20"/>
                <w:szCs w:val="20"/>
              </w:rPr>
            </w:pPr>
            <w:r w:rsidRPr="00732139">
              <w:rPr>
                <w:rFonts w:ascii="Arial Narrow" w:hAnsi="Arial Narrow"/>
                <w:sz w:val="20"/>
                <w:szCs w:val="20"/>
              </w:rPr>
              <w:t xml:space="preserve">Patient must have a raised lactate dehydrogenase value at least 1.5 times the upper limit of normal. </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b/>
                <w:sz w:val="20"/>
                <w:szCs w:val="20"/>
              </w:rPr>
            </w:pPr>
            <w:r w:rsidRPr="00732139">
              <w:rPr>
                <w:rFonts w:ascii="Arial Narrow" w:hAnsi="Arial Narrow"/>
                <w:b/>
                <w:sz w:val="20"/>
                <w:szCs w:val="20"/>
              </w:rPr>
              <w:t>AND</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b/>
                <w:i/>
                <w:sz w:val="20"/>
                <w:szCs w:val="20"/>
              </w:rPr>
            </w:pPr>
            <w:r w:rsidRPr="00732139">
              <w:rPr>
                <w:rFonts w:ascii="Arial Narrow" w:hAnsi="Arial Narrow"/>
                <w:sz w:val="20"/>
                <w:szCs w:val="20"/>
              </w:rPr>
              <w:t>Patient must have received</w:t>
            </w:r>
            <w:r w:rsidRPr="00732139">
              <w:rPr>
                <w:rFonts w:ascii="Arial Narrow" w:hAnsi="Arial Narrow"/>
                <w:i/>
                <w:sz w:val="20"/>
                <w:szCs w:val="20"/>
              </w:rPr>
              <w:t>/</w:t>
            </w:r>
            <w:r w:rsidRPr="00732139">
              <w:rPr>
                <w:rFonts w:ascii="Arial Narrow" w:hAnsi="Arial Narrow"/>
                <w:sz w:val="20"/>
                <w:szCs w:val="20"/>
              </w:rPr>
              <w:t>will receive a meningococcal vaccination at the time of initiating treatment that is documented in the patient’s medical records</w:t>
            </w:r>
            <w:r w:rsidRPr="00732139">
              <w:rPr>
                <w:rFonts w:ascii="Arial Narrow" w:hAnsi="Arial Narrow"/>
                <w:b/>
                <w:i/>
                <w:sz w:val="20"/>
                <w:szCs w:val="20"/>
              </w:rPr>
              <w:t xml:space="preserve"> </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b/>
                <w:sz w:val="20"/>
                <w:szCs w:val="20"/>
              </w:rPr>
            </w:pPr>
            <w:r w:rsidRPr="00732139">
              <w:rPr>
                <w:rFonts w:ascii="Arial Narrow" w:hAnsi="Arial Narrow"/>
                <w:b/>
                <w:sz w:val="20"/>
                <w:szCs w:val="20"/>
              </w:rPr>
              <w:t>AND</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sz w:val="20"/>
                <w:szCs w:val="20"/>
              </w:rPr>
            </w:pPr>
            <w:r w:rsidRPr="00732139">
              <w:rPr>
                <w:rFonts w:ascii="Arial Narrow" w:hAnsi="Arial Narrow"/>
                <w:sz w:val="20"/>
                <w:szCs w:val="20"/>
              </w:rPr>
              <w:t>Patient must have experienced a thrombotic</w:t>
            </w:r>
            <w:r w:rsidRPr="00732139">
              <w:rPr>
                <w:rFonts w:ascii="Arial Narrow" w:hAnsi="Arial Narrow"/>
                <w:i/>
                <w:sz w:val="20"/>
                <w:szCs w:val="20"/>
              </w:rPr>
              <w:t>/</w:t>
            </w:r>
            <w:r w:rsidRPr="00732139">
              <w:rPr>
                <w:rFonts w:ascii="Arial Narrow" w:hAnsi="Arial Narrow"/>
                <w:sz w:val="20"/>
                <w:szCs w:val="20"/>
              </w:rPr>
              <w:t>embolic event which required anticoagulant therapy, OR</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sz w:val="20"/>
                <w:szCs w:val="20"/>
              </w:rPr>
            </w:pPr>
            <w:r w:rsidRPr="00732139">
              <w:rPr>
                <w:rFonts w:ascii="Arial Narrow" w:hAnsi="Arial Narrow"/>
                <w:sz w:val="20"/>
                <w:szCs w:val="20"/>
              </w:rPr>
              <w:t xml:space="preserve">Patient must have been transfused with at least 4 units of red blood cells in the last 12 months, OR </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Pr>
          <w:p w:rsidR="0047425E" w:rsidRPr="00732139" w:rsidRDefault="0047425E" w:rsidP="008D4251">
            <w:pPr>
              <w:rPr>
                <w:rFonts w:ascii="Arial Narrow" w:hAnsi="Arial Narrow"/>
                <w:sz w:val="20"/>
                <w:szCs w:val="20"/>
              </w:rPr>
            </w:pPr>
            <w:r w:rsidRPr="00732139">
              <w:rPr>
                <w:rFonts w:ascii="Arial Narrow" w:hAnsi="Arial Narrow"/>
                <w:sz w:val="20"/>
                <w:szCs w:val="20"/>
              </w:rPr>
              <w:t>Patient must have chronic</w:t>
            </w:r>
            <w:r w:rsidRPr="00732139">
              <w:rPr>
                <w:rFonts w:ascii="Arial Narrow" w:hAnsi="Arial Narrow"/>
                <w:i/>
                <w:sz w:val="20"/>
                <w:szCs w:val="20"/>
              </w:rPr>
              <w:t>/</w:t>
            </w:r>
            <w:r w:rsidRPr="00732139">
              <w:rPr>
                <w:rFonts w:ascii="Arial Narrow" w:hAnsi="Arial Narrow"/>
                <w:sz w:val="20"/>
                <w:szCs w:val="20"/>
              </w:rPr>
              <w:t>recurrent anaemia</w:t>
            </w:r>
            <w:r w:rsidRPr="00732139">
              <w:rPr>
                <w:rFonts w:ascii="Arial Narrow" w:hAnsi="Arial Narrow"/>
                <w:i/>
                <w:sz w:val="20"/>
                <w:szCs w:val="20"/>
              </w:rPr>
              <w:t>,</w:t>
            </w:r>
            <w:r w:rsidRPr="00732139">
              <w:rPr>
                <w:rFonts w:ascii="Arial Narrow" w:hAnsi="Arial Narrow"/>
                <w:sz w:val="20"/>
                <w:szCs w:val="20"/>
              </w:rPr>
              <w:t xml:space="preserve"> where causes other than haemolysis have been excluded, together with multiple red blood cell measurements not exceeding 70 g/L in the absence of anaemia </w:t>
            </w:r>
            <w:r w:rsidR="00732139" w:rsidRPr="00732139">
              <w:rPr>
                <w:rFonts w:ascii="Arial Narrow" w:hAnsi="Arial Narrow"/>
                <w:sz w:val="20"/>
                <w:szCs w:val="20"/>
              </w:rPr>
              <w:t>symptoms; OR</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Pr>
          <w:p w:rsidR="0047425E" w:rsidRPr="00732139" w:rsidRDefault="0047425E" w:rsidP="008D4251">
            <w:pPr>
              <w:rPr>
                <w:rFonts w:ascii="Arial Narrow" w:hAnsi="Arial Narrow"/>
                <w:sz w:val="20"/>
                <w:szCs w:val="20"/>
              </w:rPr>
            </w:pPr>
            <w:r w:rsidRPr="00732139">
              <w:rPr>
                <w:rFonts w:ascii="Arial Narrow" w:hAnsi="Arial Narrow"/>
                <w:i/>
                <w:sz w:val="20"/>
                <w:szCs w:val="20"/>
              </w:rPr>
              <w:t>Patient must have chronic/recurrent anaemia, where causes other than haemolysis have been excluded, together with multiple red blood cell measurements not exceeding 100 g/L in addition to having anaemia symptoms; OR</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Pr>
          <w:p w:rsidR="0047425E" w:rsidRPr="00732139" w:rsidRDefault="0047425E" w:rsidP="008D4251">
            <w:pPr>
              <w:rPr>
                <w:rFonts w:ascii="Arial Narrow" w:hAnsi="Arial Narrow"/>
                <w:sz w:val="20"/>
                <w:szCs w:val="20"/>
              </w:rPr>
            </w:pPr>
            <w:r w:rsidRPr="00732139">
              <w:rPr>
                <w:rFonts w:ascii="Arial Narrow" w:hAnsi="Arial Narrow"/>
                <w:sz w:val="20"/>
                <w:szCs w:val="20"/>
              </w:rPr>
              <w:t>Patient must have debilitating shortness of breath/chest pain resulting in limitation of normal activity (New York Heart Association Class III) and/or</w:t>
            </w:r>
            <w:r w:rsidRPr="00732139">
              <w:rPr>
                <w:rFonts w:ascii="Arial Narrow" w:hAnsi="Arial Narrow"/>
                <w:i/>
                <w:sz w:val="20"/>
                <w:szCs w:val="20"/>
              </w:rPr>
              <w:t xml:space="preserve"> </w:t>
            </w:r>
            <w:r w:rsidRPr="00732139">
              <w:rPr>
                <w:rFonts w:ascii="Arial Narrow" w:hAnsi="Arial Narrow"/>
                <w:sz w:val="20"/>
                <w:szCs w:val="20"/>
              </w:rPr>
              <w:t xml:space="preserve">established diagnosis of pulmonary arterial hypertension, where causes other than PNH have been excluded; OR </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sz w:val="20"/>
                <w:szCs w:val="20"/>
              </w:rPr>
            </w:pPr>
            <w:r w:rsidRPr="00732139">
              <w:rPr>
                <w:rFonts w:ascii="Arial Narrow" w:hAnsi="Arial Narrow"/>
                <w:sz w:val="20"/>
                <w:szCs w:val="20"/>
              </w:rPr>
              <w:t>Patient must have a history of renal insufficiency, demonstrated by an eGFR less than or equal to 60 mL/min/1.73m</w:t>
            </w:r>
            <w:r w:rsidRPr="00732139">
              <w:rPr>
                <w:rFonts w:ascii="Arial Narrow" w:hAnsi="Arial Narrow"/>
                <w:sz w:val="20"/>
                <w:szCs w:val="20"/>
                <w:vertAlign w:val="superscript"/>
              </w:rPr>
              <w:t>2</w:t>
            </w:r>
            <w:r w:rsidRPr="00732139">
              <w:rPr>
                <w:rFonts w:ascii="Arial Narrow" w:hAnsi="Arial Narrow"/>
                <w:sz w:val="20"/>
                <w:szCs w:val="20"/>
              </w:rPr>
              <w:t xml:space="preserve">, where causes other than PNH have been excluded; OR </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b/>
                <w:i/>
                <w:sz w:val="20"/>
                <w:szCs w:val="20"/>
              </w:rPr>
            </w:pPr>
            <w:r w:rsidRPr="00732139">
              <w:rPr>
                <w:rFonts w:ascii="Arial Narrow" w:hAnsi="Arial Narrow"/>
                <w:sz w:val="20"/>
                <w:szCs w:val="20"/>
              </w:rPr>
              <w:t>Patients must have recurrent episodes of severe pain requiring</w:t>
            </w:r>
            <w:r w:rsidRPr="00732139">
              <w:rPr>
                <w:rFonts w:ascii="Arial Narrow" w:hAnsi="Arial Narrow"/>
                <w:i/>
                <w:sz w:val="20"/>
                <w:szCs w:val="20"/>
              </w:rPr>
              <w:t xml:space="preserve"> </w:t>
            </w:r>
            <w:r w:rsidRPr="00732139">
              <w:rPr>
                <w:rFonts w:ascii="Arial Narrow" w:hAnsi="Arial Narrow"/>
                <w:sz w:val="20"/>
                <w:szCs w:val="20"/>
              </w:rPr>
              <w:t>hospitalisation and/or narcotic analgesia, where causes other than PNH have been excluded.</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Pr>
          <w:p w:rsidR="0047425E" w:rsidRPr="00732139" w:rsidRDefault="0047425E" w:rsidP="008D4251">
            <w:pPr>
              <w:rPr>
                <w:rFonts w:ascii="Arial Narrow" w:hAnsi="Arial Narrow"/>
                <w:b/>
                <w:sz w:val="20"/>
                <w:szCs w:val="20"/>
              </w:rPr>
            </w:pPr>
            <w:r w:rsidRPr="00732139">
              <w:rPr>
                <w:rFonts w:ascii="Arial Narrow" w:hAnsi="Arial Narrow"/>
                <w:b/>
                <w:sz w:val="20"/>
                <w:szCs w:val="20"/>
              </w:rPr>
              <w:t>AND</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Pr>
          <w:p w:rsidR="0047425E" w:rsidRPr="00732139" w:rsidRDefault="0047425E" w:rsidP="008D4251">
            <w:pPr>
              <w:autoSpaceDE w:val="0"/>
              <w:autoSpaceDN w:val="0"/>
              <w:adjustRightInd w:val="0"/>
              <w:rPr>
                <w:rFonts w:ascii="Arial Narrow" w:hAnsi="Arial Narrow"/>
                <w:i/>
                <w:sz w:val="20"/>
                <w:szCs w:val="20"/>
              </w:rPr>
            </w:pPr>
            <w:r w:rsidRPr="00732139">
              <w:rPr>
                <w:rFonts w:ascii="Arial Narrow" w:hAnsi="Arial Narrow"/>
                <w:i/>
                <w:sz w:val="20"/>
                <w:szCs w:val="20"/>
              </w:rPr>
              <w:t xml:space="preserve">Patients must not have a small granulocyte clone size (a granulocyte clone size below 10%). </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Pr>
          <w:p w:rsidR="0047425E" w:rsidRPr="00732139" w:rsidRDefault="0047425E" w:rsidP="008D4251">
            <w:pPr>
              <w:autoSpaceDE w:val="0"/>
              <w:autoSpaceDN w:val="0"/>
              <w:adjustRightInd w:val="0"/>
              <w:rPr>
                <w:rFonts w:ascii="Arial Narrow" w:hAnsi="Arial Narrow"/>
                <w:b/>
                <w:sz w:val="20"/>
                <w:szCs w:val="20"/>
              </w:rPr>
            </w:pPr>
            <w:r w:rsidRPr="00732139">
              <w:rPr>
                <w:rFonts w:ascii="Arial Narrow" w:hAnsi="Arial Narrow"/>
                <w:b/>
                <w:sz w:val="20"/>
                <w:szCs w:val="20"/>
              </w:rPr>
              <w:t>AND</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sz w:val="20"/>
                <w:szCs w:val="20"/>
              </w:rPr>
            </w:pPr>
            <w:r w:rsidRPr="00732139">
              <w:rPr>
                <w:rFonts w:ascii="Arial Narrow" w:hAnsi="Arial Narrow"/>
                <w:sz w:val="20"/>
                <w:szCs w:val="20"/>
              </w:rPr>
              <w:t>Patient must not have aplastic anaemia (having at least 2 of the following indicates the presence of aplastic anaemia: neutrophil count below 0.5 x 10</w:t>
            </w:r>
            <w:r w:rsidRPr="00732139">
              <w:rPr>
                <w:rFonts w:ascii="Arial Narrow" w:hAnsi="Arial Narrow"/>
                <w:sz w:val="20"/>
                <w:szCs w:val="20"/>
                <w:vertAlign w:val="superscript"/>
              </w:rPr>
              <w:t>9</w:t>
            </w:r>
            <w:r w:rsidRPr="00732139">
              <w:rPr>
                <w:rFonts w:ascii="Arial Narrow" w:hAnsi="Arial Narrow"/>
                <w:sz w:val="20"/>
                <w:szCs w:val="20"/>
              </w:rPr>
              <w:t>/L, platelet count below 20 x 10</w:t>
            </w:r>
            <w:r w:rsidRPr="00732139">
              <w:rPr>
                <w:rFonts w:ascii="Arial Narrow" w:hAnsi="Arial Narrow"/>
                <w:sz w:val="20"/>
                <w:szCs w:val="20"/>
                <w:vertAlign w:val="superscript"/>
              </w:rPr>
              <w:t>9</w:t>
            </w:r>
            <w:r w:rsidRPr="00732139">
              <w:rPr>
                <w:rFonts w:ascii="Arial Narrow" w:hAnsi="Arial Narrow"/>
                <w:sz w:val="20"/>
                <w:szCs w:val="20"/>
              </w:rPr>
              <w:t>/L, reticulocytes below 25 x 10</w:t>
            </w:r>
            <w:r w:rsidRPr="00732139">
              <w:rPr>
                <w:rFonts w:ascii="Arial Narrow" w:hAnsi="Arial Narrow"/>
                <w:sz w:val="20"/>
                <w:szCs w:val="20"/>
                <w:vertAlign w:val="superscript"/>
              </w:rPr>
              <w:t>9</w:t>
            </w:r>
            <w:r w:rsidRPr="00732139">
              <w:rPr>
                <w:rFonts w:ascii="Arial Narrow" w:hAnsi="Arial Narrow"/>
                <w:sz w:val="20"/>
                <w:szCs w:val="20"/>
              </w:rPr>
              <w:t>/L, severe bone marrow hypocellularity).</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b/>
                <w:sz w:val="20"/>
                <w:szCs w:val="20"/>
              </w:rPr>
            </w:pPr>
            <w:r w:rsidRPr="00732139">
              <w:rPr>
                <w:rFonts w:ascii="Arial Narrow" w:hAnsi="Arial Narrow"/>
                <w:b/>
                <w:sz w:val="20"/>
                <w:szCs w:val="20"/>
              </w:rPr>
              <w:t xml:space="preserve">AND </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sz w:val="20"/>
                <w:szCs w:val="20"/>
              </w:rPr>
            </w:pPr>
            <w:r w:rsidRPr="00732139">
              <w:rPr>
                <w:rFonts w:ascii="Arial Narrow" w:hAnsi="Arial Narrow"/>
                <w:sz w:val="20"/>
                <w:szCs w:val="20"/>
              </w:rPr>
              <w:t>Patient must not have another life threatening or severe disease where the long-term prognosis is unlikely to be influenced by therapy (e.g. acute myeloid leukaemia</w:t>
            </w:r>
            <w:r w:rsidRPr="00732139">
              <w:rPr>
                <w:rFonts w:ascii="Arial Narrow" w:hAnsi="Arial Narrow"/>
                <w:i/>
                <w:sz w:val="20"/>
                <w:szCs w:val="20"/>
              </w:rPr>
              <w:t>/</w:t>
            </w:r>
            <w:r w:rsidRPr="00732139">
              <w:rPr>
                <w:rFonts w:ascii="Arial Narrow" w:hAnsi="Arial Narrow"/>
                <w:sz w:val="20"/>
                <w:szCs w:val="20"/>
              </w:rPr>
              <w:t xml:space="preserve"> high-risk myelodysplastic syndrome). </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Pr>
          <w:p w:rsidR="0047425E" w:rsidRPr="00732139" w:rsidRDefault="0047425E" w:rsidP="008D4251">
            <w:pPr>
              <w:rPr>
                <w:rFonts w:ascii="Arial Narrow" w:hAnsi="Arial Narrow"/>
                <w:b/>
                <w:sz w:val="20"/>
                <w:szCs w:val="20"/>
              </w:rPr>
            </w:pPr>
            <w:r w:rsidRPr="00732139">
              <w:rPr>
                <w:rFonts w:ascii="Arial Narrow" w:hAnsi="Arial Narrow"/>
                <w:b/>
                <w:sz w:val="20"/>
                <w:szCs w:val="20"/>
              </w:rPr>
              <w:t>AND</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Pr>
          <w:p w:rsidR="0047425E" w:rsidRPr="00732139" w:rsidRDefault="0047425E" w:rsidP="008D4251">
            <w:pPr>
              <w:rPr>
                <w:rFonts w:ascii="Arial Narrow" w:hAnsi="Arial Narrow"/>
                <w:sz w:val="20"/>
                <w:szCs w:val="20"/>
              </w:rPr>
            </w:pPr>
            <w:r w:rsidRPr="00732139">
              <w:rPr>
                <w:rFonts w:ascii="Arial Narrow" w:hAnsi="Arial Narrow"/>
                <w:sz w:val="20"/>
                <w:szCs w:val="20"/>
              </w:rPr>
              <w:t>Patient must not have another medical condition that might reasonably be expected to compromise a response to therapy.</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Pr>
          <w:p w:rsidR="0047425E" w:rsidRPr="00732139" w:rsidRDefault="0047425E" w:rsidP="008D4251">
            <w:pPr>
              <w:rPr>
                <w:rFonts w:ascii="Arial Narrow" w:hAnsi="Arial Narrow"/>
                <w:b/>
                <w:sz w:val="20"/>
                <w:szCs w:val="20"/>
              </w:rPr>
            </w:pPr>
            <w:r w:rsidRPr="00732139">
              <w:rPr>
                <w:rFonts w:ascii="Arial Narrow" w:hAnsi="Arial Narrow"/>
                <w:b/>
                <w:sz w:val="20"/>
                <w:szCs w:val="20"/>
              </w:rPr>
              <w:t>AND</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hideMark/>
          </w:tcPr>
          <w:p w:rsidR="0047425E" w:rsidRPr="00732139" w:rsidRDefault="0047425E" w:rsidP="008D4251">
            <w:pPr>
              <w:rPr>
                <w:rFonts w:ascii="Arial Narrow" w:hAnsi="Arial Narrow"/>
                <w:sz w:val="20"/>
                <w:szCs w:val="20"/>
              </w:rPr>
            </w:pPr>
            <w:r w:rsidRPr="00732139">
              <w:rPr>
                <w:rFonts w:ascii="Arial Narrow" w:hAnsi="Arial Narrow"/>
                <w:sz w:val="20"/>
                <w:szCs w:val="20"/>
              </w:rPr>
              <w:t>Patient must not be currently participating in a clinical trial.</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rPr>
          <w:trHeight w:val="316"/>
        </w:trPr>
        <w:tc>
          <w:tcPr>
            <w:tcW w:w="9067" w:type="dxa"/>
            <w:gridSpan w:val="7"/>
          </w:tcPr>
          <w:p w:rsidR="0047425E" w:rsidRPr="00732139" w:rsidRDefault="0047425E" w:rsidP="008D4251">
            <w:pPr>
              <w:rPr>
                <w:rFonts w:ascii="Arial Narrow" w:hAnsi="Arial Narrow"/>
                <w:b/>
                <w:sz w:val="20"/>
                <w:szCs w:val="20"/>
              </w:rPr>
            </w:pPr>
            <w:r w:rsidRPr="00732139">
              <w:rPr>
                <w:rFonts w:ascii="Arial Narrow" w:hAnsi="Arial Narrow"/>
                <w:b/>
                <w:bCs/>
                <w:color w:val="333333"/>
                <w:sz w:val="20"/>
                <w:szCs w:val="20"/>
              </w:rPr>
              <w:t>Treatment criteria:</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Pr>
          <w:p w:rsidR="0047425E" w:rsidRPr="00732139" w:rsidRDefault="0047425E" w:rsidP="008D4251">
            <w:pPr>
              <w:rPr>
                <w:rFonts w:ascii="Arial Narrow" w:hAnsi="Arial Narrow"/>
                <w:b/>
                <w:sz w:val="20"/>
                <w:szCs w:val="20"/>
              </w:rPr>
            </w:pPr>
            <w:r w:rsidRPr="00732139">
              <w:rPr>
                <w:rFonts w:ascii="Arial Narrow" w:hAnsi="Arial Narrow"/>
                <w:sz w:val="20"/>
                <w:szCs w:val="20"/>
              </w:rPr>
              <w:t xml:space="preserve">Must be treated by a haematologist </w:t>
            </w:r>
            <w:r w:rsidRPr="00732139">
              <w:rPr>
                <w:rFonts w:ascii="Arial Narrow" w:hAnsi="Arial Narrow"/>
                <w:strike/>
                <w:sz w:val="20"/>
                <w:szCs w:val="20"/>
              </w:rPr>
              <w:t>or in consultation with a haematologist</w:t>
            </w:r>
            <w:r w:rsidRPr="00732139">
              <w:rPr>
                <w:rFonts w:ascii="Arial Narrow" w:hAnsi="Arial Narrow"/>
                <w:sz w:val="20"/>
                <w:szCs w:val="20"/>
              </w:rPr>
              <w:t>; or Must be treated by a non-specialist medical physician who has consulted a haematologist on the patient’s drug treatment details.</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Pr>
          <w:p w:rsidR="0047425E" w:rsidRPr="00732139" w:rsidRDefault="0047425E" w:rsidP="008D4251">
            <w:pPr>
              <w:rPr>
                <w:sz w:val="20"/>
                <w:szCs w:val="20"/>
              </w:rPr>
            </w:pPr>
            <w:r w:rsidRPr="00732139">
              <w:rPr>
                <w:rFonts w:ascii="Arial Narrow" w:hAnsi="Arial Narrow"/>
                <w:b/>
                <w:sz w:val="20"/>
                <w:szCs w:val="20"/>
              </w:rPr>
              <w:t>Population criteria:</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Pr>
          <w:p w:rsidR="0047425E" w:rsidRPr="00732139" w:rsidRDefault="0047425E" w:rsidP="008D4251">
            <w:pPr>
              <w:rPr>
                <w:sz w:val="20"/>
                <w:szCs w:val="20"/>
              </w:rPr>
            </w:pPr>
            <w:r w:rsidRPr="00732139">
              <w:rPr>
                <w:rFonts w:ascii="Arial Narrow" w:hAnsi="Arial Narrow"/>
                <w:sz w:val="20"/>
                <w:szCs w:val="20"/>
              </w:rPr>
              <w:t xml:space="preserve">Patients must be </w:t>
            </w:r>
            <w:r w:rsidRPr="00732139">
              <w:rPr>
                <w:rFonts w:ascii="Arial Narrow" w:hAnsi="Arial Narrow"/>
                <w:i/>
                <w:sz w:val="20"/>
                <w:szCs w:val="20"/>
              </w:rPr>
              <w:t xml:space="preserve">aged </w:t>
            </w:r>
            <w:r w:rsidRPr="00732139">
              <w:rPr>
                <w:rFonts w:ascii="Arial Narrow" w:hAnsi="Arial Narrow"/>
                <w:sz w:val="20"/>
                <w:szCs w:val="20"/>
              </w:rPr>
              <w:t>18 years or older</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tcPr>
          <w:p w:rsidR="0047425E" w:rsidRPr="00732139" w:rsidRDefault="0047425E" w:rsidP="008D4251">
            <w:pPr>
              <w:rPr>
                <w:rFonts w:ascii="Arial Narrow" w:hAnsi="Arial Narrow"/>
                <w:sz w:val="20"/>
                <w:szCs w:val="20"/>
                <w:u w:val="single"/>
              </w:rPr>
            </w:pPr>
            <w:r w:rsidRPr="00732139">
              <w:rPr>
                <w:rFonts w:ascii="Arial Narrow" w:hAnsi="Arial Narrow"/>
                <w:b/>
                <w:sz w:val="20"/>
                <w:szCs w:val="20"/>
              </w:rPr>
              <w:t xml:space="preserve">Prescribing instructions: </w:t>
            </w:r>
            <w:r w:rsidRPr="00732139">
              <w:rPr>
                <w:rFonts w:ascii="Arial Narrow" w:hAnsi="Arial Narrow"/>
                <w:sz w:val="20"/>
                <w:szCs w:val="20"/>
              </w:rPr>
              <w:t>At the time of the authority application, medical practitioners should request the appropriate number of vials, to provide for a single infusion to cover the loading dose and maintenance doses based on the patient’s weight and as per the Product Information. Refer to the Product information for patient weight ranges for the 100mg/mL doses (consisting of 300 mg in 3 mL and 1100 mg in 11 mL vials).</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7"/>
            <w:tcBorders>
              <w:top w:val="single" w:sz="4" w:space="0" w:color="auto"/>
              <w:left w:val="single" w:sz="4" w:space="0" w:color="auto"/>
              <w:bottom w:val="single" w:sz="4" w:space="0" w:color="auto"/>
              <w:right w:val="single" w:sz="4" w:space="0" w:color="auto"/>
            </w:tcBorders>
            <w:vAlign w:val="center"/>
          </w:tcPr>
          <w:p w:rsidR="0047425E" w:rsidRPr="00732139" w:rsidRDefault="0047425E" w:rsidP="008D4251">
            <w:pPr>
              <w:rPr>
                <w:rFonts w:ascii="Arial Narrow" w:hAnsi="Arial Narrow"/>
                <w:b/>
                <w:sz w:val="20"/>
                <w:szCs w:val="20"/>
              </w:rPr>
            </w:pPr>
            <w:r w:rsidRPr="00732139">
              <w:rPr>
                <w:rFonts w:ascii="Arial Narrow" w:hAnsi="Arial Narrow"/>
                <w:b/>
                <w:sz w:val="20"/>
                <w:szCs w:val="20"/>
              </w:rPr>
              <w:t>Administrative advice:</w:t>
            </w:r>
          </w:p>
          <w:p w:rsidR="0047425E" w:rsidRPr="00732139" w:rsidRDefault="0047425E" w:rsidP="008D4251">
            <w:pPr>
              <w:rPr>
                <w:rFonts w:ascii="Arial Narrow" w:hAnsi="Arial Narrow"/>
                <w:sz w:val="20"/>
                <w:szCs w:val="20"/>
              </w:rPr>
            </w:pPr>
            <w:r w:rsidRPr="00732139">
              <w:rPr>
                <w:rFonts w:ascii="Arial Narrow" w:hAnsi="Arial Narrow"/>
                <w:sz w:val="20"/>
                <w:szCs w:val="20"/>
              </w:rPr>
              <w:t>Any queries concerning the arrangements to prescribe may be directed to Services Australia on 1800 700 270 (hours of operation 8 a.m. to 5 p.m. EST Monday to Friday).</w:t>
            </w:r>
          </w:p>
          <w:p w:rsidR="0047425E" w:rsidRPr="00732139" w:rsidRDefault="0047425E" w:rsidP="008D4251">
            <w:pPr>
              <w:rPr>
                <w:rFonts w:ascii="Arial Narrow" w:hAnsi="Arial Narrow"/>
                <w:sz w:val="20"/>
                <w:szCs w:val="20"/>
              </w:rPr>
            </w:pPr>
            <w:r w:rsidRPr="00732139">
              <w:rPr>
                <w:rFonts w:ascii="Arial Narrow" w:hAnsi="Arial Narrow"/>
                <w:sz w:val="20"/>
                <w:szCs w:val="20"/>
              </w:rPr>
              <w:lastRenderedPageBreak/>
              <w:t>Prescribing information (including Authority Application forms and other relevant documentation as applicable) is available on the Services Australia website at www.servicesaustralia.gov.au</w:t>
            </w:r>
          </w:p>
          <w:p w:rsidR="0047425E" w:rsidRPr="00732139" w:rsidRDefault="0047425E" w:rsidP="008D4251">
            <w:pPr>
              <w:rPr>
                <w:rFonts w:ascii="Arial Narrow" w:hAnsi="Arial Narrow"/>
                <w:sz w:val="20"/>
                <w:szCs w:val="20"/>
              </w:rPr>
            </w:pPr>
            <w:r w:rsidRPr="00732139">
              <w:rPr>
                <w:rFonts w:ascii="Arial Narrow" w:hAnsi="Arial Narrow"/>
                <w:sz w:val="20"/>
                <w:szCs w:val="20"/>
              </w:rPr>
              <w:t>Applications for authority to prescribe should be submitted online using the form upload facility in Health Professional Online Services (HPOS) at www.servicesaustralia.gov.au/hpos</w:t>
            </w:r>
          </w:p>
          <w:p w:rsidR="0047425E" w:rsidRPr="00732139" w:rsidRDefault="0047425E" w:rsidP="008D4251">
            <w:pPr>
              <w:rPr>
                <w:rFonts w:ascii="Arial Narrow" w:hAnsi="Arial Narrow"/>
                <w:sz w:val="20"/>
                <w:szCs w:val="20"/>
              </w:rPr>
            </w:pPr>
            <w:r w:rsidRPr="00732139">
              <w:rPr>
                <w:rFonts w:ascii="Arial Narrow" w:hAnsi="Arial Narrow"/>
                <w:sz w:val="20"/>
                <w:szCs w:val="20"/>
              </w:rPr>
              <w:t>Or mailed to:</w:t>
            </w:r>
          </w:p>
          <w:p w:rsidR="0047425E" w:rsidRPr="00732139" w:rsidRDefault="0047425E" w:rsidP="008D4251">
            <w:pPr>
              <w:rPr>
                <w:rFonts w:ascii="Arial Narrow" w:hAnsi="Arial Narrow"/>
                <w:sz w:val="20"/>
                <w:szCs w:val="20"/>
              </w:rPr>
            </w:pPr>
            <w:r w:rsidRPr="00732139">
              <w:rPr>
                <w:rFonts w:ascii="Arial Narrow" w:hAnsi="Arial Narrow"/>
                <w:sz w:val="20"/>
                <w:szCs w:val="20"/>
              </w:rPr>
              <w:t>Services Australia</w:t>
            </w:r>
          </w:p>
          <w:p w:rsidR="0047425E" w:rsidRPr="00732139" w:rsidRDefault="0047425E" w:rsidP="008D4251">
            <w:pPr>
              <w:rPr>
                <w:rFonts w:ascii="Arial Narrow" w:hAnsi="Arial Narrow"/>
                <w:sz w:val="20"/>
                <w:szCs w:val="20"/>
              </w:rPr>
            </w:pPr>
            <w:r w:rsidRPr="00732139">
              <w:rPr>
                <w:rFonts w:ascii="Arial Narrow" w:hAnsi="Arial Narrow"/>
                <w:sz w:val="20"/>
                <w:szCs w:val="20"/>
              </w:rPr>
              <w:t>Complex Drugs</w:t>
            </w:r>
          </w:p>
          <w:p w:rsidR="0047425E" w:rsidRPr="00732139" w:rsidRDefault="0047425E" w:rsidP="008D4251">
            <w:pPr>
              <w:rPr>
                <w:rFonts w:ascii="Arial Narrow" w:hAnsi="Arial Narrow"/>
                <w:sz w:val="20"/>
                <w:szCs w:val="20"/>
              </w:rPr>
            </w:pPr>
            <w:r w:rsidRPr="00732139">
              <w:rPr>
                <w:rFonts w:ascii="Arial Narrow" w:hAnsi="Arial Narrow"/>
                <w:sz w:val="20"/>
                <w:szCs w:val="20"/>
              </w:rPr>
              <w:t>Reply Paid 9826</w:t>
            </w:r>
          </w:p>
          <w:p w:rsidR="0047425E" w:rsidRPr="00732139" w:rsidRDefault="0047425E" w:rsidP="008D4251">
            <w:pPr>
              <w:rPr>
                <w:rFonts w:ascii="Arial Narrow" w:hAnsi="Arial Narrow"/>
                <w:b/>
                <w:sz w:val="20"/>
                <w:szCs w:val="20"/>
              </w:rPr>
            </w:pPr>
            <w:r w:rsidRPr="00732139">
              <w:rPr>
                <w:rFonts w:ascii="Arial Narrow" w:hAnsi="Arial Narrow"/>
                <w:sz w:val="20"/>
                <w:szCs w:val="20"/>
              </w:rPr>
              <w:t>HOBART TAS 7001</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7"/>
            <w:tcBorders>
              <w:top w:val="single" w:sz="4" w:space="0" w:color="auto"/>
              <w:left w:val="single" w:sz="4" w:space="0" w:color="auto"/>
              <w:bottom w:val="single" w:sz="4" w:space="0" w:color="auto"/>
              <w:right w:val="single" w:sz="4" w:space="0" w:color="auto"/>
            </w:tcBorders>
          </w:tcPr>
          <w:p w:rsidR="0047425E" w:rsidRPr="00732139" w:rsidRDefault="0047425E" w:rsidP="008D4251">
            <w:pPr>
              <w:rPr>
                <w:rFonts w:ascii="Arial Narrow" w:hAnsi="Arial Narrow"/>
                <w:sz w:val="20"/>
                <w:szCs w:val="20"/>
              </w:rPr>
            </w:pPr>
            <w:r w:rsidRPr="00732139">
              <w:rPr>
                <w:rFonts w:ascii="Arial Narrow" w:hAnsi="Arial Narrow"/>
                <w:b/>
                <w:sz w:val="20"/>
                <w:szCs w:val="20"/>
              </w:rPr>
              <w:lastRenderedPageBreak/>
              <w:t>Administrative advice:</w:t>
            </w:r>
            <w:r w:rsidRPr="00732139">
              <w:rPr>
                <w:rFonts w:ascii="Arial Narrow" w:hAnsi="Arial Narrow"/>
                <w:sz w:val="20"/>
                <w:szCs w:val="20"/>
              </w:rPr>
              <w:t xml:space="preserve"> No increase in the maximum number of repeats may be authorised.</w:t>
            </w:r>
          </w:p>
        </w:tc>
      </w:tr>
      <w:tr w:rsidR="0047425E" w:rsidRPr="00732139" w:rsidTr="0047425E">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47425E" w:rsidRPr="00732139" w:rsidRDefault="0047425E" w:rsidP="008D4251">
            <w:pPr>
              <w:rPr>
                <w:rFonts w:ascii="Arial Narrow" w:hAnsi="Arial Narrow"/>
                <w:sz w:val="20"/>
                <w:szCs w:val="20"/>
              </w:rPr>
            </w:pPr>
            <w:r w:rsidRPr="00732139">
              <w:rPr>
                <w:rFonts w:ascii="Arial Narrow" w:hAnsi="Arial Narrow"/>
                <w:b/>
                <w:sz w:val="20"/>
                <w:szCs w:val="20"/>
              </w:rPr>
              <w:t>Caution:</w:t>
            </w:r>
          </w:p>
          <w:p w:rsidR="0047425E" w:rsidRPr="00732139" w:rsidRDefault="0047425E" w:rsidP="008D4251">
            <w:pPr>
              <w:rPr>
                <w:rFonts w:ascii="Arial Narrow" w:hAnsi="Arial Narrow"/>
                <w:sz w:val="20"/>
                <w:szCs w:val="20"/>
              </w:rPr>
            </w:pPr>
            <w:r w:rsidRPr="00732139">
              <w:rPr>
                <w:rFonts w:ascii="Arial Narrow" w:hAnsi="Arial Narrow"/>
                <w:sz w:val="20"/>
                <w:szCs w:val="20"/>
              </w:rPr>
              <w:t xml:space="preserve">WARNING: This drug increases the risk of meningococcal infections (sepsis and/or meningitis). </w:t>
            </w:r>
          </w:p>
          <w:p w:rsidR="0047425E" w:rsidRPr="00732139" w:rsidRDefault="0047425E" w:rsidP="008D4251">
            <w:pPr>
              <w:rPr>
                <w:rFonts w:ascii="Arial Narrow" w:hAnsi="Arial Narrow"/>
                <w:sz w:val="20"/>
                <w:szCs w:val="20"/>
              </w:rPr>
            </w:pPr>
            <w:r w:rsidRPr="00732139">
              <w:rPr>
                <w:rFonts w:ascii="Arial Narrow" w:hAnsi="Arial Narrow"/>
                <w:sz w:val="20"/>
                <w:szCs w:val="20"/>
              </w:rPr>
              <w:t>Consult the approved PI for information about vaccination against meningococcal infection</w:t>
            </w:r>
            <w:r w:rsidR="00732139">
              <w:rPr>
                <w:rFonts w:ascii="Arial Narrow" w:hAnsi="Arial Narrow"/>
                <w:sz w:val="20"/>
                <w:szCs w:val="20"/>
              </w:rPr>
              <w:t xml:space="preserve">. </w:t>
            </w:r>
          </w:p>
        </w:tc>
      </w:tr>
    </w:tbl>
    <w:p w:rsidR="00E8062B" w:rsidRPr="00732139" w:rsidRDefault="00E8062B" w:rsidP="00E8062B">
      <w:pPr>
        <w:rPr>
          <w:b/>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67"/>
      </w:tblGrid>
      <w:tr w:rsidR="0047425E" w:rsidRPr="00732139" w:rsidTr="0047425E">
        <w:tc>
          <w:tcPr>
            <w:tcW w:w="9067" w:type="dxa"/>
            <w:tcBorders>
              <w:top w:val="single" w:sz="4" w:space="0" w:color="auto"/>
              <w:left w:val="single" w:sz="4" w:space="0" w:color="auto"/>
              <w:bottom w:val="single" w:sz="4" w:space="0" w:color="auto"/>
              <w:right w:val="single" w:sz="4" w:space="0" w:color="auto"/>
            </w:tcBorders>
          </w:tcPr>
          <w:p w:rsidR="0047425E" w:rsidRPr="00732139" w:rsidRDefault="0047425E" w:rsidP="008D4251">
            <w:pPr>
              <w:keepNext/>
              <w:rPr>
                <w:rFonts w:ascii="Arial Narrow" w:hAnsi="Arial Narrow"/>
                <w:sz w:val="20"/>
                <w:szCs w:val="20"/>
              </w:rPr>
            </w:pPr>
            <w:r w:rsidRPr="00732139">
              <w:rPr>
                <w:rFonts w:ascii="Arial Narrow" w:hAnsi="Arial Narrow"/>
                <w:b/>
                <w:sz w:val="20"/>
                <w:szCs w:val="20"/>
              </w:rPr>
              <w:t xml:space="preserve">Category / Program: </w:t>
            </w:r>
            <w:r w:rsidRPr="00732139">
              <w:rPr>
                <w:rFonts w:ascii="Arial Narrow" w:hAnsi="Arial Narrow"/>
                <w:sz w:val="20"/>
                <w:szCs w:val="20"/>
              </w:rPr>
              <w:t>Section 100 – Highly Specialised Drugs Program</w:t>
            </w:r>
          </w:p>
        </w:tc>
      </w:tr>
      <w:tr w:rsidR="0047425E" w:rsidRPr="00732139" w:rsidTr="0047425E">
        <w:trPr>
          <w:trHeight w:val="240"/>
        </w:trPr>
        <w:tc>
          <w:tcPr>
            <w:tcW w:w="9067" w:type="dxa"/>
            <w:tcBorders>
              <w:top w:val="single" w:sz="4" w:space="0" w:color="auto"/>
              <w:left w:val="single" w:sz="4" w:space="0" w:color="auto"/>
              <w:bottom w:val="single" w:sz="4" w:space="0" w:color="auto"/>
              <w:right w:val="single" w:sz="4" w:space="0" w:color="auto"/>
            </w:tcBorders>
          </w:tcPr>
          <w:p w:rsidR="0047425E" w:rsidRPr="00732139" w:rsidRDefault="0047425E" w:rsidP="008D4251">
            <w:pPr>
              <w:keepNext/>
              <w:rPr>
                <w:rFonts w:ascii="Arial Narrow" w:hAnsi="Arial Narrow"/>
                <w:b/>
                <w:sz w:val="20"/>
                <w:szCs w:val="20"/>
              </w:rPr>
            </w:pPr>
            <w:r w:rsidRPr="00732139">
              <w:rPr>
                <w:rFonts w:ascii="Arial Narrow" w:hAnsi="Arial Narrow"/>
                <w:b/>
                <w:sz w:val="20"/>
                <w:szCs w:val="20"/>
              </w:rPr>
              <w:t>Prescriber type:</w:t>
            </w:r>
            <w:r w:rsidRPr="00732139">
              <w:rPr>
                <w:rFonts w:ascii="Arial Narrow" w:hAnsi="Arial Narrow"/>
                <w:sz w:val="20"/>
                <w:szCs w:val="20"/>
              </w:rPr>
              <w:t xml:space="preserve"> </w:t>
            </w:r>
            <w:r w:rsidRPr="00732139">
              <w:rPr>
                <w:rFonts w:ascii="Arial Narrow" w:hAnsi="Arial Narrow"/>
                <w:sz w:val="20"/>
                <w:szCs w:val="20"/>
              </w:rPr>
              <w:fldChar w:fldCharType="begin">
                <w:ffData>
                  <w:name w:val=""/>
                  <w:enabled/>
                  <w:calcOnExit w:val="0"/>
                  <w:checkBox>
                    <w:sizeAuto/>
                    <w:default w:val="1"/>
                  </w:checkBox>
                </w:ffData>
              </w:fldChar>
            </w:r>
            <w:r w:rsidRPr="00732139">
              <w:rPr>
                <w:rFonts w:ascii="Arial Narrow" w:hAnsi="Arial Narrow"/>
                <w:sz w:val="20"/>
                <w:szCs w:val="20"/>
              </w:rPr>
              <w:instrText xml:space="preserve"> FORMCHECKBOX </w:instrText>
            </w:r>
            <w:r w:rsidR="00F560E6">
              <w:rPr>
                <w:rFonts w:ascii="Arial Narrow" w:hAnsi="Arial Narrow"/>
                <w:sz w:val="20"/>
                <w:szCs w:val="20"/>
              </w:rPr>
            </w:r>
            <w:r w:rsidR="00F560E6">
              <w:rPr>
                <w:rFonts w:ascii="Arial Narrow" w:hAnsi="Arial Narrow"/>
                <w:sz w:val="20"/>
                <w:szCs w:val="20"/>
              </w:rPr>
              <w:fldChar w:fldCharType="separate"/>
            </w:r>
            <w:r w:rsidRPr="00732139">
              <w:rPr>
                <w:rFonts w:ascii="Arial Narrow" w:hAnsi="Arial Narrow"/>
                <w:sz w:val="20"/>
                <w:szCs w:val="20"/>
              </w:rPr>
              <w:fldChar w:fldCharType="end"/>
            </w:r>
            <w:r w:rsidRPr="00732139">
              <w:rPr>
                <w:rFonts w:ascii="Arial Narrow" w:hAnsi="Arial Narrow"/>
                <w:sz w:val="20"/>
                <w:szCs w:val="20"/>
              </w:rPr>
              <w:t>Medical Practitioners</w:t>
            </w:r>
          </w:p>
        </w:tc>
      </w:tr>
      <w:tr w:rsidR="0047425E" w:rsidRPr="00732139" w:rsidTr="0047425E">
        <w:tc>
          <w:tcPr>
            <w:tcW w:w="9067" w:type="dxa"/>
            <w:tcBorders>
              <w:top w:val="single" w:sz="4" w:space="0" w:color="auto"/>
              <w:left w:val="single" w:sz="4" w:space="0" w:color="auto"/>
              <w:bottom w:val="single" w:sz="4" w:space="0" w:color="auto"/>
              <w:right w:val="single" w:sz="4" w:space="0" w:color="auto"/>
            </w:tcBorders>
          </w:tcPr>
          <w:p w:rsidR="0047425E" w:rsidRPr="00732139" w:rsidRDefault="0047425E" w:rsidP="008D4251">
            <w:pPr>
              <w:rPr>
                <w:rFonts w:ascii="Arial Narrow" w:eastAsia="Calibri" w:hAnsi="Arial Narrow"/>
                <w:color w:val="FF00FF"/>
                <w:sz w:val="20"/>
                <w:szCs w:val="20"/>
              </w:rPr>
            </w:pPr>
            <w:r w:rsidRPr="00732139">
              <w:rPr>
                <w:rFonts w:ascii="Arial Narrow" w:hAnsi="Arial Narrow"/>
                <w:b/>
                <w:sz w:val="20"/>
                <w:szCs w:val="20"/>
              </w:rPr>
              <w:t xml:space="preserve">Restriction type: </w:t>
            </w:r>
            <w:r w:rsidRPr="00732139">
              <w:rPr>
                <w:rFonts w:ascii="Arial Narrow" w:eastAsia="Calibri" w:hAnsi="Arial Narrow"/>
                <w:sz w:val="20"/>
                <w:szCs w:val="20"/>
              </w:rPr>
              <w:fldChar w:fldCharType="begin">
                <w:ffData>
                  <w:name w:val=""/>
                  <w:enabled/>
                  <w:calcOnExit w:val="0"/>
                  <w:checkBox>
                    <w:sizeAuto/>
                    <w:default w:val="1"/>
                  </w:checkBox>
                </w:ffData>
              </w:fldChar>
            </w:r>
            <w:r w:rsidRPr="00732139">
              <w:rPr>
                <w:rFonts w:ascii="Arial Narrow" w:eastAsia="Calibri" w:hAnsi="Arial Narrow"/>
                <w:sz w:val="20"/>
                <w:szCs w:val="20"/>
              </w:rPr>
              <w:instrText xml:space="preserve"> FORMCHECKBOX </w:instrText>
            </w:r>
            <w:r w:rsidR="00F560E6">
              <w:rPr>
                <w:rFonts w:ascii="Arial Narrow" w:eastAsia="Calibri" w:hAnsi="Arial Narrow"/>
                <w:sz w:val="20"/>
                <w:szCs w:val="20"/>
              </w:rPr>
            </w:r>
            <w:r w:rsidR="00F560E6">
              <w:rPr>
                <w:rFonts w:ascii="Arial Narrow" w:eastAsia="Calibri" w:hAnsi="Arial Narrow"/>
                <w:sz w:val="20"/>
                <w:szCs w:val="20"/>
              </w:rPr>
              <w:fldChar w:fldCharType="separate"/>
            </w:r>
            <w:r w:rsidRPr="00732139">
              <w:rPr>
                <w:rFonts w:ascii="Arial Narrow" w:eastAsia="Calibri" w:hAnsi="Arial Narrow"/>
                <w:sz w:val="20"/>
                <w:szCs w:val="20"/>
              </w:rPr>
              <w:fldChar w:fldCharType="end"/>
            </w:r>
            <w:r w:rsidRPr="00732139">
              <w:rPr>
                <w:rFonts w:ascii="Arial Narrow" w:eastAsia="Calibri" w:hAnsi="Arial Narrow"/>
                <w:sz w:val="20"/>
                <w:szCs w:val="20"/>
              </w:rPr>
              <w:t xml:space="preserve">Authority Required – non-immediate assessment by Services Australia  </w:t>
            </w:r>
          </w:p>
        </w:tc>
      </w:tr>
      <w:tr w:rsidR="0047425E" w:rsidRPr="00732139" w:rsidTr="0047425E">
        <w:tc>
          <w:tcPr>
            <w:tcW w:w="9067" w:type="dxa"/>
            <w:vAlign w:val="center"/>
          </w:tcPr>
          <w:p w:rsidR="0047425E" w:rsidRPr="00732139" w:rsidRDefault="0047425E" w:rsidP="008D4251">
            <w:pPr>
              <w:rPr>
                <w:rFonts w:ascii="Arial Narrow" w:hAnsi="Arial Narrow"/>
                <w:bCs/>
                <w:color w:val="333333"/>
                <w:sz w:val="20"/>
                <w:szCs w:val="20"/>
              </w:rPr>
            </w:pPr>
            <w:r w:rsidRPr="00732139">
              <w:rPr>
                <w:rFonts w:ascii="Arial Narrow" w:hAnsi="Arial Narrow"/>
                <w:b/>
                <w:bCs/>
                <w:color w:val="333333"/>
                <w:sz w:val="20"/>
                <w:szCs w:val="20"/>
              </w:rPr>
              <w:t xml:space="preserve">Episodicity: </w:t>
            </w:r>
            <w:r w:rsidRPr="00732139">
              <w:rPr>
                <w:rFonts w:ascii="Arial Narrow" w:eastAsia="Calibri" w:hAnsi="Arial Narrow"/>
                <w:sz w:val="20"/>
                <w:szCs w:val="20"/>
              </w:rPr>
              <w:t xml:space="preserve">blank </w:t>
            </w:r>
          </w:p>
        </w:tc>
      </w:tr>
      <w:tr w:rsidR="0047425E" w:rsidRPr="00732139" w:rsidTr="0047425E">
        <w:tc>
          <w:tcPr>
            <w:tcW w:w="9067" w:type="dxa"/>
            <w:vAlign w:val="center"/>
          </w:tcPr>
          <w:p w:rsidR="0047425E" w:rsidRPr="00732139" w:rsidRDefault="0047425E" w:rsidP="008D4251">
            <w:pPr>
              <w:rPr>
                <w:rFonts w:ascii="Arial Narrow" w:hAnsi="Arial Narrow"/>
                <w:b/>
                <w:bCs/>
                <w:color w:val="333333"/>
                <w:sz w:val="20"/>
                <w:szCs w:val="20"/>
              </w:rPr>
            </w:pPr>
            <w:r w:rsidRPr="00732139">
              <w:rPr>
                <w:rFonts w:ascii="Arial Narrow" w:hAnsi="Arial Narrow"/>
                <w:b/>
                <w:bCs/>
                <w:color w:val="333333"/>
                <w:sz w:val="20"/>
                <w:szCs w:val="20"/>
              </w:rPr>
              <w:t xml:space="preserve">Severity: </w:t>
            </w:r>
            <w:r w:rsidRPr="00732139">
              <w:rPr>
                <w:rFonts w:ascii="Arial Narrow" w:eastAsia="Calibri" w:hAnsi="Arial Narrow"/>
                <w:sz w:val="20"/>
                <w:szCs w:val="20"/>
              </w:rPr>
              <w:t>blank</w:t>
            </w:r>
          </w:p>
        </w:tc>
      </w:tr>
      <w:tr w:rsidR="0047425E" w:rsidRPr="00732139" w:rsidTr="0047425E">
        <w:tc>
          <w:tcPr>
            <w:tcW w:w="9067" w:type="dxa"/>
            <w:vAlign w:val="center"/>
          </w:tcPr>
          <w:p w:rsidR="0047425E" w:rsidRPr="00732139" w:rsidRDefault="0047425E" w:rsidP="008D4251">
            <w:pPr>
              <w:rPr>
                <w:rFonts w:ascii="Arial Narrow" w:hAnsi="Arial Narrow"/>
                <w:b/>
                <w:bCs/>
                <w:color w:val="333333"/>
                <w:sz w:val="20"/>
                <w:szCs w:val="20"/>
              </w:rPr>
            </w:pPr>
            <w:r w:rsidRPr="00732139">
              <w:rPr>
                <w:rFonts w:ascii="Arial Narrow" w:hAnsi="Arial Narrow"/>
                <w:b/>
                <w:bCs/>
                <w:color w:val="333333"/>
                <w:sz w:val="20"/>
                <w:szCs w:val="20"/>
              </w:rPr>
              <w:t xml:space="preserve">Condition: </w:t>
            </w:r>
            <w:r w:rsidRPr="00732139">
              <w:rPr>
                <w:rFonts w:ascii="Arial Narrow" w:eastAsia="Calibri" w:hAnsi="Arial Narrow"/>
                <w:sz w:val="20"/>
                <w:szCs w:val="20"/>
              </w:rPr>
              <w:t>Paroxysmal nocturnal haemoglobinuria (PNH)</w:t>
            </w:r>
          </w:p>
        </w:tc>
      </w:tr>
      <w:tr w:rsidR="0047425E" w:rsidRPr="00732139" w:rsidTr="0047425E">
        <w:tc>
          <w:tcPr>
            <w:tcW w:w="9067" w:type="dxa"/>
            <w:vAlign w:val="center"/>
            <w:hideMark/>
          </w:tcPr>
          <w:p w:rsidR="0047425E" w:rsidRPr="00732139" w:rsidRDefault="0047425E" w:rsidP="008D4251">
            <w:pPr>
              <w:rPr>
                <w:rFonts w:ascii="Arial Narrow" w:hAnsi="Arial Narrow"/>
                <w:color w:val="333333"/>
                <w:sz w:val="20"/>
                <w:szCs w:val="20"/>
              </w:rPr>
            </w:pPr>
            <w:r w:rsidRPr="00732139">
              <w:rPr>
                <w:rFonts w:ascii="Arial Narrow" w:hAnsi="Arial Narrow"/>
                <w:b/>
                <w:bCs/>
                <w:color w:val="333333"/>
                <w:sz w:val="20"/>
                <w:szCs w:val="20"/>
              </w:rPr>
              <w:t>Indication:</w:t>
            </w:r>
            <w:r w:rsidRPr="00732139">
              <w:rPr>
                <w:rFonts w:ascii="Arial Narrow" w:hAnsi="Arial Narrow"/>
                <w:color w:val="333333"/>
                <w:sz w:val="20"/>
                <w:szCs w:val="20"/>
              </w:rPr>
              <w:t xml:space="preserve"> </w:t>
            </w:r>
            <w:r w:rsidRPr="00732139">
              <w:rPr>
                <w:rFonts w:ascii="Arial Narrow" w:eastAsia="Calibri" w:hAnsi="Arial Narrow"/>
                <w:sz w:val="20"/>
                <w:szCs w:val="20"/>
              </w:rPr>
              <w:t>Paroxysmal nocturnal haemoglobinuria (PNH)</w:t>
            </w:r>
          </w:p>
        </w:tc>
      </w:tr>
      <w:tr w:rsidR="0047425E" w:rsidRPr="00732139" w:rsidTr="0047425E">
        <w:tc>
          <w:tcPr>
            <w:tcW w:w="9067" w:type="dxa"/>
            <w:vAlign w:val="center"/>
            <w:hideMark/>
          </w:tcPr>
          <w:p w:rsidR="0047425E" w:rsidRPr="00732139" w:rsidRDefault="0047425E" w:rsidP="008D4251">
            <w:pPr>
              <w:rPr>
                <w:rFonts w:ascii="Arial Narrow" w:hAnsi="Arial Narrow"/>
                <w:color w:val="333333"/>
                <w:sz w:val="20"/>
                <w:szCs w:val="20"/>
              </w:rPr>
            </w:pPr>
            <w:r w:rsidRPr="00732139">
              <w:rPr>
                <w:rFonts w:ascii="Arial Narrow" w:hAnsi="Arial Narrow"/>
                <w:b/>
                <w:bCs/>
                <w:color w:val="333333"/>
                <w:sz w:val="20"/>
                <w:szCs w:val="20"/>
              </w:rPr>
              <w:t>Treatment Phase:</w:t>
            </w:r>
            <w:r w:rsidRPr="00732139">
              <w:rPr>
                <w:rFonts w:ascii="Arial Narrow" w:hAnsi="Arial Narrow"/>
                <w:color w:val="333333"/>
                <w:sz w:val="20"/>
                <w:szCs w:val="20"/>
              </w:rPr>
              <w:t xml:space="preserve"> Initial treatment</w:t>
            </w:r>
            <w:r w:rsidRPr="00732139">
              <w:rPr>
                <w:rFonts w:ascii="Arial Narrow" w:hAnsi="Arial Narrow"/>
                <w:i/>
                <w:color w:val="333333"/>
                <w:sz w:val="20"/>
                <w:szCs w:val="20"/>
              </w:rPr>
              <w:t xml:space="preserve">- </w:t>
            </w:r>
            <w:r w:rsidRPr="00732139">
              <w:rPr>
                <w:rFonts w:ascii="Arial Narrow" w:hAnsi="Arial Narrow"/>
                <w:color w:val="333333"/>
                <w:sz w:val="20"/>
                <w:szCs w:val="20"/>
              </w:rPr>
              <w:t>Initial 2 (switching from eculizumab)</w:t>
            </w:r>
          </w:p>
        </w:tc>
      </w:tr>
      <w:tr w:rsidR="0047425E" w:rsidRPr="00732139" w:rsidTr="0047425E">
        <w:trPr>
          <w:trHeight w:val="316"/>
        </w:trPr>
        <w:tc>
          <w:tcPr>
            <w:tcW w:w="9067" w:type="dxa"/>
            <w:vAlign w:val="center"/>
            <w:hideMark/>
          </w:tcPr>
          <w:p w:rsidR="0047425E" w:rsidRPr="00732139" w:rsidRDefault="0047425E" w:rsidP="008D4251">
            <w:pPr>
              <w:rPr>
                <w:rFonts w:ascii="Arial Narrow" w:hAnsi="Arial Narrow"/>
                <w:color w:val="333333"/>
                <w:sz w:val="20"/>
                <w:szCs w:val="20"/>
              </w:rPr>
            </w:pPr>
            <w:r w:rsidRPr="00732139">
              <w:rPr>
                <w:rFonts w:ascii="Arial Narrow" w:hAnsi="Arial Narrow"/>
                <w:b/>
                <w:bCs/>
                <w:color w:val="333333"/>
                <w:sz w:val="20"/>
                <w:szCs w:val="20"/>
              </w:rPr>
              <w:t>Clinical criteria:</w:t>
            </w:r>
          </w:p>
        </w:tc>
      </w:tr>
      <w:tr w:rsidR="0047425E" w:rsidRPr="00732139" w:rsidTr="0047425E">
        <w:tc>
          <w:tcPr>
            <w:tcW w:w="9067" w:type="dxa"/>
            <w:vAlign w:val="center"/>
            <w:hideMark/>
          </w:tcPr>
          <w:p w:rsidR="0047425E" w:rsidRPr="00732139" w:rsidRDefault="0047425E" w:rsidP="008D4251">
            <w:pPr>
              <w:rPr>
                <w:rFonts w:ascii="Arial Narrow" w:hAnsi="Arial Narrow"/>
                <w:sz w:val="20"/>
                <w:szCs w:val="20"/>
              </w:rPr>
            </w:pPr>
            <w:r w:rsidRPr="00732139">
              <w:rPr>
                <w:rFonts w:ascii="Arial Narrow" w:hAnsi="Arial Narrow"/>
                <w:sz w:val="20"/>
                <w:szCs w:val="20"/>
              </w:rPr>
              <w:t xml:space="preserve">Patient must be receiving supply of eculizumab under the Australian Government’s Life Saving Drugs Program eligibility criteria for this condition </w:t>
            </w:r>
            <w:r w:rsidRPr="00732139">
              <w:rPr>
                <w:rFonts w:ascii="Arial Narrow" w:hAnsi="Arial Narrow"/>
                <w:i/>
                <w:sz w:val="20"/>
                <w:szCs w:val="20"/>
              </w:rPr>
              <w:t>at the time of making this application</w:t>
            </w:r>
            <w:r w:rsidRPr="00732139">
              <w:rPr>
                <w:rFonts w:ascii="Arial Narrow" w:hAnsi="Arial Narrow"/>
                <w:sz w:val="20"/>
                <w:szCs w:val="20"/>
              </w:rPr>
              <w:t>.</w:t>
            </w:r>
          </w:p>
        </w:tc>
      </w:tr>
      <w:tr w:rsidR="0047425E" w:rsidRPr="00732139" w:rsidTr="0047425E">
        <w:tc>
          <w:tcPr>
            <w:tcW w:w="9067" w:type="dxa"/>
            <w:vAlign w:val="center"/>
          </w:tcPr>
          <w:p w:rsidR="0047425E" w:rsidRPr="00732139" w:rsidRDefault="0047425E" w:rsidP="008D4251">
            <w:pPr>
              <w:rPr>
                <w:rFonts w:ascii="Arial Narrow" w:hAnsi="Arial Narrow"/>
                <w:b/>
                <w:bCs/>
                <w:i/>
                <w:color w:val="333333"/>
                <w:sz w:val="20"/>
                <w:szCs w:val="20"/>
              </w:rPr>
            </w:pPr>
            <w:r w:rsidRPr="00732139">
              <w:rPr>
                <w:rFonts w:ascii="Arial Narrow" w:hAnsi="Arial Narrow"/>
                <w:b/>
                <w:bCs/>
                <w:i/>
                <w:color w:val="333333"/>
                <w:sz w:val="20"/>
                <w:szCs w:val="20"/>
              </w:rPr>
              <w:t>AND</w:t>
            </w:r>
          </w:p>
        </w:tc>
      </w:tr>
      <w:tr w:rsidR="0047425E" w:rsidRPr="00732139" w:rsidTr="0047425E">
        <w:tc>
          <w:tcPr>
            <w:tcW w:w="9067" w:type="dxa"/>
            <w:vAlign w:val="center"/>
          </w:tcPr>
          <w:p w:rsidR="0047425E" w:rsidRPr="00732139" w:rsidRDefault="0047425E" w:rsidP="008D4251">
            <w:pPr>
              <w:rPr>
                <w:rFonts w:ascii="Arial Narrow" w:hAnsi="Arial Narrow"/>
                <w:i/>
                <w:sz w:val="20"/>
                <w:szCs w:val="20"/>
              </w:rPr>
            </w:pPr>
            <w:r w:rsidRPr="00732139">
              <w:rPr>
                <w:rFonts w:ascii="Arial Narrow" w:hAnsi="Arial Narrow"/>
                <w:b/>
                <w:bCs/>
                <w:color w:val="333333"/>
                <w:sz w:val="20"/>
                <w:szCs w:val="20"/>
              </w:rPr>
              <w:t>Clinical criteria:</w:t>
            </w:r>
          </w:p>
        </w:tc>
      </w:tr>
      <w:tr w:rsidR="0047425E" w:rsidRPr="00732139" w:rsidTr="0047425E">
        <w:tc>
          <w:tcPr>
            <w:tcW w:w="9067" w:type="dxa"/>
            <w:vAlign w:val="center"/>
          </w:tcPr>
          <w:p w:rsidR="0047425E" w:rsidRPr="00732139" w:rsidRDefault="0047425E" w:rsidP="008D4251">
            <w:pPr>
              <w:rPr>
                <w:rFonts w:ascii="Arial Narrow" w:hAnsi="Arial Narrow"/>
                <w:b/>
                <w:bCs/>
                <w:color w:val="333333"/>
                <w:sz w:val="20"/>
                <w:szCs w:val="20"/>
              </w:rPr>
            </w:pPr>
            <w:r w:rsidRPr="00732139">
              <w:rPr>
                <w:rFonts w:ascii="Arial Narrow" w:hAnsi="Arial Narrow"/>
                <w:i/>
                <w:sz w:val="20"/>
                <w:szCs w:val="20"/>
              </w:rPr>
              <w:t>Patient must currently be eligible to continue treatment with eculizumab under the Australian Government’s Life Saving Drugs Program eligibility criteria for this condition</w:t>
            </w:r>
          </w:p>
        </w:tc>
      </w:tr>
      <w:tr w:rsidR="0047425E" w:rsidRPr="00732139" w:rsidTr="0047425E">
        <w:tc>
          <w:tcPr>
            <w:tcW w:w="9067" w:type="dxa"/>
            <w:vAlign w:val="center"/>
          </w:tcPr>
          <w:p w:rsidR="0047425E" w:rsidRPr="00732139" w:rsidRDefault="0047425E" w:rsidP="008D4251">
            <w:pPr>
              <w:rPr>
                <w:rFonts w:ascii="Arial Narrow" w:hAnsi="Arial Narrow"/>
                <w:b/>
                <w:bCs/>
                <w:color w:val="333333"/>
                <w:sz w:val="20"/>
                <w:szCs w:val="20"/>
              </w:rPr>
            </w:pPr>
            <w:r w:rsidRPr="00732139">
              <w:rPr>
                <w:rFonts w:ascii="Arial Narrow" w:hAnsi="Arial Narrow"/>
                <w:b/>
                <w:bCs/>
                <w:color w:val="333333"/>
                <w:sz w:val="20"/>
                <w:szCs w:val="20"/>
              </w:rPr>
              <w:t>Clinical criteria:</w:t>
            </w:r>
          </w:p>
        </w:tc>
      </w:tr>
      <w:tr w:rsidR="0047425E" w:rsidRPr="00732139" w:rsidTr="0047425E">
        <w:tc>
          <w:tcPr>
            <w:tcW w:w="9067" w:type="dxa"/>
            <w:vAlign w:val="center"/>
          </w:tcPr>
          <w:p w:rsidR="0047425E" w:rsidRPr="00732139" w:rsidRDefault="0047425E" w:rsidP="008D4251">
            <w:pPr>
              <w:rPr>
                <w:rFonts w:ascii="Arial Narrow" w:hAnsi="Arial Narrow"/>
                <w:bCs/>
                <w:i/>
                <w:color w:val="333333"/>
                <w:sz w:val="20"/>
                <w:szCs w:val="20"/>
              </w:rPr>
            </w:pPr>
            <w:r w:rsidRPr="00732139">
              <w:rPr>
                <w:rFonts w:ascii="Arial Narrow" w:hAnsi="Arial Narrow"/>
                <w:bCs/>
                <w:i/>
                <w:color w:val="333333"/>
                <w:sz w:val="20"/>
                <w:szCs w:val="20"/>
              </w:rPr>
              <w:t>Patient must be up to date with meningococcal vaccination in accordance with the current version of the Australian Immunisation Handbook.</w:t>
            </w:r>
          </w:p>
        </w:tc>
      </w:tr>
      <w:tr w:rsidR="0047425E" w:rsidRPr="00732139" w:rsidTr="0047425E">
        <w:tc>
          <w:tcPr>
            <w:tcW w:w="9067" w:type="dxa"/>
            <w:vAlign w:val="center"/>
            <w:hideMark/>
          </w:tcPr>
          <w:p w:rsidR="0047425E" w:rsidRPr="00732139" w:rsidRDefault="0047425E" w:rsidP="008D4251">
            <w:pPr>
              <w:rPr>
                <w:rFonts w:ascii="Arial Narrow" w:hAnsi="Arial Narrow"/>
                <w:color w:val="333333"/>
                <w:sz w:val="20"/>
                <w:szCs w:val="20"/>
              </w:rPr>
            </w:pPr>
            <w:r w:rsidRPr="00732139">
              <w:rPr>
                <w:rFonts w:ascii="Arial Narrow" w:hAnsi="Arial Narrow"/>
                <w:b/>
                <w:bCs/>
                <w:color w:val="333333"/>
                <w:sz w:val="20"/>
                <w:szCs w:val="20"/>
              </w:rPr>
              <w:t>AND</w:t>
            </w:r>
          </w:p>
        </w:tc>
      </w:tr>
      <w:tr w:rsidR="0047425E" w:rsidRPr="00732139" w:rsidTr="0047425E">
        <w:tc>
          <w:tcPr>
            <w:tcW w:w="9067" w:type="dxa"/>
            <w:vAlign w:val="center"/>
            <w:hideMark/>
          </w:tcPr>
          <w:p w:rsidR="0047425E" w:rsidRPr="00732139" w:rsidRDefault="0047425E" w:rsidP="008D4251">
            <w:pPr>
              <w:rPr>
                <w:rFonts w:ascii="Arial Narrow" w:hAnsi="Arial Narrow"/>
                <w:color w:val="333333"/>
                <w:sz w:val="20"/>
                <w:szCs w:val="20"/>
              </w:rPr>
            </w:pPr>
            <w:r w:rsidRPr="00732139">
              <w:rPr>
                <w:rFonts w:ascii="Arial Narrow" w:hAnsi="Arial Narrow"/>
                <w:b/>
                <w:bCs/>
                <w:color w:val="333333"/>
                <w:sz w:val="20"/>
                <w:szCs w:val="20"/>
              </w:rPr>
              <w:t>Treatment criteria:</w:t>
            </w:r>
          </w:p>
        </w:tc>
      </w:tr>
      <w:tr w:rsidR="0047425E" w:rsidRPr="00732139" w:rsidTr="0047425E">
        <w:tc>
          <w:tcPr>
            <w:tcW w:w="9067" w:type="dxa"/>
            <w:tcBorders>
              <w:top w:val="single" w:sz="4" w:space="0" w:color="auto"/>
              <w:left w:val="single" w:sz="4" w:space="0" w:color="auto"/>
              <w:bottom w:val="single" w:sz="4" w:space="0" w:color="auto"/>
              <w:right w:val="single" w:sz="4" w:space="0" w:color="auto"/>
            </w:tcBorders>
          </w:tcPr>
          <w:p w:rsidR="0047425E" w:rsidRPr="00732139" w:rsidRDefault="0047425E" w:rsidP="008D4251">
            <w:pPr>
              <w:autoSpaceDE w:val="0"/>
              <w:autoSpaceDN w:val="0"/>
              <w:adjustRightInd w:val="0"/>
              <w:rPr>
                <w:rFonts w:ascii="Arial Narrow" w:hAnsi="Arial Narrow" w:cs="Arial Narrow"/>
                <w:i/>
                <w:iCs/>
                <w:sz w:val="20"/>
                <w:szCs w:val="20"/>
              </w:rPr>
            </w:pPr>
            <w:r w:rsidRPr="00732139">
              <w:rPr>
                <w:rFonts w:ascii="Arial Narrow" w:hAnsi="Arial Narrow"/>
                <w:sz w:val="20"/>
                <w:szCs w:val="20"/>
              </w:rPr>
              <w:t xml:space="preserve">Must be treated by a haematologist </w:t>
            </w:r>
            <w:r w:rsidRPr="00732139">
              <w:rPr>
                <w:rFonts w:ascii="Arial Narrow" w:hAnsi="Arial Narrow"/>
                <w:strike/>
                <w:sz w:val="20"/>
                <w:szCs w:val="20"/>
              </w:rPr>
              <w:t>or in consultation with a haematologist</w:t>
            </w:r>
            <w:r w:rsidRPr="00732139">
              <w:rPr>
                <w:rFonts w:ascii="Arial Narrow" w:hAnsi="Arial Narrow"/>
                <w:sz w:val="20"/>
                <w:szCs w:val="20"/>
              </w:rPr>
              <w:t>; or Must be treated by a non-specialist medical physician who has consulted a haematologist on the patient’s drug treatment details.</w:t>
            </w:r>
          </w:p>
        </w:tc>
      </w:tr>
      <w:tr w:rsidR="0047425E" w:rsidRPr="00732139" w:rsidTr="0047425E">
        <w:tc>
          <w:tcPr>
            <w:tcW w:w="9067" w:type="dxa"/>
            <w:tcBorders>
              <w:top w:val="single" w:sz="4" w:space="0" w:color="auto"/>
              <w:left w:val="single" w:sz="4" w:space="0" w:color="auto"/>
              <w:bottom w:val="single" w:sz="4" w:space="0" w:color="auto"/>
              <w:right w:val="single" w:sz="4" w:space="0" w:color="auto"/>
            </w:tcBorders>
          </w:tcPr>
          <w:p w:rsidR="0047425E" w:rsidRPr="00732139" w:rsidRDefault="0047425E" w:rsidP="008D4251">
            <w:pPr>
              <w:rPr>
                <w:rFonts w:ascii="Arial Narrow" w:hAnsi="Arial Narrow"/>
                <w:b/>
                <w:sz w:val="20"/>
                <w:szCs w:val="20"/>
              </w:rPr>
            </w:pPr>
            <w:r w:rsidRPr="00732139">
              <w:rPr>
                <w:rFonts w:ascii="Arial Narrow" w:hAnsi="Arial Narrow"/>
                <w:b/>
                <w:sz w:val="20"/>
                <w:szCs w:val="20"/>
              </w:rPr>
              <w:t>Population criteria:</w:t>
            </w:r>
          </w:p>
        </w:tc>
      </w:tr>
      <w:tr w:rsidR="0047425E" w:rsidRPr="00732139" w:rsidTr="0047425E">
        <w:tc>
          <w:tcPr>
            <w:tcW w:w="9067" w:type="dxa"/>
            <w:tcBorders>
              <w:top w:val="single" w:sz="4" w:space="0" w:color="auto"/>
              <w:left w:val="single" w:sz="4" w:space="0" w:color="auto"/>
              <w:bottom w:val="single" w:sz="4" w:space="0" w:color="auto"/>
              <w:right w:val="single" w:sz="4" w:space="0" w:color="auto"/>
            </w:tcBorders>
          </w:tcPr>
          <w:p w:rsidR="0047425E" w:rsidRPr="00732139" w:rsidRDefault="0047425E" w:rsidP="008D4251">
            <w:pPr>
              <w:rPr>
                <w:rFonts w:ascii="Arial Narrow" w:hAnsi="Arial Narrow"/>
                <w:sz w:val="20"/>
                <w:szCs w:val="20"/>
              </w:rPr>
            </w:pPr>
            <w:r w:rsidRPr="00732139">
              <w:rPr>
                <w:rFonts w:ascii="Arial Narrow" w:hAnsi="Arial Narrow"/>
                <w:sz w:val="20"/>
                <w:szCs w:val="20"/>
              </w:rPr>
              <w:t>Patients must be aged 18 years or older</w:t>
            </w:r>
          </w:p>
        </w:tc>
      </w:tr>
      <w:tr w:rsidR="0047425E" w:rsidRPr="00732139" w:rsidTr="0047425E">
        <w:tc>
          <w:tcPr>
            <w:tcW w:w="9067" w:type="dxa"/>
          </w:tcPr>
          <w:p w:rsidR="0047425E" w:rsidRPr="00732139" w:rsidRDefault="0047425E" w:rsidP="008D4251">
            <w:pPr>
              <w:rPr>
                <w:rFonts w:ascii="Arial Narrow" w:hAnsi="Arial Narrow"/>
                <w:sz w:val="20"/>
                <w:szCs w:val="20"/>
                <w:u w:val="single"/>
              </w:rPr>
            </w:pPr>
            <w:r w:rsidRPr="00732139">
              <w:rPr>
                <w:rFonts w:ascii="Arial Narrow" w:hAnsi="Arial Narrow"/>
                <w:b/>
                <w:sz w:val="20"/>
                <w:szCs w:val="20"/>
              </w:rPr>
              <w:t xml:space="preserve">Prescribing instructions: </w:t>
            </w:r>
            <w:r w:rsidRPr="00732139">
              <w:rPr>
                <w:rFonts w:ascii="Arial Narrow" w:hAnsi="Arial Narrow"/>
                <w:sz w:val="20"/>
                <w:szCs w:val="20"/>
              </w:rPr>
              <w:t>At the time of the authority application, medical practitioners should request the appropriate number of vials, to provide for a single infusion to cover the loading dose and maintenance doses based on the patient’s weight and as per the Product Information. Refer to the Product information for patient weight ranges for the 100mg/mL doses (consisting of 300 mg in 3 mL and 1100 mg in 11 mL vials).</w:t>
            </w:r>
          </w:p>
        </w:tc>
      </w:tr>
      <w:tr w:rsidR="0047425E" w:rsidRPr="00732139" w:rsidTr="0047425E">
        <w:trPr>
          <w:trHeight w:val="240"/>
        </w:trPr>
        <w:tc>
          <w:tcPr>
            <w:tcW w:w="9067" w:type="dxa"/>
            <w:tcBorders>
              <w:top w:val="single" w:sz="4" w:space="0" w:color="auto"/>
              <w:left w:val="single" w:sz="4" w:space="0" w:color="auto"/>
              <w:bottom w:val="single" w:sz="4" w:space="0" w:color="auto"/>
              <w:right w:val="single" w:sz="4" w:space="0" w:color="auto"/>
            </w:tcBorders>
            <w:vAlign w:val="center"/>
          </w:tcPr>
          <w:p w:rsidR="0047425E" w:rsidRPr="00732139" w:rsidRDefault="0047425E" w:rsidP="008D4251">
            <w:pPr>
              <w:rPr>
                <w:rFonts w:ascii="Arial Narrow" w:hAnsi="Arial Narrow"/>
                <w:b/>
                <w:sz w:val="20"/>
                <w:szCs w:val="20"/>
              </w:rPr>
            </w:pPr>
            <w:r w:rsidRPr="00732139">
              <w:rPr>
                <w:rFonts w:ascii="Arial Narrow" w:hAnsi="Arial Narrow"/>
                <w:b/>
                <w:sz w:val="20"/>
                <w:szCs w:val="20"/>
              </w:rPr>
              <w:t>Administrative advice:</w:t>
            </w:r>
          </w:p>
          <w:p w:rsidR="0047425E" w:rsidRPr="00732139" w:rsidRDefault="0047425E" w:rsidP="008D4251">
            <w:pPr>
              <w:rPr>
                <w:rFonts w:ascii="Arial Narrow" w:hAnsi="Arial Narrow"/>
                <w:sz w:val="20"/>
                <w:szCs w:val="20"/>
              </w:rPr>
            </w:pPr>
            <w:r w:rsidRPr="00732139">
              <w:rPr>
                <w:rFonts w:ascii="Arial Narrow" w:hAnsi="Arial Narrow"/>
                <w:sz w:val="20"/>
                <w:szCs w:val="20"/>
              </w:rPr>
              <w:t>Any queries concerning the arrangements to prescribe may be directed to Services Australia on 1800 700 270 (hours of operation 8 a.m. to 5 p.m. EST Monday to Friday).</w:t>
            </w:r>
          </w:p>
          <w:p w:rsidR="0047425E" w:rsidRPr="00732139" w:rsidRDefault="0047425E" w:rsidP="008D4251">
            <w:pPr>
              <w:rPr>
                <w:rFonts w:ascii="Arial Narrow" w:hAnsi="Arial Narrow"/>
                <w:sz w:val="20"/>
                <w:szCs w:val="20"/>
              </w:rPr>
            </w:pPr>
            <w:r w:rsidRPr="00732139">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rsidR="0047425E" w:rsidRPr="00732139" w:rsidRDefault="0047425E" w:rsidP="008D4251">
            <w:pPr>
              <w:rPr>
                <w:rFonts w:ascii="Arial Narrow" w:hAnsi="Arial Narrow"/>
                <w:sz w:val="20"/>
                <w:szCs w:val="20"/>
              </w:rPr>
            </w:pPr>
            <w:r w:rsidRPr="00732139">
              <w:rPr>
                <w:rFonts w:ascii="Arial Narrow" w:hAnsi="Arial Narrow"/>
                <w:sz w:val="20"/>
                <w:szCs w:val="20"/>
              </w:rPr>
              <w:t>Applications for authority to prescribe should be submitted online using the form upload facility in Health Professional Online Services (HPOS) at www.servicesaustralia.gov.au/hpos</w:t>
            </w:r>
          </w:p>
          <w:p w:rsidR="0047425E" w:rsidRPr="00732139" w:rsidRDefault="0047425E" w:rsidP="008D4251">
            <w:pPr>
              <w:rPr>
                <w:rFonts w:ascii="Arial Narrow" w:hAnsi="Arial Narrow"/>
                <w:sz w:val="20"/>
                <w:szCs w:val="20"/>
              </w:rPr>
            </w:pPr>
            <w:r w:rsidRPr="00732139">
              <w:rPr>
                <w:rFonts w:ascii="Arial Narrow" w:hAnsi="Arial Narrow"/>
                <w:sz w:val="20"/>
                <w:szCs w:val="20"/>
              </w:rPr>
              <w:t>Or mailed to:</w:t>
            </w:r>
          </w:p>
          <w:p w:rsidR="0047425E" w:rsidRPr="00732139" w:rsidRDefault="0047425E" w:rsidP="008D4251">
            <w:pPr>
              <w:rPr>
                <w:rFonts w:ascii="Arial Narrow" w:hAnsi="Arial Narrow"/>
                <w:sz w:val="20"/>
                <w:szCs w:val="20"/>
              </w:rPr>
            </w:pPr>
            <w:r w:rsidRPr="00732139">
              <w:rPr>
                <w:rFonts w:ascii="Arial Narrow" w:hAnsi="Arial Narrow"/>
                <w:sz w:val="20"/>
                <w:szCs w:val="20"/>
              </w:rPr>
              <w:lastRenderedPageBreak/>
              <w:t>Services Australia</w:t>
            </w:r>
          </w:p>
          <w:p w:rsidR="0047425E" w:rsidRPr="00732139" w:rsidRDefault="0047425E" w:rsidP="008D4251">
            <w:pPr>
              <w:rPr>
                <w:rFonts w:ascii="Arial Narrow" w:hAnsi="Arial Narrow"/>
                <w:sz w:val="20"/>
                <w:szCs w:val="20"/>
              </w:rPr>
            </w:pPr>
            <w:r w:rsidRPr="00732139">
              <w:rPr>
                <w:rFonts w:ascii="Arial Narrow" w:hAnsi="Arial Narrow"/>
                <w:sz w:val="20"/>
                <w:szCs w:val="20"/>
              </w:rPr>
              <w:t>Complex Drugs</w:t>
            </w:r>
          </w:p>
          <w:p w:rsidR="0047425E" w:rsidRPr="00732139" w:rsidRDefault="0047425E" w:rsidP="008D4251">
            <w:pPr>
              <w:rPr>
                <w:rFonts w:ascii="Arial Narrow" w:hAnsi="Arial Narrow"/>
                <w:sz w:val="20"/>
                <w:szCs w:val="20"/>
              </w:rPr>
            </w:pPr>
            <w:r w:rsidRPr="00732139">
              <w:rPr>
                <w:rFonts w:ascii="Arial Narrow" w:hAnsi="Arial Narrow"/>
                <w:sz w:val="20"/>
                <w:szCs w:val="20"/>
              </w:rPr>
              <w:t>Reply Paid 9826</w:t>
            </w:r>
          </w:p>
          <w:p w:rsidR="0047425E" w:rsidRPr="00732139" w:rsidRDefault="0047425E" w:rsidP="008D4251">
            <w:pPr>
              <w:rPr>
                <w:rFonts w:ascii="Arial Narrow" w:hAnsi="Arial Narrow"/>
                <w:b/>
                <w:sz w:val="20"/>
                <w:szCs w:val="20"/>
              </w:rPr>
            </w:pPr>
            <w:r w:rsidRPr="00732139">
              <w:rPr>
                <w:rFonts w:ascii="Arial Narrow" w:hAnsi="Arial Narrow"/>
                <w:sz w:val="20"/>
                <w:szCs w:val="20"/>
              </w:rPr>
              <w:t>HOBART TAS 7001</w:t>
            </w:r>
          </w:p>
        </w:tc>
      </w:tr>
      <w:tr w:rsidR="0047425E" w:rsidRPr="00732139" w:rsidTr="0047425E">
        <w:trPr>
          <w:trHeight w:val="240"/>
        </w:trPr>
        <w:tc>
          <w:tcPr>
            <w:tcW w:w="9067" w:type="dxa"/>
            <w:tcBorders>
              <w:top w:val="single" w:sz="4" w:space="0" w:color="auto"/>
              <w:left w:val="single" w:sz="4" w:space="0" w:color="auto"/>
              <w:bottom w:val="single" w:sz="4" w:space="0" w:color="auto"/>
              <w:right w:val="single" w:sz="4" w:space="0" w:color="auto"/>
            </w:tcBorders>
          </w:tcPr>
          <w:p w:rsidR="0047425E" w:rsidRPr="00732139" w:rsidRDefault="0047425E" w:rsidP="008D4251">
            <w:pPr>
              <w:rPr>
                <w:rFonts w:ascii="Arial Narrow" w:hAnsi="Arial Narrow"/>
                <w:sz w:val="20"/>
                <w:szCs w:val="20"/>
              </w:rPr>
            </w:pPr>
            <w:r w:rsidRPr="00732139">
              <w:rPr>
                <w:rFonts w:ascii="Arial Narrow" w:hAnsi="Arial Narrow"/>
                <w:b/>
                <w:sz w:val="20"/>
                <w:szCs w:val="20"/>
              </w:rPr>
              <w:lastRenderedPageBreak/>
              <w:t>Administrative advice:</w:t>
            </w:r>
            <w:r w:rsidRPr="00732139">
              <w:rPr>
                <w:rFonts w:ascii="Arial Narrow" w:hAnsi="Arial Narrow"/>
                <w:sz w:val="20"/>
                <w:szCs w:val="20"/>
              </w:rPr>
              <w:t xml:space="preserve"> No increase in the maximum number of repeats may be authorised.</w:t>
            </w:r>
          </w:p>
        </w:tc>
      </w:tr>
      <w:tr w:rsidR="0047425E" w:rsidRPr="00732139" w:rsidTr="0047425E">
        <w:tc>
          <w:tcPr>
            <w:tcW w:w="9067" w:type="dxa"/>
            <w:vAlign w:val="center"/>
            <w:hideMark/>
          </w:tcPr>
          <w:p w:rsidR="0047425E" w:rsidRPr="00732139" w:rsidRDefault="0047425E" w:rsidP="008D4251">
            <w:pPr>
              <w:rPr>
                <w:rFonts w:ascii="Arial Narrow" w:hAnsi="Arial Narrow"/>
                <w:sz w:val="20"/>
                <w:szCs w:val="20"/>
              </w:rPr>
            </w:pPr>
            <w:r w:rsidRPr="00732139">
              <w:rPr>
                <w:rFonts w:ascii="Arial Narrow" w:hAnsi="Arial Narrow"/>
                <w:b/>
                <w:sz w:val="20"/>
                <w:szCs w:val="20"/>
              </w:rPr>
              <w:t>Caution:</w:t>
            </w:r>
          </w:p>
          <w:p w:rsidR="0047425E" w:rsidRPr="00732139" w:rsidRDefault="0047425E" w:rsidP="008D4251">
            <w:pPr>
              <w:rPr>
                <w:rFonts w:ascii="Arial Narrow" w:hAnsi="Arial Narrow"/>
                <w:sz w:val="20"/>
                <w:szCs w:val="20"/>
              </w:rPr>
            </w:pPr>
            <w:r w:rsidRPr="00732139">
              <w:rPr>
                <w:rFonts w:ascii="Arial Narrow" w:hAnsi="Arial Narrow"/>
                <w:sz w:val="20"/>
                <w:szCs w:val="20"/>
              </w:rPr>
              <w:t xml:space="preserve">WARNING: This drug increases the risk of meningococcal infections (sepsis and/or meningitis). </w:t>
            </w:r>
          </w:p>
          <w:p w:rsidR="0047425E" w:rsidRPr="00732139" w:rsidRDefault="0047425E" w:rsidP="008D4251">
            <w:pPr>
              <w:rPr>
                <w:rFonts w:ascii="Arial Narrow" w:hAnsi="Arial Narrow"/>
                <w:sz w:val="20"/>
                <w:szCs w:val="20"/>
              </w:rPr>
            </w:pPr>
            <w:r w:rsidRPr="00732139">
              <w:rPr>
                <w:rFonts w:ascii="Arial Narrow" w:hAnsi="Arial Narrow"/>
                <w:sz w:val="20"/>
                <w:szCs w:val="20"/>
              </w:rPr>
              <w:t>Consult the approved PI for information about vaccination against meningococcal infection</w:t>
            </w:r>
            <w:r w:rsidR="00732139">
              <w:rPr>
                <w:rFonts w:ascii="Arial Narrow" w:hAnsi="Arial Narrow"/>
                <w:sz w:val="20"/>
                <w:szCs w:val="20"/>
              </w:rPr>
              <w:t xml:space="preserve">. </w:t>
            </w:r>
          </w:p>
        </w:tc>
      </w:tr>
    </w:tbl>
    <w:p w:rsidR="00E8062B" w:rsidRPr="00732139" w:rsidRDefault="00E8062B" w:rsidP="00E8062B">
      <w:pPr>
        <w:rPr>
          <w:b/>
          <w:highlight w:val="yellow"/>
          <w:u w:val="single"/>
        </w:rPr>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
        <w:gridCol w:w="9067"/>
      </w:tblGrid>
      <w:tr w:rsidR="00991D09" w:rsidRPr="00732139" w:rsidTr="00991D09">
        <w:trPr>
          <w:gridBefore w:val="1"/>
          <w:wBefore w:w="10" w:type="dxa"/>
        </w:trPr>
        <w:tc>
          <w:tcPr>
            <w:tcW w:w="9067" w:type="dxa"/>
            <w:tcBorders>
              <w:top w:val="single" w:sz="4" w:space="0" w:color="auto"/>
              <w:left w:val="single" w:sz="4" w:space="0" w:color="auto"/>
              <w:bottom w:val="single" w:sz="4" w:space="0" w:color="auto"/>
              <w:right w:val="single" w:sz="4" w:space="0" w:color="auto"/>
            </w:tcBorders>
          </w:tcPr>
          <w:p w:rsidR="00991D09" w:rsidRPr="00732139" w:rsidRDefault="00991D09" w:rsidP="008D4251">
            <w:pPr>
              <w:keepNext/>
              <w:rPr>
                <w:rFonts w:ascii="Arial Narrow" w:hAnsi="Arial Narrow"/>
                <w:sz w:val="20"/>
                <w:szCs w:val="20"/>
              </w:rPr>
            </w:pPr>
            <w:r w:rsidRPr="00732139">
              <w:rPr>
                <w:rFonts w:ascii="Arial Narrow" w:hAnsi="Arial Narrow"/>
                <w:b/>
                <w:sz w:val="20"/>
                <w:szCs w:val="20"/>
              </w:rPr>
              <w:t xml:space="preserve">Category / Program: </w:t>
            </w:r>
            <w:r w:rsidRPr="00732139">
              <w:rPr>
                <w:rFonts w:ascii="Arial Narrow" w:hAnsi="Arial Narrow"/>
                <w:sz w:val="20"/>
                <w:szCs w:val="20"/>
              </w:rPr>
              <w:t>Section 100 – Highly Specialised Drugs Program</w:t>
            </w:r>
          </w:p>
        </w:tc>
      </w:tr>
      <w:tr w:rsidR="00991D09" w:rsidRPr="00732139" w:rsidTr="00991D09">
        <w:trPr>
          <w:gridBefore w:val="1"/>
          <w:wBefore w:w="10" w:type="dxa"/>
          <w:trHeight w:val="240"/>
        </w:trPr>
        <w:tc>
          <w:tcPr>
            <w:tcW w:w="9067" w:type="dxa"/>
            <w:tcBorders>
              <w:top w:val="single" w:sz="4" w:space="0" w:color="auto"/>
              <w:left w:val="single" w:sz="4" w:space="0" w:color="auto"/>
              <w:bottom w:val="single" w:sz="4" w:space="0" w:color="auto"/>
              <w:right w:val="single" w:sz="4" w:space="0" w:color="auto"/>
            </w:tcBorders>
          </w:tcPr>
          <w:p w:rsidR="00991D09" w:rsidRPr="00732139" w:rsidRDefault="00991D09" w:rsidP="008D4251">
            <w:pPr>
              <w:keepNext/>
              <w:rPr>
                <w:rFonts w:ascii="Arial Narrow" w:hAnsi="Arial Narrow"/>
                <w:b/>
                <w:sz w:val="20"/>
                <w:szCs w:val="20"/>
              </w:rPr>
            </w:pPr>
            <w:r w:rsidRPr="00732139">
              <w:rPr>
                <w:rFonts w:ascii="Arial Narrow" w:hAnsi="Arial Narrow"/>
                <w:b/>
                <w:sz w:val="20"/>
                <w:szCs w:val="20"/>
              </w:rPr>
              <w:t>Prescriber type:</w:t>
            </w:r>
            <w:r w:rsidRPr="00732139">
              <w:rPr>
                <w:rFonts w:ascii="Arial Narrow" w:hAnsi="Arial Narrow"/>
                <w:sz w:val="20"/>
                <w:szCs w:val="20"/>
              </w:rPr>
              <w:t xml:space="preserve"> </w:t>
            </w:r>
            <w:r w:rsidRPr="00732139">
              <w:rPr>
                <w:rFonts w:ascii="Arial Narrow" w:hAnsi="Arial Narrow"/>
                <w:sz w:val="20"/>
                <w:szCs w:val="20"/>
              </w:rPr>
              <w:fldChar w:fldCharType="begin">
                <w:ffData>
                  <w:name w:val=""/>
                  <w:enabled/>
                  <w:calcOnExit w:val="0"/>
                  <w:checkBox>
                    <w:sizeAuto/>
                    <w:default w:val="1"/>
                  </w:checkBox>
                </w:ffData>
              </w:fldChar>
            </w:r>
            <w:r w:rsidRPr="00732139">
              <w:rPr>
                <w:rFonts w:ascii="Arial Narrow" w:hAnsi="Arial Narrow"/>
                <w:sz w:val="20"/>
                <w:szCs w:val="20"/>
              </w:rPr>
              <w:instrText xml:space="preserve"> FORMCHECKBOX </w:instrText>
            </w:r>
            <w:r w:rsidR="00F560E6">
              <w:rPr>
                <w:rFonts w:ascii="Arial Narrow" w:hAnsi="Arial Narrow"/>
                <w:sz w:val="20"/>
                <w:szCs w:val="20"/>
              </w:rPr>
            </w:r>
            <w:r w:rsidR="00F560E6">
              <w:rPr>
                <w:rFonts w:ascii="Arial Narrow" w:hAnsi="Arial Narrow"/>
                <w:sz w:val="20"/>
                <w:szCs w:val="20"/>
              </w:rPr>
              <w:fldChar w:fldCharType="separate"/>
            </w:r>
            <w:r w:rsidRPr="00732139">
              <w:rPr>
                <w:rFonts w:ascii="Arial Narrow" w:hAnsi="Arial Narrow"/>
                <w:sz w:val="20"/>
                <w:szCs w:val="20"/>
              </w:rPr>
              <w:fldChar w:fldCharType="end"/>
            </w:r>
            <w:r w:rsidRPr="00732139">
              <w:rPr>
                <w:rFonts w:ascii="Arial Narrow" w:hAnsi="Arial Narrow"/>
                <w:sz w:val="20"/>
                <w:szCs w:val="20"/>
              </w:rPr>
              <w:t>Medical Practitioners</w:t>
            </w:r>
          </w:p>
        </w:tc>
      </w:tr>
      <w:tr w:rsidR="00991D09" w:rsidRPr="00732139" w:rsidTr="00991D09">
        <w:trPr>
          <w:gridBefore w:val="1"/>
          <w:wBefore w:w="10" w:type="dxa"/>
        </w:trPr>
        <w:tc>
          <w:tcPr>
            <w:tcW w:w="9067" w:type="dxa"/>
            <w:tcBorders>
              <w:top w:val="single" w:sz="4" w:space="0" w:color="auto"/>
              <w:left w:val="single" w:sz="4" w:space="0" w:color="auto"/>
              <w:bottom w:val="single" w:sz="4" w:space="0" w:color="auto"/>
              <w:right w:val="single" w:sz="4" w:space="0" w:color="auto"/>
            </w:tcBorders>
          </w:tcPr>
          <w:p w:rsidR="00991D09" w:rsidRPr="00732139" w:rsidRDefault="00991D09" w:rsidP="008D4251">
            <w:pPr>
              <w:keepNext/>
              <w:rPr>
                <w:rFonts w:ascii="Arial Narrow" w:eastAsia="Calibri" w:hAnsi="Arial Narrow"/>
                <w:color w:val="FF00FF"/>
                <w:sz w:val="20"/>
                <w:szCs w:val="20"/>
              </w:rPr>
            </w:pPr>
            <w:r w:rsidRPr="00732139">
              <w:rPr>
                <w:rFonts w:ascii="Arial Narrow" w:hAnsi="Arial Narrow"/>
                <w:b/>
                <w:sz w:val="20"/>
                <w:szCs w:val="20"/>
              </w:rPr>
              <w:t xml:space="preserve">Restriction type: </w:t>
            </w:r>
            <w:r w:rsidRPr="00732139">
              <w:rPr>
                <w:rFonts w:ascii="Arial Narrow" w:eastAsia="Calibri" w:hAnsi="Arial Narrow"/>
                <w:sz w:val="20"/>
                <w:szCs w:val="20"/>
              </w:rPr>
              <w:fldChar w:fldCharType="begin">
                <w:ffData>
                  <w:name w:val=""/>
                  <w:enabled/>
                  <w:calcOnExit w:val="0"/>
                  <w:checkBox>
                    <w:sizeAuto/>
                    <w:default w:val="1"/>
                  </w:checkBox>
                </w:ffData>
              </w:fldChar>
            </w:r>
            <w:r w:rsidRPr="00732139">
              <w:rPr>
                <w:rFonts w:ascii="Arial Narrow" w:eastAsia="Calibri" w:hAnsi="Arial Narrow"/>
                <w:sz w:val="20"/>
                <w:szCs w:val="20"/>
              </w:rPr>
              <w:instrText xml:space="preserve"> FORMCHECKBOX </w:instrText>
            </w:r>
            <w:r w:rsidR="00F560E6">
              <w:rPr>
                <w:rFonts w:ascii="Arial Narrow" w:eastAsia="Calibri" w:hAnsi="Arial Narrow"/>
                <w:sz w:val="20"/>
                <w:szCs w:val="20"/>
              </w:rPr>
            </w:r>
            <w:r w:rsidR="00F560E6">
              <w:rPr>
                <w:rFonts w:ascii="Arial Narrow" w:eastAsia="Calibri" w:hAnsi="Arial Narrow"/>
                <w:sz w:val="20"/>
                <w:szCs w:val="20"/>
              </w:rPr>
              <w:fldChar w:fldCharType="separate"/>
            </w:r>
            <w:r w:rsidRPr="00732139">
              <w:rPr>
                <w:rFonts w:ascii="Arial Narrow" w:eastAsia="Calibri" w:hAnsi="Arial Narrow"/>
                <w:sz w:val="20"/>
                <w:szCs w:val="20"/>
              </w:rPr>
              <w:fldChar w:fldCharType="end"/>
            </w:r>
            <w:r w:rsidRPr="00732139">
              <w:rPr>
                <w:rFonts w:ascii="Arial Narrow" w:eastAsia="Calibri" w:hAnsi="Arial Narrow"/>
                <w:sz w:val="20"/>
                <w:szCs w:val="20"/>
              </w:rPr>
              <w:t xml:space="preserve">Authority Required – non-immediate assessment by Services Australia  </w:t>
            </w:r>
          </w:p>
        </w:tc>
      </w:tr>
      <w:tr w:rsidR="00991D09" w:rsidRPr="00732139" w:rsidTr="00991D09">
        <w:trPr>
          <w:gridBefore w:val="1"/>
          <w:wBefore w:w="10" w:type="dxa"/>
        </w:trPr>
        <w:tc>
          <w:tcPr>
            <w:tcW w:w="9067" w:type="dxa"/>
            <w:vAlign w:val="center"/>
          </w:tcPr>
          <w:p w:rsidR="00991D09" w:rsidRPr="00732139" w:rsidRDefault="00991D09" w:rsidP="008D4251">
            <w:pPr>
              <w:keepNext/>
              <w:rPr>
                <w:rFonts w:ascii="Arial Narrow" w:hAnsi="Arial Narrow"/>
                <w:bCs/>
                <w:color w:val="333333"/>
                <w:sz w:val="20"/>
                <w:szCs w:val="20"/>
              </w:rPr>
            </w:pPr>
            <w:r w:rsidRPr="00732139">
              <w:rPr>
                <w:rFonts w:ascii="Arial Narrow" w:hAnsi="Arial Narrow"/>
                <w:b/>
                <w:bCs/>
                <w:color w:val="333333"/>
                <w:sz w:val="20"/>
                <w:szCs w:val="20"/>
              </w:rPr>
              <w:t xml:space="preserve">Episodicity: </w:t>
            </w:r>
            <w:r w:rsidRPr="00732139">
              <w:rPr>
                <w:rFonts w:ascii="Arial Narrow" w:eastAsia="Calibri" w:hAnsi="Arial Narrow"/>
                <w:sz w:val="20"/>
                <w:szCs w:val="20"/>
              </w:rPr>
              <w:t xml:space="preserve">blank </w:t>
            </w:r>
          </w:p>
        </w:tc>
      </w:tr>
      <w:tr w:rsidR="00991D09" w:rsidRPr="00732139" w:rsidTr="00991D09">
        <w:trPr>
          <w:gridBefore w:val="1"/>
          <w:wBefore w:w="10" w:type="dxa"/>
        </w:trPr>
        <w:tc>
          <w:tcPr>
            <w:tcW w:w="9067" w:type="dxa"/>
            <w:vAlign w:val="center"/>
          </w:tcPr>
          <w:p w:rsidR="00991D09" w:rsidRPr="00732139" w:rsidRDefault="00991D09" w:rsidP="008D4251">
            <w:pPr>
              <w:keepNext/>
              <w:rPr>
                <w:rFonts w:ascii="Arial Narrow" w:hAnsi="Arial Narrow"/>
                <w:b/>
                <w:bCs/>
                <w:color w:val="333333"/>
                <w:sz w:val="20"/>
                <w:szCs w:val="20"/>
              </w:rPr>
            </w:pPr>
            <w:r w:rsidRPr="00732139">
              <w:rPr>
                <w:rFonts w:ascii="Arial Narrow" w:hAnsi="Arial Narrow"/>
                <w:b/>
                <w:bCs/>
                <w:color w:val="333333"/>
                <w:sz w:val="20"/>
                <w:szCs w:val="20"/>
              </w:rPr>
              <w:t xml:space="preserve">Severity: </w:t>
            </w:r>
            <w:r w:rsidRPr="00732139">
              <w:rPr>
                <w:rFonts w:ascii="Arial Narrow" w:eastAsia="Calibri" w:hAnsi="Arial Narrow"/>
                <w:sz w:val="20"/>
                <w:szCs w:val="20"/>
              </w:rPr>
              <w:t>blank</w:t>
            </w:r>
          </w:p>
        </w:tc>
      </w:tr>
      <w:tr w:rsidR="00991D09" w:rsidRPr="00732139" w:rsidTr="00991D09">
        <w:trPr>
          <w:gridBefore w:val="1"/>
          <w:wBefore w:w="10" w:type="dxa"/>
        </w:trPr>
        <w:tc>
          <w:tcPr>
            <w:tcW w:w="9067" w:type="dxa"/>
            <w:vAlign w:val="center"/>
          </w:tcPr>
          <w:p w:rsidR="00991D09" w:rsidRPr="00732139" w:rsidRDefault="00991D09" w:rsidP="008D4251">
            <w:pPr>
              <w:keepNext/>
              <w:rPr>
                <w:rFonts w:ascii="Arial Narrow" w:hAnsi="Arial Narrow"/>
                <w:b/>
                <w:bCs/>
                <w:color w:val="333333"/>
                <w:sz w:val="20"/>
                <w:szCs w:val="20"/>
              </w:rPr>
            </w:pPr>
            <w:r w:rsidRPr="00732139">
              <w:rPr>
                <w:rFonts w:ascii="Arial Narrow" w:hAnsi="Arial Narrow"/>
                <w:b/>
                <w:bCs/>
                <w:color w:val="333333"/>
                <w:sz w:val="20"/>
                <w:szCs w:val="20"/>
              </w:rPr>
              <w:t xml:space="preserve">Condition: </w:t>
            </w:r>
            <w:r w:rsidRPr="00732139">
              <w:rPr>
                <w:rFonts w:ascii="Arial Narrow" w:eastAsia="Calibri" w:hAnsi="Arial Narrow"/>
                <w:sz w:val="20"/>
                <w:szCs w:val="20"/>
              </w:rPr>
              <w:t>Paroxysmal nocturnal haemoglobinuria (PNH)</w:t>
            </w:r>
          </w:p>
        </w:tc>
      </w:tr>
      <w:tr w:rsidR="00991D09" w:rsidRPr="00732139" w:rsidTr="00991D09">
        <w:trPr>
          <w:gridBefore w:val="1"/>
          <w:wBefore w:w="10" w:type="dxa"/>
        </w:trPr>
        <w:tc>
          <w:tcPr>
            <w:tcW w:w="9067" w:type="dxa"/>
            <w:vAlign w:val="center"/>
            <w:hideMark/>
          </w:tcPr>
          <w:p w:rsidR="00991D09" w:rsidRPr="00732139" w:rsidRDefault="00991D09" w:rsidP="008D4251">
            <w:pPr>
              <w:keepNext/>
              <w:rPr>
                <w:rFonts w:ascii="Arial Narrow" w:hAnsi="Arial Narrow"/>
                <w:color w:val="333333"/>
                <w:sz w:val="20"/>
                <w:szCs w:val="20"/>
              </w:rPr>
            </w:pPr>
            <w:r w:rsidRPr="00732139">
              <w:rPr>
                <w:rFonts w:ascii="Arial Narrow" w:hAnsi="Arial Narrow"/>
                <w:b/>
                <w:sz w:val="20"/>
                <w:szCs w:val="20"/>
              </w:rPr>
              <w:t>Indication:</w:t>
            </w:r>
            <w:r w:rsidRPr="00732139">
              <w:rPr>
                <w:rFonts w:ascii="Arial Narrow" w:hAnsi="Arial Narrow"/>
                <w:color w:val="333333"/>
                <w:sz w:val="20"/>
                <w:szCs w:val="20"/>
              </w:rPr>
              <w:t xml:space="preserve"> </w:t>
            </w:r>
            <w:r w:rsidRPr="00732139">
              <w:rPr>
                <w:rFonts w:ascii="Arial Narrow" w:eastAsia="Calibri" w:hAnsi="Arial Narrow"/>
                <w:sz w:val="20"/>
                <w:szCs w:val="20"/>
              </w:rPr>
              <w:t>Paroxysmal nocturnal haemoglobinuria (PNH)</w:t>
            </w:r>
          </w:p>
        </w:tc>
      </w:tr>
      <w:tr w:rsidR="00991D09" w:rsidRPr="00732139" w:rsidTr="00991D09">
        <w:trPr>
          <w:gridBefore w:val="1"/>
          <w:wBefore w:w="10" w:type="dxa"/>
        </w:trPr>
        <w:tc>
          <w:tcPr>
            <w:tcW w:w="9067" w:type="dxa"/>
            <w:vAlign w:val="center"/>
          </w:tcPr>
          <w:p w:rsidR="00991D09" w:rsidRPr="00732139" w:rsidRDefault="00991D09" w:rsidP="008D4251">
            <w:pPr>
              <w:keepNext/>
              <w:rPr>
                <w:rFonts w:ascii="Arial Narrow" w:hAnsi="Arial Narrow"/>
                <w:b/>
                <w:bCs/>
                <w:color w:val="333333"/>
                <w:sz w:val="20"/>
                <w:szCs w:val="20"/>
              </w:rPr>
            </w:pPr>
            <w:r w:rsidRPr="00732139">
              <w:rPr>
                <w:rFonts w:ascii="Arial Narrow" w:hAnsi="Arial Narrow"/>
                <w:b/>
                <w:sz w:val="20"/>
                <w:szCs w:val="20"/>
              </w:rPr>
              <w:t>Treatment phase:</w:t>
            </w:r>
            <w:r w:rsidRPr="00732139">
              <w:rPr>
                <w:rFonts w:ascii="Arial Narrow" w:hAnsi="Arial Narrow"/>
                <w:color w:val="333333"/>
                <w:sz w:val="20"/>
                <w:szCs w:val="20"/>
              </w:rPr>
              <w:t xml:space="preserve"> Continuing treatment</w:t>
            </w:r>
          </w:p>
        </w:tc>
      </w:tr>
      <w:tr w:rsidR="00991D09" w:rsidRPr="00732139" w:rsidTr="00991D09">
        <w:trPr>
          <w:gridBefore w:val="1"/>
          <w:wBefore w:w="10" w:type="dxa"/>
        </w:trPr>
        <w:tc>
          <w:tcPr>
            <w:tcW w:w="9067" w:type="dxa"/>
            <w:vAlign w:val="center"/>
          </w:tcPr>
          <w:p w:rsidR="00991D09" w:rsidRPr="00732139" w:rsidRDefault="00991D09" w:rsidP="008D4251">
            <w:pPr>
              <w:keepNext/>
              <w:rPr>
                <w:rFonts w:ascii="Arial Narrow" w:hAnsi="Arial Narrow"/>
                <w:b/>
                <w:bCs/>
                <w:color w:val="333333"/>
                <w:sz w:val="20"/>
                <w:szCs w:val="20"/>
              </w:rPr>
            </w:pPr>
            <w:r w:rsidRPr="00732139">
              <w:rPr>
                <w:rFonts w:ascii="Arial Narrow" w:hAnsi="Arial Narrow"/>
                <w:b/>
                <w:sz w:val="20"/>
                <w:szCs w:val="20"/>
              </w:rPr>
              <w:t>Clinical criteria:</w:t>
            </w:r>
          </w:p>
        </w:tc>
      </w:tr>
      <w:tr w:rsidR="00991D09" w:rsidRPr="00732139" w:rsidTr="00991D09">
        <w:trPr>
          <w:gridBefore w:val="1"/>
          <w:wBefore w:w="10" w:type="dxa"/>
        </w:trPr>
        <w:tc>
          <w:tcPr>
            <w:tcW w:w="9067" w:type="dxa"/>
            <w:vAlign w:val="center"/>
          </w:tcPr>
          <w:p w:rsidR="00991D09" w:rsidRPr="00732139" w:rsidRDefault="00991D09" w:rsidP="008D4251">
            <w:pPr>
              <w:keepNext/>
              <w:rPr>
                <w:rFonts w:ascii="Arial Narrow" w:eastAsia="Calibri" w:hAnsi="Arial Narrow"/>
                <w:strike/>
                <w:sz w:val="20"/>
                <w:szCs w:val="20"/>
              </w:rPr>
            </w:pPr>
            <w:r w:rsidRPr="00732139">
              <w:rPr>
                <w:rFonts w:ascii="Arial Narrow" w:eastAsia="Calibri" w:hAnsi="Arial Narrow"/>
                <w:strike/>
                <w:sz w:val="20"/>
                <w:szCs w:val="20"/>
              </w:rPr>
              <w:t xml:space="preserve">Patient must have previously received LSDP-subsidised treatment with this drug for this condition, OR </w:t>
            </w:r>
          </w:p>
          <w:p w:rsidR="00991D09" w:rsidRPr="00732139" w:rsidRDefault="00991D09" w:rsidP="008D4251">
            <w:pPr>
              <w:keepNext/>
              <w:rPr>
                <w:rFonts w:ascii="Arial Narrow" w:eastAsia="Calibri" w:hAnsi="Arial Narrow"/>
                <w:i/>
                <w:sz w:val="20"/>
                <w:szCs w:val="20"/>
              </w:rPr>
            </w:pPr>
            <w:r w:rsidRPr="00732139">
              <w:rPr>
                <w:rFonts w:ascii="Arial Narrow" w:eastAsia="Calibri" w:hAnsi="Arial Narrow"/>
                <w:i/>
                <w:sz w:val="20"/>
                <w:szCs w:val="20"/>
              </w:rPr>
              <w:t>Patient must have previously received PBS-subsidised treatment with this drug for this condition.</w:t>
            </w:r>
          </w:p>
        </w:tc>
      </w:tr>
      <w:tr w:rsidR="00991D09" w:rsidRPr="00732139" w:rsidTr="00991D09">
        <w:trPr>
          <w:gridBefore w:val="1"/>
          <w:wBefore w:w="10" w:type="dxa"/>
        </w:trPr>
        <w:tc>
          <w:tcPr>
            <w:tcW w:w="9067" w:type="dxa"/>
            <w:vAlign w:val="center"/>
          </w:tcPr>
          <w:p w:rsidR="00991D09" w:rsidRPr="00732139" w:rsidRDefault="00991D09" w:rsidP="008D4251">
            <w:pPr>
              <w:keepNext/>
              <w:rPr>
                <w:rFonts w:ascii="Arial Narrow" w:hAnsi="Arial Narrow"/>
                <w:i/>
                <w:sz w:val="20"/>
                <w:szCs w:val="20"/>
              </w:rPr>
            </w:pPr>
            <w:r w:rsidRPr="00732139">
              <w:rPr>
                <w:rFonts w:ascii="Arial Narrow" w:eastAsia="Calibri" w:hAnsi="Arial Narrow"/>
                <w:sz w:val="20"/>
                <w:szCs w:val="20"/>
              </w:rPr>
              <w:t>Grandfathering: Patient must have received non-</w:t>
            </w:r>
            <w:r w:rsidRPr="00732139">
              <w:rPr>
                <w:rFonts w:ascii="Arial Narrow" w:eastAsia="Calibri" w:hAnsi="Arial Narrow"/>
                <w:strike/>
                <w:sz w:val="20"/>
                <w:szCs w:val="20"/>
              </w:rPr>
              <w:t>LSDP</w:t>
            </w:r>
            <w:r w:rsidRPr="00732139">
              <w:rPr>
                <w:rFonts w:ascii="Arial Narrow" w:eastAsia="Calibri" w:hAnsi="Arial Narrow"/>
                <w:sz w:val="20"/>
                <w:szCs w:val="20"/>
              </w:rPr>
              <w:t xml:space="preserve"> </w:t>
            </w:r>
            <w:r w:rsidRPr="00732139">
              <w:rPr>
                <w:rFonts w:ascii="Arial Narrow" w:eastAsia="Calibri" w:hAnsi="Arial Narrow"/>
                <w:i/>
                <w:sz w:val="20"/>
                <w:szCs w:val="20"/>
              </w:rPr>
              <w:t>PBS</w:t>
            </w:r>
            <w:r w:rsidRPr="00732139">
              <w:rPr>
                <w:rFonts w:ascii="Arial Narrow" w:eastAsia="Calibri" w:hAnsi="Arial Narrow"/>
                <w:sz w:val="20"/>
                <w:szCs w:val="20"/>
              </w:rPr>
              <w:t xml:space="preserve"> subsidised treatment with this drug for this condition as part of the clinical trial programme prior to listing date </w:t>
            </w:r>
            <w:r w:rsidRPr="00732139">
              <w:rPr>
                <w:rFonts w:ascii="Arial Narrow" w:eastAsia="Calibri" w:hAnsi="Arial Narrow"/>
                <w:i/>
                <w:sz w:val="20"/>
                <w:szCs w:val="20"/>
              </w:rPr>
              <w:t>(separate grandfather treatment listing to be proposed by Secretariat for such patients; details still to be determined)</w:t>
            </w:r>
          </w:p>
        </w:tc>
      </w:tr>
      <w:tr w:rsidR="00991D09" w:rsidRPr="00732139" w:rsidTr="00991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cantSplit/>
          <w:trHeight w:val="290"/>
        </w:trPr>
        <w:tc>
          <w:tcPr>
            <w:tcW w:w="9077" w:type="dxa"/>
            <w:gridSpan w:val="2"/>
            <w:tcBorders>
              <w:top w:val="single" w:sz="4" w:space="0" w:color="auto"/>
              <w:left w:val="single" w:sz="4" w:space="0" w:color="auto"/>
              <w:bottom w:val="single" w:sz="4" w:space="0" w:color="auto"/>
              <w:right w:val="single" w:sz="4" w:space="0" w:color="auto"/>
            </w:tcBorders>
          </w:tcPr>
          <w:p w:rsidR="00991D09" w:rsidRPr="00732139" w:rsidRDefault="00991D09" w:rsidP="008D4251">
            <w:pPr>
              <w:keepNext/>
              <w:rPr>
                <w:rFonts w:ascii="Arial Narrow" w:hAnsi="Arial Narrow"/>
                <w:b/>
                <w:i/>
                <w:sz w:val="20"/>
                <w:szCs w:val="20"/>
              </w:rPr>
            </w:pPr>
            <w:r w:rsidRPr="00732139">
              <w:rPr>
                <w:rFonts w:ascii="Arial Narrow" w:hAnsi="Arial Narrow"/>
                <w:b/>
                <w:i/>
                <w:sz w:val="20"/>
                <w:szCs w:val="20"/>
              </w:rPr>
              <w:t>AND</w:t>
            </w:r>
          </w:p>
        </w:tc>
      </w:tr>
      <w:tr w:rsidR="00991D09" w:rsidRPr="00732139" w:rsidTr="00991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cantSplit/>
          <w:trHeight w:val="290"/>
        </w:trPr>
        <w:tc>
          <w:tcPr>
            <w:tcW w:w="9077" w:type="dxa"/>
            <w:gridSpan w:val="2"/>
            <w:tcBorders>
              <w:top w:val="single" w:sz="4" w:space="0" w:color="auto"/>
              <w:left w:val="single" w:sz="4" w:space="0" w:color="auto"/>
              <w:bottom w:val="single" w:sz="4" w:space="0" w:color="auto"/>
              <w:right w:val="single" w:sz="4" w:space="0" w:color="auto"/>
            </w:tcBorders>
          </w:tcPr>
          <w:p w:rsidR="00991D09" w:rsidRPr="00732139" w:rsidRDefault="00991D09" w:rsidP="008D4251">
            <w:pPr>
              <w:keepNext/>
              <w:rPr>
                <w:rFonts w:ascii="Arial Narrow" w:hAnsi="Arial Narrow"/>
                <w:i/>
                <w:sz w:val="20"/>
                <w:szCs w:val="20"/>
              </w:rPr>
            </w:pPr>
            <w:r w:rsidRPr="00732139">
              <w:rPr>
                <w:rFonts w:ascii="Arial Narrow" w:hAnsi="Arial Narrow"/>
                <w:b/>
                <w:sz w:val="20"/>
                <w:szCs w:val="20"/>
              </w:rPr>
              <w:t>Clinical criteria:</w:t>
            </w:r>
          </w:p>
        </w:tc>
      </w:tr>
      <w:tr w:rsidR="00991D09" w:rsidRPr="00732139" w:rsidTr="00991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cantSplit/>
          <w:trHeight w:val="290"/>
        </w:trPr>
        <w:tc>
          <w:tcPr>
            <w:tcW w:w="9077" w:type="dxa"/>
            <w:gridSpan w:val="2"/>
            <w:tcBorders>
              <w:top w:val="single" w:sz="4" w:space="0" w:color="auto"/>
              <w:left w:val="single" w:sz="4" w:space="0" w:color="auto"/>
              <w:bottom w:val="single" w:sz="4" w:space="0" w:color="auto"/>
              <w:right w:val="single" w:sz="4" w:space="0" w:color="auto"/>
            </w:tcBorders>
          </w:tcPr>
          <w:p w:rsidR="00991D09" w:rsidRPr="00732139" w:rsidRDefault="00991D09" w:rsidP="008D4251">
            <w:pPr>
              <w:rPr>
                <w:rFonts w:ascii="Arial Narrow" w:hAnsi="Arial Narrow"/>
                <w:sz w:val="20"/>
                <w:szCs w:val="20"/>
              </w:rPr>
            </w:pPr>
            <w:r w:rsidRPr="00732139">
              <w:rPr>
                <w:rFonts w:ascii="Arial Narrow" w:hAnsi="Arial Narrow"/>
                <w:sz w:val="20"/>
                <w:szCs w:val="20"/>
              </w:rPr>
              <w:t>Patient must not be currently participating in a clinical trial</w:t>
            </w:r>
          </w:p>
        </w:tc>
      </w:tr>
      <w:tr w:rsidR="00991D09" w:rsidRPr="00732139" w:rsidTr="00991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cantSplit/>
          <w:trHeight w:val="290"/>
        </w:trPr>
        <w:tc>
          <w:tcPr>
            <w:tcW w:w="9077" w:type="dxa"/>
            <w:gridSpan w:val="2"/>
            <w:tcBorders>
              <w:top w:val="single" w:sz="4" w:space="0" w:color="auto"/>
              <w:left w:val="single" w:sz="4" w:space="0" w:color="auto"/>
              <w:bottom w:val="single" w:sz="4" w:space="0" w:color="auto"/>
              <w:right w:val="single" w:sz="4" w:space="0" w:color="auto"/>
            </w:tcBorders>
          </w:tcPr>
          <w:p w:rsidR="00991D09" w:rsidRPr="00732139" w:rsidRDefault="00991D09" w:rsidP="008D4251">
            <w:pPr>
              <w:rPr>
                <w:rFonts w:ascii="Arial Narrow" w:hAnsi="Arial Narrow"/>
                <w:sz w:val="20"/>
                <w:szCs w:val="20"/>
              </w:rPr>
            </w:pPr>
            <w:r w:rsidRPr="00732139">
              <w:rPr>
                <w:rFonts w:ascii="Arial Narrow" w:hAnsi="Arial Narrow"/>
                <w:b/>
                <w:i/>
                <w:sz w:val="20"/>
                <w:szCs w:val="20"/>
              </w:rPr>
              <w:t>AND</w:t>
            </w:r>
          </w:p>
        </w:tc>
      </w:tr>
      <w:tr w:rsidR="00991D09" w:rsidRPr="00732139" w:rsidTr="00991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cantSplit/>
          <w:trHeight w:val="290"/>
        </w:trPr>
        <w:tc>
          <w:tcPr>
            <w:tcW w:w="9077" w:type="dxa"/>
            <w:gridSpan w:val="2"/>
            <w:tcBorders>
              <w:top w:val="single" w:sz="4" w:space="0" w:color="auto"/>
              <w:left w:val="single" w:sz="4" w:space="0" w:color="auto"/>
              <w:bottom w:val="single" w:sz="4" w:space="0" w:color="auto"/>
              <w:right w:val="single" w:sz="4" w:space="0" w:color="auto"/>
            </w:tcBorders>
          </w:tcPr>
          <w:p w:rsidR="00991D09" w:rsidRPr="00732139" w:rsidRDefault="00991D09" w:rsidP="008D4251">
            <w:pPr>
              <w:rPr>
                <w:rFonts w:ascii="Arial Narrow" w:hAnsi="Arial Narrow"/>
                <w:b/>
                <w:i/>
                <w:sz w:val="20"/>
                <w:szCs w:val="20"/>
              </w:rPr>
            </w:pPr>
            <w:r w:rsidRPr="00732139">
              <w:rPr>
                <w:rFonts w:ascii="Arial Narrow" w:hAnsi="Arial Narrow"/>
                <w:b/>
                <w:sz w:val="20"/>
                <w:szCs w:val="20"/>
              </w:rPr>
              <w:t>Clinical criteria:</w:t>
            </w:r>
          </w:p>
        </w:tc>
      </w:tr>
      <w:tr w:rsidR="00991D09" w:rsidRPr="00732139" w:rsidTr="00991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cantSplit/>
          <w:trHeight w:val="1783"/>
        </w:trPr>
        <w:tc>
          <w:tcPr>
            <w:tcW w:w="9077" w:type="dxa"/>
            <w:gridSpan w:val="2"/>
            <w:tcBorders>
              <w:top w:val="single" w:sz="4" w:space="0" w:color="auto"/>
              <w:left w:val="single" w:sz="4" w:space="0" w:color="auto"/>
              <w:bottom w:val="single" w:sz="4" w:space="0" w:color="auto"/>
              <w:right w:val="single" w:sz="4" w:space="0" w:color="auto"/>
            </w:tcBorders>
          </w:tcPr>
          <w:p w:rsidR="00991D09" w:rsidRPr="00732139" w:rsidRDefault="00991D09" w:rsidP="008D4251">
            <w:pPr>
              <w:rPr>
                <w:rFonts w:ascii="Arial Narrow" w:eastAsia="Calibri" w:hAnsi="Arial Narrow"/>
                <w:sz w:val="20"/>
                <w:szCs w:val="20"/>
              </w:rPr>
            </w:pPr>
            <w:r w:rsidRPr="00732139">
              <w:rPr>
                <w:rFonts w:ascii="Arial Narrow" w:eastAsia="Calibri" w:hAnsi="Arial Narrow"/>
                <w:sz w:val="20"/>
                <w:szCs w:val="20"/>
              </w:rPr>
              <w:t xml:space="preserve">Patient must demonstrate clinical improvement or stabilisation of the condition based on clinical data on the following monitoring requirements provided every 12 months </w:t>
            </w:r>
            <w:r w:rsidRPr="00732139">
              <w:rPr>
                <w:rFonts w:ascii="Arial Narrow" w:eastAsia="Calibri" w:hAnsi="Arial Narrow"/>
                <w:i/>
                <w:sz w:val="20"/>
                <w:szCs w:val="20"/>
              </w:rPr>
              <w:t>(further refinement by the Secretariat would be required with respect to how many need to be met, what values/outcomes must be met, what evidence is acceptable, etc.):</w:t>
            </w:r>
          </w:p>
          <w:p w:rsidR="00991D09" w:rsidRPr="00732139" w:rsidRDefault="00991D09" w:rsidP="008D4251">
            <w:pPr>
              <w:rPr>
                <w:rFonts w:ascii="Arial Narrow" w:hAnsi="Arial Narrow"/>
                <w:sz w:val="20"/>
                <w:szCs w:val="20"/>
              </w:rPr>
            </w:pPr>
            <w:r w:rsidRPr="00732139">
              <w:rPr>
                <w:rFonts w:ascii="Arial Narrow" w:eastAsia="Calibri" w:hAnsi="Arial Narrow"/>
                <w:sz w:val="20"/>
                <w:szCs w:val="20"/>
              </w:rPr>
              <w:t>haemoglobin (Hb); platelets; white cell count; reticulocytes; neutrophils; granulocyte clone size; lactate dehydrogenase (LDH); urea and electrolytes; eGFR; iron studies; thrombosis; transfusions; anaemia; pulmonary insufficiency; renal insufficiency; smooth muscle spasm, transfusion history; quality of life (narrative including fatigue); PNH related medications; anecdotal information from treating physician; other conditions/diagnosis; vaccination date.</w:t>
            </w:r>
          </w:p>
        </w:tc>
      </w:tr>
      <w:tr w:rsidR="00991D09" w:rsidRPr="00732139" w:rsidTr="00991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cantSplit/>
          <w:trHeight w:val="503"/>
        </w:trPr>
        <w:tc>
          <w:tcPr>
            <w:tcW w:w="9077" w:type="dxa"/>
            <w:gridSpan w:val="2"/>
            <w:tcBorders>
              <w:top w:val="single" w:sz="4" w:space="0" w:color="auto"/>
              <w:left w:val="single" w:sz="4" w:space="0" w:color="auto"/>
              <w:bottom w:val="single" w:sz="4" w:space="0" w:color="auto"/>
              <w:right w:val="single" w:sz="4" w:space="0" w:color="auto"/>
            </w:tcBorders>
          </w:tcPr>
          <w:p w:rsidR="00991D09" w:rsidRPr="00732139" w:rsidRDefault="00991D09" w:rsidP="008D4251">
            <w:pPr>
              <w:rPr>
                <w:rFonts w:ascii="Arial Narrow" w:eastAsia="Calibri" w:hAnsi="Arial Narrow"/>
                <w:b/>
                <w:i/>
                <w:strike/>
                <w:sz w:val="20"/>
                <w:szCs w:val="20"/>
              </w:rPr>
            </w:pPr>
            <w:r w:rsidRPr="00732139">
              <w:rPr>
                <w:rFonts w:ascii="Arial Narrow" w:hAnsi="Arial Narrow"/>
                <w:b/>
                <w:i/>
                <w:sz w:val="20"/>
                <w:szCs w:val="20"/>
              </w:rPr>
              <w:t>Clinical criteria:</w:t>
            </w:r>
          </w:p>
        </w:tc>
      </w:tr>
      <w:tr w:rsidR="00991D09" w:rsidRPr="00732139" w:rsidTr="00991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cantSplit/>
          <w:trHeight w:val="503"/>
        </w:trPr>
        <w:tc>
          <w:tcPr>
            <w:tcW w:w="9077" w:type="dxa"/>
            <w:gridSpan w:val="2"/>
            <w:tcBorders>
              <w:top w:val="single" w:sz="4" w:space="0" w:color="auto"/>
              <w:left w:val="single" w:sz="4" w:space="0" w:color="auto"/>
              <w:bottom w:val="single" w:sz="4" w:space="0" w:color="auto"/>
              <w:right w:val="single" w:sz="4" w:space="0" w:color="auto"/>
            </w:tcBorders>
          </w:tcPr>
          <w:p w:rsidR="00991D09" w:rsidRPr="00732139" w:rsidRDefault="00991D09" w:rsidP="008D4251">
            <w:pPr>
              <w:rPr>
                <w:rFonts w:ascii="Arial Narrow" w:eastAsia="Calibri" w:hAnsi="Arial Narrow"/>
                <w:b/>
                <w:i/>
                <w:strike/>
                <w:sz w:val="20"/>
                <w:szCs w:val="20"/>
              </w:rPr>
            </w:pPr>
            <w:r w:rsidRPr="00732139">
              <w:rPr>
                <w:rFonts w:ascii="Arial Narrow" w:hAnsi="Arial Narrow"/>
                <w:i/>
                <w:sz w:val="20"/>
                <w:szCs w:val="20"/>
              </w:rPr>
              <w:t>Patient must be up to date with meningococcal vaccination in accordance with the current version of the Australian Immunisation Handbook.</w:t>
            </w:r>
          </w:p>
        </w:tc>
      </w:tr>
      <w:tr w:rsidR="00991D09" w:rsidRPr="00732139" w:rsidTr="00991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cantSplit/>
          <w:trHeight w:val="503"/>
        </w:trPr>
        <w:tc>
          <w:tcPr>
            <w:tcW w:w="9077" w:type="dxa"/>
            <w:gridSpan w:val="2"/>
            <w:tcBorders>
              <w:top w:val="single" w:sz="4" w:space="0" w:color="auto"/>
              <w:left w:val="single" w:sz="4" w:space="0" w:color="auto"/>
              <w:bottom w:val="single" w:sz="4" w:space="0" w:color="auto"/>
              <w:right w:val="single" w:sz="4" w:space="0" w:color="auto"/>
            </w:tcBorders>
          </w:tcPr>
          <w:p w:rsidR="00991D09" w:rsidRPr="00732139" w:rsidRDefault="00991D09" w:rsidP="008D4251">
            <w:pPr>
              <w:rPr>
                <w:rFonts w:ascii="Arial Narrow" w:eastAsia="Calibri" w:hAnsi="Arial Narrow"/>
                <w:sz w:val="20"/>
                <w:szCs w:val="20"/>
              </w:rPr>
            </w:pPr>
            <w:r w:rsidRPr="00732139">
              <w:rPr>
                <w:rFonts w:ascii="Arial Narrow" w:eastAsia="Calibri" w:hAnsi="Arial Narrow"/>
                <w:b/>
                <w:strike/>
                <w:sz w:val="20"/>
                <w:szCs w:val="20"/>
              </w:rPr>
              <w:t xml:space="preserve">Prescribing instructions: </w:t>
            </w:r>
            <w:r w:rsidRPr="00732139">
              <w:rPr>
                <w:rFonts w:ascii="Arial Narrow" w:eastAsia="Calibri" w:hAnsi="Arial Narrow"/>
                <w:strike/>
                <w:sz w:val="20"/>
                <w:szCs w:val="20"/>
              </w:rPr>
              <w:t>Patient eligibility for ongoing treatment is to be reviewed every 12 months. The treating physician must submit an application for continued subsidised treatment through the LSDP*.</w:t>
            </w:r>
          </w:p>
        </w:tc>
      </w:tr>
      <w:tr w:rsidR="00991D09" w:rsidRPr="00732139" w:rsidTr="00991D09">
        <w:trPr>
          <w:gridBefore w:val="1"/>
          <w:wBefore w:w="10" w:type="dxa"/>
        </w:trPr>
        <w:tc>
          <w:tcPr>
            <w:tcW w:w="9067" w:type="dxa"/>
            <w:tcBorders>
              <w:top w:val="single" w:sz="4" w:space="0" w:color="auto"/>
              <w:left w:val="single" w:sz="4" w:space="0" w:color="auto"/>
              <w:bottom w:val="single" w:sz="4" w:space="0" w:color="auto"/>
              <w:right w:val="single" w:sz="4" w:space="0" w:color="auto"/>
            </w:tcBorders>
          </w:tcPr>
          <w:p w:rsidR="00991D09" w:rsidRPr="00732139" w:rsidRDefault="00991D09" w:rsidP="008D4251">
            <w:pPr>
              <w:rPr>
                <w:rFonts w:ascii="Arial Narrow" w:hAnsi="Arial Narrow"/>
                <w:b/>
                <w:strike/>
                <w:sz w:val="20"/>
                <w:szCs w:val="20"/>
              </w:rPr>
            </w:pPr>
            <w:r w:rsidRPr="00732139">
              <w:rPr>
                <w:rFonts w:ascii="Arial Narrow" w:hAnsi="Arial Narrow"/>
                <w:b/>
                <w:strike/>
                <w:sz w:val="20"/>
                <w:szCs w:val="20"/>
              </w:rPr>
              <w:t>Population criteria:</w:t>
            </w:r>
          </w:p>
        </w:tc>
      </w:tr>
      <w:tr w:rsidR="00991D09" w:rsidRPr="00732139" w:rsidTr="00991D09">
        <w:trPr>
          <w:gridBefore w:val="1"/>
          <w:wBefore w:w="10" w:type="dxa"/>
        </w:trPr>
        <w:tc>
          <w:tcPr>
            <w:tcW w:w="9067" w:type="dxa"/>
            <w:tcBorders>
              <w:top w:val="single" w:sz="4" w:space="0" w:color="auto"/>
              <w:left w:val="single" w:sz="4" w:space="0" w:color="auto"/>
              <w:bottom w:val="single" w:sz="4" w:space="0" w:color="auto"/>
              <w:right w:val="single" w:sz="4" w:space="0" w:color="auto"/>
            </w:tcBorders>
          </w:tcPr>
          <w:p w:rsidR="00991D09" w:rsidRPr="00732139" w:rsidRDefault="00991D09" w:rsidP="008D4251">
            <w:pPr>
              <w:rPr>
                <w:rFonts w:ascii="Arial Narrow" w:hAnsi="Arial Narrow"/>
                <w:strike/>
                <w:sz w:val="20"/>
                <w:szCs w:val="20"/>
              </w:rPr>
            </w:pPr>
            <w:r w:rsidRPr="00732139">
              <w:rPr>
                <w:rFonts w:ascii="Arial Narrow" w:hAnsi="Arial Narrow"/>
                <w:strike/>
                <w:sz w:val="20"/>
                <w:szCs w:val="20"/>
              </w:rPr>
              <w:t>Patients must be aged 18 years or older</w:t>
            </w:r>
          </w:p>
        </w:tc>
      </w:tr>
      <w:tr w:rsidR="00991D09" w:rsidRPr="00732139" w:rsidTr="00991D09">
        <w:trPr>
          <w:gridBefore w:val="1"/>
          <w:wBefore w:w="10" w:type="dxa"/>
        </w:trPr>
        <w:tc>
          <w:tcPr>
            <w:tcW w:w="9067" w:type="dxa"/>
          </w:tcPr>
          <w:p w:rsidR="00991D09" w:rsidRPr="00732139" w:rsidRDefault="00991D09" w:rsidP="008D4251">
            <w:pPr>
              <w:rPr>
                <w:rFonts w:ascii="Arial Narrow" w:hAnsi="Arial Narrow"/>
                <w:i/>
                <w:sz w:val="20"/>
                <w:szCs w:val="20"/>
                <w:u w:val="single"/>
              </w:rPr>
            </w:pPr>
            <w:r w:rsidRPr="00732139">
              <w:rPr>
                <w:rFonts w:ascii="Arial Narrow" w:hAnsi="Arial Narrow"/>
                <w:b/>
                <w:i/>
                <w:sz w:val="20"/>
                <w:szCs w:val="20"/>
              </w:rPr>
              <w:t xml:space="preserve">Prescribing instructions: </w:t>
            </w:r>
            <w:r w:rsidRPr="00732139">
              <w:rPr>
                <w:rFonts w:ascii="Arial Narrow" w:hAnsi="Arial Narrow"/>
                <w:i/>
                <w:sz w:val="20"/>
                <w:szCs w:val="20"/>
              </w:rPr>
              <w:t>At the time of the authority application, medical practitioners should request the appropriate number of vials, to provide for a single infusion to cover the loading dose and maintenance doses based on the patient’s weight and as per the Product Information. Refer to the Product information for patient weight ranges for the 100mg/mL doses (consisting of 300 mg in 3 mL and 1100 mg in 11 mL vials).</w:t>
            </w:r>
          </w:p>
        </w:tc>
      </w:tr>
      <w:tr w:rsidR="00991D09" w:rsidRPr="00732139" w:rsidTr="00991D09">
        <w:trPr>
          <w:gridBefore w:val="1"/>
          <w:wBefore w:w="10" w:type="dxa"/>
          <w:trHeight w:val="240"/>
        </w:trPr>
        <w:tc>
          <w:tcPr>
            <w:tcW w:w="9067" w:type="dxa"/>
            <w:tcBorders>
              <w:top w:val="single" w:sz="4" w:space="0" w:color="auto"/>
              <w:left w:val="single" w:sz="4" w:space="0" w:color="auto"/>
              <w:bottom w:val="single" w:sz="4" w:space="0" w:color="auto"/>
              <w:right w:val="single" w:sz="4" w:space="0" w:color="auto"/>
            </w:tcBorders>
            <w:vAlign w:val="center"/>
          </w:tcPr>
          <w:p w:rsidR="00991D09" w:rsidRPr="00732139" w:rsidRDefault="00991D09" w:rsidP="008D4251">
            <w:pPr>
              <w:rPr>
                <w:rFonts w:ascii="Arial Narrow" w:hAnsi="Arial Narrow"/>
                <w:b/>
                <w:i/>
                <w:sz w:val="20"/>
                <w:szCs w:val="20"/>
              </w:rPr>
            </w:pPr>
            <w:r w:rsidRPr="00732139">
              <w:rPr>
                <w:rFonts w:ascii="Arial Narrow" w:hAnsi="Arial Narrow"/>
                <w:b/>
                <w:i/>
                <w:sz w:val="20"/>
                <w:szCs w:val="20"/>
              </w:rPr>
              <w:t>Administrative advice:</w:t>
            </w:r>
          </w:p>
          <w:p w:rsidR="00991D09" w:rsidRPr="00732139" w:rsidRDefault="00991D09" w:rsidP="008D4251">
            <w:pPr>
              <w:rPr>
                <w:rFonts w:ascii="Arial Narrow" w:hAnsi="Arial Narrow"/>
                <w:i/>
                <w:sz w:val="20"/>
                <w:szCs w:val="20"/>
              </w:rPr>
            </w:pPr>
            <w:r w:rsidRPr="00732139">
              <w:rPr>
                <w:rFonts w:ascii="Arial Narrow" w:hAnsi="Arial Narrow"/>
                <w:i/>
                <w:sz w:val="20"/>
                <w:szCs w:val="20"/>
              </w:rPr>
              <w:lastRenderedPageBreak/>
              <w:t>Any queries concerning the arrangements to prescribe may be directed to Services Australia on 1800 700 270 (hours of operation 8 a.m. to 5 p.m. EST Monday to Friday).</w:t>
            </w:r>
          </w:p>
          <w:p w:rsidR="00991D09" w:rsidRPr="00732139" w:rsidRDefault="00991D09" w:rsidP="008D4251">
            <w:pPr>
              <w:rPr>
                <w:rFonts w:ascii="Arial Narrow" w:hAnsi="Arial Narrow"/>
                <w:i/>
                <w:sz w:val="20"/>
                <w:szCs w:val="20"/>
              </w:rPr>
            </w:pPr>
            <w:r w:rsidRPr="00732139">
              <w:rPr>
                <w:rFonts w:ascii="Arial Narrow" w:hAnsi="Arial Narrow"/>
                <w:i/>
                <w:sz w:val="20"/>
                <w:szCs w:val="20"/>
              </w:rPr>
              <w:t>Prescribing information (including Authority Application forms and other relevant documentation as applicable) is available on the Services Australia website at www.servicesaustralia.gov.au</w:t>
            </w:r>
          </w:p>
          <w:p w:rsidR="00991D09" w:rsidRPr="00732139" w:rsidRDefault="00991D09" w:rsidP="008D4251">
            <w:pPr>
              <w:rPr>
                <w:rFonts w:ascii="Arial Narrow" w:hAnsi="Arial Narrow"/>
                <w:i/>
                <w:sz w:val="20"/>
                <w:szCs w:val="20"/>
              </w:rPr>
            </w:pPr>
            <w:r w:rsidRPr="00732139">
              <w:rPr>
                <w:rFonts w:ascii="Arial Narrow" w:hAnsi="Arial Narrow"/>
                <w:i/>
                <w:sz w:val="20"/>
                <w:szCs w:val="20"/>
              </w:rPr>
              <w:t>Applications for authority to prescribe should be submitted online using the form upload facility in Health Professional Online Services (HPOS) at www.servicesaustralia.gov.au/hpos</w:t>
            </w:r>
          </w:p>
          <w:p w:rsidR="00991D09" w:rsidRPr="00732139" w:rsidRDefault="00991D09" w:rsidP="008D4251">
            <w:pPr>
              <w:rPr>
                <w:rFonts w:ascii="Arial Narrow" w:hAnsi="Arial Narrow"/>
                <w:i/>
                <w:sz w:val="20"/>
                <w:szCs w:val="20"/>
              </w:rPr>
            </w:pPr>
            <w:r w:rsidRPr="00732139">
              <w:rPr>
                <w:rFonts w:ascii="Arial Narrow" w:hAnsi="Arial Narrow"/>
                <w:i/>
                <w:sz w:val="20"/>
                <w:szCs w:val="20"/>
              </w:rPr>
              <w:t>Or mailed to:</w:t>
            </w:r>
          </w:p>
          <w:p w:rsidR="00991D09" w:rsidRPr="00732139" w:rsidRDefault="00991D09" w:rsidP="008D4251">
            <w:pPr>
              <w:rPr>
                <w:rFonts w:ascii="Arial Narrow" w:hAnsi="Arial Narrow"/>
                <w:i/>
                <w:sz w:val="20"/>
                <w:szCs w:val="20"/>
              </w:rPr>
            </w:pPr>
            <w:r w:rsidRPr="00732139">
              <w:rPr>
                <w:rFonts w:ascii="Arial Narrow" w:hAnsi="Arial Narrow"/>
                <w:i/>
                <w:sz w:val="20"/>
                <w:szCs w:val="20"/>
              </w:rPr>
              <w:t>Services Australia</w:t>
            </w:r>
          </w:p>
          <w:p w:rsidR="00991D09" w:rsidRPr="00732139" w:rsidRDefault="00991D09" w:rsidP="008D4251">
            <w:pPr>
              <w:rPr>
                <w:rFonts w:ascii="Arial Narrow" w:hAnsi="Arial Narrow"/>
                <w:i/>
                <w:sz w:val="20"/>
                <w:szCs w:val="20"/>
              </w:rPr>
            </w:pPr>
            <w:r w:rsidRPr="00732139">
              <w:rPr>
                <w:rFonts w:ascii="Arial Narrow" w:hAnsi="Arial Narrow"/>
                <w:i/>
                <w:sz w:val="20"/>
                <w:szCs w:val="20"/>
              </w:rPr>
              <w:t>Complex Drugs</w:t>
            </w:r>
          </w:p>
          <w:p w:rsidR="00991D09" w:rsidRPr="00732139" w:rsidRDefault="00991D09" w:rsidP="008D4251">
            <w:pPr>
              <w:rPr>
                <w:rFonts w:ascii="Arial Narrow" w:hAnsi="Arial Narrow"/>
                <w:i/>
                <w:sz w:val="20"/>
                <w:szCs w:val="20"/>
              </w:rPr>
            </w:pPr>
            <w:r w:rsidRPr="00732139">
              <w:rPr>
                <w:rFonts w:ascii="Arial Narrow" w:hAnsi="Arial Narrow"/>
                <w:i/>
                <w:sz w:val="20"/>
                <w:szCs w:val="20"/>
              </w:rPr>
              <w:t>Reply Paid 9826</w:t>
            </w:r>
          </w:p>
          <w:p w:rsidR="00991D09" w:rsidRPr="00732139" w:rsidRDefault="00991D09" w:rsidP="008D4251">
            <w:pPr>
              <w:rPr>
                <w:rFonts w:ascii="Arial Narrow" w:hAnsi="Arial Narrow"/>
                <w:b/>
                <w:i/>
                <w:sz w:val="20"/>
                <w:szCs w:val="20"/>
              </w:rPr>
            </w:pPr>
            <w:r w:rsidRPr="00732139">
              <w:rPr>
                <w:rFonts w:ascii="Arial Narrow" w:hAnsi="Arial Narrow"/>
                <w:i/>
                <w:sz w:val="20"/>
                <w:szCs w:val="20"/>
              </w:rPr>
              <w:t>HOBART TAS 7001</w:t>
            </w:r>
          </w:p>
        </w:tc>
      </w:tr>
      <w:tr w:rsidR="00991D09" w:rsidRPr="00732139" w:rsidTr="00991D09">
        <w:trPr>
          <w:gridBefore w:val="1"/>
          <w:wBefore w:w="10" w:type="dxa"/>
          <w:trHeight w:val="240"/>
        </w:trPr>
        <w:tc>
          <w:tcPr>
            <w:tcW w:w="9067" w:type="dxa"/>
            <w:tcBorders>
              <w:top w:val="single" w:sz="4" w:space="0" w:color="auto"/>
              <w:left w:val="single" w:sz="4" w:space="0" w:color="auto"/>
              <w:bottom w:val="single" w:sz="4" w:space="0" w:color="auto"/>
              <w:right w:val="single" w:sz="4" w:space="0" w:color="auto"/>
            </w:tcBorders>
          </w:tcPr>
          <w:p w:rsidR="00991D09" w:rsidRPr="00732139" w:rsidRDefault="00991D09" w:rsidP="008D4251">
            <w:pPr>
              <w:rPr>
                <w:rFonts w:ascii="Arial Narrow" w:hAnsi="Arial Narrow"/>
                <w:i/>
                <w:sz w:val="20"/>
                <w:szCs w:val="20"/>
              </w:rPr>
            </w:pPr>
            <w:r w:rsidRPr="00732139">
              <w:rPr>
                <w:rFonts w:ascii="Arial Narrow" w:hAnsi="Arial Narrow"/>
                <w:b/>
                <w:i/>
                <w:sz w:val="20"/>
                <w:szCs w:val="20"/>
              </w:rPr>
              <w:lastRenderedPageBreak/>
              <w:t>Administrative advice:</w:t>
            </w:r>
            <w:r w:rsidRPr="00732139">
              <w:rPr>
                <w:rFonts w:ascii="Arial Narrow" w:hAnsi="Arial Narrow"/>
                <w:i/>
                <w:sz w:val="20"/>
                <w:szCs w:val="20"/>
              </w:rPr>
              <w:t xml:space="preserve"> No increase in the maximum number of repeats may be authorised.</w:t>
            </w:r>
          </w:p>
        </w:tc>
      </w:tr>
      <w:tr w:rsidR="00991D09" w:rsidRPr="00732139" w:rsidTr="00991D09">
        <w:trPr>
          <w:gridBefore w:val="1"/>
          <w:wBefore w:w="10" w:type="dxa"/>
        </w:trPr>
        <w:tc>
          <w:tcPr>
            <w:tcW w:w="9067" w:type="dxa"/>
            <w:vAlign w:val="center"/>
            <w:hideMark/>
          </w:tcPr>
          <w:p w:rsidR="00991D09" w:rsidRPr="00732139" w:rsidRDefault="00991D09" w:rsidP="008D4251">
            <w:pPr>
              <w:rPr>
                <w:rFonts w:ascii="Arial Narrow" w:hAnsi="Arial Narrow"/>
                <w:i/>
                <w:sz w:val="20"/>
                <w:szCs w:val="20"/>
              </w:rPr>
            </w:pPr>
            <w:r w:rsidRPr="00732139">
              <w:rPr>
                <w:rFonts w:ascii="Arial Narrow" w:hAnsi="Arial Narrow"/>
                <w:b/>
                <w:i/>
                <w:sz w:val="20"/>
                <w:szCs w:val="20"/>
              </w:rPr>
              <w:t>Caution:</w:t>
            </w:r>
          </w:p>
          <w:p w:rsidR="00991D09" w:rsidRPr="00732139" w:rsidRDefault="00991D09" w:rsidP="008D4251">
            <w:pPr>
              <w:rPr>
                <w:rFonts w:ascii="Arial Narrow" w:hAnsi="Arial Narrow"/>
                <w:i/>
                <w:sz w:val="20"/>
                <w:szCs w:val="20"/>
              </w:rPr>
            </w:pPr>
            <w:r w:rsidRPr="00732139">
              <w:rPr>
                <w:rFonts w:ascii="Arial Narrow" w:hAnsi="Arial Narrow"/>
                <w:i/>
                <w:sz w:val="20"/>
                <w:szCs w:val="20"/>
              </w:rPr>
              <w:t xml:space="preserve">WARNING: This drug increases the risk of meningococcal infections (sepsis and/or meningitis). </w:t>
            </w:r>
          </w:p>
          <w:p w:rsidR="00991D09" w:rsidRPr="00732139" w:rsidRDefault="00991D09" w:rsidP="008D4251">
            <w:pPr>
              <w:rPr>
                <w:rFonts w:ascii="Arial Narrow" w:hAnsi="Arial Narrow"/>
                <w:i/>
                <w:sz w:val="20"/>
                <w:szCs w:val="20"/>
              </w:rPr>
            </w:pPr>
            <w:r w:rsidRPr="00732139">
              <w:rPr>
                <w:rFonts w:ascii="Arial Narrow" w:hAnsi="Arial Narrow"/>
                <w:i/>
                <w:sz w:val="20"/>
                <w:szCs w:val="20"/>
              </w:rPr>
              <w:t>Consult the approved PI for information about vaccination against meningococcal infection</w:t>
            </w:r>
            <w:r w:rsidR="00732139">
              <w:rPr>
                <w:rFonts w:ascii="Arial Narrow" w:hAnsi="Arial Narrow"/>
                <w:i/>
                <w:sz w:val="20"/>
                <w:szCs w:val="20"/>
              </w:rPr>
              <w:t xml:space="preserve">. </w:t>
            </w:r>
          </w:p>
        </w:tc>
      </w:tr>
    </w:tbl>
    <w:p w:rsidR="00E8062B" w:rsidRPr="00732139" w:rsidRDefault="00E8062B" w:rsidP="00E8062B">
      <w:pPr>
        <w:pStyle w:val="ExecSumBodyText"/>
        <w:numPr>
          <w:ilvl w:val="0"/>
          <w:numId w:val="0"/>
        </w:numPr>
        <w:ind w:left="720" w:hanging="720"/>
      </w:pPr>
    </w:p>
    <w:p w:rsidR="00F67A69" w:rsidRPr="00732139" w:rsidRDefault="008A427C" w:rsidP="00E51ECF">
      <w:pPr>
        <w:pStyle w:val="ExecSumBodyText"/>
      </w:pPr>
      <w:r w:rsidRPr="00732139">
        <w:t>The resubmission stated that a special pricing arrangement with published list and confidential effective prices</w:t>
      </w:r>
      <w:r w:rsidR="009A130E" w:rsidRPr="00732139">
        <w:t xml:space="preserve"> (</w:t>
      </w:r>
      <w:r w:rsidR="008661E6">
        <w:rPr>
          <w:noProof/>
          <w:color w:val="000000"/>
          <w:highlight w:val="black"/>
        </w:rPr>
        <w:t>''''''''''</w:t>
      </w:r>
      <w:r w:rsidR="009A130E" w:rsidRPr="00732139">
        <w:t xml:space="preserve">% </w:t>
      </w:r>
      <w:r w:rsidR="00AF3FAB" w:rsidRPr="00732139">
        <w:t xml:space="preserve">provided as a </w:t>
      </w:r>
      <w:r w:rsidR="009A130E" w:rsidRPr="00732139">
        <w:t>rebate)</w:t>
      </w:r>
      <w:r w:rsidRPr="00732139">
        <w:t xml:space="preserve"> will be requested should eculizumab and ravulizumab be listed on the PBS </w:t>
      </w:r>
      <w:r w:rsidR="008661E6">
        <w:rPr>
          <w:noProof/>
          <w:color w:val="000000"/>
          <w:highlight w:val="black"/>
        </w:rPr>
        <w:t>''''''' '''' '''''''''''''''''''''''''' ''''''''''' '''''''''''''''''''' '''''''''''''''''</w:t>
      </w:r>
      <w:r w:rsidRPr="001C596E">
        <w:t>.</w:t>
      </w:r>
      <w:r w:rsidRPr="00732139">
        <w:t xml:space="preserve"> The effective price of ravulizumab was based on </w:t>
      </w:r>
      <w:r w:rsidR="009E46FC" w:rsidRPr="00732139">
        <w:t>a</w:t>
      </w:r>
      <w:r w:rsidRPr="00732139">
        <w:t xml:space="preserve"> </w:t>
      </w:r>
      <w:r w:rsidR="00BF3C8C" w:rsidRPr="00732139">
        <w:t>cost-minimisation analysis of ravulizumab and eculizumab</w:t>
      </w:r>
      <w:r w:rsidR="00C54711" w:rsidRPr="00732139">
        <w:t>.</w:t>
      </w:r>
      <w:r w:rsidRPr="00732139">
        <w:t xml:space="preserve"> </w:t>
      </w:r>
      <w:r w:rsidRPr="00732139">
        <w:rPr>
          <w:iCs/>
        </w:rPr>
        <w:t xml:space="preserve">This represents </w:t>
      </w:r>
      <w:r w:rsidRPr="001C596E">
        <w:rPr>
          <w:iCs/>
        </w:rPr>
        <w:t>an 11.6</w:t>
      </w:r>
      <w:r w:rsidRPr="00732139">
        <w:rPr>
          <w:iCs/>
        </w:rPr>
        <w:t xml:space="preserve">% reduction based on the 300 mg vial size compared to the previous submission </w:t>
      </w:r>
      <w:r w:rsidR="0025503B" w:rsidRPr="00732139">
        <w:rPr>
          <w:iCs/>
        </w:rPr>
        <w:t xml:space="preserve">primarily due to </w:t>
      </w:r>
      <w:r w:rsidR="00516EE0" w:rsidRPr="00732139">
        <w:rPr>
          <w:iCs/>
        </w:rPr>
        <w:t xml:space="preserve">the use of the current price of eculizumab through the LSDP </w:t>
      </w:r>
      <w:r w:rsidR="00F9331F" w:rsidRPr="00732139">
        <w:rPr>
          <w:iCs/>
        </w:rPr>
        <w:t>which includes</w:t>
      </w:r>
      <w:r w:rsidR="00DF44A1" w:rsidRPr="00732139">
        <w:rPr>
          <w:iCs/>
        </w:rPr>
        <w:t xml:space="preserve"> the </w:t>
      </w:r>
      <w:r w:rsidR="00516EE0" w:rsidRPr="00732139">
        <w:rPr>
          <w:iCs/>
        </w:rPr>
        <w:t>10% statutory price reduction from April 2021</w:t>
      </w:r>
      <w:r w:rsidRPr="00732139">
        <w:rPr>
          <w:iCs/>
        </w:rPr>
        <w:t xml:space="preserve">. </w:t>
      </w:r>
    </w:p>
    <w:p w:rsidR="00647679" w:rsidRPr="00732139" w:rsidRDefault="00647679" w:rsidP="00F9393E">
      <w:pPr>
        <w:pStyle w:val="ExecSumBodyText"/>
      </w:pPr>
      <w:r w:rsidRPr="00732139">
        <w:rPr>
          <w:iCs/>
        </w:rPr>
        <w:t xml:space="preserve">It was unclear how the most efficient vial combination would be obtained under the Section 100 </w:t>
      </w:r>
      <w:r w:rsidR="007330A9" w:rsidRPr="00732139">
        <w:t>Highly Specialised Drugs</w:t>
      </w:r>
      <w:r w:rsidRPr="00732139">
        <w:rPr>
          <w:iCs/>
        </w:rPr>
        <w:t xml:space="preserve"> Program. There is potential for wastage should prescribers request vial combinations other than proposed in the resubmission. </w:t>
      </w:r>
      <w:r w:rsidR="00F9684E" w:rsidRPr="00732139">
        <w:t>The resubmission claimed that there would be no wastage with use of the requested formulations of the higher strength of ravulizumab based on the most efficient vial combinations for each weight band.</w:t>
      </w:r>
    </w:p>
    <w:p w:rsidR="000E4061" w:rsidRPr="00732139" w:rsidRDefault="005D2F25" w:rsidP="0027622A">
      <w:pPr>
        <w:pStyle w:val="ExecSumBodyText"/>
        <w:rPr>
          <w:color w:val="0066FF"/>
        </w:rPr>
      </w:pPr>
      <w:r w:rsidRPr="00732139">
        <w:rPr>
          <w:iCs/>
        </w:rPr>
        <w:t>The proposed restriction is consistent with the eculizumab LSDP eligibility and exclusion criteria. Unlike eculizumab, which is indicated for use in both children and adults, the TGA approved indication and the requested restriction for ravulizumab limit treatment to adults (aged 18 years and older), as the safety and efficacy of ravulizumab in children with PNH has not been established. The ESC also noted that ravulizumab is not recommended for use in pregnancy (para 4.4, ravulizumab PSD, July 2020 PBAC meeting). There is an ongoing Phase III study of ravulizumab for the treatment of PNH in patients age</w:t>
      </w:r>
      <w:r w:rsidR="00CA3778" w:rsidRPr="00732139">
        <w:rPr>
          <w:iCs/>
        </w:rPr>
        <w:t>d</w:t>
      </w:r>
      <w:r w:rsidRPr="00732139">
        <w:rPr>
          <w:iCs/>
        </w:rPr>
        <w:t xml:space="preserve"> 18 years or less (NCT03406507, expected study completion June 2025)</w:t>
      </w:r>
      <w:r w:rsidR="00732139">
        <w:rPr>
          <w:iCs/>
        </w:rPr>
        <w:t xml:space="preserve">. </w:t>
      </w:r>
    </w:p>
    <w:p w:rsidR="009D2C61" w:rsidRPr="00732139" w:rsidRDefault="009D2C61" w:rsidP="00F9393E">
      <w:pPr>
        <w:pStyle w:val="ExecSumBodyText"/>
      </w:pPr>
      <w:r w:rsidRPr="00732139">
        <w:t>The requested continuation criteria</w:t>
      </w:r>
      <w:r w:rsidR="001D5B8F" w:rsidRPr="00732139">
        <w:t xml:space="preserve"> for ravulizumab</w:t>
      </w:r>
      <w:r w:rsidRPr="00732139">
        <w:t xml:space="preserve"> were based on the monitoring requirements for ongoing eligibility </w:t>
      </w:r>
      <w:r w:rsidR="00502519" w:rsidRPr="00732139">
        <w:t xml:space="preserve">for </w:t>
      </w:r>
      <w:r w:rsidRPr="00732139">
        <w:t>eculizumab via the LSDP</w:t>
      </w:r>
      <w:r w:rsidR="00964A7C" w:rsidRPr="00732139">
        <w:t xml:space="preserve"> by demonstrating</w:t>
      </w:r>
      <w:r w:rsidRPr="00732139">
        <w:t xml:space="preserve"> clinical improvement or stabilisation of their condition</w:t>
      </w:r>
      <w:r w:rsidR="00964A7C" w:rsidRPr="00732139">
        <w:t xml:space="preserve">. </w:t>
      </w:r>
      <w:r w:rsidRPr="00732139">
        <w:rPr>
          <w:iCs/>
        </w:rPr>
        <w:t xml:space="preserve">Based on the wording, it remains unclear whether the intention is for the prescriber to provide response assessments on all 22 monitoring requirements or if it is for the clinician to decide on </w:t>
      </w:r>
      <w:r w:rsidRPr="00732139">
        <w:rPr>
          <w:iCs/>
        </w:rPr>
        <w:lastRenderedPageBreak/>
        <w:t>a mix. It was also unclear whether the conditions listed in the LSDP exclusion criteria for eculizumab (small granulocyte clone size, development of aplastic anaemia, presence of another life-threatening or severe disease where long-term prognosis is unlikely to be influenced by therapy, another medical condition which may compromise response to therapy) need to be added to the clinical criteria.</w:t>
      </w:r>
    </w:p>
    <w:p w:rsidR="00F34F41" w:rsidRPr="00732139" w:rsidRDefault="00F34F41" w:rsidP="00F9393E">
      <w:pPr>
        <w:pStyle w:val="ExecSumBodyText"/>
      </w:pPr>
      <w:r w:rsidRPr="00732139">
        <w:t xml:space="preserve">The resubmission estimated that there are currently </w:t>
      </w:r>
      <w:r w:rsidR="009B2214">
        <w:t>&lt; 500</w:t>
      </w:r>
      <w:r w:rsidR="009B2214" w:rsidRPr="00732139">
        <w:t xml:space="preserve"> </w:t>
      </w:r>
      <w:r w:rsidRPr="00732139">
        <w:t>Australian patients treated with ravulizumab through participation in the sponsor’s (</w:t>
      </w:r>
      <w:r w:rsidR="009B2214">
        <w:t>&lt; 500</w:t>
      </w:r>
      <w:r w:rsidR="009B2214" w:rsidRPr="00732139">
        <w:t xml:space="preserve"> </w:t>
      </w:r>
      <w:r w:rsidRPr="00732139">
        <w:t>patients) and non-sponsor’s (</w:t>
      </w:r>
      <w:r w:rsidR="009B2214">
        <w:t>&lt; 500</w:t>
      </w:r>
      <w:r w:rsidR="009B2214" w:rsidRPr="00732139">
        <w:t xml:space="preserve"> </w:t>
      </w:r>
      <w:r w:rsidRPr="00732139">
        <w:t xml:space="preserve">patients estimated) clinical trials. The sponsor requested grandfathering provision for these patients. The resubmission claimed that these patients would meet the current LSDP eligibility criteria for eculizumab and would therefore also meet the criteria in the proposed restriction for ravulizumab. </w:t>
      </w:r>
      <w:r w:rsidR="00F9684E" w:rsidRPr="00732139">
        <w:t xml:space="preserve">Thus, no separate grandfathering restriction would be required. </w:t>
      </w:r>
      <w:r w:rsidRPr="00732139">
        <w:rPr>
          <w:iCs/>
        </w:rPr>
        <w:t>No formal assessment of these patients against the LSDP eligibility criteria was provided in the resubmission.</w:t>
      </w:r>
    </w:p>
    <w:p w:rsidR="00355A42" w:rsidRPr="00732139" w:rsidRDefault="00355A42" w:rsidP="00355A42">
      <w:pPr>
        <w:ind w:left="720"/>
        <w:rPr>
          <w:rFonts w:asciiTheme="minorHAnsi" w:hAnsiTheme="minorHAnsi"/>
          <w:i/>
        </w:rPr>
      </w:pPr>
      <w:r w:rsidRPr="00732139">
        <w:rPr>
          <w:rFonts w:asciiTheme="minorHAnsi" w:hAnsiTheme="minorHAnsi"/>
          <w:i/>
        </w:rPr>
        <w:t>For more detail on PBAC’s view, see section 7 PBAC outcome.</w:t>
      </w:r>
    </w:p>
    <w:p w:rsidR="00B50DB8" w:rsidRPr="00732139" w:rsidRDefault="00203181" w:rsidP="004E18E9">
      <w:pPr>
        <w:pStyle w:val="2-SectionHeading"/>
      </w:pPr>
      <w:bookmarkStart w:id="9" w:name="_Toc72331251"/>
      <w:r w:rsidRPr="00732139">
        <w:t xml:space="preserve">Population and </w:t>
      </w:r>
      <w:r w:rsidR="008E0D3C" w:rsidRPr="00732139">
        <w:t>d</w:t>
      </w:r>
      <w:r w:rsidRPr="00732139">
        <w:t>isease</w:t>
      </w:r>
      <w:bookmarkEnd w:id="9"/>
    </w:p>
    <w:p w:rsidR="00894489" w:rsidRPr="00732139" w:rsidRDefault="00071A9B" w:rsidP="004E18E9">
      <w:pPr>
        <w:pStyle w:val="ExecSumBodyText"/>
      </w:pPr>
      <w:r w:rsidRPr="00732139">
        <w:t>PNH is a rare, life-threatening condition that can occur at any age but is most often diagnosed in young adults, generally in their 30s or 40s. It occurs due to an acquired mutation in the phosphatidylinositol glycan A (PIG-A) gene which results in a lack of terminal complement inhibitor proteins on cell surfaces. Their absence in blood cells results in uncontrolled complement activation and systemic complications which include chronic intravascular haemolysis, impaired bone marrow function and thrombosis. Thromboembolic events are the leading cause of death in patients with PNH.</w:t>
      </w:r>
    </w:p>
    <w:p w:rsidR="00071A9B" w:rsidRPr="00732139" w:rsidRDefault="00071A9B" w:rsidP="00071A9B">
      <w:pPr>
        <w:pStyle w:val="ExecSumBodyText"/>
      </w:pPr>
      <w:r w:rsidRPr="00732139">
        <w:t xml:space="preserve">The severity of PNH is variable and not all patients require active complement inhibitor therapy. Patients with less severe disease can be treated with supportive therapies including folic acid and iron tablets, while patients with more severe disease may require red blood cell transfusions and anticoagulants. Life-long treatment is required. There is potential for cure with allogeneic stem cell transplantation, but this is rarely used as it is associated with a high level of morbidity and mortality. </w:t>
      </w:r>
    </w:p>
    <w:p w:rsidR="00071A9B" w:rsidRPr="00732139" w:rsidRDefault="00300CF0" w:rsidP="004E18E9">
      <w:pPr>
        <w:pStyle w:val="ExecSumBodyText"/>
        <w:rPr>
          <w:iCs/>
        </w:rPr>
      </w:pPr>
      <w:r w:rsidRPr="00732139">
        <w:rPr>
          <w:iCs/>
        </w:rPr>
        <w:t xml:space="preserve">In 2010, the PBAC accepted that patients with classic PNH had a significant reduction in age-specific life expectancy (Section 11, eculizumab </w:t>
      </w:r>
      <w:r w:rsidR="004240F8">
        <w:rPr>
          <w:iCs/>
        </w:rPr>
        <w:t>PSD</w:t>
      </w:r>
      <w:r w:rsidRPr="00732139">
        <w:rPr>
          <w:iCs/>
        </w:rPr>
        <w:t>, July 2010 PBAC meeting). Previously published data suggest</w:t>
      </w:r>
      <w:r w:rsidR="00E13CA9" w:rsidRPr="00732139">
        <w:rPr>
          <w:iCs/>
        </w:rPr>
        <w:t>ed</w:t>
      </w:r>
      <w:r w:rsidRPr="00732139">
        <w:rPr>
          <w:iCs/>
        </w:rPr>
        <w:t xml:space="preserve"> trends of improved life expectancy over time for patients with PNH, given improvements in modern supportive treatments (de Latour 2008). More recent data suggest changes in prognosis over time, with differences in risk of thromboembolic events and mortality between subtypes of PNH (classic PNH, aplastic anaemia PNH, intermediate PNH) (Socie 2016).</w:t>
      </w:r>
    </w:p>
    <w:p w:rsidR="003A2BFC" w:rsidRPr="00732139" w:rsidRDefault="000B559C" w:rsidP="000B559C">
      <w:pPr>
        <w:pStyle w:val="ExecSumBodyText"/>
      </w:pPr>
      <w:r w:rsidRPr="00732139">
        <w:t xml:space="preserve">Ravulizumab, a new long-acting anti-C5 monoclonal antibody that antagonises terminal complement at the same C5 epitope as eculizumab, is administered as a weight-based dose via intravenous infusion. The regimen starts with a loading dose, followed two weeks later with a maintenance dose, and then ongoing maintenance </w:t>
      </w:r>
      <w:r w:rsidRPr="00732139">
        <w:lastRenderedPageBreak/>
        <w:t>dosing every 8 weeks, and therefore has a lower treatment burden than eculizumab</w:t>
      </w:r>
      <w:r w:rsidR="00B7149A" w:rsidRPr="00732139">
        <w:t xml:space="preserve"> (dosing every 2 weeks)</w:t>
      </w:r>
      <w:r w:rsidRPr="00732139">
        <w:t>.</w:t>
      </w:r>
    </w:p>
    <w:p w:rsidR="00B94118" w:rsidRPr="00732139" w:rsidRDefault="00B94118" w:rsidP="004E18E9">
      <w:pPr>
        <w:pStyle w:val="ExecSumBodyText"/>
      </w:pPr>
      <w:r w:rsidRPr="00732139">
        <w:t xml:space="preserve">Ravulizumab is positioned as an alternative treatment to eculizumab for patients with PNH. Patients with PNH who do not meet the criteria for subsidised treatment with eculizumab or ravulizumab receive symptomatic treatment with </w:t>
      </w:r>
      <w:r w:rsidR="00AE4B2A" w:rsidRPr="00732139">
        <w:t>BSC</w:t>
      </w:r>
      <w:r w:rsidRPr="00732139">
        <w:t xml:space="preserve">, such as transfusion of red blood cells, iron/folic acid therapy, steroids, anticoagulants, or immunosuppressive therapies. Patients may also receive </w:t>
      </w:r>
      <w:r w:rsidR="00AE4B2A" w:rsidRPr="00732139">
        <w:t>BSC</w:t>
      </w:r>
      <w:r w:rsidRPr="00732139">
        <w:t xml:space="preserve"> as adjunctive therapy to ravulizumab or eculizumab at the discretion of the treating clinician.</w:t>
      </w:r>
    </w:p>
    <w:p w:rsidR="00300CF0" w:rsidRPr="00732139" w:rsidRDefault="000948CC" w:rsidP="004E18E9">
      <w:pPr>
        <w:pStyle w:val="ExecSumBodyText"/>
        <w:rPr>
          <w:i/>
          <w:iCs/>
        </w:rPr>
      </w:pPr>
      <w:r w:rsidRPr="00732139">
        <w:t>The resubmission targeted the subgroup of the PNH population that would meet the current LSDP eligibility criteria for the use of eculizumab, with the exception of the paediatric population (age less than 18 years)</w:t>
      </w:r>
      <w:r w:rsidRPr="00732139">
        <w:rPr>
          <w:i/>
          <w:iCs/>
        </w:rPr>
        <w:t>.</w:t>
      </w:r>
      <w:r w:rsidRPr="00732139">
        <w:t xml:space="preserve"> The resubmission stated that eligible LSDP patients broadly reflect patients with classic PNH, also known as haemolytic PNH</w:t>
      </w:r>
      <w:r w:rsidR="00B7149A" w:rsidRPr="00732139">
        <w:t>;</w:t>
      </w:r>
      <w:r w:rsidRPr="00732139">
        <w:t xml:space="preserve"> and patients with PNH in the setting of another specified bone marrow disorder or subclinical PNH would not be eligible for treatment.</w:t>
      </w:r>
    </w:p>
    <w:p w:rsidR="00355A42" w:rsidRPr="00732139" w:rsidRDefault="00355A42" w:rsidP="00355A42">
      <w:pPr>
        <w:pStyle w:val="ExecSumBodyText"/>
        <w:numPr>
          <w:ilvl w:val="0"/>
          <w:numId w:val="0"/>
        </w:numPr>
        <w:ind w:left="720"/>
        <w:rPr>
          <w:i/>
          <w:iCs/>
        </w:rPr>
      </w:pPr>
      <w:r w:rsidRPr="00732139">
        <w:rPr>
          <w:i/>
        </w:rPr>
        <w:t>For more detail on PBAC’s view, see section 7 PBAC outcome.</w:t>
      </w:r>
    </w:p>
    <w:p w:rsidR="00B50DB8" w:rsidRPr="00732139" w:rsidRDefault="00B50DB8" w:rsidP="004E18E9">
      <w:pPr>
        <w:pStyle w:val="2-SectionHeading"/>
      </w:pPr>
      <w:bookmarkStart w:id="10" w:name="_Toc72331252"/>
      <w:r w:rsidRPr="00732139">
        <w:t>Comparator</w:t>
      </w:r>
      <w:bookmarkEnd w:id="10"/>
    </w:p>
    <w:p w:rsidR="00A05472" w:rsidRPr="00732139" w:rsidRDefault="00441C5E" w:rsidP="00882E3C">
      <w:pPr>
        <w:pStyle w:val="ExecSumBodyText"/>
        <w:rPr>
          <w:snapToGrid/>
        </w:rPr>
      </w:pPr>
      <w:r w:rsidRPr="00732139">
        <w:rPr>
          <w:snapToGrid/>
        </w:rPr>
        <w:t xml:space="preserve">The resubmission nominated eculizumab as the main comparator for ravulizumab, as the therapy most likely to be replaced in practice. </w:t>
      </w:r>
      <w:r w:rsidRPr="00732139">
        <w:rPr>
          <w:iCs/>
          <w:snapToGrid/>
        </w:rPr>
        <w:t xml:space="preserve">The PBAC previously considered </w:t>
      </w:r>
      <w:r w:rsidR="00B7149A" w:rsidRPr="00732139">
        <w:rPr>
          <w:iCs/>
          <w:snapToGrid/>
        </w:rPr>
        <w:t xml:space="preserve">that </w:t>
      </w:r>
      <w:r w:rsidRPr="00732139">
        <w:rPr>
          <w:iCs/>
          <w:snapToGrid/>
        </w:rPr>
        <w:t>eculizumab, subsidised through the LSDP, was the appropriate primary comparator (para 7.2, ravulizumab PSD, July 2020 PBAC meeting).</w:t>
      </w:r>
    </w:p>
    <w:p w:rsidR="002C2775" w:rsidRPr="00732139" w:rsidRDefault="00441C5E" w:rsidP="002E4F02">
      <w:pPr>
        <w:pStyle w:val="ExecSumBodyText"/>
      </w:pPr>
      <w:r w:rsidRPr="00732139">
        <w:t xml:space="preserve">Best supportive care (BSC) was nominated as a secondary comparator to determine the cost-effectiveness of a PBS listing for ravulizumab and eculizumab, as there is currently no PBS-listed medicine specifically for the treatment of patients with PNH. </w:t>
      </w:r>
      <w:r w:rsidRPr="00732139">
        <w:rPr>
          <w:iCs/>
        </w:rPr>
        <w:t>The PBAC previously stated that the inclusion of BSC as a secondary comparator was an appropriate way to determine the cost-effectiveness of a PBS listing for ravulizumab, however, it was noted all data comparing ravulizumab to BSC was indirect, via comparison of eculizumab against BSC (para 7.2, ravulizumab PSD, July 2020 PBAC meeting).</w:t>
      </w:r>
      <w:r w:rsidR="00177DC4" w:rsidRPr="00732139">
        <w:rPr>
          <w:iCs/>
        </w:rPr>
        <w:t xml:space="preserve"> The resubmission presented cost-effectiveness analyses for both C5 inhibitors (eculizumab and ravulizumab) versus BSC based on the same economic model, which is reliant on eculizumab survival data</w:t>
      </w:r>
      <w:r w:rsidR="00732139">
        <w:rPr>
          <w:iCs/>
        </w:rPr>
        <w:t xml:space="preserve">. </w:t>
      </w:r>
    </w:p>
    <w:p w:rsidR="00177DC4" w:rsidRPr="00732139" w:rsidRDefault="00E82A02" w:rsidP="002E4F02">
      <w:pPr>
        <w:pStyle w:val="ExecSumBodyText"/>
        <w:rPr>
          <w:iCs/>
        </w:rPr>
      </w:pPr>
      <w:r w:rsidRPr="00732139">
        <w:rPr>
          <w:iCs/>
        </w:rPr>
        <w:t xml:space="preserve">During the evaluation, it was noted that there </w:t>
      </w:r>
      <w:r w:rsidR="00B7149A" w:rsidRPr="00732139">
        <w:rPr>
          <w:iCs/>
        </w:rPr>
        <w:t xml:space="preserve">are </w:t>
      </w:r>
      <w:r w:rsidRPr="00732139">
        <w:rPr>
          <w:iCs/>
        </w:rPr>
        <w:t>multiple therapies</w:t>
      </w:r>
      <w:r w:rsidR="00B7149A" w:rsidRPr="00732139">
        <w:rPr>
          <w:iCs/>
        </w:rPr>
        <w:t xml:space="preserve"> for PNH </w:t>
      </w:r>
      <w:r w:rsidR="004A249B" w:rsidRPr="00732139">
        <w:rPr>
          <w:iCs/>
        </w:rPr>
        <w:t xml:space="preserve">in late-stage development including </w:t>
      </w:r>
      <w:r w:rsidR="00A00A37" w:rsidRPr="00732139">
        <w:rPr>
          <w:iCs/>
        </w:rPr>
        <w:t>eculizumab biosimilars, subcutaneous ravulizumab, pegcetacoplan and crovalimab</w:t>
      </w:r>
      <w:r w:rsidR="00716872" w:rsidRPr="00732139">
        <w:rPr>
          <w:iCs/>
        </w:rPr>
        <w:t>.</w:t>
      </w:r>
      <w:r w:rsidR="006C4A43" w:rsidRPr="00732139">
        <w:rPr>
          <w:iCs/>
        </w:rPr>
        <w:t xml:space="preserve"> The current status of these drugs in the Australian setting was unknown and therefore these therapies were not considered further.</w:t>
      </w:r>
    </w:p>
    <w:p w:rsidR="00355A42" w:rsidRPr="00732139" w:rsidRDefault="00355A42" w:rsidP="00355A42">
      <w:pPr>
        <w:pStyle w:val="ExecSumBodyText"/>
        <w:numPr>
          <w:ilvl w:val="0"/>
          <w:numId w:val="0"/>
        </w:numPr>
        <w:ind w:left="720"/>
        <w:rPr>
          <w:iCs/>
        </w:rPr>
      </w:pPr>
      <w:bookmarkStart w:id="11" w:name="_Hlk77321244"/>
      <w:r w:rsidRPr="00732139">
        <w:rPr>
          <w:i/>
        </w:rPr>
        <w:t>For more detail on PBAC’s view, see section 7 PBAC outcome.</w:t>
      </w:r>
    </w:p>
    <w:p w:rsidR="00223D5A" w:rsidRPr="00732139" w:rsidRDefault="00223D5A" w:rsidP="00223D5A">
      <w:pPr>
        <w:pStyle w:val="2-SectionHeading"/>
      </w:pPr>
      <w:bookmarkStart w:id="12" w:name="_Toc72331253"/>
      <w:bookmarkStart w:id="13" w:name="_Toc22897640"/>
      <w:bookmarkEnd w:id="11"/>
      <w:r w:rsidRPr="00732139">
        <w:lastRenderedPageBreak/>
        <w:t>Consideration of the evidence</w:t>
      </w:r>
      <w:bookmarkEnd w:id="12"/>
    </w:p>
    <w:p w:rsidR="00C250C8" w:rsidRPr="00732139" w:rsidRDefault="00C250C8" w:rsidP="00C250C8">
      <w:pPr>
        <w:pStyle w:val="3-SubsectionHeading"/>
      </w:pPr>
      <w:r w:rsidRPr="00732139">
        <w:t>Sponsor hearing</w:t>
      </w:r>
    </w:p>
    <w:p w:rsidR="00C250C8" w:rsidRPr="00732139" w:rsidRDefault="00C250C8" w:rsidP="00C250C8">
      <w:pPr>
        <w:widowControl w:val="0"/>
        <w:numPr>
          <w:ilvl w:val="1"/>
          <w:numId w:val="1"/>
        </w:numPr>
        <w:spacing w:after="120"/>
        <w:rPr>
          <w:rFonts w:asciiTheme="minorHAnsi" w:hAnsiTheme="minorHAnsi"/>
          <w:bCs/>
          <w:snapToGrid w:val="0"/>
        </w:rPr>
      </w:pPr>
      <w:bookmarkStart w:id="14" w:name="_Hlk76382586"/>
      <w:r w:rsidRPr="00732139">
        <w:rPr>
          <w:rFonts w:asciiTheme="minorHAnsi" w:hAnsiTheme="minorHAnsi"/>
          <w:bCs/>
          <w:snapToGrid w:val="0"/>
        </w:rPr>
        <w:t>The sponsor requested a hearing for this item</w:t>
      </w:r>
      <w:r w:rsidR="00732139">
        <w:rPr>
          <w:rFonts w:asciiTheme="minorHAnsi" w:hAnsiTheme="minorHAnsi"/>
          <w:bCs/>
          <w:snapToGrid w:val="0"/>
        </w:rPr>
        <w:t xml:space="preserve">. </w:t>
      </w:r>
      <w:r w:rsidRPr="00732139">
        <w:rPr>
          <w:rFonts w:asciiTheme="minorHAnsi" w:hAnsiTheme="minorHAnsi"/>
          <w:bCs/>
          <w:snapToGrid w:val="0"/>
        </w:rPr>
        <w:t xml:space="preserve">The clinician </w:t>
      </w:r>
      <w:r w:rsidR="00EB51A5" w:rsidRPr="00732139">
        <w:rPr>
          <w:rFonts w:asciiTheme="minorHAnsi" w:hAnsiTheme="minorHAnsi"/>
          <w:bCs/>
          <w:snapToGrid w:val="0"/>
        </w:rPr>
        <w:t xml:space="preserve">discussed </w:t>
      </w:r>
      <w:r w:rsidRPr="00732139">
        <w:rPr>
          <w:rFonts w:asciiTheme="minorHAnsi" w:hAnsiTheme="minorHAnsi"/>
          <w:bCs/>
          <w:snapToGrid w:val="0"/>
        </w:rPr>
        <w:t>the natural history of the disease,</w:t>
      </w:r>
      <w:r w:rsidR="00EB51A5" w:rsidRPr="00732139">
        <w:rPr>
          <w:rFonts w:asciiTheme="minorHAnsi" w:hAnsiTheme="minorHAnsi"/>
          <w:bCs/>
          <w:snapToGrid w:val="0"/>
        </w:rPr>
        <w:t xml:space="preserve"> </w:t>
      </w:r>
      <w:r w:rsidRPr="00732139">
        <w:rPr>
          <w:rFonts w:asciiTheme="minorHAnsi" w:hAnsiTheme="minorHAnsi"/>
          <w:bCs/>
          <w:snapToGrid w:val="0"/>
        </w:rPr>
        <w:t xml:space="preserve">how </w:t>
      </w:r>
      <w:r w:rsidR="00EB51A5" w:rsidRPr="00732139">
        <w:rPr>
          <w:rFonts w:asciiTheme="minorHAnsi" w:hAnsiTheme="minorHAnsi"/>
          <w:bCs/>
          <w:snapToGrid w:val="0"/>
        </w:rPr>
        <w:t xml:space="preserve">eculizumab is currently used in practice and the clinical benefit </w:t>
      </w:r>
      <w:r w:rsidR="007D0A76" w:rsidRPr="00732139">
        <w:rPr>
          <w:rFonts w:asciiTheme="minorHAnsi" w:hAnsiTheme="minorHAnsi"/>
          <w:bCs/>
          <w:snapToGrid w:val="0"/>
        </w:rPr>
        <w:t>of the greater</w:t>
      </w:r>
      <w:r w:rsidR="00EB51A5" w:rsidRPr="00732139">
        <w:rPr>
          <w:rFonts w:asciiTheme="minorHAnsi" w:hAnsiTheme="minorHAnsi"/>
          <w:bCs/>
          <w:snapToGrid w:val="0"/>
        </w:rPr>
        <w:t xml:space="preserve"> disease control achieved with ravulizumab</w:t>
      </w:r>
      <w:r w:rsidR="000B3AB4" w:rsidRPr="00732139">
        <w:rPr>
          <w:rFonts w:asciiTheme="minorHAnsi" w:hAnsiTheme="minorHAnsi"/>
          <w:bCs/>
          <w:snapToGrid w:val="0"/>
        </w:rPr>
        <w:t xml:space="preserve"> as a longer-acting treatment</w:t>
      </w:r>
      <w:r w:rsidR="00EB51A5" w:rsidRPr="00732139">
        <w:rPr>
          <w:rFonts w:asciiTheme="minorHAnsi" w:hAnsiTheme="minorHAnsi"/>
          <w:bCs/>
          <w:snapToGrid w:val="0"/>
        </w:rPr>
        <w:t>. The clinic</w:t>
      </w:r>
      <w:r w:rsidR="0070012C">
        <w:rPr>
          <w:rFonts w:asciiTheme="minorHAnsi" w:hAnsiTheme="minorHAnsi"/>
          <w:bCs/>
          <w:snapToGrid w:val="0"/>
        </w:rPr>
        <w:t>i</w:t>
      </w:r>
      <w:r w:rsidR="00EB51A5" w:rsidRPr="00732139">
        <w:rPr>
          <w:rFonts w:asciiTheme="minorHAnsi" w:hAnsiTheme="minorHAnsi"/>
          <w:bCs/>
          <w:snapToGrid w:val="0"/>
        </w:rPr>
        <w:t>an also noted the reduced treatment burden and improved quality of life for patients provided by the need for an intravenous infusion</w:t>
      </w:r>
      <w:r w:rsidR="00581ABE" w:rsidRPr="00732139">
        <w:rPr>
          <w:rFonts w:asciiTheme="minorHAnsi" w:hAnsiTheme="minorHAnsi"/>
          <w:bCs/>
          <w:snapToGrid w:val="0"/>
        </w:rPr>
        <w:t xml:space="preserve"> every eight</w:t>
      </w:r>
      <w:r w:rsidR="00EB51A5" w:rsidRPr="00732139">
        <w:rPr>
          <w:rFonts w:asciiTheme="minorHAnsi" w:hAnsiTheme="minorHAnsi"/>
          <w:bCs/>
          <w:snapToGrid w:val="0"/>
        </w:rPr>
        <w:t xml:space="preserve"> weeks with ravulizuma</w:t>
      </w:r>
      <w:r w:rsidR="00581ABE" w:rsidRPr="00732139">
        <w:rPr>
          <w:rFonts w:asciiTheme="minorHAnsi" w:hAnsiTheme="minorHAnsi"/>
          <w:bCs/>
          <w:snapToGrid w:val="0"/>
        </w:rPr>
        <w:t>b versus</w:t>
      </w:r>
      <w:r w:rsidR="00EB51A5" w:rsidRPr="00732139">
        <w:rPr>
          <w:rFonts w:asciiTheme="minorHAnsi" w:hAnsiTheme="minorHAnsi"/>
          <w:bCs/>
          <w:snapToGrid w:val="0"/>
        </w:rPr>
        <w:t xml:space="preserve"> ever</w:t>
      </w:r>
      <w:r w:rsidR="00581ABE" w:rsidRPr="00732139">
        <w:rPr>
          <w:rFonts w:asciiTheme="minorHAnsi" w:hAnsiTheme="minorHAnsi"/>
          <w:bCs/>
          <w:snapToGrid w:val="0"/>
        </w:rPr>
        <w:t>y two</w:t>
      </w:r>
      <w:r w:rsidR="00EB51A5" w:rsidRPr="00732139">
        <w:rPr>
          <w:rFonts w:asciiTheme="minorHAnsi" w:hAnsiTheme="minorHAnsi"/>
          <w:bCs/>
          <w:snapToGrid w:val="0"/>
        </w:rPr>
        <w:t xml:space="preserve"> weeks with eculizumab. </w:t>
      </w:r>
      <w:r w:rsidRPr="00732139">
        <w:rPr>
          <w:rFonts w:asciiTheme="minorHAnsi" w:hAnsiTheme="minorHAnsi"/>
          <w:bCs/>
          <w:snapToGrid w:val="0"/>
        </w:rPr>
        <w:t>The PBAC considered that the hearing was informative as it provided a clinical perspective on</w:t>
      </w:r>
      <w:r w:rsidR="00EB51A5" w:rsidRPr="00732139">
        <w:rPr>
          <w:rFonts w:asciiTheme="minorHAnsi" w:hAnsiTheme="minorHAnsi"/>
          <w:bCs/>
          <w:snapToGrid w:val="0"/>
        </w:rPr>
        <w:t xml:space="preserve"> treating this uncommon disease</w:t>
      </w:r>
      <w:r w:rsidRPr="00732139">
        <w:rPr>
          <w:rFonts w:asciiTheme="minorHAnsi" w:hAnsiTheme="minorHAnsi"/>
          <w:bCs/>
          <w:snapToGrid w:val="0"/>
        </w:rPr>
        <w:t>.</w:t>
      </w:r>
    </w:p>
    <w:bookmarkEnd w:id="14"/>
    <w:p w:rsidR="00C250C8" w:rsidRPr="00732139" w:rsidRDefault="00C250C8" w:rsidP="00C250C8">
      <w:pPr>
        <w:pStyle w:val="3-SubsectionHeading"/>
      </w:pPr>
      <w:r w:rsidRPr="00732139">
        <w:t>Consumer comments</w:t>
      </w:r>
    </w:p>
    <w:p w:rsidR="00C250C8" w:rsidRPr="00732139" w:rsidRDefault="00C250C8" w:rsidP="00C250C8">
      <w:pPr>
        <w:widowControl w:val="0"/>
        <w:numPr>
          <w:ilvl w:val="1"/>
          <w:numId w:val="1"/>
        </w:numPr>
        <w:spacing w:after="120"/>
        <w:rPr>
          <w:rFonts w:asciiTheme="minorHAnsi" w:hAnsiTheme="minorHAnsi"/>
          <w:bCs/>
          <w:snapToGrid w:val="0"/>
        </w:rPr>
      </w:pPr>
      <w:r w:rsidRPr="00732139">
        <w:rPr>
          <w:rFonts w:asciiTheme="minorHAnsi" w:hAnsiTheme="minorHAnsi"/>
          <w:bCs/>
          <w:snapToGrid w:val="0"/>
        </w:rPr>
        <w:t>The PBAC noted and welcom</w:t>
      </w:r>
      <w:r w:rsidR="00581ABE" w:rsidRPr="00732139">
        <w:rPr>
          <w:rFonts w:asciiTheme="minorHAnsi" w:hAnsiTheme="minorHAnsi"/>
          <w:bCs/>
          <w:snapToGrid w:val="0"/>
        </w:rPr>
        <w:t>e</w:t>
      </w:r>
      <w:r w:rsidR="005C2BAB" w:rsidRPr="00732139">
        <w:rPr>
          <w:rFonts w:asciiTheme="minorHAnsi" w:hAnsiTheme="minorHAnsi"/>
          <w:bCs/>
          <w:snapToGrid w:val="0"/>
        </w:rPr>
        <w:t>d the input from individuals (52), health care professionals (9</w:t>
      </w:r>
      <w:r w:rsidRPr="00732139">
        <w:rPr>
          <w:rFonts w:asciiTheme="minorHAnsi" w:hAnsiTheme="minorHAnsi"/>
          <w:bCs/>
          <w:snapToGrid w:val="0"/>
        </w:rPr>
        <w:t>) and organisations (1) via the Consumer Comments facility on the PBS website</w:t>
      </w:r>
      <w:r w:rsidR="00732139">
        <w:rPr>
          <w:rFonts w:asciiTheme="minorHAnsi" w:hAnsiTheme="minorHAnsi"/>
          <w:bCs/>
          <w:snapToGrid w:val="0"/>
        </w:rPr>
        <w:t xml:space="preserve">. </w:t>
      </w:r>
      <w:r w:rsidRPr="00732139">
        <w:rPr>
          <w:rFonts w:asciiTheme="minorHAnsi" w:hAnsiTheme="minorHAnsi"/>
          <w:bCs/>
          <w:snapToGrid w:val="0"/>
        </w:rPr>
        <w:t>The comments described a rang</w:t>
      </w:r>
      <w:r w:rsidR="005C2BAB" w:rsidRPr="00732139">
        <w:rPr>
          <w:rFonts w:asciiTheme="minorHAnsi" w:hAnsiTheme="minorHAnsi"/>
          <w:bCs/>
          <w:snapToGrid w:val="0"/>
        </w:rPr>
        <w:t xml:space="preserve">e of benefits of treatment </w:t>
      </w:r>
      <w:r w:rsidRPr="00732139">
        <w:rPr>
          <w:rFonts w:asciiTheme="minorHAnsi" w:hAnsiTheme="minorHAnsi"/>
          <w:bCs/>
          <w:snapToGrid w:val="0"/>
        </w:rPr>
        <w:t xml:space="preserve">including the </w:t>
      </w:r>
      <w:r w:rsidR="00C30946" w:rsidRPr="00732139">
        <w:rPr>
          <w:rFonts w:asciiTheme="minorHAnsi" w:hAnsiTheme="minorHAnsi"/>
          <w:bCs/>
          <w:snapToGrid w:val="0"/>
        </w:rPr>
        <w:t>potential for improved</w:t>
      </w:r>
      <w:r w:rsidR="00581ABE" w:rsidRPr="00732139">
        <w:rPr>
          <w:rFonts w:asciiTheme="minorHAnsi" w:hAnsiTheme="minorHAnsi"/>
          <w:bCs/>
          <w:snapToGrid w:val="0"/>
        </w:rPr>
        <w:t xml:space="preserve"> disease control </w:t>
      </w:r>
      <w:r w:rsidR="005C2BAB" w:rsidRPr="00732139">
        <w:rPr>
          <w:rFonts w:asciiTheme="minorHAnsi" w:hAnsiTheme="minorHAnsi"/>
          <w:bCs/>
          <w:snapToGrid w:val="0"/>
        </w:rPr>
        <w:t>and quality of life with the longer-acting ravulizumab.</w:t>
      </w:r>
      <w:r w:rsidRPr="00732139">
        <w:rPr>
          <w:rFonts w:asciiTheme="minorHAnsi" w:hAnsiTheme="minorHAnsi"/>
          <w:bCs/>
          <w:snapToGrid w:val="0"/>
        </w:rPr>
        <w:t xml:space="preserve"> </w:t>
      </w:r>
    </w:p>
    <w:p w:rsidR="001721AE" w:rsidRPr="00732139" w:rsidRDefault="00C250C8" w:rsidP="001721AE">
      <w:pPr>
        <w:widowControl w:val="0"/>
        <w:numPr>
          <w:ilvl w:val="1"/>
          <w:numId w:val="1"/>
        </w:numPr>
        <w:spacing w:after="120"/>
        <w:rPr>
          <w:rFonts w:asciiTheme="minorHAnsi" w:hAnsiTheme="minorHAnsi"/>
          <w:bCs/>
          <w:snapToGrid w:val="0"/>
        </w:rPr>
      </w:pPr>
      <w:r w:rsidRPr="00732139">
        <w:rPr>
          <w:rFonts w:asciiTheme="minorHAnsi" w:hAnsiTheme="minorHAnsi"/>
          <w:bCs/>
          <w:snapToGrid w:val="0"/>
        </w:rPr>
        <w:t xml:space="preserve">The PBAC noted the advice received from </w:t>
      </w:r>
      <w:r w:rsidR="005C2BAB" w:rsidRPr="00732139">
        <w:rPr>
          <w:rFonts w:asciiTheme="minorHAnsi" w:hAnsiTheme="minorHAnsi"/>
          <w:bCs/>
          <w:snapToGrid w:val="0"/>
        </w:rPr>
        <w:t>the PNH Support Association of Australia (PNHSAA) clarifying the likely use of ravulizumab</w:t>
      </w:r>
      <w:r w:rsidRPr="00732139">
        <w:rPr>
          <w:rFonts w:asciiTheme="minorHAnsi" w:hAnsiTheme="minorHAnsi"/>
          <w:bCs/>
          <w:snapToGrid w:val="0"/>
        </w:rPr>
        <w:t xml:space="preserve"> in clinical practice</w:t>
      </w:r>
      <w:r w:rsidR="00732139">
        <w:rPr>
          <w:rFonts w:asciiTheme="minorHAnsi" w:hAnsiTheme="minorHAnsi"/>
          <w:bCs/>
          <w:snapToGrid w:val="0"/>
        </w:rPr>
        <w:t xml:space="preserve">. </w:t>
      </w:r>
      <w:r w:rsidRPr="00732139">
        <w:rPr>
          <w:rFonts w:asciiTheme="minorHAnsi" w:hAnsiTheme="minorHAnsi"/>
          <w:bCs/>
          <w:snapToGrid w:val="0"/>
        </w:rPr>
        <w:t xml:space="preserve">The PBAC specifically noted the advice that the </w:t>
      </w:r>
      <w:r w:rsidR="001721AE" w:rsidRPr="00732139">
        <w:rPr>
          <w:rFonts w:asciiTheme="minorHAnsi" w:hAnsiTheme="minorHAnsi"/>
          <w:bCs/>
          <w:snapToGrid w:val="0"/>
        </w:rPr>
        <w:t xml:space="preserve">convenience of eight weekly infusions of ravulizumab may result in improvements in </w:t>
      </w:r>
      <w:r w:rsidR="000B3AB4" w:rsidRPr="00732139">
        <w:rPr>
          <w:rFonts w:asciiTheme="minorHAnsi" w:hAnsiTheme="minorHAnsi"/>
          <w:bCs/>
          <w:snapToGrid w:val="0"/>
        </w:rPr>
        <w:t xml:space="preserve">quality of life for </w:t>
      </w:r>
      <w:r w:rsidR="00C30946" w:rsidRPr="00732139">
        <w:rPr>
          <w:rFonts w:asciiTheme="minorHAnsi" w:hAnsiTheme="minorHAnsi"/>
          <w:bCs/>
          <w:snapToGrid w:val="0"/>
        </w:rPr>
        <w:t>patients with PNH</w:t>
      </w:r>
      <w:r w:rsidR="000B3AB4" w:rsidRPr="00732139">
        <w:rPr>
          <w:rFonts w:asciiTheme="minorHAnsi" w:hAnsiTheme="minorHAnsi"/>
          <w:bCs/>
          <w:snapToGrid w:val="0"/>
        </w:rPr>
        <w:t>,</w:t>
      </w:r>
      <w:r w:rsidR="00C30946" w:rsidRPr="00732139">
        <w:rPr>
          <w:rFonts w:asciiTheme="minorHAnsi" w:hAnsiTheme="minorHAnsi"/>
          <w:bCs/>
          <w:snapToGrid w:val="0"/>
        </w:rPr>
        <w:t xml:space="preserve"> </w:t>
      </w:r>
      <w:r w:rsidR="001721AE" w:rsidRPr="00732139">
        <w:rPr>
          <w:rFonts w:asciiTheme="minorHAnsi" w:hAnsiTheme="minorHAnsi"/>
          <w:bCs/>
          <w:snapToGrid w:val="0"/>
        </w:rPr>
        <w:t xml:space="preserve">with flow on </w:t>
      </w:r>
      <w:r w:rsidR="0012094D" w:rsidRPr="00732139">
        <w:rPr>
          <w:rFonts w:asciiTheme="minorHAnsi" w:hAnsiTheme="minorHAnsi"/>
          <w:bCs/>
          <w:snapToGrid w:val="0"/>
        </w:rPr>
        <w:t>benefits</w:t>
      </w:r>
      <w:r w:rsidR="001721AE" w:rsidRPr="00732139">
        <w:rPr>
          <w:rFonts w:asciiTheme="minorHAnsi" w:hAnsiTheme="minorHAnsi"/>
          <w:bCs/>
          <w:snapToGrid w:val="0"/>
        </w:rPr>
        <w:t xml:space="preserve"> to their respective dependents and carers. </w:t>
      </w:r>
    </w:p>
    <w:p w:rsidR="00C250C8" w:rsidRPr="00732139" w:rsidRDefault="001721AE" w:rsidP="001721AE">
      <w:pPr>
        <w:pStyle w:val="3-SubsectionHeading"/>
      </w:pPr>
      <w:r w:rsidRPr="00732139">
        <w:t>Clinical trials</w:t>
      </w:r>
    </w:p>
    <w:bookmarkEnd w:id="13"/>
    <w:p w:rsidR="007069CF" w:rsidRPr="00732139" w:rsidRDefault="007069CF" w:rsidP="002E4F02">
      <w:pPr>
        <w:pStyle w:val="ExecSumBodyText"/>
      </w:pPr>
      <w:r w:rsidRPr="00732139">
        <w:rPr>
          <w:snapToGrid/>
        </w:rPr>
        <w:t>The resubmission was based on the following:</w:t>
      </w:r>
    </w:p>
    <w:p w:rsidR="009B3F03" w:rsidRPr="00732139" w:rsidRDefault="009B3F03" w:rsidP="00EF2D64">
      <w:pPr>
        <w:pStyle w:val="ListParagraph"/>
        <w:numPr>
          <w:ilvl w:val="0"/>
          <w:numId w:val="9"/>
        </w:numPr>
        <w:rPr>
          <w:rFonts w:asciiTheme="minorHAnsi" w:hAnsiTheme="minorHAnsi"/>
          <w:snapToGrid w:val="0"/>
        </w:rPr>
      </w:pPr>
      <w:r w:rsidRPr="00732139">
        <w:rPr>
          <w:rFonts w:asciiTheme="minorHAnsi" w:hAnsiTheme="minorHAnsi"/>
          <w:snapToGrid w:val="0"/>
        </w:rPr>
        <w:t xml:space="preserve">Two head-to-head randomised non-inferiority trials comparing ravulizumab to eculizumab, Trial 301 (treatment-naïve patients) and Trial 302 (previously stable on treatment with eculizumab). A supportive post-hoc subgroup analysis of patients meeting eligibility criteria for eculizumab via the LSDP was conducted for patients in Trial 301. </w:t>
      </w:r>
      <w:r w:rsidRPr="00732139">
        <w:rPr>
          <w:rFonts w:asciiTheme="minorHAnsi" w:hAnsiTheme="minorHAnsi"/>
          <w:iCs/>
          <w:snapToGrid w:val="0"/>
        </w:rPr>
        <w:t xml:space="preserve">This was previously considered by the PBAC. </w:t>
      </w:r>
    </w:p>
    <w:p w:rsidR="00680039" w:rsidRPr="00732139" w:rsidRDefault="00680039" w:rsidP="00EF2D64">
      <w:pPr>
        <w:pStyle w:val="ListParagraph"/>
        <w:numPr>
          <w:ilvl w:val="0"/>
          <w:numId w:val="9"/>
        </w:numPr>
        <w:rPr>
          <w:rFonts w:asciiTheme="minorHAnsi" w:hAnsiTheme="minorHAnsi"/>
          <w:snapToGrid w:val="0"/>
        </w:rPr>
      </w:pPr>
      <w:r w:rsidRPr="00732139">
        <w:rPr>
          <w:rFonts w:asciiTheme="minorHAnsi" w:hAnsiTheme="minorHAnsi"/>
          <w:snapToGrid w:val="0"/>
        </w:rPr>
        <w:t xml:space="preserve">Two indirect comparisons of ravulizumab and BSC/placebo were presented, one based on the meta-analysed results of the two ravulizumab trials (Trials 301 and 302) and one placebo-controlled eculizumab trial (TRIUMPH), with eculizumab as a common reference; and a second using the results from Trial 301 only compared to TRIUMPH, with eculizumab as common reference (treatment-naïve population). </w:t>
      </w:r>
      <w:r w:rsidRPr="00732139">
        <w:rPr>
          <w:rFonts w:asciiTheme="minorHAnsi" w:hAnsiTheme="minorHAnsi"/>
          <w:iCs/>
          <w:snapToGrid w:val="0"/>
        </w:rPr>
        <w:t>This was previously considered by the PBAC.</w:t>
      </w:r>
    </w:p>
    <w:p w:rsidR="007F1017" w:rsidRPr="00732139" w:rsidRDefault="00680039" w:rsidP="00EF2D64">
      <w:pPr>
        <w:pStyle w:val="ExecSumBodyText"/>
        <w:numPr>
          <w:ilvl w:val="0"/>
          <w:numId w:val="9"/>
        </w:numPr>
        <w:spacing w:after="0"/>
        <w:ind w:left="1077" w:hanging="357"/>
      </w:pPr>
      <w:r w:rsidRPr="00732139">
        <w:t xml:space="preserve">Additional analyses based on 24-month follow-up data from the extension periods of the key trials (301 and 302) for ravulizumab. </w:t>
      </w:r>
      <w:r w:rsidRPr="00732139">
        <w:rPr>
          <w:iCs/>
        </w:rPr>
        <w:t xml:space="preserve">This has not previously been considered by the PBAC. </w:t>
      </w:r>
    </w:p>
    <w:p w:rsidR="008A4639" w:rsidRPr="00732139" w:rsidRDefault="008A4639" w:rsidP="00EF2D64">
      <w:pPr>
        <w:pStyle w:val="ExecSumBodyText"/>
        <w:numPr>
          <w:ilvl w:val="0"/>
          <w:numId w:val="9"/>
        </w:numPr>
        <w:spacing w:after="0"/>
        <w:ind w:left="1077" w:hanging="357"/>
      </w:pPr>
      <w:r w:rsidRPr="00732139">
        <w:t xml:space="preserve">Eculizumab survival data based on a review and assessment of survival studies considered in the previous ravulizumab submission and in the LSDP review, as well </w:t>
      </w:r>
      <w:r w:rsidRPr="00732139">
        <w:lastRenderedPageBreak/>
        <w:t xml:space="preserve">as new studies identified through literature searches. </w:t>
      </w:r>
      <w:r w:rsidR="00236E3F" w:rsidRPr="00732139">
        <w:rPr>
          <w:iCs/>
        </w:rPr>
        <w:t xml:space="preserve">The review includes </w:t>
      </w:r>
      <w:r w:rsidR="005D4432" w:rsidRPr="00732139">
        <w:rPr>
          <w:iCs/>
        </w:rPr>
        <w:t>data previously considered by the PBAC (in previous eculizumab and ravulizumab submissions) as well as new studies not previously considered by the PBAC.</w:t>
      </w:r>
      <w:r w:rsidR="005D4432" w:rsidRPr="00732139">
        <w:rPr>
          <w:i/>
          <w:iCs/>
        </w:rPr>
        <w:t xml:space="preserve"> </w:t>
      </w:r>
    </w:p>
    <w:p w:rsidR="005D4432" w:rsidRPr="00732139" w:rsidRDefault="007213A2" w:rsidP="00EF2D64">
      <w:pPr>
        <w:pStyle w:val="ExecSumBodyText"/>
        <w:numPr>
          <w:ilvl w:val="0"/>
          <w:numId w:val="9"/>
        </w:numPr>
      </w:pPr>
      <w:r w:rsidRPr="00732139">
        <w:t xml:space="preserve">An unpublished analysis of survival of eculizumab ever-treated patients (Australian cohort and International cohort) versus eculizumab never-treated patients in the International PNH registry, reflecting new data that represent contemporary BSC survival outcomes. These data were used in the base case of the economic model comparing both C5 inhibitors (eculizumab and ravulizumab) versus BSC. </w:t>
      </w:r>
      <w:r w:rsidRPr="00732139">
        <w:rPr>
          <w:iCs/>
        </w:rPr>
        <w:t xml:space="preserve">This has not previously been considered by the PBAC. </w:t>
      </w:r>
    </w:p>
    <w:p w:rsidR="00862502" w:rsidRPr="00732139" w:rsidRDefault="00A73134" w:rsidP="002E4F02">
      <w:pPr>
        <w:pStyle w:val="ExecSumBodyText"/>
      </w:pPr>
      <w:r w:rsidRPr="00732139">
        <w:rPr>
          <w:snapToGrid/>
        </w:rPr>
        <w:t>Details of the</w:t>
      </w:r>
      <w:r w:rsidR="003E12AE" w:rsidRPr="00732139">
        <w:rPr>
          <w:snapToGrid/>
        </w:rPr>
        <w:t xml:space="preserve"> trials presented in the resubmission are provided in the table below. </w:t>
      </w:r>
    </w:p>
    <w:p w:rsidR="0013134E" w:rsidRPr="00732139" w:rsidRDefault="0013134E" w:rsidP="0070012C">
      <w:pPr>
        <w:pStyle w:val="TableFigureCaption"/>
        <w:keepLines/>
      </w:pPr>
      <w:r w:rsidRPr="00732139">
        <w:lastRenderedPageBreak/>
        <w:t>Table 3: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77"/>
        <w:gridCol w:w="6049"/>
        <w:gridCol w:w="1791"/>
      </w:tblGrid>
      <w:tr w:rsidR="0013134E" w:rsidRPr="00732139" w:rsidTr="00495F52">
        <w:trPr>
          <w:tblHeader/>
        </w:trPr>
        <w:tc>
          <w:tcPr>
            <w:tcW w:w="653" w:type="pct"/>
            <w:vAlign w:val="center"/>
          </w:tcPr>
          <w:p w:rsidR="0013134E" w:rsidRPr="00732139" w:rsidRDefault="0013134E" w:rsidP="0070012C">
            <w:pPr>
              <w:pStyle w:val="Tableheadingrow"/>
              <w:keepLines/>
              <w:rPr>
                <w:lang w:val="en-AU"/>
              </w:rPr>
            </w:pPr>
            <w:r w:rsidRPr="00732139">
              <w:rPr>
                <w:lang w:val="en-AU"/>
              </w:rPr>
              <w:t>Trial ID</w:t>
            </w:r>
          </w:p>
        </w:tc>
        <w:tc>
          <w:tcPr>
            <w:tcW w:w="3354" w:type="pct"/>
            <w:vAlign w:val="center"/>
          </w:tcPr>
          <w:p w:rsidR="0013134E" w:rsidRPr="00732139" w:rsidRDefault="0013134E" w:rsidP="0070012C">
            <w:pPr>
              <w:pStyle w:val="Tableheadingrow"/>
              <w:keepLines/>
              <w:rPr>
                <w:lang w:val="en-AU"/>
              </w:rPr>
            </w:pPr>
            <w:r w:rsidRPr="00732139">
              <w:rPr>
                <w:lang w:val="en-AU"/>
              </w:rPr>
              <w:t>Protocol title/ Publication title</w:t>
            </w:r>
          </w:p>
        </w:tc>
        <w:tc>
          <w:tcPr>
            <w:tcW w:w="993" w:type="pct"/>
          </w:tcPr>
          <w:p w:rsidR="0013134E" w:rsidRPr="00732139" w:rsidRDefault="0013134E" w:rsidP="0070012C">
            <w:pPr>
              <w:pStyle w:val="Tableheadingrow"/>
              <w:keepLines/>
              <w:rPr>
                <w:lang w:val="en-AU"/>
              </w:rPr>
            </w:pPr>
            <w:r w:rsidRPr="00732139">
              <w:rPr>
                <w:lang w:val="en-AU"/>
              </w:rPr>
              <w:t>Publication citation</w:t>
            </w:r>
          </w:p>
        </w:tc>
      </w:tr>
      <w:tr w:rsidR="0013134E" w:rsidRPr="00732139" w:rsidTr="00531FF1">
        <w:trPr>
          <w:trHeight w:val="158"/>
        </w:trPr>
        <w:tc>
          <w:tcPr>
            <w:tcW w:w="5000" w:type="pct"/>
            <w:gridSpan w:val="3"/>
          </w:tcPr>
          <w:p w:rsidR="0013134E" w:rsidRPr="00732139" w:rsidRDefault="0013134E" w:rsidP="0070012C">
            <w:pPr>
              <w:pStyle w:val="Tableheadingrow"/>
              <w:keepLines/>
              <w:rPr>
                <w:lang w:val="en-AU"/>
              </w:rPr>
            </w:pPr>
            <w:r w:rsidRPr="00732139">
              <w:rPr>
                <w:lang w:val="en-AU"/>
              </w:rPr>
              <w:t>Ravulizumab vs eculizumab</w:t>
            </w:r>
          </w:p>
        </w:tc>
      </w:tr>
      <w:tr w:rsidR="0013134E" w:rsidRPr="00732139" w:rsidTr="00495F52">
        <w:tc>
          <w:tcPr>
            <w:tcW w:w="653" w:type="pct"/>
            <w:vMerge w:val="restart"/>
            <w:vAlign w:val="center"/>
          </w:tcPr>
          <w:p w:rsidR="0013134E" w:rsidRPr="00732139" w:rsidRDefault="0013134E" w:rsidP="0070012C">
            <w:pPr>
              <w:pStyle w:val="TableText"/>
              <w:keepLines/>
            </w:pPr>
            <w:r w:rsidRPr="00732139">
              <w:t>Trial 301</w:t>
            </w:r>
          </w:p>
          <w:p w:rsidR="0013134E" w:rsidRPr="00732139" w:rsidRDefault="0013134E" w:rsidP="0070012C">
            <w:pPr>
              <w:pStyle w:val="TableText"/>
              <w:keepLines/>
            </w:pPr>
          </w:p>
        </w:tc>
        <w:tc>
          <w:tcPr>
            <w:tcW w:w="3354" w:type="pct"/>
            <w:tcBorders>
              <w:bottom w:val="nil"/>
            </w:tcBorders>
          </w:tcPr>
          <w:p w:rsidR="0013134E" w:rsidRPr="00732139" w:rsidRDefault="0013134E" w:rsidP="0070012C">
            <w:pPr>
              <w:pStyle w:val="TableText"/>
              <w:keepLines/>
              <w:rPr>
                <w:shd w:val="clear" w:color="auto" w:fill="FFFFFF"/>
              </w:rPr>
            </w:pPr>
            <w:r w:rsidRPr="00732139">
              <w:rPr>
                <w:shd w:val="clear" w:color="auto" w:fill="FFFFFF"/>
              </w:rPr>
              <w:t>CSR ALXN1210-PNH-301</w:t>
            </w:r>
            <w:r w:rsidR="00EF1A38" w:rsidRPr="00732139">
              <w:rPr>
                <w:shd w:val="clear" w:color="auto" w:fill="FFFFFF"/>
              </w:rPr>
              <w:t>.</w:t>
            </w:r>
            <w:r w:rsidRPr="00732139">
              <w:rPr>
                <w:shd w:val="clear" w:color="auto" w:fill="FFFFFF"/>
              </w:rPr>
              <w:t xml:space="preserve"> A Phase 3, Randomized, Open-Label, Active-Controlled Study Of ALXN1210 Versus Eculizumab In Complement Inhibitor-Naive Adult Patients With Paroxysmal Nocturnal Haemoglobinuria (PNH)</w:t>
            </w:r>
          </w:p>
        </w:tc>
        <w:tc>
          <w:tcPr>
            <w:tcW w:w="993" w:type="pct"/>
            <w:tcBorders>
              <w:bottom w:val="nil"/>
            </w:tcBorders>
          </w:tcPr>
          <w:p w:rsidR="0013134E" w:rsidRPr="00732139" w:rsidRDefault="0013134E" w:rsidP="0070012C">
            <w:pPr>
              <w:pStyle w:val="TableText"/>
              <w:keepLines/>
            </w:pPr>
            <w:r w:rsidRPr="00732139">
              <w:t>May 2018</w:t>
            </w:r>
          </w:p>
        </w:tc>
      </w:tr>
      <w:tr w:rsidR="0013134E" w:rsidRPr="00732139" w:rsidTr="00495F52">
        <w:tc>
          <w:tcPr>
            <w:tcW w:w="653" w:type="pct"/>
            <w:vMerge/>
            <w:vAlign w:val="center"/>
          </w:tcPr>
          <w:p w:rsidR="0013134E" w:rsidRPr="00732139" w:rsidRDefault="0013134E" w:rsidP="0070012C">
            <w:pPr>
              <w:pStyle w:val="TableText"/>
              <w:keepLines/>
            </w:pPr>
          </w:p>
        </w:tc>
        <w:tc>
          <w:tcPr>
            <w:tcW w:w="3354" w:type="pct"/>
            <w:tcBorders>
              <w:top w:val="nil"/>
              <w:bottom w:val="nil"/>
            </w:tcBorders>
          </w:tcPr>
          <w:p w:rsidR="0013134E" w:rsidRPr="00732139" w:rsidRDefault="0013134E" w:rsidP="0070012C">
            <w:pPr>
              <w:keepNext/>
              <w:keepLines/>
              <w:autoSpaceDE w:val="0"/>
              <w:autoSpaceDN w:val="0"/>
              <w:adjustRightInd w:val="0"/>
              <w:rPr>
                <w:rFonts w:ascii="Arial Narrow" w:hAnsi="Arial Narrow"/>
                <w:color w:val="222222"/>
                <w:sz w:val="20"/>
                <w:shd w:val="clear" w:color="auto" w:fill="FFFFFF"/>
              </w:rPr>
            </w:pPr>
            <w:r w:rsidRPr="00732139">
              <w:rPr>
                <w:rFonts w:ascii="Arial Narrow" w:hAnsi="Arial Narrow"/>
                <w:color w:val="222222"/>
                <w:sz w:val="20"/>
                <w:shd w:val="clear" w:color="auto" w:fill="FFFFFF"/>
              </w:rPr>
              <w:t>CSR ALXN1210-PNH-301</w:t>
            </w:r>
            <w:r w:rsidR="00EF1A38" w:rsidRPr="00732139">
              <w:rPr>
                <w:rFonts w:ascii="Arial Narrow" w:hAnsi="Arial Narrow"/>
                <w:color w:val="222222"/>
                <w:sz w:val="20"/>
                <w:shd w:val="clear" w:color="auto" w:fill="FFFFFF"/>
              </w:rPr>
              <w:t xml:space="preserve">. </w:t>
            </w:r>
            <w:r w:rsidRPr="00732139">
              <w:rPr>
                <w:rFonts w:ascii="Arial Narrow" w:hAnsi="Arial Narrow"/>
                <w:color w:val="222222"/>
                <w:sz w:val="20"/>
                <w:shd w:val="clear" w:color="auto" w:fill="FFFFFF"/>
              </w:rPr>
              <w:t xml:space="preserve">A phase 3, randomized, open-label, active-controlled study of ALXN1210 versus eculizumab in complement inhibitor-naive adult patients with paroxysmal nocturnal haemoglobinuria (PNH) </w:t>
            </w:r>
          </w:p>
          <w:p w:rsidR="0013134E" w:rsidRPr="00732139" w:rsidRDefault="0013134E" w:rsidP="0070012C">
            <w:pPr>
              <w:pStyle w:val="TableText"/>
              <w:keepLines/>
              <w:rPr>
                <w:szCs w:val="18"/>
              </w:rPr>
            </w:pPr>
            <w:r w:rsidRPr="00732139">
              <w:rPr>
                <w:rFonts w:cs="Arial"/>
                <w:color w:val="222222"/>
                <w:shd w:val="clear" w:color="auto" w:fill="FFFFFF"/>
              </w:rPr>
              <w:t>Addendum to clinical study report (52-week data update)</w:t>
            </w:r>
          </w:p>
        </w:tc>
        <w:tc>
          <w:tcPr>
            <w:tcW w:w="993" w:type="pct"/>
            <w:tcBorders>
              <w:top w:val="nil"/>
              <w:bottom w:val="nil"/>
            </w:tcBorders>
          </w:tcPr>
          <w:p w:rsidR="0013134E" w:rsidRPr="00732139" w:rsidRDefault="0013134E" w:rsidP="0070012C">
            <w:pPr>
              <w:pStyle w:val="TableText"/>
              <w:keepLines/>
              <w:rPr>
                <w:szCs w:val="18"/>
              </w:rPr>
            </w:pPr>
            <w:r w:rsidRPr="00732139">
              <w:rPr>
                <w:szCs w:val="18"/>
              </w:rPr>
              <w:t>May 2019</w:t>
            </w:r>
          </w:p>
        </w:tc>
      </w:tr>
      <w:tr w:rsidR="0013134E" w:rsidRPr="00732139" w:rsidTr="00495F52">
        <w:tc>
          <w:tcPr>
            <w:tcW w:w="653" w:type="pct"/>
            <w:vMerge/>
            <w:vAlign w:val="center"/>
          </w:tcPr>
          <w:p w:rsidR="0013134E" w:rsidRPr="00732139" w:rsidRDefault="0013134E" w:rsidP="0070012C">
            <w:pPr>
              <w:pStyle w:val="TableText"/>
              <w:keepLines/>
            </w:pPr>
          </w:p>
        </w:tc>
        <w:tc>
          <w:tcPr>
            <w:tcW w:w="3354" w:type="pct"/>
            <w:tcBorders>
              <w:top w:val="nil"/>
              <w:bottom w:val="nil"/>
            </w:tcBorders>
          </w:tcPr>
          <w:p w:rsidR="0013134E" w:rsidRPr="00732139" w:rsidRDefault="0013134E" w:rsidP="0070012C">
            <w:pPr>
              <w:pStyle w:val="TableText"/>
              <w:keepLines/>
              <w:rPr>
                <w:szCs w:val="18"/>
              </w:rPr>
            </w:pPr>
            <w:r w:rsidRPr="00732139">
              <w:rPr>
                <w:rFonts w:cs="Arial"/>
                <w:color w:val="222222"/>
                <w:shd w:val="clear" w:color="auto" w:fill="FFFFFF"/>
              </w:rPr>
              <w:t>Lee JW, de Fontbrune FS et al. Ravulizumab (ALXN1210) vs eculizumab in adult patients with PNH naive to complement inhibitors: the 301 study.</w:t>
            </w:r>
          </w:p>
        </w:tc>
        <w:tc>
          <w:tcPr>
            <w:tcW w:w="993" w:type="pct"/>
            <w:tcBorders>
              <w:top w:val="nil"/>
              <w:bottom w:val="nil"/>
            </w:tcBorders>
          </w:tcPr>
          <w:p w:rsidR="0013134E" w:rsidRPr="00732139" w:rsidRDefault="0013134E" w:rsidP="0070012C">
            <w:pPr>
              <w:pStyle w:val="TableText"/>
              <w:keepLines/>
              <w:rPr>
                <w:i/>
                <w:szCs w:val="18"/>
              </w:rPr>
            </w:pPr>
            <w:r w:rsidRPr="00732139">
              <w:rPr>
                <w:rFonts w:cs="Arial"/>
                <w:i/>
                <w:iCs/>
                <w:color w:val="222222"/>
                <w:shd w:val="clear" w:color="auto" w:fill="FFFFFF"/>
              </w:rPr>
              <w:t>Blood</w:t>
            </w:r>
            <w:r w:rsidRPr="00732139">
              <w:rPr>
                <w:rFonts w:cs="Arial"/>
                <w:color w:val="222222"/>
                <w:shd w:val="clear" w:color="auto" w:fill="FFFFFF"/>
              </w:rPr>
              <w:t> 2019; 133(6): 530-539</w:t>
            </w:r>
          </w:p>
        </w:tc>
      </w:tr>
      <w:tr w:rsidR="0013134E" w:rsidRPr="00732139" w:rsidTr="00495F52">
        <w:tc>
          <w:tcPr>
            <w:tcW w:w="653" w:type="pct"/>
            <w:vMerge/>
            <w:tcBorders>
              <w:bottom w:val="nil"/>
            </w:tcBorders>
            <w:vAlign w:val="center"/>
          </w:tcPr>
          <w:p w:rsidR="0013134E" w:rsidRPr="00732139" w:rsidRDefault="0013134E" w:rsidP="0070012C">
            <w:pPr>
              <w:pStyle w:val="TableText"/>
              <w:keepLines/>
            </w:pPr>
          </w:p>
        </w:tc>
        <w:tc>
          <w:tcPr>
            <w:tcW w:w="3354" w:type="pct"/>
            <w:tcBorders>
              <w:top w:val="nil"/>
              <w:bottom w:val="nil"/>
            </w:tcBorders>
          </w:tcPr>
          <w:p w:rsidR="0013134E" w:rsidRPr="00732139" w:rsidRDefault="0013134E" w:rsidP="0070012C">
            <w:pPr>
              <w:pStyle w:val="TableText"/>
              <w:keepLines/>
              <w:rPr>
                <w:rFonts w:cs="Arial"/>
              </w:rPr>
            </w:pPr>
            <w:r w:rsidRPr="00732139">
              <w:rPr>
                <w:rFonts w:cs="Arial"/>
              </w:rPr>
              <w:t>Lee JW, Bachman ES, et al. Immediate, complete and sustained inhibition of C5 with ALXN1210 reduces complement-mediated hemolysis in patients with paroxysmal nocturnal hemoglobinuria (PNH): Interim analysis of a dose-escalation study.</w:t>
            </w:r>
          </w:p>
          <w:p w:rsidR="0013134E" w:rsidRPr="00732139" w:rsidRDefault="0013134E" w:rsidP="0070012C">
            <w:pPr>
              <w:pStyle w:val="TableText"/>
              <w:keepLines/>
              <w:rPr>
                <w:szCs w:val="18"/>
              </w:rPr>
            </w:pPr>
            <w:r w:rsidRPr="00732139">
              <w:rPr>
                <w:szCs w:val="18"/>
              </w:rPr>
              <w:t>Schrezenmeier H, Gandhi S, Kulasekararaj A, et al. One-year efficacy of ravulizumab (ALXN1210) in adult patients with paroxysmal nocturnal hemoglobinuria naive to complement inhibitors</w:t>
            </w:r>
          </w:p>
          <w:p w:rsidR="0013134E" w:rsidRPr="00732139" w:rsidRDefault="0013134E" w:rsidP="0070012C">
            <w:pPr>
              <w:pStyle w:val="TableText"/>
              <w:keepLines/>
              <w:rPr>
                <w:szCs w:val="18"/>
              </w:rPr>
            </w:pPr>
            <w:r w:rsidRPr="00732139">
              <w:rPr>
                <w:szCs w:val="18"/>
              </w:rPr>
              <w:t xml:space="preserve">Schrezenmeier H, Kulasekararaj A, Mitchell L, et al. One-year efficacy and safety of ravulizumab in adults with paroxysmal nocturnal hemoglobinuria naïve to complement inhibitor therapy: open-label extension of a randomized study. </w:t>
            </w:r>
          </w:p>
        </w:tc>
        <w:tc>
          <w:tcPr>
            <w:tcW w:w="993" w:type="pct"/>
            <w:tcBorders>
              <w:top w:val="nil"/>
              <w:bottom w:val="nil"/>
            </w:tcBorders>
          </w:tcPr>
          <w:p w:rsidR="0013134E" w:rsidRPr="00732139" w:rsidRDefault="0013134E" w:rsidP="0070012C">
            <w:pPr>
              <w:pStyle w:val="TableText"/>
              <w:keepLines/>
              <w:rPr>
                <w:szCs w:val="18"/>
              </w:rPr>
            </w:pPr>
            <w:r w:rsidRPr="00732139">
              <w:rPr>
                <w:i/>
                <w:szCs w:val="18"/>
              </w:rPr>
              <w:t>Blood</w:t>
            </w:r>
            <w:r w:rsidRPr="00732139">
              <w:rPr>
                <w:szCs w:val="18"/>
              </w:rPr>
              <w:t xml:space="preserve"> 2016; 128:2428</w:t>
            </w:r>
          </w:p>
          <w:p w:rsidR="0013134E" w:rsidRPr="00732139" w:rsidRDefault="0013134E" w:rsidP="0070012C">
            <w:pPr>
              <w:pStyle w:val="TableText"/>
              <w:keepLines/>
              <w:rPr>
                <w:i/>
                <w:szCs w:val="18"/>
              </w:rPr>
            </w:pPr>
          </w:p>
          <w:p w:rsidR="0013134E" w:rsidRPr="00732139" w:rsidRDefault="0013134E" w:rsidP="0070012C">
            <w:pPr>
              <w:pStyle w:val="TableText"/>
              <w:keepLines/>
              <w:rPr>
                <w:i/>
                <w:szCs w:val="18"/>
              </w:rPr>
            </w:pPr>
          </w:p>
          <w:p w:rsidR="0013134E" w:rsidRPr="00732139" w:rsidRDefault="0013134E" w:rsidP="0070012C">
            <w:pPr>
              <w:pStyle w:val="TableText"/>
              <w:keepLines/>
              <w:rPr>
                <w:i/>
                <w:szCs w:val="18"/>
              </w:rPr>
            </w:pPr>
          </w:p>
          <w:p w:rsidR="0013134E" w:rsidRPr="00732139" w:rsidRDefault="0013134E" w:rsidP="0070012C">
            <w:pPr>
              <w:pStyle w:val="TableText"/>
              <w:keepLines/>
              <w:rPr>
                <w:iCs/>
                <w:szCs w:val="18"/>
              </w:rPr>
            </w:pPr>
            <w:r w:rsidRPr="00732139">
              <w:rPr>
                <w:iCs/>
                <w:szCs w:val="18"/>
              </w:rPr>
              <w:t>British Journal of Haematology 2020b; 189:137-8</w:t>
            </w:r>
          </w:p>
          <w:p w:rsidR="0013134E" w:rsidRPr="00732139" w:rsidRDefault="0013134E" w:rsidP="0070012C">
            <w:pPr>
              <w:pStyle w:val="TableText"/>
              <w:keepLines/>
              <w:rPr>
                <w:iCs/>
                <w:szCs w:val="18"/>
              </w:rPr>
            </w:pPr>
            <w:r w:rsidRPr="00732139">
              <w:rPr>
                <w:i/>
                <w:szCs w:val="18"/>
              </w:rPr>
              <w:t>Therapeutic Advances in Hematology</w:t>
            </w:r>
            <w:r w:rsidRPr="00732139">
              <w:rPr>
                <w:iCs/>
                <w:szCs w:val="18"/>
              </w:rPr>
              <w:t xml:space="preserve"> 2020c; 11</w:t>
            </w:r>
          </w:p>
        </w:tc>
      </w:tr>
      <w:tr w:rsidR="0013134E" w:rsidRPr="00732139" w:rsidTr="00495F52">
        <w:tc>
          <w:tcPr>
            <w:tcW w:w="653" w:type="pct"/>
            <w:vMerge w:val="restart"/>
            <w:vAlign w:val="center"/>
          </w:tcPr>
          <w:p w:rsidR="0013134E" w:rsidRPr="00732139" w:rsidRDefault="0013134E" w:rsidP="0070012C">
            <w:pPr>
              <w:pStyle w:val="TableText"/>
              <w:keepLines/>
            </w:pPr>
            <w:r w:rsidRPr="00732139">
              <w:t>Trial 302</w:t>
            </w:r>
          </w:p>
          <w:p w:rsidR="0013134E" w:rsidRPr="00732139" w:rsidRDefault="0013134E" w:rsidP="0070012C">
            <w:pPr>
              <w:pStyle w:val="TableText"/>
              <w:keepLines/>
            </w:pPr>
          </w:p>
        </w:tc>
        <w:tc>
          <w:tcPr>
            <w:tcW w:w="3354" w:type="pct"/>
            <w:tcBorders>
              <w:bottom w:val="nil"/>
            </w:tcBorders>
          </w:tcPr>
          <w:p w:rsidR="0013134E" w:rsidRPr="00732139" w:rsidRDefault="0013134E" w:rsidP="0070012C">
            <w:pPr>
              <w:pStyle w:val="TableText"/>
              <w:keepLines/>
              <w:rPr>
                <w:rFonts w:cs="Arial"/>
                <w:color w:val="222222"/>
                <w:shd w:val="clear" w:color="auto" w:fill="FFFFFF"/>
              </w:rPr>
            </w:pPr>
            <w:r w:rsidRPr="00732139">
              <w:rPr>
                <w:rFonts w:cs="Arial"/>
                <w:color w:val="222222"/>
                <w:shd w:val="clear" w:color="auto" w:fill="FFFFFF"/>
              </w:rPr>
              <w:t>CSR ALXN1210-PNH-302</w:t>
            </w:r>
            <w:r w:rsidR="00D644F3" w:rsidRPr="00732139">
              <w:rPr>
                <w:rFonts w:cs="Arial"/>
                <w:color w:val="222222"/>
                <w:shd w:val="clear" w:color="auto" w:fill="FFFFFF"/>
              </w:rPr>
              <w:t xml:space="preserve">. </w:t>
            </w:r>
            <w:r w:rsidRPr="00732139">
              <w:rPr>
                <w:rFonts w:cs="Arial"/>
                <w:color w:val="222222"/>
                <w:shd w:val="clear" w:color="auto" w:fill="FFFFFF"/>
              </w:rPr>
              <w:t xml:space="preserve">A Phase 3, Randomized, Open-Label, Active-Controlled Study Of ALXN1210 Versus Eculizumab In Adult Patients With Paroxysmal Nocturnal Haemoglobinuria (PNH) Currently Treated With Eculizumab. </w:t>
            </w:r>
          </w:p>
        </w:tc>
        <w:tc>
          <w:tcPr>
            <w:tcW w:w="993" w:type="pct"/>
            <w:tcBorders>
              <w:bottom w:val="nil"/>
            </w:tcBorders>
          </w:tcPr>
          <w:p w:rsidR="0013134E" w:rsidRPr="00732139" w:rsidRDefault="0013134E" w:rsidP="0070012C">
            <w:pPr>
              <w:pStyle w:val="TableText"/>
              <w:keepLines/>
            </w:pPr>
            <w:r w:rsidRPr="00732139">
              <w:t>May 2018</w:t>
            </w:r>
          </w:p>
        </w:tc>
      </w:tr>
      <w:tr w:rsidR="0013134E" w:rsidRPr="00732139" w:rsidTr="00495F52">
        <w:tc>
          <w:tcPr>
            <w:tcW w:w="653" w:type="pct"/>
            <w:vMerge/>
            <w:vAlign w:val="center"/>
          </w:tcPr>
          <w:p w:rsidR="0013134E" w:rsidRPr="00732139" w:rsidRDefault="0013134E" w:rsidP="0070012C">
            <w:pPr>
              <w:pStyle w:val="TableText"/>
              <w:keepLines/>
            </w:pPr>
          </w:p>
        </w:tc>
        <w:tc>
          <w:tcPr>
            <w:tcW w:w="3354" w:type="pct"/>
            <w:tcBorders>
              <w:top w:val="nil"/>
              <w:bottom w:val="nil"/>
            </w:tcBorders>
          </w:tcPr>
          <w:p w:rsidR="0013134E" w:rsidRPr="00732139" w:rsidRDefault="0013134E" w:rsidP="0070012C">
            <w:pPr>
              <w:pStyle w:val="TableText"/>
              <w:keepLines/>
              <w:rPr>
                <w:rFonts w:cs="Arial"/>
                <w:color w:val="222222"/>
                <w:shd w:val="clear" w:color="auto" w:fill="FFFFFF"/>
              </w:rPr>
            </w:pPr>
            <w:r w:rsidRPr="00732139">
              <w:rPr>
                <w:rFonts w:cs="Arial"/>
                <w:color w:val="222222"/>
                <w:shd w:val="clear" w:color="auto" w:fill="FFFFFF"/>
              </w:rPr>
              <w:t>CSR ALXN1210-PNH-302</w:t>
            </w:r>
            <w:r w:rsidR="00D644F3" w:rsidRPr="00732139">
              <w:rPr>
                <w:rFonts w:cs="Arial"/>
                <w:color w:val="222222"/>
                <w:shd w:val="clear" w:color="auto" w:fill="FFFFFF"/>
              </w:rPr>
              <w:t xml:space="preserve">. </w:t>
            </w:r>
            <w:r w:rsidRPr="00732139">
              <w:rPr>
                <w:rFonts w:cs="Arial"/>
                <w:color w:val="222222"/>
                <w:shd w:val="clear" w:color="auto" w:fill="FFFFFF"/>
              </w:rPr>
              <w:t>A phase 3, randomized, open-label, active-controlled study of ALXN1210 versus eculizumab in adult patients with paroxysmal nocturnal haemoglobinuria (PNH) currently treated with eculizumab. Addendum to clinical study report (52-week data update)</w:t>
            </w:r>
          </w:p>
        </w:tc>
        <w:tc>
          <w:tcPr>
            <w:tcW w:w="993" w:type="pct"/>
            <w:tcBorders>
              <w:top w:val="nil"/>
              <w:bottom w:val="nil"/>
            </w:tcBorders>
          </w:tcPr>
          <w:p w:rsidR="0013134E" w:rsidRPr="00732139" w:rsidRDefault="0013134E" w:rsidP="0070012C">
            <w:pPr>
              <w:pStyle w:val="TableText"/>
              <w:keepLines/>
            </w:pPr>
            <w:r w:rsidRPr="00732139">
              <w:rPr>
                <w:szCs w:val="18"/>
              </w:rPr>
              <w:t>May 2019</w:t>
            </w:r>
          </w:p>
        </w:tc>
      </w:tr>
      <w:tr w:rsidR="0013134E" w:rsidRPr="00732139" w:rsidTr="00495F52">
        <w:tc>
          <w:tcPr>
            <w:tcW w:w="653" w:type="pct"/>
            <w:vMerge/>
            <w:vAlign w:val="center"/>
          </w:tcPr>
          <w:p w:rsidR="0013134E" w:rsidRPr="00732139" w:rsidRDefault="0013134E" w:rsidP="0070012C">
            <w:pPr>
              <w:pStyle w:val="TableText"/>
              <w:keepLines/>
            </w:pPr>
          </w:p>
        </w:tc>
        <w:tc>
          <w:tcPr>
            <w:tcW w:w="3354" w:type="pct"/>
            <w:tcBorders>
              <w:top w:val="nil"/>
              <w:bottom w:val="nil"/>
            </w:tcBorders>
          </w:tcPr>
          <w:p w:rsidR="0013134E" w:rsidRPr="00732139" w:rsidRDefault="0013134E" w:rsidP="0070012C">
            <w:pPr>
              <w:pStyle w:val="TableText"/>
              <w:keepLines/>
              <w:rPr>
                <w:rFonts w:cs="Arial"/>
                <w:color w:val="222222"/>
                <w:shd w:val="clear" w:color="auto" w:fill="FFFFFF"/>
              </w:rPr>
            </w:pPr>
            <w:r w:rsidRPr="00732139">
              <w:rPr>
                <w:rFonts w:cs="Arial"/>
                <w:color w:val="222222"/>
                <w:shd w:val="clear" w:color="auto" w:fill="FFFFFF"/>
              </w:rPr>
              <w:t>Kulasekararaj, A., et al. One-Year Efficacy and Safety from a Phase 3 Trial of Ravulizumab in Adult Patients with Paroxysmal Nocturnal Haemoglobinuria Receiving Prior Eculizumab Treatment.</w:t>
            </w:r>
          </w:p>
        </w:tc>
        <w:tc>
          <w:tcPr>
            <w:tcW w:w="993" w:type="pct"/>
            <w:tcBorders>
              <w:top w:val="nil"/>
              <w:bottom w:val="nil"/>
            </w:tcBorders>
          </w:tcPr>
          <w:p w:rsidR="0013134E" w:rsidRPr="00732139" w:rsidRDefault="0013134E" w:rsidP="0070012C">
            <w:pPr>
              <w:pStyle w:val="TableText"/>
              <w:keepLines/>
              <w:rPr>
                <w:i/>
                <w:szCs w:val="18"/>
              </w:rPr>
            </w:pPr>
            <w:r w:rsidRPr="00732139">
              <w:rPr>
                <w:rFonts w:cs="Arial"/>
                <w:i/>
                <w:color w:val="222222"/>
                <w:shd w:val="clear" w:color="auto" w:fill="FFFFFF"/>
              </w:rPr>
              <w:t>Blood</w:t>
            </w:r>
            <w:r w:rsidRPr="00732139">
              <w:rPr>
                <w:rFonts w:cs="Arial"/>
                <w:color w:val="222222"/>
                <w:shd w:val="clear" w:color="auto" w:fill="FFFFFF"/>
              </w:rPr>
              <w:t xml:space="preserve"> 2019; 134 (Supplement 1): 2231</w:t>
            </w:r>
          </w:p>
        </w:tc>
      </w:tr>
      <w:tr w:rsidR="0013134E" w:rsidRPr="00732139" w:rsidTr="00495F52">
        <w:tc>
          <w:tcPr>
            <w:tcW w:w="653" w:type="pct"/>
            <w:vMerge/>
            <w:tcBorders>
              <w:bottom w:val="nil"/>
            </w:tcBorders>
            <w:vAlign w:val="center"/>
          </w:tcPr>
          <w:p w:rsidR="0013134E" w:rsidRPr="00732139" w:rsidRDefault="0013134E" w:rsidP="0070012C">
            <w:pPr>
              <w:pStyle w:val="TableText"/>
              <w:keepLines/>
            </w:pPr>
          </w:p>
        </w:tc>
        <w:tc>
          <w:tcPr>
            <w:tcW w:w="3354" w:type="pct"/>
            <w:tcBorders>
              <w:top w:val="nil"/>
              <w:bottom w:val="single" w:sz="4" w:space="0" w:color="auto"/>
            </w:tcBorders>
          </w:tcPr>
          <w:p w:rsidR="0013134E" w:rsidRPr="00732139" w:rsidRDefault="0013134E" w:rsidP="0070012C">
            <w:pPr>
              <w:pStyle w:val="TableText"/>
              <w:keepLines/>
              <w:rPr>
                <w:rFonts w:cs="Arial"/>
                <w:color w:val="222222"/>
                <w:shd w:val="clear" w:color="auto" w:fill="FFFFFF"/>
              </w:rPr>
            </w:pPr>
            <w:r w:rsidRPr="00732139">
              <w:rPr>
                <w:rFonts w:cs="Arial"/>
                <w:color w:val="222222"/>
                <w:shd w:val="clear" w:color="auto" w:fill="FFFFFF"/>
              </w:rPr>
              <w:t>Kulasekararaj AG, Hill A, et al. Ravulizumab (ALXN1210) vs eculizumab in C5-inhibitor-experienced adult patients with PNH: The 302 study.</w:t>
            </w:r>
          </w:p>
          <w:p w:rsidR="0013134E" w:rsidRPr="00732139" w:rsidRDefault="0013134E" w:rsidP="0070012C">
            <w:pPr>
              <w:pStyle w:val="TableText"/>
              <w:keepLines/>
              <w:rPr>
                <w:rFonts w:cs="Arial"/>
                <w:color w:val="222222"/>
                <w:shd w:val="clear" w:color="auto" w:fill="FFFFFF"/>
              </w:rPr>
            </w:pPr>
            <w:r w:rsidRPr="00732139">
              <w:rPr>
                <w:rFonts w:cs="Arial"/>
                <w:color w:val="222222"/>
                <w:shd w:val="clear" w:color="auto" w:fill="FFFFFF"/>
              </w:rPr>
              <w:t>Kulasekararaj A, Mitchell L, Hill A, et al. One-year efficacy and safety from a phase 3 trial of ravulizumab in adult patients with paroxysmal nocturnal hemoglobinuria receiving prior eculizumab treatment.</w:t>
            </w:r>
          </w:p>
          <w:p w:rsidR="0013134E" w:rsidRPr="00732139" w:rsidRDefault="0013134E" w:rsidP="0070012C">
            <w:pPr>
              <w:pStyle w:val="TableText"/>
              <w:keepLines/>
              <w:rPr>
                <w:rFonts w:cs="Arial"/>
                <w:color w:val="222222"/>
                <w:shd w:val="clear" w:color="auto" w:fill="FFFFFF"/>
              </w:rPr>
            </w:pPr>
            <w:r w:rsidRPr="00732139">
              <w:rPr>
                <w:rFonts w:cs="Arial"/>
                <w:color w:val="222222"/>
                <w:shd w:val="clear" w:color="auto" w:fill="FFFFFF"/>
              </w:rPr>
              <w:t>Peipert JD, Kulasekararaj AG, Gaya A, et al. Patient preferences and quality of life implications of ravulizumab (every 8 weeks) and eculizumab (every 2 weeks) for the treatment of paroxysmal nocturnal hemoglobinuria.</w:t>
            </w:r>
          </w:p>
        </w:tc>
        <w:tc>
          <w:tcPr>
            <w:tcW w:w="993" w:type="pct"/>
            <w:tcBorders>
              <w:top w:val="nil"/>
              <w:bottom w:val="single" w:sz="4" w:space="0" w:color="auto"/>
            </w:tcBorders>
          </w:tcPr>
          <w:p w:rsidR="0013134E" w:rsidRPr="00732139" w:rsidRDefault="0013134E" w:rsidP="0070012C">
            <w:pPr>
              <w:pStyle w:val="TableText"/>
              <w:keepLines/>
              <w:rPr>
                <w:rFonts w:cs="Arial"/>
                <w:color w:val="222222"/>
                <w:shd w:val="clear" w:color="auto" w:fill="FFFFFF"/>
              </w:rPr>
            </w:pPr>
            <w:r w:rsidRPr="00732139">
              <w:rPr>
                <w:rFonts w:cs="Arial"/>
                <w:i/>
                <w:color w:val="222222"/>
                <w:shd w:val="clear" w:color="auto" w:fill="FFFFFF"/>
              </w:rPr>
              <w:t>Blood</w:t>
            </w:r>
            <w:r w:rsidRPr="00732139">
              <w:rPr>
                <w:rFonts w:cs="Arial"/>
                <w:color w:val="222222"/>
                <w:shd w:val="clear" w:color="auto" w:fill="FFFFFF"/>
              </w:rPr>
              <w:t xml:space="preserve"> 2019; 133(6): 540-549.</w:t>
            </w:r>
          </w:p>
          <w:p w:rsidR="0013134E" w:rsidRPr="00732139" w:rsidRDefault="0013134E" w:rsidP="0070012C">
            <w:pPr>
              <w:pStyle w:val="TableText"/>
              <w:keepLines/>
            </w:pPr>
            <w:r w:rsidRPr="00732139">
              <w:rPr>
                <w:i/>
                <w:iCs/>
              </w:rPr>
              <w:t>British Journal of Haematology</w:t>
            </w:r>
            <w:r w:rsidRPr="00732139">
              <w:t xml:space="preserve"> 2020; 189:138-9</w:t>
            </w:r>
          </w:p>
          <w:p w:rsidR="0013134E" w:rsidRPr="00732139" w:rsidRDefault="0013134E" w:rsidP="0070012C">
            <w:pPr>
              <w:pStyle w:val="TableText"/>
              <w:keepLines/>
            </w:pPr>
            <w:r w:rsidRPr="00732139">
              <w:rPr>
                <w:i/>
                <w:iCs/>
              </w:rPr>
              <w:t>PLoS ONE</w:t>
            </w:r>
            <w:r w:rsidRPr="00732139">
              <w:t xml:space="preserve"> 2020; 15 (9 September)</w:t>
            </w:r>
          </w:p>
        </w:tc>
      </w:tr>
      <w:tr w:rsidR="0013134E" w:rsidRPr="00732139" w:rsidTr="00531FF1">
        <w:tc>
          <w:tcPr>
            <w:tcW w:w="5000" w:type="pct"/>
            <w:gridSpan w:val="3"/>
            <w:tcBorders>
              <w:top w:val="single" w:sz="4" w:space="0" w:color="auto"/>
            </w:tcBorders>
          </w:tcPr>
          <w:p w:rsidR="0013134E" w:rsidRPr="00732139" w:rsidRDefault="0013134E" w:rsidP="0070012C">
            <w:pPr>
              <w:pStyle w:val="TableText"/>
              <w:keepLines/>
            </w:pPr>
            <w:r w:rsidRPr="00732139">
              <w:rPr>
                <w:b/>
              </w:rPr>
              <w:t>Eculizumab vs BSC/placebo</w:t>
            </w:r>
          </w:p>
        </w:tc>
      </w:tr>
      <w:tr w:rsidR="0013134E" w:rsidRPr="00732139" w:rsidTr="00495F52">
        <w:tc>
          <w:tcPr>
            <w:tcW w:w="653" w:type="pct"/>
            <w:vMerge w:val="restart"/>
            <w:vAlign w:val="center"/>
          </w:tcPr>
          <w:p w:rsidR="0013134E" w:rsidRPr="00732139" w:rsidRDefault="0013134E" w:rsidP="0070012C">
            <w:pPr>
              <w:pStyle w:val="TableText"/>
              <w:keepLines/>
            </w:pPr>
            <w:r w:rsidRPr="00732139">
              <w:t>TRIUMPH</w:t>
            </w:r>
          </w:p>
        </w:tc>
        <w:tc>
          <w:tcPr>
            <w:tcW w:w="3354" w:type="pct"/>
            <w:tcBorders>
              <w:bottom w:val="nil"/>
            </w:tcBorders>
          </w:tcPr>
          <w:p w:rsidR="0013134E" w:rsidRPr="00732139" w:rsidRDefault="0013134E" w:rsidP="0070012C">
            <w:pPr>
              <w:pStyle w:val="TableText"/>
              <w:keepLines/>
            </w:pPr>
            <w:r w:rsidRPr="00732139">
              <w:rPr>
                <w:rFonts w:cs="Arial"/>
                <w:color w:val="222222"/>
                <w:shd w:val="clear" w:color="auto" w:fill="FFFFFF"/>
              </w:rPr>
              <w:t>CSR C04-001. TRIUMPH: A Haemoglobin Stabilization and Transfusion Reduction Efficacy and Safety Clinical Investigation, Randomized, Multicenter, Double-Blind, Placebo-Controlled, Using Eculizumab in Paroxysmal Nocturnal Haemoglobinuria Patients</w:t>
            </w:r>
          </w:p>
        </w:tc>
        <w:tc>
          <w:tcPr>
            <w:tcW w:w="993" w:type="pct"/>
            <w:tcBorders>
              <w:bottom w:val="nil"/>
            </w:tcBorders>
          </w:tcPr>
          <w:p w:rsidR="0013134E" w:rsidRPr="00732139" w:rsidRDefault="0013134E" w:rsidP="0070012C">
            <w:pPr>
              <w:pStyle w:val="TableText"/>
              <w:keepLines/>
            </w:pPr>
            <w:r w:rsidRPr="00732139">
              <w:t>July 2006</w:t>
            </w:r>
          </w:p>
        </w:tc>
      </w:tr>
      <w:tr w:rsidR="0013134E" w:rsidRPr="00732139" w:rsidTr="00495F52">
        <w:tc>
          <w:tcPr>
            <w:tcW w:w="653" w:type="pct"/>
            <w:vMerge/>
            <w:vAlign w:val="center"/>
          </w:tcPr>
          <w:p w:rsidR="0013134E" w:rsidRPr="00732139" w:rsidRDefault="0013134E" w:rsidP="0070012C">
            <w:pPr>
              <w:pStyle w:val="TableText"/>
              <w:keepLines/>
            </w:pPr>
          </w:p>
        </w:tc>
        <w:tc>
          <w:tcPr>
            <w:tcW w:w="3354" w:type="pct"/>
            <w:tcBorders>
              <w:top w:val="nil"/>
              <w:bottom w:val="nil"/>
            </w:tcBorders>
          </w:tcPr>
          <w:p w:rsidR="0013134E" w:rsidRPr="00732139" w:rsidRDefault="0013134E" w:rsidP="0070012C">
            <w:pPr>
              <w:pStyle w:val="TableText"/>
              <w:keepLines/>
              <w:rPr>
                <w:szCs w:val="18"/>
              </w:rPr>
            </w:pPr>
            <w:r w:rsidRPr="00732139">
              <w:rPr>
                <w:rFonts w:cs="Arial"/>
                <w:color w:val="222222"/>
                <w:shd w:val="clear" w:color="auto" w:fill="FFFFFF"/>
              </w:rPr>
              <w:t>Hillmen P, et al. The complement inhibitor eculizumab in paroxysmal nocturnal haemoglobinuria.</w:t>
            </w:r>
          </w:p>
        </w:tc>
        <w:tc>
          <w:tcPr>
            <w:tcW w:w="993" w:type="pct"/>
            <w:tcBorders>
              <w:top w:val="nil"/>
              <w:bottom w:val="nil"/>
            </w:tcBorders>
          </w:tcPr>
          <w:p w:rsidR="0013134E" w:rsidRPr="00732139" w:rsidRDefault="0013134E" w:rsidP="0070012C">
            <w:pPr>
              <w:pStyle w:val="TableText"/>
              <w:keepLines/>
              <w:rPr>
                <w:i/>
                <w:szCs w:val="18"/>
              </w:rPr>
            </w:pPr>
            <w:r w:rsidRPr="00732139">
              <w:rPr>
                <w:rFonts w:cs="Arial"/>
                <w:i/>
                <w:color w:val="222222"/>
                <w:shd w:val="clear" w:color="auto" w:fill="FFFFFF"/>
              </w:rPr>
              <w:t>New England J Med</w:t>
            </w:r>
            <w:r w:rsidRPr="00732139">
              <w:rPr>
                <w:rFonts w:cs="Arial"/>
                <w:color w:val="222222"/>
                <w:shd w:val="clear" w:color="auto" w:fill="FFFFFF"/>
              </w:rPr>
              <w:t> 2006; 355(12): 1233-1243.</w:t>
            </w:r>
          </w:p>
        </w:tc>
      </w:tr>
      <w:tr w:rsidR="0013134E" w:rsidRPr="00732139" w:rsidTr="00495F52">
        <w:tc>
          <w:tcPr>
            <w:tcW w:w="653" w:type="pct"/>
            <w:vMerge/>
            <w:tcBorders>
              <w:bottom w:val="single" w:sz="4" w:space="0" w:color="auto"/>
            </w:tcBorders>
            <w:vAlign w:val="center"/>
          </w:tcPr>
          <w:p w:rsidR="0013134E" w:rsidRPr="00732139" w:rsidRDefault="0013134E" w:rsidP="0070012C">
            <w:pPr>
              <w:pStyle w:val="TableText"/>
              <w:keepLines/>
            </w:pPr>
          </w:p>
        </w:tc>
        <w:tc>
          <w:tcPr>
            <w:tcW w:w="3354" w:type="pct"/>
            <w:tcBorders>
              <w:top w:val="nil"/>
              <w:bottom w:val="single" w:sz="4" w:space="0" w:color="auto"/>
            </w:tcBorders>
          </w:tcPr>
          <w:p w:rsidR="0013134E" w:rsidRPr="00732139" w:rsidRDefault="0013134E" w:rsidP="0070012C">
            <w:pPr>
              <w:pStyle w:val="TableText"/>
              <w:keepLines/>
              <w:rPr>
                <w:szCs w:val="18"/>
              </w:rPr>
            </w:pPr>
            <w:r w:rsidRPr="00732139">
              <w:rPr>
                <w:rFonts w:cs="Arial"/>
              </w:rPr>
              <w:t>Hill A, et al. Effect of eculizumab on haemolysis</w:t>
            </w:r>
            <w:r w:rsidRPr="00732139">
              <w:rPr>
                <w:rFonts w:ascii="Times New Roman" w:hAnsi="Times New Roman"/>
              </w:rPr>
              <w:t>‐</w:t>
            </w:r>
            <w:r w:rsidRPr="00732139">
              <w:rPr>
                <w:rFonts w:cs="Arial"/>
              </w:rPr>
              <w:t>associated nitric oxide depletion, dyspnoea, and measures of pulmonary hypertension in patients with paroxysmal nocturnal haemoglobinuria</w:t>
            </w:r>
            <w:r w:rsidR="00732139">
              <w:rPr>
                <w:rFonts w:cs="Arial"/>
              </w:rPr>
              <w:t xml:space="preserve">. </w:t>
            </w:r>
          </w:p>
        </w:tc>
        <w:tc>
          <w:tcPr>
            <w:tcW w:w="993" w:type="pct"/>
            <w:tcBorders>
              <w:top w:val="nil"/>
              <w:bottom w:val="single" w:sz="4" w:space="0" w:color="auto"/>
            </w:tcBorders>
          </w:tcPr>
          <w:p w:rsidR="0013134E" w:rsidRPr="00732139" w:rsidRDefault="0013134E" w:rsidP="0070012C">
            <w:pPr>
              <w:pStyle w:val="TableText"/>
              <w:keepLines/>
            </w:pPr>
            <w:r w:rsidRPr="00732139">
              <w:rPr>
                <w:rFonts w:cs="Arial"/>
                <w:i/>
              </w:rPr>
              <w:t>British Journal of Haematology</w:t>
            </w:r>
            <w:r w:rsidRPr="00732139">
              <w:rPr>
                <w:rFonts w:cs="Arial"/>
              </w:rPr>
              <w:t xml:space="preserve"> 2010; 149(3): 414-425.</w:t>
            </w:r>
          </w:p>
        </w:tc>
      </w:tr>
    </w:tbl>
    <w:p w:rsidR="0013134E" w:rsidRPr="00732139" w:rsidRDefault="00495F52" w:rsidP="0070012C">
      <w:pPr>
        <w:pStyle w:val="TableFigureFooter"/>
        <w:keepNext/>
        <w:keepLines/>
      </w:pPr>
      <w:r w:rsidRPr="00732139">
        <w:t>Source: Table 2.10, p55 of the resubmission</w:t>
      </w:r>
    </w:p>
    <w:p w:rsidR="007F1017" w:rsidRPr="00732139" w:rsidRDefault="008F120A" w:rsidP="00EC5836">
      <w:pPr>
        <w:pStyle w:val="ExecSumBodyText"/>
        <w:rPr>
          <w:color w:val="0066FF"/>
        </w:rPr>
      </w:pPr>
      <w:r w:rsidRPr="00732139">
        <w:t xml:space="preserve">The key features of the </w:t>
      </w:r>
      <w:r w:rsidR="003E4662" w:rsidRPr="00732139">
        <w:t xml:space="preserve">randomised trials are summarised in the table below. </w:t>
      </w:r>
    </w:p>
    <w:p w:rsidR="0048530E" w:rsidRPr="00732139" w:rsidRDefault="0048530E" w:rsidP="00A5035E">
      <w:pPr>
        <w:pStyle w:val="TableFigureCaption"/>
      </w:pPr>
      <w:r w:rsidRPr="00732139">
        <w:lastRenderedPageBreak/>
        <w:t>Table 4: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566"/>
        <w:gridCol w:w="1416"/>
        <w:gridCol w:w="849"/>
        <w:gridCol w:w="1134"/>
        <w:gridCol w:w="2554"/>
        <w:gridCol w:w="1365"/>
      </w:tblGrid>
      <w:tr w:rsidR="0048530E" w:rsidRPr="00732139" w:rsidTr="00531FF1">
        <w:trPr>
          <w:cantSplit/>
          <w:tblHeader/>
        </w:trPr>
        <w:tc>
          <w:tcPr>
            <w:tcW w:w="628" w:type="pct"/>
            <w:shd w:val="clear" w:color="auto" w:fill="auto"/>
            <w:vAlign w:val="center"/>
          </w:tcPr>
          <w:p w:rsidR="0048530E" w:rsidRPr="00732139" w:rsidRDefault="0048530E" w:rsidP="00A5035E">
            <w:pPr>
              <w:pStyle w:val="Tableheadingrow"/>
              <w:rPr>
                <w:lang w:val="en-AU"/>
              </w:rPr>
            </w:pPr>
            <w:r w:rsidRPr="00732139">
              <w:rPr>
                <w:lang w:val="en-AU"/>
              </w:rPr>
              <w:t>Trial</w:t>
            </w:r>
          </w:p>
        </w:tc>
        <w:tc>
          <w:tcPr>
            <w:tcW w:w="314" w:type="pct"/>
            <w:shd w:val="clear" w:color="auto" w:fill="auto"/>
            <w:vAlign w:val="center"/>
          </w:tcPr>
          <w:p w:rsidR="0048530E" w:rsidRPr="00732139" w:rsidRDefault="0048530E" w:rsidP="00A5035E">
            <w:pPr>
              <w:pStyle w:val="Tableheadingrow"/>
              <w:jc w:val="center"/>
              <w:rPr>
                <w:lang w:val="en-AU"/>
              </w:rPr>
            </w:pPr>
            <w:r w:rsidRPr="00732139">
              <w:rPr>
                <w:lang w:val="en-AU"/>
              </w:rPr>
              <w:t>N</w:t>
            </w:r>
          </w:p>
        </w:tc>
        <w:tc>
          <w:tcPr>
            <w:tcW w:w="785" w:type="pct"/>
            <w:shd w:val="clear" w:color="auto" w:fill="auto"/>
            <w:vAlign w:val="center"/>
          </w:tcPr>
          <w:p w:rsidR="0048530E" w:rsidRPr="00732139" w:rsidRDefault="0048530E" w:rsidP="00A5035E">
            <w:pPr>
              <w:pStyle w:val="Tableheadingrow"/>
              <w:jc w:val="center"/>
              <w:rPr>
                <w:lang w:val="en-AU"/>
              </w:rPr>
            </w:pPr>
            <w:r w:rsidRPr="00732139">
              <w:rPr>
                <w:lang w:val="en-AU"/>
              </w:rPr>
              <w:t>Design/duration</w:t>
            </w:r>
          </w:p>
        </w:tc>
        <w:tc>
          <w:tcPr>
            <w:tcW w:w="471" w:type="pct"/>
            <w:shd w:val="clear" w:color="auto" w:fill="auto"/>
            <w:vAlign w:val="center"/>
          </w:tcPr>
          <w:p w:rsidR="0048530E" w:rsidRPr="00732139" w:rsidRDefault="0048530E" w:rsidP="00A5035E">
            <w:pPr>
              <w:pStyle w:val="Tableheadingrow"/>
              <w:jc w:val="center"/>
              <w:rPr>
                <w:lang w:val="en-AU"/>
              </w:rPr>
            </w:pPr>
            <w:r w:rsidRPr="00732139">
              <w:rPr>
                <w:lang w:val="en-AU"/>
              </w:rPr>
              <w:t>Risk of bias</w:t>
            </w:r>
          </w:p>
        </w:tc>
        <w:tc>
          <w:tcPr>
            <w:tcW w:w="629" w:type="pct"/>
            <w:shd w:val="clear" w:color="auto" w:fill="auto"/>
            <w:vAlign w:val="center"/>
          </w:tcPr>
          <w:p w:rsidR="0048530E" w:rsidRPr="00732139" w:rsidRDefault="0048530E" w:rsidP="00A5035E">
            <w:pPr>
              <w:pStyle w:val="Tableheadingrow"/>
              <w:jc w:val="center"/>
              <w:rPr>
                <w:lang w:val="en-AU"/>
              </w:rPr>
            </w:pPr>
            <w:r w:rsidRPr="00732139">
              <w:rPr>
                <w:lang w:val="en-AU"/>
              </w:rPr>
              <w:t>Patient population</w:t>
            </w:r>
          </w:p>
        </w:tc>
        <w:tc>
          <w:tcPr>
            <w:tcW w:w="1416" w:type="pct"/>
            <w:shd w:val="clear" w:color="auto" w:fill="auto"/>
            <w:vAlign w:val="center"/>
          </w:tcPr>
          <w:p w:rsidR="0048530E" w:rsidRPr="00732139" w:rsidRDefault="0048530E" w:rsidP="00A5035E">
            <w:pPr>
              <w:pStyle w:val="Tableheadingrow"/>
              <w:jc w:val="center"/>
              <w:rPr>
                <w:lang w:val="en-AU"/>
              </w:rPr>
            </w:pPr>
            <w:r w:rsidRPr="00732139">
              <w:rPr>
                <w:lang w:val="en-AU"/>
              </w:rPr>
              <w:t>Outcome(s)</w:t>
            </w:r>
          </w:p>
        </w:tc>
        <w:tc>
          <w:tcPr>
            <w:tcW w:w="757" w:type="pct"/>
            <w:shd w:val="clear" w:color="auto" w:fill="auto"/>
            <w:vAlign w:val="center"/>
          </w:tcPr>
          <w:p w:rsidR="0048530E" w:rsidRPr="00732139" w:rsidRDefault="0048530E" w:rsidP="00A5035E">
            <w:pPr>
              <w:pStyle w:val="Tableheadingrow"/>
              <w:jc w:val="center"/>
              <w:rPr>
                <w:lang w:val="en-AU"/>
              </w:rPr>
            </w:pPr>
            <w:r w:rsidRPr="00732139">
              <w:rPr>
                <w:lang w:val="en-AU"/>
              </w:rPr>
              <w:t>Use in modelled evaluation</w:t>
            </w:r>
          </w:p>
        </w:tc>
      </w:tr>
      <w:tr w:rsidR="0048530E" w:rsidRPr="00732139" w:rsidTr="00531FF1">
        <w:trPr>
          <w:cantSplit/>
        </w:trPr>
        <w:tc>
          <w:tcPr>
            <w:tcW w:w="5000" w:type="pct"/>
            <w:gridSpan w:val="7"/>
            <w:shd w:val="clear" w:color="auto" w:fill="auto"/>
            <w:vAlign w:val="center"/>
          </w:tcPr>
          <w:p w:rsidR="0048530E" w:rsidRPr="00732139" w:rsidRDefault="0048530E" w:rsidP="00A5035E">
            <w:pPr>
              <w:pStyle w:val="Tableheadingrow"/>
              <w:rPr>
                <w:lang w:val="en-AU"/>
              </w:rPr>
            </w:pPr>
            <w:r w:rsidRPr="00732139">
              <w:rPr>
                <w:lang w:val="en-AU"/>
              </w:rPr>
              <w:t>Ravulizumab vs eculizumab</w:t>
            </w:r>
          </w:p>
        </w:tc>
      </w:tr>
      <w:tr w:rsidR="0048530E" w:rsidRPr="00732139" w:rsidTr="00531FF1">
        <w:trPr>
          <w:cantSplit/>
        </w:trPr>
        <w:tc>
          <w:tcPr>
            <w:tcW w:w="628" w:type="pct"/>
            <w:shd w:val="clear" w:color="auto" w:fill="auto"/>
            <w:vAlign w:val="center"/>
          </w:tcPr>
          <w:p w:rsidR="0048530E" w:rsidRPr="00732139" w:rsidRDefault="0048530E" w:rsidP="00A5035E">
            <w:pPr>
              <w:pStyle w:val="TableText"/>
            </w:pPr>
            <w:r w:rsidRPr="00732139">
              <w:t xml:space="preserve">Trial 301 </w:t>
            </w:r>
          </w:p>
        </w:tc>
        <w:tc>
          <w:tcPr>
            <w:tcW w:w="314" w:type="pct"/>
            <w:shd w:val="clear" w:color="auto" w:fill="auto"/>
            <w:vAlign w:val="center"/>
          </w:tcPr>
          <w:p w:rsidR="0048530E" w:rsidRPr="00732139" w:rsidRDefault="0048530E" w:rsidP="00A5035E">
            <w:pPr>
              <w:pStyle w:val="TableText"/>
              <w:jc w:val="center"/>
            </w:pPr>
            <w:r w:rsidRPr="00732139">
              <w:t>246</w:t>
            </w:r>
          </w:p>
        </w:tc>
        <w:tc>
          <w:tcPr>
            <w:tcW w:w="785" w:type="pct"/>
            <w:shd w:val="clear" w:color="auto" w:fill="auto"/>
            <w:vAlign w:val="center"/>
          </w:tcPr>
          <w:p w:rsidR="0048530E" w:rsidRPr="00732139" w:rsidRDefault="0048530E" w:rsidP="00A5035E">
            <w:pPr>
              <w:pStyle w:val="TableText"/>
              <w:jc w:val="center"/>
            </w:pPr>
            <w:r w:rsidRPr="00732139">
              <w:t>Multicentre, randomised, open label, active controlled noninferiority trial</w:t>
            </w:r>
          </w:p>
          <w:p w:rsidR="0048530E" w:rsidRPr="00732139" w:rsidRDefault="0048530E" w:rsidP="00A5035E">
            <w:pPr>
              <w:pStyle w:val="TableText"/>
              <w:jc w:val="center"/>
            </w:pPr>
            <w:r w:rsidRPr="00732139">
              <w:t>26 weeks</w:t>
            </w:r>
          </w:p>
        </w:tc>
        <w:tc>
          <w:tcPr>
            <w:tcW w:w="471" w:type="pct"/>
            <w:shd w:val="clear" w:color="auto" w:fill="auto"/>
            <w:vAlign w:val="center"/>
          </w:tcPr>
          <w:p w:rsidR="0048530E" w:rsidRPr="00732139" w:rsidRDefault="0048530E" w:rsidP="00A5035E">
            <w:pPr>
              <w:pStyle w:val="TableText"/>
              <w:jc w:val="center"/>
            </w:pPr>
            <w:r w:rsidRPr="00732139">
              <w:t>Unclear</w:t>
            </w:r>
          </w:p>
        </w:tc>
        <w:tc>
          <w:tcPr>
            <w:tcW w:w="629" w:type="pct"/>
            <w:shd w:val="clear" w:color="auto" w:fill="auto"/>
            <w:vAlign w:val="center"/>
          </w:tcPr>
          <w:p w:rsidR="0048530E" w:rsidRPr="00732139" w:rsidRDefault="0048530E" w:rsidP="00A5035E">
            <w:pPr>
              <w:pStyle w:val="TableText"/>
              <w:jc w:val="center"/>
            </w:pPr>
            <w:r w:rsidRPr="00732139">
              <w:t>Treatment naïve</w:t>
            </w:r>
          </w:p>
        </w:tc>
        <w:tc>
          <w:tcPr>
            <w:tcW w:w="1416" w:type="pct"/>
            <w:shd w:val="clear" w:color="auto" w:fill="auto"/>
            <w:vAlign w:val="center"/>
          </w:tcPr>
          <w:p w:rsidR="0048530E" w:rsidRPr="00732139" w:rsidRDefault="0048530E" w:rsidP="00A5035E">
            <w:pPr>
              <w:pStyle w:val="TableText"/>
              <w:jc w:val="center"/>
            </w:pPr>
            <w:r w:rsidRPr="00732139">
              <w:t>Transfusion avoidance, LDH normalisation, BTH, stabilised haemoglobin, change in FACIT-fatigue score, % change in LDH. EORTC QLQ-C30</w:t>
            </w:r>
          </w:p>
        </w:tc>
        <w:tc>
          <w:tcPr>
            <w:tcW w:w="757" w:type="pct"/>
            <w:shd w:val="clear" w:color="auto" w:fill="auto"/>
            <w:vAlign w:val="center"/>
          </w:tcPr>
          <w:p w:rsidR="0048530E" w:rsidRPr="00732139" w:rsidRDefault="00323398" w:rsidP="00A5035E">
            <w:pPr>
              <w:pStyle w:val="TableText"/>
              <w:jc w:val="center"/>
            </w:pPr>
            <w:r w:rsidRPr="00732139">
              <w:t>Rate of RBC transfusions</w:t>
            </w:r>
          </w:p>
        </w:tc>
      </w:tr>
      <w:tr w:rsidR="0048530E" w:rsidRPr="00732139" w:rsidTr="00531FF1">
        <w:trPr>
          <w:cantSplit/>
        </w:trPr>
        <w:tc>
          <w:tcPr>
            <w:tcW w:w="628" w:type="pct"/>
            <w:shd w:val="clear" w:color="auto" w:fill="auto"/>
            <w:vAlign w:val="center"/>
          </w:tcPr>
          <w:p w:rsidR="0048530E" w:rsidRPr="00732139" w:rsidRDefault="0048530E" w:rsidP="00531FF1">
            <w:pPr>
              <w:pStyle w:val="TableText"/>
              <w:keepNext w:val="0"/>
            </w:pPr>
            <w:r w:rsidRPr="00732139">
              <w:t>Trial 302</w:t>
            </w:r>
          </w:p>
        </w:tc>
        <w:tc>
          <w:tcPr>
            <w:tcW w:w="314" w:type="pct"/>
            <w:shd w:val="clear" w:color="auto" w:fill="auto"/>
            <w:vAlign w:val="center"/>
          </w:tcPr>
          <w:p w:rsidR="0048530E" w:rsidRPr="00732139" w:rsidRDefault="0048530E" w:rsidP="00531FF1">
            <w:pPr>
              <w:pStyle w:val="TableText"/>
              <w:keepNext w:val="0"/>
              <w:jc w:val="center"/>
            </w:pPr>
            <w:r w:rsidRPr="00732139">
              <w:t>195</w:t>
            </w:r>
          </w:p>
        </w:tc>
        <w:tc>
          <w:tcPr>
            <w:tcW w:w="785" w:type="pct"/>
            <w:shd w:val="clear" w:color="auto" w:fill="auto"/>
            <w:vAlign w:val="center"/>
          </w:tcPr>
          <w:p w:rsidR="0048530E" w:rsidRPr="00732139" w:rsidRDefault="0048530E" w:rsidP="00531FF1">
            <w:pPr>
              <w:pStyle w:val="TableText"/>
              <w:keepNext w:val="0"/>
              <w:jc w:val="center"/>
            </w:pPr>
            <w:r w:rsidRPr="00732139">
              <w:t>Multicentre, randomised, open label, active controlled noninferiority trial</w:t>
            </w:r>
          </w:p>
          <w:p w:rsidR="0048530E" w:rsidRPr="00732139" w:rsidRDefault="0048530E" w:rsidP="00531FF1">
            <w:pPr>
              <w:pStyle w:val="TableText"/>
              <w:keepNext w:val="0"/>
              <w:jc w:val="center"/>
            </w:pPr>
            <w:r w:rsidRPr="00732139">
              <w:t>26 weeks</w:t>
            </w:r>
          </w:p>
        </w:tc>
        <w:tc>
          <w:tcPr>
            <w:tcW w:w="471" w:type="pct"/>
            <w:shd w:val="clear" w:color="auto" w:fill="auto"/>
            <w:vAlign w:val="center"/>
          </w:tcPr>
          <w:p w:rsidR="0048530E" w:rsidRPr="00732139" w:rsidRDefault="0048530E" w:rsidP="00531FF1">
            <w:pPr>
              <w:pStyle w:val="TableText"/>
              <w:keepNext w:val="0"/>
              <w:jc w:val="center"/>
            </w:pPr>
            <w:r w:rsidRPr="00732139">
              <w:t>Unclear</w:t>
            </w:r>
          </w:p>
        </w:tc>
        <w:tc>
          <w:tcPr>
            <w:tcW w:w="629" w:type="pct"/>
            <w:shd w:val="clear" w:color="auto" w:fill="auto"/>
            <w:vAlign w:val="center"/>
          </w:tcPr>
          <w:p w:rsidR="0048530E" w:rsidRPr="00732139" w:rsidRDefault="0048530E" w:rsidP="00531FF1">
            <w:pPr>
              <w:pStyle w:val="TableText"/>
              <w:keepNext w:val="0"/>
              <w:jc w:val="center"/>
            </w:pPr>
            <w:r w:rsidRPr="00732139">
              <w:t>Clinically stable with eculizumab treatment</w:t>
            </w:r>
          </w:p>
        </w:tc>
        <w:tc>
          <w:tcPr>
            <w:tcW w:w="1416" w:type="pct"/>
            <w:shd w:val="clear" w:color="auto" w:fill="auto"/>
            <w:vAlign w:val="center"/>
          </w:tcPr>
          <w:p w:rsidR="0048530E" w:rsidRPr="00732139" w:rsidRDefault="0048530E" w:rsidP="00531FF1">
            <w:pPr>
              <w:pStyle w:val="TableText"/>
              <w:keepNext w:val="0"/>
              <w:jc w:val="center"/>
            </w:pPr>
            <w:r w:rsidRPr="00732139">
              <w:t>Transfusion avoidance, % change in LDH, BTH, stabilised haemoglobin, change in FACIT-fatigue score, EORTC QLQ-C30</w:t>
            </w:r>
          </w:p>
        </w:tc>
        <w:tc>
          <w:tcPr>
            <w:tcW w:w="757" w:type="pct"/>
            <w:shd w:val="clear" w:color="auto" w:fill="auto"/>
            <w:vAlign w:val="center"/>
          </w:tcPr>
          <w:p w:rsidR="0048530E" w:rsidRPr="00732139" w:rsidRDefault="00323398" w:rsidP="00531FF1">
            <w:pPr>
              <w:pStyle w:val="TableText"/>
              <w:keepNext w:val="0"/>
              <w:jc w:val="center"/>
            </w:pPr>
            <w:r w:rsidRPr="00732139">
              <w:t>Not used</w:t>
            </w:r>
          </w:p>
        </w:tc>
      </w:tr>
      <w:tr w:rsidR="0048530E" w:rsidRPr="00732139" w:rsidTr="00531FF1">
        <w:trPr>
          <w:cantSplit/>
        </w:trPr>
        <w:tc>
          <w:tcPr>
            <w:tcW w:w="628" w:type="pct"/>
            <w:shd w:val="clear" w:color="auto" w:fill="auto"/>
            <w:vAlign w:val="center"/>
          </w:tcPr>
          <w:p w:rsidR="0048530E" w:rsidRPr="00732139" w:rsidRDefault="0048530E" w:rsidP="00531FF1">
            <w:pPr>
              <w:pStyle w:val="TableText"/>
              <w:keepNext w:val="0"/>
            </w:pPr>
            <w:r w:rsidRPr="00732139">
              <w:t>Meta-analysis</w:t>
            </w:r>
          </w:p>
        </w:tc>
        <w:tc>
          <w:tcPr>
            <w:tcW w:w="314" w:type="pct"/>
            <w:shd w:val="clear" w:color="auto" w:fill="auto"/>
            <w:vAlign w:val="center"/>
          </w:tcPr>
          <w:p w:rsidR="0048530E" w:rsidRPr="00732139" w:rsidRDefault="0048530E" w:rsidP="00531FF1">
            <w:pPr>
              <w:pStyle w:val="TableText"/>
              <w:keepNext w:val="0"/>
              <w:jc w:val="center"/>
            </w:pPr>
            <w:r w:rsidRPr="00732139">
              <w:t>441</w:t>
            </w:r>
          </w:p>
        </w:tc>
        <w:tc>
          <w:tcPr>
            <w:tcW w:w="3301" w:type="pct"/>
            <w:gridSpan w:val="4"/>
            <w:shd w:val="clear" w:color="auto" w:fill="auto"/>
            <w:vAlign w:val="center"/>
          </w:tcPr>
          <w:p w:rsidR="0048530E" w:rsidRPr="00732139" w:rsidRDefault="0048530E" w:rsidP="00531FF1">
            <w:pPr>
              <w:pStyle w:val="TableText"/>
              <w:keepNext w:val="0"/>
              <w:jc w:val="right"/>
            </w:pPr>
            <w:r w:rsidRPr="00732139">
              <w:t xml:space="preserve">Included Trial 301 and </w:t>
            </w:r>
            <w:r w:rsidR="002073A9" w:rsidRPr="00732139">
              <w:t>t</w:t>
            </w:r>
            <w:r w:rsidRPr="00732139">
              <w:t>rial 302</w:t>
            </w:r>
          </w:p>
        </w:tc>
        <w:tc>
          <w:tcPr>
            <w:tcW w:w="757" w:type="pct"/>
            <w:shd w:val="clear" w:color="auto" w:fill="auto"/>
            <w:vAlign w:val="center"/>
          </w:tcPr>
          <w:p w:rsidR="0048530E" w:rsidRPr="00732139" w:rsidRDefault="00323398" w:rsidP="00531FF1">
            <w:pPr>
              <w:pStyle w:val="TableText"/>
              <w:keepNext w:val="0"/>
              <w:jc w:val="center"/>
            </w:pPr>
            <w:r w:rsidRPr="00732139">
              <w:t>Not used</w:t>
            </w:r>
          </w:p>
        </w:tc>
      </w:tr>
      <w:tr w:rsidR="0048530E" w:rsidRPr="00732139" w:rsidTr="00531FF1">
        <w:trPr>
          <w:cantSplit/>
        </w:trPr>
        <w:tc>
          <w:tcPr>
            <w:tcW w:w="5000" w:type="pct"/>
            <w:gridSpan w:val="7"/>
            <w:shd w:val="clear" w:color="auto" w:fill="auto"/>
            <w:vAlign w:val="center"/>
          </w:tcPr>
          <w:p w:rsidR="0048530E" w:rsidRPr="00732139" w:rsidRDefault="0048530E" w:rsidP="00531FF1">
            <w:pPr>
              <w:pStyle w:val="TableText"/>
              <w:keepNext w:val="0"/>
              <w:rPr>
                <w:b/>
              </w:rPr>
            </w:pPr>
            <w:r w:rsidRPr="00732139">
              <w:rPr>
                <w:b/>
              </w:rPr>
              <w:t>Indirect comparison: Eculizumab vs placebo/best supportive care, eculizumab common reference</w:t>
            </w:r>
          </w:p>
        </w:tc>
      </w:tr>
      <w:tr w:rsidR="0048530E" w:rsidRPr="00732139" w:rsidTr="00531FF1">
        <w:trPr>
          <w:cantSplit/>
        </w:trPr>
        <w:tc>
          <w:tcPr>
            <w:tcW w:w="628" w:type="pct"/>
            <w:shd w:val="clear" w:color="auto" w:fill="auto"/>
            <w:vAlign w:val="center"/>
          </w:tcPr>
          <w:p w:rsidR="0048530E" w:rsidRPr="00732139" w:rsidRDefault="0048530E" w:rsidP="00531FF1">
            <w:pPr>
              <w:pStyle w:val="TableText"/>
              <w:keepNext w:val="0"/>
            </w:pPr>
            <w:r w:rsidRPr="00732139">
              <w:t>TRIUMPH</w:t>
            </w:r>
          </w:p>
        </w:tc>
        <w:tc>
          <w:tcPr>
            <w:tcW w:w="314" w:type="pct"/>
            <w:shd w:val="clear" w:color="auto" w:fill="auto"/>
            <w:vAlign w:val="center"/>
          </w:tcPr>
          <w:p w:rsidR="0048530E" w:rsidRPr="00732139" w:rsidRDefault="0048530E" w:rsidP="00531FF1">
            <w:pPr>
              <w:pStyle w:val="TableText"/>
              <w:keepNext w:val="0"/>
              <w:jc w:val="center"/>
            </w:pPr>
            <w:r w:rsidRPr="00732139">
              <w:t>87</w:t>
            </w:r>
          </w:p>
        </w:tc>
        <w:tc>
          <w:tcPr>
            <w:tcW w:w="785" w:type="pct"/>
            <w:shd w:val="clear" w:color="auto" w:fill="auto"/>
            <w:vAlign w:val="center"/>
          </w:tcPr>
          <w:p w:rsidR="0048530E" w:rsidRPr="00732139" w:rsidRDefault="0048530E" w:rsidP="00531FF1">
            <w:pPr>
              <w:pStyle w:val="TableText"/>
              <w:keepNext w:val="0"/>
              <w:jc w:val="center"/>
            </w:pPr>
            <w:r w:rsidRPr="00732139">
              <w:t>Multicentre, randomised, double blind, placebo controlled trial</w:t>
            </w:r>
          </w:p>
          <w:p w:rsidR="0048530E" w:rsidRPr="00732139" w:rsidRDefault="0048530E" w:rsidP="00531FF1">
            <w:pPr>
              <w:pStyle w:val="TableText"/>
              <w:keepNext w:val="0"/>
              <w:jc w:val="center"/>
            </w:pPr>
            <w:r w:rsidRPr="00732139">
              <w:t>26 weeks</w:t>
            </w:r>
          </w:p>
        </w:tc>
        <w:tc>
          <w:tcPr>
            <w:tcW w:w="471" w:type="pct"/>
            <w:shd w:val="clear" w:color="auto" w:fill="auto"/>
            <w:vAlign w:val="center"/>
          </w:tcPr>
          <w:p w:rsidR="0048530E" w:rsidRPr="00732139" w:rsidRDefault="0048530E" w:rsidP="00531FF1">
            <w:pPr>
              <w:pStyle w:val="TableText"/>
              <w:keepNext w:val="0"/>
              <w:jc w:val="center"/>
            </w:pPr>
            <w:r w:rsidRPr="00732139">
              <w:t>High</w:t>
            </w:r>
          </w:p>
        </w:tc>
        <w:tc>
          <w:tcPr>
            <w:tcW w:w="629" w:type="pct"/>
            <w:shd w:val="clear" w:color="auto" w:fill="auto"/>
            <w:vAlign w:val="center"/>
          </w:tcPr>
          <w:p w:rsidR="0048530E" w:rsidRPr="00732139" w:rsidRDefault="0048530E" w:rsidP="00531FF1">
            <w:pPr>
              <w:pStyle w:val="TableText"/>
              <w:keepNext w:val="0"/>
              <w:jc w:val="center"/>
            </w:pPr>
            <w:r w:rsidRPr="00732139">
              <w:t>Treatment naïve</w:t>
            </w:r>
          </w:p>
        </w:tc>
        <w:tc>
          <w:tcPr>
            <w:tcW w:w="1416" w:type="pct"/>
            <w:shd w:val="clear" w:color="auto" w:fill="auto"/>
            <w:vAlign w:val="center"/>
          </w:tcPr>
          <w:p w:rsidR="0048530E" w:rsidRPr="00732139" w:rsidRDefault="0048530E" w:rsidP="00531FF1">
            <w:pPr>
              <w:pStyle w:val="TableText"/>
              <w:keepNext w:val="0"/>
              <w:jc w:val="center"/>
            </w:pPr>
            <w:r w:rsidRPr="00732139">
              <w:t xml:space="preserve">Haemoglobin stabilization, blood transfusions, transfusion avoidance </w:t>
            </w:r>
            <w:r w:rsidR="00325C81" w:rsidRPr="00732139">
              <w:rPr>
                <w:vertAlign w:val="superscript"/>
              </w:rPr>
              <w:t>a</w:t>
            </w:r>
            <w:r w:rsidRPr="00732139">
              <w:t xml:space="preserve">, LDH AUC, change in FACIT-fatigue score </w:t>
            </w:r>
            <w:r w:rsidR="00325C81" w:rsidRPr="00732139">
              <w:rPr>
                <w:vertAlign w:val="superscript"/>
              </w:rPr>
              <w:t>a</w:t>
            </w:r>
            <w:r w:rsidRPr="00732139">
              <w:t xml:space="preserve">, % change in LDH </w:t>
            </w:r>
            <w:r w:rsidR="00325C81" w:rsidRPr="00732139">
              <w:rPr>
                <w:vertAlign w:val="superscript"/>
              </w:rPr>
              <w:t>a</w:t>
            </w:r>
            <w:r w:rsidRPr="00732139">
              <w:t>, EORTC QLQ-C30</w:t>
            </w:r>
          </w:p>
        </w:tc>
        <w:tc>
          <w:tcPr>
            <w:tcW w:w="757" w:type="pct"/>
            <w:shd w:val="clear" w:color="auto" w:fill="auto"/>
            <w:vAlign w:val="center"/>
          </w:tcPr>
          <w:p w:rsidR="0048530E" w:rsidRPr="00732139" w:rsidRDefault="0048530E" w:rsidP="00531FF1">
            <w:pPr>
              <w:pStyle w:val="TableText"/>
              <w:keepNext w:val="0"/>
              <w:jc w:val="center"/>
            </w:pPr>
            <w:r w:rsidRPr="00732139">
              <w:t>EORTC QLQ-C30 scores</w:t>
            </w:r>
          </w:p>
        </w:tc>
      </w:tr>
    </w:tbl>
    <w:p w:rsidR="0048530E" w:rsidRPr="00732139" w:rsidRDefault="0048530E" w:rsidP="0048530E">
      <w:pPr>
        <w:pStyle w:val="TableFigureFooter"/>
      </w:pPr>
      <w:r w:rsidRPr="00732139">
        <w:t>Source: Section 2.4</w:t>
      </w:r>
      <w:r w:rsidR="00F50532" w:rsidRPr="00732139">
        <w:t>, p</w:t>
      </w:r>
      <w:r w:rsidR="00F9093B" w:rsidRPr="00732139">
        <w:t>p</w:t>
      </w:r>
      <w:r w:rsidR="00F50532" w:rsidRPr="00732139">
        <w:t>69</w:t>
      </w:r>
      <w:r w:rsidR="00F9093B" w:rsidRPr="00732139">
        <w:t>-108</w:t>
      </w:r>
      <w:r w:rsidR="00F50532" w:rsidRPr="00732139">
        <w:t xml:space="preserve"> of the resubmission</w:t>
      </w:r>
    </w:p>
    <w:p w:rsidR="0048530E" w:rsidRPr="00732139" w:rsidRDefault="0048530E" w:rsidP="0048530E">
      <w:pPr>
        <w:pStyle w:val="TableFigureFooter"/>
      </w:pPr>
      <w:r w:rsidRPr="00732139">
        <w:t xml:space="preserve">Abbreviations: </w:t>
      </w:r>
      <w:r w:rsidR="0014048C" w:rsidRPr="00732139">
        <w:t xml:space="preserve">AUC, area under the curve; </w:t>
      </w:r>
      <w:r w:rsidRPr="00732139">
        <w:t>BTH, breakthrough haemolysis; ecu, eculizumab; EORTC QLQ-C30, European Organization for Research and Treatment of Cancer quality of life questionnaire; FACIT, Functional Assessment of Chronic Illness Therapy; LDH, lactate dehydrogenase</w:t>
      </w:r>
    </w:p>
    <w:p w:rsidR="003E4662" w:rsidRPr="00732139" w:rsidRDefault="0014048C" w:rsidP="00F50532">
      <w:pPr>
        <w:pStyle w:val="TableFigureFooter"/>
      </w:pPr>
      <w:r w:rsidRPr="00732139">
        <w:rPr>
          <w:vertAlign w:val="superscript"/>
        </w:rPr>
        <w:t>a</w:t>
      </w:r>
      <w:r w:rsidR="0048530E" w:rsidRPr="00732139">
        <w:rPr>
          <w:vertAlign w:val="superscript"/>
        </w:rPr>
        <w:t xml:space="preserve"> </w:t>
      </w:r>
      <w:r w:rsidR="0048530E" w:rsidRPr="00732139">
        <w:t>Outcomes included in indirect comparison (transfusion avoidance, change from baseline in FACIT-fatigue score, % change from baseline in LDH).</w:t>
      </w:r>
    </w:p>
    <w:p w:rsidR="00F1586A" w:rsidRPr="00732139" w:rsidRDefault="009777D1" w:rsidP="00F1586A">
      <w:pPr>
        <w:pStyle w:val="ExecSumBodyText"/>
        <w:rPr>
          <w:iCs/>
        </w:rPr>
      </w:pPr>
      <w:r w:rsidRPr="00732139">
        <w:rPr>
          <w:iCs/>
        </w:rPr>
        <w:t xml:space="preserve">There </w:t>
      </w:r>
      <w:r w:rsidR="002A5F7E" w:rsidRPr="00732139">
        <w:rPr>
          <w:iCs/>
        </w:rPr>
        <w:t>were</w:t>
      </w:r>
      <w:r w:rsidRPr="00732139">
        <w:rPr>
          <w:iCs/>
        </w:rPr>
        <w:t xml:space="preserve"> no long-term studies of survival in patients treated with ravulizumab</w:t>
      </w:r>
      <w:r w:rsidR="00967E92" w:rsidRPr="00732139">
        <w:rPr>
          <w:iCs/>
        </w:rPr>
        <w:t>. Additional t</w:t>
      </w:r>
      <w:r w:rsidRPr="00732139">
        <w:rPr>
          <w:iCs/>
        </w:rPr>
        <w:t>wo-year data available from the extension periods of the ravulizumab clinical trials</w:t>
      </w:r>
      <w:r w:rsidR="00967E92" w:rsidRPr="00732139">
        <w:rPr>
          <w:iCs/>
        </w:rPr>
        <w:t xml:space="preserve"> were presented in the resubmission, however, these were based on </w:t>
      </w:r>
      <w:r w:rsidR="00E95AD1" w:rsidRPr="00732139">
        <w:rPr>
          <w:iCs/>
        </w:rPr>
        <w:t>short-term outcomes including transfusion avoidance, haemolysis (measured by LDH change), breakthrough haemolysis (BTH), quality of life and stabilised haemoglobin.</w:t>
      </w:r>
      <w:r w:rsidR="00F1586A" w:rsidRPr="00732139">
        <w:t xml:space="preserve"> </w:t>
      </w:r>
      <w:r w:rsidR="00F1586A" w:rsidRPr="00732139">
        <w:rPr>
          <w:iCs/>
        </w:rPr>
        <w:t xml:space="preserve">No further data were presented in the resubmission that explored the relationship between the treatment effect of ravulizumab </w:t>
      </w:r>
      <w:r w:rsidR="00582A40" w:rsidRPr="00732139">
        <w:rPr>
          <w:iCs/>
        </w:rPr>
        <w:t xml:space="preserve">on </w:t>
      </w:r>
      <w:r w:rsidR="00F1586A" w:rsidRPr="00732139">
        <w:rPr>
          <w:iCs/>
        </w:rPr>
        <w:t>these outcomes with longer term outcomes such as thromboembolism risk and the risk of mortality.</w:t>
      </w:r>
      <w:r w:rsidR="000B3B1A" w:rsidRPr="00732139">
        <w:rPr>
          <w:iCs/>
        </w:rPr>
        <w:t xml:space="preserve"> </w:t>
      </w:r>
      <w:r w:rsidR="005920AD" w:rsidRPr="00732139">
        <w:rPr>
          <w:iCs/>
        </w:rPr>
        <w:t xml:space="preserve">The </w:t>
      </w:r>
      <w:r w:rsidR="00E757F1" w:rsidRPr="00732139">
        <w:rPr>
          <w:iCs/>
        </w:rPr>
        <w:t>Pre-Sub-Committee Response (PSCR)</w:t>
      </w:r>
      <w:r w:rsidR="00BF1902" w:rsidRPr="00732139">
        <w:rPr>
          <w:iCs/>
        </w:rPr>
        <w:t xml:space="preserve"> stated that a</w:t>
      </w:r>
      <w:r w:rsidR="00FB09DB" w:rsidRPr="00732139">
        <w:rPr>
          <w:iCs/>
        </w:rPr>
        <w:t xml:space="preserve"> </w:t>
      </w:r>
      <w:r w:rsidR="005920AD" w:rsidRPr="00732139">
        <w:rPr>
          <w:iCs/>
        </w:rPr>
        <w:t>post-hoc analysis from the</w:t>
      </w:r>
      <w:r w:rsidR="00D80386" w:rsidRPr="00732139">
        <w:rPr>
          <w:iCs/>
        </w:rPr>
        <w:t xml:space="preserve"> trial </w:t>
      </w:r>
      <w:r w:rsidR="00FB09DB" w:rsidRPr="00732139">
        <w:rPr>
          <w:iCs/>
        </w:rPr>
        <w:t xml:space="preserve">301 extension study, </w:t>
      </w:r>
      <w:r w:rsidR="00BF1902" w:rsidRPr="00732139">
        <w:rPr>
          <w:iCs/>
        </w:rPr>
        <w:t>showed</w:t>
      </w:r>
      <w:r w:rsidR="00FB09DB" w:rsidRPr="00732139">
        <w:rPr>
          <w:iCs/>
        </w:rPr>
        <w:t xml:space="preserve"> that over the 2-year treatment period </w:t>
      </w:r>
      <w:r w:rsidR="00BF1902" w:rsidRPr="00732139">
        <w:rPr>
          <w:iCs/>
        </w:rPr>
        <w:t>ravulizumab reduced</w:t>
      </w:r>
      <w:r w:rsidR="00FB09DB" w:rsidRPr="00732139">
        <w:rPr>
          <w:iCs/>
        </w:rPr>
        <w:t xml:space="preserve"> the risk of </w:t>
      </w:r>
      <w:r w:rsidR="00BF1902" w:rsidRPr="00732139">
        <w:rPr>
          <w:iCs/>
        </w:rPr>
        <w:t>major adverse vascular events</w:t>
      </w:r>
      <w:r w:rsidR="002C3C89" w:rsidRPr="00732139">
        <w:rPr>
          <w:iCs/>
        </w:rPr>
        <w:t xml:space="preserve"> (MAVE)</w:t>
      </w:r>
      <w:r w:rsidR="00FB09DB" w:rsidRPr="00732139">
        <w:rPr>
          <w:iCs/>
        </w:rPr>
        <w:t xml:space="preserve"> and thrombosis in patients with PNH who have high disease activity and are at an increased risk of MAVE and thrombosis compared with the two years prior to </w:t>
      </w:r>
      <w:r w:rsidR="00FD07BD" w:rsidRPr="00732139">
        <w:rPr>
          <w:iCs/>
        </w:rPr>
        <w:t>enrolment</w:t>
      </w:r>
      <w:r w:rsidR="00FB09DB" w:rsidRPr="00732139">
        <w:rPr>
          <w:iCs/>
        </w:rPr>
        <w:t xml:space="preserve">. </w:t>
      </w:r>
      <w:r w:rsidR="00FC4A83" w:rsidRPr="00732139">
        <w:rPr>
          <w:iCs/>
        </w:rPr>
        <w:t>The ESC considered the results reported in this unpublished conference abstract should be interpreted with caution given the analysis was uncontrolled, with limited reporting in the available abstract. The results were also based on a relatively small number of events</w:t>
      </w:r>
      <w:r w:rsidR="00B80543" w:rsidRPr="00732139">
        <w:rPr>
          <w:iCs/>
        </w:rPr>
        <w:t>;</w:t>
      </w:r>
      <w:r w:rsidR="00FC4A83" w:rsidRPr="00732139">
        <w:rPr>
          <w:iCs/>
        </w:rPr>
        <w:t xml:space="preserve"> in particular, the subgroup with lower LDH levels was small (n=33) </w:t>
      </w:r>
      <w:r w:rsidR="00AE4B2A" w:rsidRPr="00732139">
        <w:rPr>
          <w:iCs/>
        </w:rPr>
        <w:t xml:space="preserve">with only 1 thromboembolic (TE) </w:t>
      </w:r>
      <w:r w:rsidR="00FC4A83" w:rsidRPr="00732139">
        <w:rPr>
          <w:iCs/>
        </w:rPr>
        <w:t xml:space="preserve">event informing the rate of TEs in each of the periods of analysis. </w:t>
      </w:r>
    </w:p>
    <w:p w:rsidR="00B60939" w:rsidRPr="00732139" w:rsidRDefault="00B60939" w:rsidP="00EC5836">
      <w:pPr>
        <w:pStyle w:val="3-SubsectionHeading"/>
      </w:pPr>
      <w:bookmarkStart w:id="15" w:name="_Toc22897641"/>
      <w:bookmarkStart w:id="16" w:name="_Toc72331254"/>
      <w:r w:rsidRPr="00732139">
        <w:lastRenderedPageBreak/>
        <w:t>Comparative effectiveness</w:t>
      </w:r>
      <w:bookmarkEnd w:id="15"/>
      <w:bookmarkEnd w:id="16"/>
    </w:p>
    <w:p w:rsidR="00596773" w:rsidRPr="00732139" w:rsidRDefault="00596773" w:rsidP="00596773">
      <w:pPr>
        <w:pStyle w:val="4-SubsectSubhead"/>
        <w:rPr>
          <w:snapToGrid w:val="0"/>
        </w:rPr>
      </w:pPr>
      <w:r w:rsidRPr="00732139">
        <w:rPr>
          <w:snapToGrid w:val="0"/>
        </w:rPr>
        <w:t>Ravulizumab trial data</w:t>
      </w:r>
    </w:p>
    <w:p w:rsidR="000D0060" w:rsidRPr="00732139" w:rsidRDefault="003C51B4" w:rsidP="000D0060">
      <w:pPr>
        <w:pStyle w:val="ExecSumBodyText"/>
      </w:pPr>
      <w:r w:rsidRPr="00732139">
        <w:t>Re</w:t>
      </w:r>
      <w:r w:rsidR="009C4305" w:rsidRPr="00732139">
        <w:t xml:space="preserve">sults from the comparison of ravulizumab and eculizumab for the </w:t>
      </w:r>
      <w:r w:rsidR="00435932" w:rsidRPr="00732139">
        <w:t xml:space="preserve">26-week </w:t>
      </w:r>
      <w:r w:rsidR="009C4305" w:rsidRPr="00732139">
        <w:t xml:space="preserve">outcomes of LDH normalisation, % LDH change from baseline, proportion of patients experiencing transfusion avoidance, breakthrough haemolysis and haemoglobin stabilisation, and change from baseline in quality of life (FACIT-fatigue scale) </w:t>
      </w:r>
      <w:r w:rsidR="00C16556" w:rsidRPr="00732139">
        <w:rPr>
          <w:iCs/>
        </w:rPr>
        <w:t>were previo</w:t>
      </w:r>
      <w:r w:rsidR="00CD4FBF" w:rsidRPr="00732139">
        <w:rPr>
          <w:iCs/>
        </w:rPr>
        <w:t>usly considered by the PBAC</w:t>
      </w:r>
      <w:r w:rsidR="009C4305" w:rsidRPr="00732139">
        <w:t xml:space="preserve">. </w:t>
      </w:r>
      <w:r w:rsidR="008A474E" w:rsidRPr="00732139">
        <w:t xml:space="preserve">All efficacy outcomes were </w:t>
      </w:r>
      <w:r w:rsidR="000D0060" w:rsidRPr="00732139">
        <w:t>within the bounds of the pre-specified non-inferiority margins from the trials, and results indicated non-inferiority of ravulizumab to eculizumab for all measured outcomes.</w:t>
      </w:r>
    </w:p>
    <w:p w:rsidR="00FD36F4" w:rsidRPr="00732139" w:rsidRDefault="00FD36F4" w:rsidP="00FD36F4">
      <w:pPr>
        <w:pStyle w:val="ExecSumBodyText"/>
        <w:rPr>
          <w:color w:val="0066FF"/>
        </w:rPr>
      </w:pPr>
      <w:r w:rsidRPr="00732139">
        <w:t xml:space="preserve">Change from baseline in EORTC QLQ-C30 scores were included in Trials 301 and 302 as an exploratory outcome, with differences between treatment arms not assessed for non-inferiority. </w:t>
      </w:r>
      <w:r w:rsidRPr="00732139">
        <w:rPr>
          <w:iCs/>
        </w:rPr>
        <w:t>There was limited detail provided in the resubmission, with mean baseline, endpoint and change from baseline in EORTC QLQ-C30 scores not provided, limiting the usefulness of these results</w:t>
      </w:r>
      <w:r w:rsidRPr="00732139">
        <w:t xml:space="preserve">. </w:t>
      </w:r>
      <w:r w:rsidRPr="00732139">
        <w:rPr>
          <w:iCs/>
        </w:rPr>
        <w:t>The PBAC previously questioned the appropriateness of EORTC QLQ-C30 scores reported in the trials, noting the instrument is specifically used to assess the health-related quality of life in cancer patients (para 7.7, ravulizumab PSD, July 2020 PBAC meeting).</w:t>
      </w:r>
      <w:r w:rsidRPr="00732139">
        <w:rPr>
          <w:i/>
          <w:iCs/>
        </w:rPr>
        <w:t xml:space="preserve"> </w:t>
      </w:r>
    </w:p>
    <w:p w:rsidR="00A55877" w:rsidRPr="00732139" w:rsidRDefault="00A55877" w:rsidP="00A55877">
      <w:pPr>
        <w:pStyle w:val="ExecSumBodyText"/>
      </w:pPr>
      <w:r w:rsidRPr="00732139">
        <w:t xml:space="preserve">The </w:t>
      </w:r>
      <w:r w:rsidR="00EC2EA4" w:rsidRPr="00732139">
        <w:t xml:space="preserve">ESC noted the </w:t>
      </w:r>
      <w:r w:rsidRPr="00732139">
        <w:t xml:space="preserve">resubmission presented </w:t>
      </w:r>
      <w:r w:rsidR="00460D20" w:rsidRPr="00732139">
        <w:t>additional analyses based on</w:t>
      </w:r>
      <w:r w:rsidRPr="00732139">
        <w:t xml:space="preserve"> the extension periods of Trials 301 and 302 for transfusion avoidance, LDH normalisation, BTH, stabilised haemoglobin</w:t>
      </w:r>
      <w:r w:rsidR="00460D20" w:rsidRPr="00732139">
        <w:t xml:space="preserve"> and change from baseline in FACIT-fatigue scores</w:t>
      </w:r>
      <w:r w:rsidRPr="00732139">
        <w:t>.</w:t>
      </w:r>
    </w:p>
    <w:p w:rsidR="0054607F" w:rsidRPr="00732139" w:rsidRDefault="00C16556" w:rsidP="00AA314B">
      <w:pPr>
        <w:pStyle w:val="ExecSumBodyText"/>
      </w:pPr>
      <w:r w:rsidRPr="00732139">
        <w:t xml:space="preserve">Preliminary results from the extension period of both ravulizumab trials suggest that </w:t>
      </w:r>
      <w:r w:rsidR="00182AFA" w:rsidRPr="00732139">
        <w:t>the treatment effect of ravulizumab based on the measured outcomes remained steady through to the 2-year follow-up</w:t>
      </w:r>
      <w:r w:rsidR="00AA314B" w:rsidRPr="00732139">
        <w:t xml:space="preserve">. </w:t>
      </w:r>
      <w:r w:rsidR="006724A9" w:rsidRPr="00732139">
        <w:t>Results for mean change from baseline in FACIT-fatigue scores to 2 years were only presented graphically. FACIT-fatigue scores remained steady from Week 26 to 2 years in both treatment arms of Trial 301 and declined gradually in both treatment arms of Trial 302.</w:t>
      </w:r>
    </w:p>
    <w:p w:rsidR="006F1F45" w:rsidRPr="00732139" w:rsidRDefault="007A4774" w:rsidP="00EC5836">
      <w:pPr>
        <w:pStyle w:val="ExecSumBodyText"/>
      </w:pPr>
      <w:r w:rsidRPr="00732139">
        <w:t xml:space="preserve">Results of the meta-analysed data from Trials 301 and 302 </w:t>
      </w:r>
      <w:r w:rsidR="00EC2EA4" w:rsidRPr="00732139">
        <w:t xml:space="preserve">at 26 weeks </w:t>
      </w:r>
      <w:r w:rsidRPr="00732139">
        <w:t>were similar to the individual trial results for all included outcomes with the exception of breakthrough haemolysis (BTH)</w:t>
      </w:r>
      <w:r w:rsidR="00567309" w:rsidRPr="00732139">
        <w:t xml:space="preserve">, with a numerical difference in favour of ravulizumab in terms of </w:t>
      </w:r>
      <w:r w:rsidR="00124634" w:rsidRPr="00732139">
        <w:t xml:space="preserve">number of </w:t>
      </w:r>
      <w:r w:rsidR="00567309" w:rsidRPr="00732139">
        <w:t>BTH events</w:t>
      </w:r>
      <w:r w:rsidR="00124634" w:rsidRPr="00732139">
        <w:t>.</w:t>
      </w:r>
      <w:r w:rsidR="00D80DB4" w:rsidRPr="00732139">
        <w:t xml:space="preserve"> </w:t>
      </w:r>
      <w:r w:rsidR="00D80DB4" w:rsidRPr="00732139">
        <w:rPr>
          <w:iCs/>
        </w:rPr>
        <w:t xml:space="preserve">The PBAC previously considered that ravulizumab was non-inferior to eculizumab in </w:t>
      </w:r>
      <w:r w:rsidR="00625CD0" w:rsidRPr="00732139">
        <w:rPr>
          <w:iCs/>
        </w:rPr>
        <w:t>terms of</w:t>
      </w:r>
      <w:r w:rsidR="00D80DB4" w:rsidRPr="00732139">
        <w:rPr>
          <w:iCs/>
        </w:rPr>
        <w:t xml:space="preserve"> BTH (para 7.5, ravulizumab PSD, July </w:t>
      </w:r>
      <w:r w:rsidR="003316C9" w:rsidRPr="00732139">
        <w:rPr>
          <w:iCs/>
        </w:rPr>
        <w:t>2020 PBAC meeting).</w:t>
      </w:r>
    </w:p>
    <w:p w:rsidR="00293E85" w:rsidRPr="00732139" w:rsidRDefault="003244E8" w:rsidP="007540DD">
      <w:pPr>
        <w:pStyle w:val="ExecSumBodyText"/>
        <w:rPr>
          <w:iCs/>
        </w:rPr>
      </w:pPr>
      <w:r w:rsidRPr="00732139">
        <w:t xml:space="preserve">Results of the indirect comparisons of ravulizumab and </w:t>
      </w:r>
      <w:r w:rsidR="00AE4B2A" w:rsidRPr="00732139">
        <w:t>BSC</w:t>
      </w:r>
      <w:r w:rsidRPr="00732139">
        <w:t xml:space="preserve"> (using eculizumab as a common reference) were </w:t>
      </w:r>
      <w:r w:rsidR="002A4FA6" w:rsidRPr="00732139">
        <w:t>re</w:t>
      </w:r>
      <w:r w:rsidRPr="00732139">
        <w:t xml:space="preserve">presented </w:t>
      </w:r>
      <w:r w:rsidR="004E2F64" w:rsidRPr="00732139">
        <w:t xml:space="preserve">in the resubmission </w:t>
      </w:r>
      <w:r w:rsidRPr="00732139">
        <w:t xml:space="preserve">for the overall population, comparing the results of the meta-analysis of Trials 301 and 302, and the eculizumab TRIUMPH trial; and the treatment naïve population comparing Trial 301 with the TRIUMPH trial. </w:t>
      </w:r>
      <w:r w:rsidR="00AB6D49" w:rsidRPr="00732139">
        <w:t>T</w:t>
      </w:r>
      <w:r w:rsidR="004E2F64" w:rsidRPr="00732139">
        <w:t xml:space="preserve">he results of the indirect comparison suggest that ravulizumab has a statistically significantly better efficacy profile than placebo for the outcomes of transfusion avoidance, percent change in LDH levels, and FACIT-fatigue scores. </w:t>
      </w:r>
      <w:r w:rsidR="004E2F64" w:rsidRPr="00732139">
        <w:rPr>
          <w:iCs/>
        </w:rPr>
        <w:t xml:space="preserve">However, </w:t>
      </w:r>
      <w:r w:rsidR="00F6095A" w:rsidRPr="00732139">
        <w:rPr>
          <w:iCs/>
        </w:rPr>
        <w:t xml:space="preserve">reiterating its </w:t>
      </w:r>
      <w:r w:rsidR="00524D1F" w:rsidRPr="00732139">
        <w:rPr>
          <w:iCs/>
        </w:rPr>
        <w:t xml:space="preserve">advice on the </w:t>
      </w:r>
      <w:r w:rsidR="00F6095A" w:rsidRPr="00732139">
        <w:rPr>
          <w:iCs/>
        </w:rPr>
        <w:t>July 2020</w:t>
      </w:r>
      <w:r w:rsidR="00524D1F" w:rsidRPr="00732139">
        <w:rPr>
          <w:iCs/>
        </w:rPr>
        <w:t xml:space="preserve"> submission</w:t>
      </w:r>
      <w:r w:rsidR="00F6095A" w:rsidRPr="00732139">
        <w:rPr>
          <w:iCs/>
        </w:rPr>
        <w:t xml:space="preserve">, </w:t>
      </w:r>
      <w:r w:rsidR="004E2F64" w:rsidRPr="00732139">
        <w:rPr>
          <w:iCs/>
        </w:rPr>
        <w:t xml:space="preserve">the </w:t>
      </w:r>
      <w:r w:rsidR="007540DD" w:rsidRPr="00732139">
        <w:rPr>
          <w:iCs/>
        </w:rPr>
        <w:t>ESC considered</w:t>
      </w:r>
      <w:r w:rsidR="006D00F2" w:rsidRPr="00732139">
        <w:rPr>
          <w:iCs/>
        </w:rPr>
        <w:t xml:space="preserve"> that </w:t>
      </w:r>
      <w:r w:rsidR="006D00F2" w:rsidRPr="00732139">
        <w:rPr>
          <w:iCs/>
        </w:rPr>
        <w:lastRenderedPageBreak/>
        <w:t xml:space="preserve">the </w:t>
      </w:r>
      <w:r w:rsidR="004E2F64" w:rsidRPr="00732139">
        <w:rPr>
          <w:iCs/>
        </w:rPr>
        <w:t>robustness of the indirect comparison was hindered by the limited number of comparable outcomes available between the trials, and issues of exchangeability between the two ravulizumab trials and the TRIUMPH trial</w:t>
      </w:r>
      <w:r w:rsidR="00F6095A" w:rsidRPr="00732139">
        <w:rPr>
          <w:iCs/>
        </w:rPr>
        <w:t xml:space="preserve"> (para </w:t>
      </w:r>
      <w:r w:rsidR="007540DD" w:rsidRPr="00732139">
        <w:rPr>
          <w:iCs/>
        </w:rPr>
        <w:t>6.27, ravulizumab PSD, July 2020 PBAC meeting)</w:t>
      </w:r>
      <w:r w:rsidR="004E2F64" w:rsidRPr="00732139">
        <w:rPr>
          <w:iCs/>
        </w:rPr>
        <w:t>.</w:t>
      </w:r>
      <w:r w:rsidR="00B80543" w:rsidRPr="00732139">
        <w:rPr>
          <w:iCs/>
        </w:rPr>
        <w:t xml:space="preserve"> </w:t>
      </w:r>
    </w:p>
    <w:p w:rsidR="0042344F" w:rsidRPr="00732139" w:rsidRDefault="004908D8" w:rsidP="00B65C3B">
      <w:pPr>
        <w:pStyle w:val="4-SubsectSubhead"/>
        <w:spacing w:after="0"/>
        <w:rPr>
          <w:snapToGrid w:val="0"/>
        </w:rPr>
      </w:pPr>
      <w:r w:rsidRPr="00732139">
        <w:rPr>
          <w:snapToGrid w:val="0"/>
        </w:rPr>
        <w:t>Eculizumab survival data</w:t>
      </w:r>
    </w:p>
    <w:p w:rsidR="00A25561" w:rsidRPr="00732139" w:rsidRDefault="00175968" w:rsidP="00B65C3B">
      <w:pPr>
        <w:pStyle w:val="5-SubSubSubHead"/>
        <w:spacing w:before="120"/>
      </w:pPr>
      <w:r w:rsidRPr="00732139">
        <w:t>Comp</w:t>
      </w:r>
      <w:r w:rsidR="004533E2" w:rsidRPr="00732139">
        <w:t>a</w:t>
      </w:r>
      <w:r w:rsidRPr="00732139">
        <w:t>rative studies</w:t>
      </w:r>
    </w:p>
    <w:p w:rsidR="009236FA" w:rsidRPr="00732139" w:rsidRDefault="009236FA" w:rsidP="009236FA">
      <w:pPr>
        <w:pStyle w:val="ExecSumBodyText"/>
      </w:pPr>
      <w:r w:rsidRPr="00732139">
        <w:rPr>
          <w:iCs/>
        </w:rPr>
        <w:t xml:space="preserve">In the July 2020 ravulizumab submission, the PBAC considered that the availability of new and different data provided across multiple communications relating to ravulizumab and eculizumab (the ravulizumab submission, LSDP review for eculizumab and minor submission response correspondence for eculizumab) confounded the interpretation of survival data presented in the submission (para 6.34, ravulizumab PSD, July 2020 PBAC meeting). </w:t>
      </w:r>
    </w:p>
    <w:p w:rsidR="007213A2" w:rsidRPr="00732139" w:rsidRDefault="007213A2" w:rsidP="007213A2">
      <w:pPr>
        <w:pStyle w:val="ExecSumBodyText"/>
      </w:pPr>
      <w:r w:rsidRPr="00732139">
        <w:t xml:space="preserve">The resubmission conducted an extensive assessment of the applicability of the 30 identified published studies to the population eligible for eculizumab on the LSDP. </w:t>
      </w:r>
      <w:r w:rsidR="00894DA2" w:rsidRPr="00732139">
        <w:t>As a result, s</w:t>
      </w:r>
      <w:r w:rsidRPr="00732139">
        <w:t xml:space="preserve">urvival data </w:t>
      </w:r>
      <w:r w:rsidR="00894DA2" w:rsidRPr="00732139">
        <w:t xml:space="preserve">in the resubmission </w:t>
      </w:r>
      <w:r w:rsidRPr="00732139">
        <w:t>were based on 14 studies of PNH with survival outcomes</w:t>
      </w:r>
      <w:r w:rsidR="00894DA2" w:rsidRPr="00732139">
        <w:t>. These</w:t>
      </w:r>
      <w:r w:rsidRPr="00732139">
        <w:t xml:space="preserve"> includ</w:t>
      </w:r>
      <w:r w:rsidR="00894DA2" w:rsidRPr="00732139">
        <w:t>ed</w:t>
      </w:r>
      <w:r w:rsidRPr="00732139">
        <w:t xml:space="preserve"> natural history studies, eculizumab treated patients (single-arm studies) and studies comparing eculizumab versus no eculizumab treatment groups (summarised in the table below).</w:t>
      </w:r>
    </w:p>
    <w:p w:rsidR="007213A2" w:rsidRPr="00732139" w:rsidRDefault="007213A2" w:rsidP="00114974">
      <w:pPr>
        <w:pStyle w:val="Tableheadingrow"/>
        <w:keepLines/>
        <w:rPr>
          <w:lang w:val="en-AU"/>
        </w:rPr>
      </w:pPr>
      <w:r w:rsidRPr="00732139">
        <w:rPr>
          <w:lang w:val="en-AU"/>
        </w:rPr>
        <w:t>Table 5: Published survival data included in the resubmission</w:t>
      </w:r>
    </w:p>
    <w:tbl>
      <w:tblPr>
        <w:tblStyle w:val="TableGrid"/>
        <w:tblW w:w="0" w:type="auto"/>
        <w:tblLook w:val="04A0" w:firstRow="1" w:lastRow="0" w:firstColumn="1" w:lastColumn="0" w:noHBand="0" w:noVBand="1"/>
        <w:tblCaption w:val="Table 5: Published survival data included in the resubmission"/>
      </w:tblPr>
      <w:tblGrid>
        <w:gridCol w:w="2417"/>
        <w:gridCol w:w="1974"/>
        <w:gridCol w:w="2085"/>
        <w:gridCol w:w="2541"/>
      </w:tblGrid>
      <w:tr w:rsidR="007213A2" w:rsidRPr="00732139" w:rsidTr="00C704DD">
        <w:trPr>
          <w:tblHeader/>
        </w:trPr>
        <w:tc>
          <w:tcPr>
            <w:tcW w:w="2417" w:type="dxa"/>
            <w:vMerge w:val="restart"/>
            <w:vAlign w:val="center"/>
          </w:tcPr>
          <w:p w:rsidR="007213A2" w:rsidRPr="00732139" w:rsidRDefault="007213A2" w:rsidP="00114974">
            <w:pPr>
              <w:pStyle w:val="TableText"/>
              <w:keepLines/>
              <w:widowControl w:val="0"/>
              <w:rPr>
                <w:b/>
                <w:bCs w:val="0"/>
              </w:rPr>
            </w:pPr>
            <w:r w:rsidRPr="00732139">
              <w:rPr>
                <w:b/>
                <w:bCs w:val="0"/>
              </w:rPr>
              <w:t>Survival data</w:t>
            </w:r>
          </w:p>
        </w:tc>
        <w:tc>
          <w:tcPr>
            <w:tcW w:w="4059" w:type="dxa"/>
            <w:gridSpan w:val="2"/>
            <w:vAlign w:val="center"/>
          </w:tcPr>
          <w:p w:rsidR="007213A2" w:rsidRPr="00732139" w:rsidRDefault="007213A2" w:rsidP="00114974">
            <w:pPr>
              <w:pStyle w:val="TableText"/>
              <w:keepLines/>
              <w:widowControl w:val="0"/>
              <w:rPr>
                <w:b/>
                <w:bCs w:val="0"/>
              </w:rPr>
            </w:pPr>
            <w:r w:rsidRPr="00732139">
              <w:rPr>
                <w:b/>
                <w:bCs w:val="0"/>
              </w:rPr>
              <w:t>Previously considered by the PBAC</w:t>
            </w:r>
          </w:p>
        </w:tc>
        <w:tc>
          <w:tcPr>
            <w:tcW w:w="2541" w:type="dxa"/>
            <w:vMerge w:val="restart"/>
            <w:vAlign w:val="center"/>
          </w:tcPr>
          <w:p w:rsidR="007213A2" w:rsidRPr="00732139" w:rsidRDefault="007213A2" w:rsidP="00114974">
            <w:pPr>
              <w:pStyle w:val="TableText"/>
              <w:keepLines/>
              <w:widowControl w:val="0"/>
              <w:rPr>
                <w:b/>
                <w:bCs w:val="0"/>
              </w:rPr>
            </w:pPr>
            <w:r w:rsidRPr="00732139">
              <w:rPr>
                <w:b/>
                <w:bCs w:val="0"/>
              </w:rPr>
              <w:t>Not previously considered by the PBAC</w:t>
            </w:r>
          </w:p>
        </w:tc>
      </w:tr>
      <w:tr w:rsidR="007213A2" w:rsidRPr="00732139" w:rsidTr="00C704DD">
        <w:trPr>
          <w:tblHeader/>
        </w:trPr>
        <w:tc>
          <w:tcPr>
            <w:tcW w:w="2417" w:type="dxa"/>
            <w:vMerge/>
            <w:vAlign w:val="center"/>
          </w:tcPr>
          <w:p w:rsidR="007213A2" w:rsidRPr="00732139" w:rsidRDefault="007213A2" w:rsidP="00114974">
            <w:pPr>
              <w:pStyle w:val="TableText"/>
              <w:keepLines/>
              <w:widowControl w:val="0"/>
            </w:pPr>
          </w:p>
        </w:tc>
        <w:tc>
          <w:tcPr>
            <w:tcW w:w="1974" w:type="dxa"/>
            <w:vAlign w:val="center"/>
          </w:tcPr>
          <w:p w:rsidR="007213A2" w:rsidRPr="00732139" w:rsidRDefault="007213A2" w:rsidP="00114974">
            <w:pPr>
              <w:pStyle w:val="TableText"/>
              <w:keepLines/>
              <w:widowControl w:val="0"/>
              <w:rPr>
                <w:b/>
                <w:bCs w:val="0"/>
              </w:rPr>
            </w:pPr>
            <w:r w:rsidRPr="00732139">
              <w:rPr>
                <w:b/>
                <w:bCs w:val="0"/>
              </w:rPr>
              <w:t>Previous eculizumab submissions</w:t>
            </w:r>
          </w:p>
        </w:tc>
        <w:tc>
          <w:tcPr>
            <w:tcW w:w="2085" w:type="dxa"/>
            <w:vAlign w:val="center"/>
          </w:tcPr>
          <w:p w:rsidR="007213A2" w:rsidRPr="00732139" w:rsidRDefault="007213A2" w:rsidP="00114974">
            <w:pPr>
              <w:pStyle w:val="TableText"/>
              <w:keepLines/>
              <w:widowControl w:val="0"/>
              <w:rPr>
                <w:b/>
                <w:bCs w:val="0"/>
              </w:rPr>
            </w:pPr>
            <w:r w:rsidRPr="00732139">
              <w:rPr>
                <w:b/>
                <w:bCs w:val="0"/>
              </w:rPr>
              <w:t>July 2020 ravulizumab submission</w:t>
            </w:r>
          </w:p>
        </w:tc>
        <w:tc>
          <w:tcPr>
            <w:tcW w:w="2541" w:type="dxa"/>
            <w:vMerge/>
            <w:vAlign w:val="center"/>
          </w:tcPr>
          <w:p w:rsidR="007213A2" w:rsidRPr="00732139" w:rsidRDefault="007213A2" w:rsidP="00114974">
            <w:pPr>
              <w:pStyle w:val="TableText"/>
              <w:keepLines/>
              <w:widowControl w:val="0"/>
            </w:pPr>
          </w:p>
        </w:tc>
      </w:tr>
      <w:tr w:rsidR="007213A2" w:rsidRPr="00732139" w:rsidTr="00531FF1">
        <w:tc>
          <w:tcPr>
            <w:tcW w:w="2417" w:type="dxa"/>
          </w:tcPr>
          <w:p w:rsidR="007213A2" w:rsidRPr="00732139" w:rsidRDefault="007213A2" w:rsidP="00114974">
            <w:pPr>
              <w:pStyle w:val="TableText"/>
              <w:keepLines/>
              <w:widowControl w:val="0"/>
            </w:pPr>
            <w:r w:rsidRPr="00732139">
              <w:t>Natural history of PNH (untreated/BSC)</w:t>
            </w:r>
          </w:p>
        </w:tc>
        <w:tc>
          <w:tcPr>
            <w:tcW w:w="1974" w:type="dxa"/>
          </w:tcPr>
          <w:p w:rsidR="007213A2" w:rsidRPr="00732139" w:rsidRDefault="007213A2" w:rsidP="00114974">
            <w:pPr>
              <w:pStyle w:val="TableText"/>
              <w:keepLines/>
              <w:widowControl w:val="0"/>
            </w:pPr>
            <w:r w:rsidRPr="00732139">
              <w:t xml:space="preserve">de Latour 2008 Nishimura 2004 </w:t>
            </w:r>
          </w:p>
          <w:p w:rsidR="007213A2" w:rsidRPr="00732139" w:rsidRDefault="007213A2" w:rsidP="00114974">
            <w:pPr>
              <w:pStyle w:val="TableText"/>
              <w:keepLines/>
              <w:widowControl w:val="0"/>
            </w:pPr>
            <w:r w:rsidRPr="00732139">
              <w:t xml:space="preserve">Socie 1996 </w:t>
            </w:r>
          </w:p>
        </w:tc>
        <w:tc>
          <w:tcPr>
            <w:tcW w:w="2085" w:type="dxa"/>
          </w:tcPr>
          <w:p w:rsidR="007213A2" w:rsidRPr="00732139" w:rsidRDefault="007213A2" w:rsidP="00114974">
            <w:pPr>
              <w:pStyle w:val="TableText"/>
              <w:keepLines/>
              <w:widowControl w:val="0"/>
            </w:pPr>
            <w:r w:rsidRPr="00732139">
              <w:t>Jang 2016</w:t>
            </w:r>
          </w:p>
          <w:p w:rsidR="007213A2" w:rsidRPr="00732139" w:rsidRDefault="007213A2" w:rsidP="00114974">
            <w:pPr>
              <w:pStyle w:val="TableText"/>
              <w:keepLines/>
              <w:widowControl w:val="0"/>
            </w:pPr>
          </w:p>
        </w:tc>
        <w:tc>
          <w:tcPr>
            <w:tcW w:w="2541" w:type="dxa"/>
          </w:tcPr>
          <w:p w:rsidR="007213A2" w:rsidRPr="00732139" w:rsidRDefault="007213A2" w:rsidP="00114974">
            <w:pPr>
              <w:pStyle w:val="TableText"/>
              <w:keepLines/>
              <w:widowControl w:val="0"/>
            </w:pPr>
            <w:r w:rsidRPr="00732139">
              <w:t>Fu 2019</w:t>
            </w:r>
          </w:p>
          <w:p w:rsidR="007213A2" w:rsidRPr="00732139" w:rsidRDefault="007213A2" w:rsidP="00114974">
            <w:pPr>
              <w:pStyle w:val="TableText"/>
              <w:keepLines/>
              <w:widowControl w:val="0"/>
            </w:pPr>
            <w:r w:rsidRPr="00732139">
              <w:t>Yenerel 2017</w:t>
            </w:r>
          </w:p>
        </w:tc>
      </w:tr>
      <w:tr w:rsidR="007213A2" w:rsidRPr="00732139" w:rsidTr="00531FF1">
        <w:tc>
          <w:tcPr>
            <w:tcW w:w="2417" w:type="dxa"/>
          </w:tcPr>
          <w:p w:rsidR="007213A2" w:rsidRPr="00732139" w:rsidRDefault="007213A2" w:rsidP="00114974">
            <w:pPr>
              <w:pStyle w:val="TableText"/>
              <w:keepLines/>
              <w:widowControl w:val="0"/>
            </w:pPr>
            <w:r w:rsidRPr="00732139">
              <w:t>Eculizumab only (single-arm)</w:t>
            </w:r>
          </w:p>
        </w:tc>
        <w:tc>
          <w:tcPr>
            <w:tcW w:w="1974" w:type="dxa"/>
          </w:tcPr>
          <w:p w:rsidR="007213A2" w:rsidRPr="00732139" w:rsidRDefault="007213A2" w:rsidP="00114974">
            <w:pPr>
              <w:pStyle w:val="TableText"/>
              <w:keepLines/>
              <w:widowControl w:val="0"/>
            </w:pPr>
            <w:r w:rsidRPr="00732139">
              <w:t>Nil</w:t>
            </w:r>
          </w:p>
        </w:tc>
        <w:tc>
          <w:tcPr>
            <w:tcW w:w="2085" w:type="dxa"/>
          </w:tcPr>
          <w:p w:rsidR="007213A2" w:rsidRPr="00732139" w:rsidRDefault="007213A2" w:rsidP="00114974">
            <w:pPr>
              <w:pStyle w:val="TableText"/>
              <w:keepLines/>
              <w:widowControl w:val="0"/>
            </w:pPr>
            <w:r w:rsidRPr="00732139">
              <w:t>Hill 2012 (abstract)</w:t>
            </w:r>
          </w:p>
          <w:p w:rsidR="007213A2" w:rsidRPr="00732139" w:rsidRDefault="007213A2" w:rsidP="00114974">
            <w:pPr>
              <w:pStyle w:val="TableText"/>
              <w:keepLines/>
              <w:widowControl w:val="0"/>
            </w:pPr>
            <w:r w:rsidRPr="00732139">
              <w:t>Hillmen 2013</w:t>
            </w:r>
          </w:p>
        </w:tc>
        <w:tc>
          <w:tcPr>
            <w:tcW w:w="2541" w:type="dxa"/>
          </w:tcPr>
          <w:p w:rsidR="007213A2" w:rsidRPr="00732139" w:rsidRDefault="007213A2" w:rsidP="00114974">
            <w:pPr>
              <w:pStyle w:val="TableText"/>
              <w:keepLines/>
              <w:widowControl w:val="0"/>
            </w:pPr>
            <w:r w:rsidRPr="00732139">
              <w:t>Ninomiya 2016</w:t>
            </w:r>
          </w:p>
        </w:tc>
      </w:tr>
      <w:tr w:rsidR="007213A2" w:rsidRPr="00732139" w:rsidTr="00531FF1">
        <w:tc>
          <w:tcPr>
            <w:tcW w:w="2417" w:type="dxa"/>
          </w:tcPr>
          <w:p w:rsidR="007213A2" w:rsidRPr="00732139" w:rsidRDefault="007213A2" w:rsidP="00114974">
            <w:pPr>
              <w:pStyle w:val="TableText"/>
              <w:keepLines/>
              <w:widowControl w:val="0"/>
            </w:pPr>
            <w:r w:rsidRPr="00732139">
              <w:t xml:space="preserve">Eculizumab vs no eculizumab </w:t>
            </w:r>
          </w:p>
        </w:tc>
        <w:tc>
          <w:tcPr>
            <w:tcW w:w="1974" w:type="dxa"/>
          </w:tcPr>
          <w:p w:rsidR="007213A2" w:rsidRPr="00732139" w:rsidRDefault="007213A2" w:rsidP="00114974">
            <w:pPr>
              <w:pStyle w:val="TableText"/>
              <w:keepLines/>
              <w:widowControl w:val="0"/>
            </w:pPr>
            <w:r w:rsidRPr="00732139">
              <w:t>Nil</w:t>
            </w:r>
          </w:p>
        </w:tc>
        <w:tc>
          <w:tcPr>
            <w:tcW w:w="2085" w:type="dxa"/>
          </w:tcPr>
          <w:p w:rsidR="007213A2" w:rsidRPr="00732139" w:rsidRDefault="007213A2" w:rsidP="00114974">
            <w:pPr>
              <w:pStyle w:val="TableText"/>
              <w:keepLines/>
              <w:widowControl w:val="0"/>
            </w:pPr>
            <w:r w:rsidRPr="00732139">
              <w:t>Hill 2017b (abstract)</w:t>
            </w:r>
          </w:p>
          <w:p w:rsidR="007213A2" w:rsidRPr="00732139" w:rsidRDefault="007213A2" w:rsidP="00114974">
            <w:pPr>
              <w:pStyle w:val="TableText"/>
              <w:keepLines/>
              <w:widowControl w:val="0"/>
            </w:pPr>
            <w:r w:rsidRPr="00732139">
              <w:t>Kelly 2011</w:t>
            </w:r>
          </w:p>
          <w:p w:rsidR="007213A2" w:rsidRPr="00732139" w:rsidRDefault="007213A2" w:rsidP="00114974">
            <w:pPr>
              <w:pStyle w:val="TableText"/>
              <w:keepLines/>
              <w:widowControl w:val="0"/>
            </w:pPr>
            <w:r w:rsidRPr="00732139">
              <w:t>Loschi 2016</w:t>
            </w:r>
          </w:p>
        </w:tc>
        <w:tc>
          <w:tcPr>
            <w:tcW w:w="2541" w:type="dxa"/>
          </w:tcPr>
          <w:p w:rsidR="007213A2" w:rsidRPr="00732139" w:rsidRDefault="007213A2" w:rsidP="00114974">
            <w:pPr>
              <w:pStyle w:val="TableText"/>
              <w:keepLines/>
              <w:widowControl w:val="0"/>
            </w:pPr>
            <w:r w:rsidRPr="00732139">
              <w:t>Kang 2020</w:t>
            </w:r>
          </w:p>
          <w:p w:rsidR="007213A2" w:rsidRPr="00732139" w:rsidRDefault="007213A2" w:rsidP="00114974">
            <w:pPr>
              <w:pStyle w:val="TableText"/>
              <w:keepLines/>
              <w:widowControl w:val="0"/>
            </w:pPr>
            <w:r w:rsidRPr="00732139">
              <w:t>Kulagin 2018 (abstract)</w:t>
            </w:r>
          </w:p>
        </w:tc>
      </w:tr>
    </w:tbl>
    <w:p w:rsidR="007213A2" w:rsidRPr="00732139" w:rsidRDefault="007213A2" w:rsidP="00114974">
      <w:pPr>
        <w:pStyle w:val="TableFigureFooter"/>
        <w:keepNext/>
        <w:keepLines/>
      </w:pPr>
      <w:r w:rsidRPr="00732139">
        <w:t>Source: Table 2.102, p192 of the resubmission</w:t>
      </w:r>
    </w:p>
    <w:p w:rsidR="007213A2" w:rsidRPr="00732139" w:rsidRDefault="007213A2" w:rsidP="007213A2">
      <w:pPr>
        <w:pStyle w:val="ExecSumBodyText"/>
        <w:rPr>
          <w:iCs/>
        </w:rPr>
      </w:pPr>
      <w:r w:rsidRPr="00732139">
        <w:rPr>
          <w:iCs/>
        </w:rPr>
        <w:t>Overall, the resubmission’s approach to study selection was complex and difficult to reproduce given the use of subjective criteria that are typically used in the interpretation of results rather than study selection. Consequently, a number of studies previously considered by the PBAC were excluded (Hillmen 1995, Moyo 2004, Munoz-Linarez 2014 and Socie 2016).</w:t>
      </w:r>
    </w:p>
    <w:p w:rsidR="007213A2" w:rsidRPr="00732139" w:rsidRDefault="007213A2" w:rsidP="007213A2">
      <w:pPr>
        <w:pStyle w:val="ExecSumBodyText"/>
        <w:rPr>
          <w:iCs/>
        </w:rPr>
      </w:pPr>
      <w:r w:rsidRPr="00732139">
        <w:rPr>
          <w:iCs/>
        </w:rPr>
        <w:t>The use of applicability criteria as study selection criteria also resulted in the inclusion of a number of studies that had limited reporting and therefore did not clearly trigger the inclusion/exclusion criteria used in the resubmission (e.g. Hill 2012, Hillmen 2013 and Kulagin 2018 available as abstracts only).</w:t>
      </w:r>
    </w:p>
    <w:p w:rsidR="007213A2" w:rsidRPr="00732139" w:rsidRDefault="007213A2" w:rsidP="007213A2">
      <w:pPr>
        <w:pStyle w:val="ExecSumBodyText"/>
        <w:rPr>
          <w:iCs/>
        </w:rPr>
      </w:pPr>
      <w:r w:rsidRPr="00732139">
        <w:rPr>
          <w:iCs/>
        </w:rPr>
        <w:lastRenderedPageBreak/>
        <w:t>The risk of bias for all included studies should be considered high due to the use of observational data. All included comparative studies were retrospective in nature with uncontrolled assignment of treatment to patients.</w:t>
      </w:r>
    </w:p>
    <w:p w:rsidR="007213A2" w:rsidRPr="00732139" w:rsidRDefault="007213A2" w:rsidP="007213A2">
      <w:pPr>
        <w:pStyle w:val="ExecSumBodyText"/>
        <w:rPr>
          <w:iCs/>
        </w:rPr>
      </w:pPr>
      <w:r w:rsidRPr="00732139">
        <w:rPr>
          <w:iCs/>
        </w:rPr>
        <w:t>The assessment of risk of bias was challenging due to the wide range of study designs employed as well as non-standard reporting of key study characteristics. Data sources used in the studies included surveys, patient records, disease registries, health insurance databases and post-marketing surveillance; all of which necessitate the use of tailored methods to define the inclusion/exclusion of patients (e.g. look-back periods, co-morbidities, disease severity, use of other therapies) and outcomes analysis.</w:t>
      </w:r>
    </w:p>
    <w:p w:rsidR="0042344F" w:rsidRPr="00732139" w:rsidRDefault="00067C3E" w:rsidP="00EC5836">
      <w:pPr>
        <w:pStyle w:val="ExecSumBodyText"/>
      </w:pPr>
      <w:r w:rsidRPr="00732139">
        <w:t xml:space="preserve">The table below presents an overview </w:t>
      </w:r>
      <w:r w:rsidR="008708DA" w:rsidRPr="00732139">
        <w:t xml:space="preserve">of survival estimates </w:t>
      </w:r>
      <w:r w:rsidRPr="00732139">
        <w:t xml:space="preserve">for eculizumab and </w:t>
      </w:r>
      <w:r w:rsidR="008708DA" w:rsidRPr="00732139">
        <w:t xml:space="preserve">no eculizumab comparative studies included in the resubmission. </w:t>
      </w:r>
    </w:p>
    <w:p w:rsidR="000A3BF4" w:rsidRPr="00732139" w:rsidRDefault="000A3BF4" w:rsidP="000A3BF4">
      <w:pPr>
        <w:pStyle w:val="Tableheadingrow"/>
        <w:rPr>
          <w:lang w:val="en-AU"/>
        </w:rPr>
      </w:pPr>
      <w:r w:rsidRPr="00732139">
        <w:rPr>
          <w:lang w:val="en-AU"/>
        </w:rPr>
        <w:t xml:space="preserve">Table </w:t>
      </w:r>
      <w:r w:rsidR="00911D94" w:rsidRPr="00732139">
        <w:rPr>
          <w:lang w:val="en-AU"/>
        </w:rPr>
        <w:t>6</w:t>
      </w:r>
      <w:r w:rsidRPr="00732139">
        <w:rPr>
          <w:lang w:val="en-AU"/>
        </w:rPr>
        <w:t>: Overview of survival estimates for eculizumab and no eculizumab comparative studies</w:t>
      </w:r>
    </w:p>
    <w:tbl>
      <w:tblPr>
        <w:tblStyle w:val="TableGrid"/>
        <w:tblW w:w="0" w:type="auto"/>
        <w:tblLayout w:type="fixed"/>
        <w:tblLook w:val="04A0" w:firstRow="1" w:lastRow="0" w:firstColumn="1" w:lastColumn="0" w:noHBand="0" w:noVBand="1"/>
        <w:tblCaption w:val="Table 6: Overview of survival estimates for eculizumab and no eculizumab comparative studies"/>
      </w:tblPr>
      <w:tblGrid>
        <w:gridCol w:w="972"/>
        <w:gridCol w:w="879"/>
        <w:gridCol w:w="636"/>
        <w:gridCol w:w="1064"/>
        <w:gridCol w:w="1148"/>
        <w:gridCol w:w="1158"/>
        <w:gridCol w:w="913"/>
        <w:gridCol w:w="1120"/>
        <w:gridCol w:w="1127"/>
      </w:tblGrid>
      <w:tr w:rsidR="000A3BF4" w:rsidRPr="00732139" w:rsidTr="00C704DD">
        <w:trPr>
          <w:tblHeader/>
        </w:trPr>
        <w:tc>
          <w:tcPr>
            <w:tcW w:w="972" w:type="dxa"/>
            <w:vAlign w:val="center"/>
          </w:tcPr>
          <w:p w:rsidR="000A3BF4" w:rsidRPr="00732139" w:rsidRDefault="000A3BF4" w:rsidP="00531FF1">
            <w:pPr>
              <w:pStyle w:val="TableText"/>
              <w:rPr>
                <w:b/>
                <w:bCs w:val="0"/>
              </w:rPr>
            </w:pPr>
            <w:r w:rsidRPr="00732139">
              <w:rPr>
                <w:b/>
                <w:bCs w:val="0"/>
              </w:rPr>
              <w:t>Study</w:t>
            </w:r>
          </w:p>
        </w:tc>
        <w:tc>
          <w:tcPr>
            <w:tcW w:w="879" w:type="dxa"/>
            <w:vAlign w:val="center"/>
          </w:tcPr>
          <w:p w:rsidR="000A3BF4" w:rsidRPr="00732139" w:rsidRDefault="000A3BF4" w:rsidP="00531FF1">
            <w:pPr>
              <w:pStyle w:val="TableText"/>
              <w:rPr>
                <w:b/>
                <w:bCs w:val="0"/>
              </w:rPr>
            </w:pPr>
            <w:r w:rsidRPr="00732139">
              <w:rPr>
                <w:b/>
                <w:bCs w:val="0"/>
              </w:rPr>
              <w:t>Group</w:t>
            </w:r>
          </w:p>
        </w:tc>
        <w:tc>
          <w:tcPr>
            <w:tcW w:w="636" w:type="dxa"/>
            <w:vAlign w:val="center"/>
          </w:tcPr>
          <w:p w:rsidR="000A3BF4" w:rsidRPr="00732139" w:rsidRDefault="000A3BF4" w:rsidP="00531FF1">
            <w:pPr>
              <w:pStyle w:val="TableText"/>
              <w:jc w:val="center"/>
              <w:rPr>
                <w:b/>
                <w:bCs w:val="0"/>
              </w:rPr>
            </w:pPr>
            <w:r w:rsidRPr="00732139">
              <w:rPr>
                <w:b/>
                <w:bCs w:val="0"/>
              </w:rPr>
              <w:t>N</w:t>
            </w:r>
          </w:p>
        </w:tc>
        <w:tc>
          <w:tcPr>
            <w:tcW w:w="1064" w:type="dxa"/>
            <w:vAlign w:val="center"/>
          </w:tcPr>
          <w:p w:rsidR="000A3BF4" w:rsidRPr="00732139" w:rsidRDefault="000A3BF4" w:rsidP="00531FF1">
            <w:pPr>
              <w:pStyle w:val="TableText"/>
              <w:jc w:val="center"/>
              <w:rPr>
                <w:b/>
                <w:bCs w:val="0"/>
              </w:rPr>
            </w:pPr>
            <w:r w:rsidRPr="00732139">
              <w:rPr>
                <w:b/>
                <w:bCs w:val="0"/>
              </w:rPr>
              <w:t>Data capture</w:t>
            </w:r>
          </w:p>
        </w:tc>
        <w:tc>
          <w:tcPr>
            <w:tcW w:w="1148" w:type="dxa"/>
            <w:vAlign w:val="center"/>
          </w:tcPr>
          <w:p w:rsidR="000A3BF4" w:rsidRPr="00732139" w:rsidRDefault="000A3BF4" w:rsidP="00531FF1">
            <w:pPr>
              <w:pStyle w:val="TableText"/>
              <w:jc w:val="center"/>
              <w:rPr>
                <w:b/>
                <w:bCs w:val="0"/>
              </w:rPr>
            </w:pPr>
            <w:r w:rsidRPr="00732139">
              <w:rPr>
                <w:b/>
                <w:bCs w:val="0"/>
              </w:rPr>
              <w:t>Duration of follow-up, yrs</w:t>
            </w:r>
          </w:p>
        </w:tc>
        <w:tc>
          <w:tcPr>
            <w:tcW w:w="1158" w:type="dxa"/>
            <w:vAlign w:val="center"/>
          </w:tcPr>
          <w:p w:rsidR="000A3BF4" w:rsidRPr="00732139" w:rsidRDefault="000A3BF4" w:rsidP="00531FF1">
            <w:pPr>
              <w:pStyle w:val="TableText"/>
              <w:jc w:val="center"/>
              <w:rPr>
                <w:b/>
                <w:bCs w:val="0"/>
              </w:rPr>
            </w:pPr>
            <w:r w:rsidRPr="00732139">
              <w:rPr>
                <w:b/>
                <w:bCs w:val="0"/>
              </w:rPr>
              <w:t>Age at diagnosis, yrs, median (range)</w:t>
            </w:r>
          </w:p>
        </w:tc>
        <w:tc>
          <w:tcPr>
            <w:tcW w:w="913" w:type="dxa"/>
            <w:vAlign w:val="center"/>
          </w:tcPr>
          <w:p w:rsidR="000A3BF4" w:rsidRPr="00732139" w:rsidRDefault="000A3BF4" w:rsidP="00531FF1">
            <w:pPr>
              <w:pStyle w:val="TableText"/>
              <w:jc w:val="center"/>
              <w:rPr>
                <w:b/>
                <w:bCs w:val="0"/>
              </w:rPr>
            </w:pPr>
            <w:r w:rsidRPr="00732139">
              <w:rPr>
                <w:b/>
                <w:bCs w:val="0"/>
              </w:rPr>
              <w:t>Diagnos-tic test</w:t>
            </w:r>
          </w:p>
        </w:tc>
        <w:tc>
          <w:tcPr>
            <w:tcW w:w="1120" w:type="dxa"/>
            <w:vAlign w:val="center"/>
          </w:tcPr>
          <w:p w:rsidR="000A3BF4" w:rsidRPr="00732139" w:rsidRDefault="000A3BF4" w:rsidP="00531FF1">
            <w:pPr>
              <w:pStyle w:val="TableText"/>
              <w:jc w:val="center"/>
              <w:rPr>
                <w:b/>
                <w:bCs w:val="0"/>
              </w:rPr>
            </w:pPr>
            <w:r w:rsidRPr="00732139">
              <w:rPr>
                <w:b/>
                <w:bCs w:val="0"/>
              </w:rPr>
              <w:t>Survival estimates</w:t>
            </w:r>
          </w:p>
        </w:tc>
        <w:tc>
          <w:tcPr>
            <w:tcW w:w="1127" w:type="dxa"/>
            <w:vAlign w:val="center"/>
          </w:tcPr>
          <w:p w:rsidR="000A3BF4" w:rsidRPr="00732139" w:rsidRDefault="000A3BF4" w:rsidP="00531FF1">
            <w:pPr>
              <w:pStyle w:val="TableText"/>
              <w:jc w:val="center"/>
              <w:rPr>
                <w:b/>
                <w:bCs w:val="0"/>
              </w:rPr>
            </w:pPr>
            <w:r w:rsidRPr="00732139">
              <w:rPr>
                <w:b/>
                <w:bCs w:val="0"/>
              </w:rPr>
              <w:t>ECU vs no ECU, HR (95% CI)</w:t>
            </w:r>
          </w:p>
        </w:tc>
      </w:tr>
      <w:tr w:rsidR="000A3BF4" w:rsidRPr="00732139" w:rsidTr="00531FF1">
        <w:tc>
          <w:tcPr>
            <w:tcW w:w="972" w:type="dxa"/>
            <w:vMerge w:val="restart"/>
            <w:vAlign w:val="center"/>
          </w:tcPr>
          <w:p w:rsidR="000A3BF4" w:rsidRPr="00732139" w:rsidRDefault="000A3BF4" w:rsidP="00531FF1">
            <w:pPr>
              <w:pStyle w:val="TableText"/>
            </w:pPr>
            <w:r w:rsidRPr="00732139">
              <w:t>Hill 2017b (Global)</w:t>
            </w:r>
          </w:p>
        </w:tc>
        <w:tc>
          <w:tcPr>
            <w:tcW w:w="879" w:type="dxa"/>
            <w:vAlign w:val="center"/>
          </w:tcPr>
          <w:p w:rsidR="000A3BF4" w:rsidRPr="00732139" w:rsidRDefault="000A3BF4" w:rsidP="00531FF1">
            <w:pPr>
              <w:pStyle w:val="TableText"/>
            </w:pPr>
            <w:r w:rsidRPr="00732139">
              <w:t>ECU</w:t>
            </w:r>
          </w:p>
        </w:tc>
        <w:tc>
          <w:tcPr>
            <w:tcW w:w="636" w:type="dxa"/>
            <w:vAlign w:val="center"/>
          </w:tcPr>
          <w:p w:rsidR="000A3BF4" w:rsidRPr="00732139" w:rsidRDefault="000A3BF4" w:rsidP="00531FF1">
            <w:pPr>
              <w:pStyle w:val="TableText"/>
              <w:jc w:val="center"/>
            </w:pPr>
            <w:r w:rsidRPr="00732139">
              <w:t>1,534</w:t>
            </w:r>
          </w:p>
        </w:tc>
        <w:tc>
          <w:tcPr>
            <w:tcW w:w="1064" w:type="dxa"/>
            <w:vAlign w:val="center"/>
          </w:tcPr>
          <w:p w:rsidR="000A3BF4" w:rsidRPr="00732139" w:rsidRDefault="000A3BF4" w:rsidP="00531FF1">
            <w:pPr>
              <w:pStyle w:val="TableText"/>
              <w:jc w:val="center"/>
            </w:pPr>
            <w:r w:rsidRPr="00732139">
              <w:t>Before July 2016</w:t>
            </w:r>
          </w:p>
        </w:tc>
        <w:tc>
          <w:tcPr>
            <w:tcW w:w="1148" w:type="dxa"/>
            <w:vAlign w:val="center"/>
          </w:tcPr>
          <w:p w:rsidR="000A3BF4" w:rsidRPr="00732139" w:rsidRDefault="000A3BF4" w:rsidP="00531FF1">
            <w:pPr>
              <w:pStyle w:val="TableText"/>
              <w:jc w:val="center"/>
            </w:pPr>
            <w:r w:rsidRPr="00732139">
              <w:t>Mean 4.2 (SD: 2.6)</w:t>
            </w:r>
          </w:p>
        </w:tc>
        <w:tc>
          <w:tcPr>
            <w:tcW w:w="1158" w:type="dxa"/>
            <w:vAlign w:val="center"/>
          </w:tcPr>
          <w:p w:rsidR="000A3BF4" w:rsidRPr="00732139" w:rsidRDefault="000A3BF4" w:rsidP="00531FF1">
            <w:pPr>
              <w:pStyle w:val="TableText"/>
              <w:jc w:val="center"/>
            </w:pPr>
            <w:r w:rsidRPr="00732139">
              <w:t>Mean baseline: 43</w:t>
            </w:r>
          </w:p>
        </w:tc>
        <w:tc>
          <w:tcPr>
            <w:tcW w:w="913" w:type="dxa"/>
            <w:vAlign w:val="center"/>
          </w:tcPr>
          <w:p w:rsidR="000A3BF4" w:rsidRPr="00732139" w:rsidRDefault="000A3BF4" w:rsidP="00531FF1">
            <w:pPr>
              <w:pStyle w:val="TableText"/>
              <w:jc w:val="center"/>
            </w:pPr>
            <w:r w:rsidRPr="00732139">
              <w:t>NR</w:t>
            </w:r>
          </w:p>
        </w:tc>
        <w:tc>
          <w:tcPr>
            <w:tcW w:w="1120" w:type="dxa"/>
            <w:vAlign w:val="center"/>
          </w:tcPr>
          <w:p w:rsidR="000A3BF4" w:rsidRPr="00732139" w:rsidRDefault="000A3BF4" w:rsidP="00531FF1">
            <w:pPr>
              <w:pStyle w:val="TableText"/>
              <w:jc w:val="center"/>
            </w:pPr>
            <w:r w:rsidRPr="00732139">
              <w:t>Rate per 100 patient-yrs: 1.13</w:t>
            </w:r>
          </w:p>
        </w:tc>
        <w:tc>
          <w:tcPr>
            <w:tcW w:w="1127" w:type="dxa"/>
            <w:vMerge w:val="restart"/>
            <w:vAlign w:val="center"/>
          </w:tcPr>
          <w:p w:rsidR="000A3BF4" w:rsidRPr="00732139" w:rsidRDefault="000A3BF4" w:rsidP="00531FF1">
            <w:pPr>
              <w:pStyle w:val="TableText"/>
              <w:jc w:val="center"/>
            </w:pPr>
            <w:r w:rsidRPr="00732139">
              <w:t>-</w:t>
            </w:r>
          </w:p>
        </w:tc>
      </w:tr>
      <w:tr w:rsidR="000A3BF4" w:rsidRPr="00732139" w:rsidTr="00531FF1">
        <w:tc>
          <w:tcPr>
            <w:tcW w:w="972" w:type="dxa"/>
            <w:vMerge/>
            <w:vAlign w:val="center"/>
          </w:tcPr>
          <w:p w:rsidR="000A3BF4" w:rsidRPr="00732139" w:rsidRDefault="000A3BF4" w:rsidP="00531FF1">
            <w:pPr>
              <w:pStyle w:val="TableText"/>
            </w:pPr>
          </w:p>
        </w:tc>
        <w:tc>
          <w:tcPr>
            <w:tcW w:w="879" w:type="dxa"/>
            <w:vAlign w:val="center"/>
          </w:tcPr>
          <w:p w:rsidR="000A3BF4" w:rsidRPr="00732139" w:rsidRDefault="000A3BF4" w:rsidP="00531FF1">
            <w:pPr>
              <w:pStyle w:val="TableText"/>
            </w:pPr>
            <w:r w:rsidRPr="00732139">
              <w:t>No ECU</w:t>
            </w:r>
          </w:p>
        </w:tc>
        <w:tc>
          <w:tcPr>
            <w:tcW w:w="636" w:type="dxa"/>
            <w:vAlign w:val="center"/>
          </w:tcPr>
          <w:p w:rsidR="000A3BF4" w:rsidRPr="00732139" w:rsidRDefault="000A3BF4" w:rsidP="00531FF1">
            <w:pPr>
              <w:pStyle w:val="TableText"/>
              <w:jc w:val="center"/>
            </w:pPr>
            <w:r w:rsidRPr="00732139">
              <w:t>3,058</w:t>
            </w:r>
          </w:p>
        </w:tc>
        <w:tc>
          <w:tcPr>
            <w:tcW w:w="1064" w:type="dxa"/>
            <w:vAlign w:val="center"/>
          </w:tcPr>
          <w:p w:rsidR="000A3BF4" w:rsidRPr="00732139" w:rsidRDefault="000A3BF4" w:rsidP="00531FF1">
            <w:pPr>
              <w:pStyle w:val="TableText"/>
              <w:jc w:val="center"/>
            </w:pPr>
            <w:r w:rsidRPr="00732139">
              <w:t>Before July 2016</w:t>
            </w:r>
          </w:p>
        </w:tc>
        <w:tc>
          <w:tcPr>
            <w:tcW w:w="1148" w:type="dxa"/>
            <w:vAlign w:val="center"/>
          </w:tcPr>
          <w:p w:rsidR="000A3BF4" w:rsidRPr="00732139" w:rsidRDefault="000A3BF4" w:rsidP="00531FF1">
            <w:pPr>
              <w:pStyle w:val="TableText"/>
              <w:jc w:val="center"/>
            </w:pPr>
            <w:r w:rsidRPr="00732139">
              <w:t>Mean 2.7 (SD: 2.1)</w:t>
            </w:r>
          </w:p>
        </w:tc>
        <w:tc>
          <w:tcPr>
            <w:tcW w:w="1158" w:type="dxa"/>
            <w:vAlign w:val="center"/>
          </w:tcPr>
          <w:p w:rsidR="000A3BF4" w:rsidRPr="00732139" w:rsidRDefault="000A3BF4" w:rsidP="00531FF1">
            <w:pPr>
              <w:pStyle w:val="TableText"/>
              <w:jc w:val="center"/>
            </w:pPr>
            <w:r w:rsidRPr="00732139">
              <w:t>Mean baseline: 45</w:t>
            </w:r>
          </w:p>
        </w:tc>
        <w:tc>
          <w:tcPr>
            <w:tcW w:w="913" w:type="dxa"/>
            <w:vAlign w:val="center"/>
          </w:tcPr>
          <w:p w:rsidR="000A3BF4" w:rsidRPr="00732139" w:rsidRDefault="000A3BF4" w:rsidP="00531FF1">
            <w:pPr>
              <w:pStyle w:val="TableText"/>
              <w:jc w:val="center"/>
            </w:pPr>
            <w:r w:rsidRPr="00732139">
              <w:t>NR</w:t>
            </w:r>
          </w:p>
        </w:tc>
        <w:tc>
          <w:tcPr>
            <w:tcW w:w="1120" w:type="dxa"/>
            <w:vAlign w:val="center"/>
          </w:tcPr>
          <w:p w:rsidR="000A3BF4" w:rsidRPr="00732139" w:rsidRDefault="000A3BF4" w:rsidP="00531FF1">
            <w:pPr>
              <w:pStyle w:val="TableText"/>
              <w:jc w:val="center"/>
            </w:pPr>
            <w:r w:rsidRPr="00732139">
              <w:t>Rate per 100 patient-yrs: 2.19</w:t>
            </w:r>
          </w:p>
        </w:tc>
        <w:tc>
          <w:tcPr>
            <w:tcW w:w="1127" w:type="dxa"/>
            <w:vMerge/>
            <w:vAlign w:val="center"/>
          </w:tcPr>
          <w:p w:rsidR="000A3BF4" w:rsidRPr="00732139" w:rsidRDefault="000A3BF4" w:rsidP="00531FF1">
            <w:pPr>
              <w:pStyle w:val="TableText"/>
              <w:jc w:val="center"/>
            </w:pPr>
          </w:p>
        </w:tc>
      </w:tr>
      <w:tr w:rsidR="000A3BF4" w:rsidRPr="00732139" w:rsidTr="000A3BF4">
        <w:tc>
          <w:tcPr>
            <w:tcW w:w="972" w:type="dxa"/>
            <w:vMerge w:val="restart"/>
            <w:shd w:val="clear" w:color="auto" w:fill="B8CCE4" w:themeFill="accent1" w:themeFillTint="66"/>
            <w:vAlign w:val="center"/>
          </w:tcPr>
          <w:p w:rsidR="000A3BF4" w:rsidRPr="00732139" w:rsidRDefault="000A3BF4" w:rsidP="00531FF1">
            <w:pPr>
              <w:pStyle w:val="TableText"/>
            </w:pPr>
            <w:r w:rsidRPr="00732139">
              <w:t>Kang 2020 (Korea)</w:t>
            </w:r>
          </w:p>
        </w:tc>
        <w:tc>
          <w:tcPr>
            <w:tcW w:w="879" w:type="dxa"/>
            <w:shd w:val="clear" w:color="auto" w:fill="B8CCE4" w:themeFill="accent1" w:themeFillTint="66"/>
            <w:vAlign w:val="center"/>
          </w:tcPr>
          <w:p w:rsidR="000A3BF4" w:rsidRPr="00732139" w:rsidRDefault="000A3BF4" w:rsidP="00531FF1">
            <w:pPr>
              <w:pStyle w:val="TableText"/>
            </w:pPr>
            <w:r w:rsidRPr="00732139">
              <w:t>ECU</w:t>
            </w:r>
          </w:p>
        </w:tc>
        <w:tc>
          <w:tcPr>
            <w:tcW w:w="636" w:type="dxa"/>
            <w:shd w:val="clear" w:color="auto" w:fill="B8CCE4" w:themeFill="accent1" w:themeFillTint="66"/>
            <w:vAlign w:val="center"/>
          </w:tcPr>
          <w:p w:rsidR="000A3BF4" w:rsidRPr="00732139" w:rsidRDefault="000A3BF4" w:rsidP="00531FF1">
            <w:pPr>
              <w:pStyle w:val="TableText"/>
              <w:jc w:val="center"/>
            </w:pPr>
            <w:r w:rsidRPr="00732139">
              <w:t>68</w:t>
            </w:r>
          </w:p>
        </w:tc>
        <w:tc>
          <w:tcPr>
            <w:tcW w:w="1064" w:type="dxa"/>
            <w:shd w:val="clear" w:color="auto" w:fill="B8CCE4" w:themeFill="accent1" w:themeFillTint="66"/>
            <w:vAlign w:val="center"/>
          </w:tcPr>
          <w:p w:rsidR="000A3BF4" w:rsidRPr="00732139" w:rsidRDefault="000A3BF4" w:rsidP="00531FF1">
            <w:pPr>
              <w:pStyle w:val="TableText"/>
              <w:jc w:val="center"/>
            </w:pPr>
            <w:r w:rsidRPr="00732139">
              <w:t>2002-2016</w:t>
            </w:r>
          </w:p>
        </w:tc>
        <w:tc>
          <w:tcPr>
            <w:tcW w:w="1148" w:type="dxa"/>
            <w:shd w:val="clear" w:color="auto" w:fill="B8CCE4" w:themeFill="accent1" w:themeFillTint="66"/>
            <w:vAlign w:val="center"/>
          </w:tcPr>
          <w:p w:rsidR="000A3BF4" w:rsidRPr="00732139" w:rsidRDefault="000A3BF4" w:rsidP="00531FF1">
            <w:pPr>
              <w:pStyle w:val="TableText"/>
              <w:jc w:val="center"/>
            </w:pPr>
            <w:r w:rsidRPr="00732139">
              <w:t>Median 2.5 (0.3-4.1)</w:t>
            </w:r>
          </w:p>
        </w:tc>
        <w:tc>
          <w:tcPr>
            <w:tcW w:w="1158" w:type="dxa"/>
            <w:shd w:val="clear" w:color="auto" w:fill="B8CCE4" w:themeFill="accent1" w:themeFillTint="66"/>
            <w:vAlign w:val="center"/>
          </w:tcPr>
          <w:p w:rsidR="000A3BF4" w:rsidRPr="00732139" w:rsidRDefault="000A3BF4" w:rsidP="00531FF1">
            <w:pPr>
              <w:pStyle w:val="TableText"/>
              <w:jc w:val="center"/>
            </w:pPr>
            <w:r w:rsidRPr="00732139">
              <w:t>51 (19-82)</w:t>
            </w:r>
          </w:p>
        </w:tc>
        <w:tc>
          <w:tcPr>
            <w:tcW w:w="913" w:type="dxa"/>
            <w:shd w:val="clear" w:color="auto" w:fill="B8CCE4" w:themeFill="accent1" w:themeFillTint="66"/>
            <w:vAlign w:val="center"/>
          </w:tcPr>
          <w:p w:rsidR="000A3BF4" w:rsidRPr="00732139" w:rsidRDefault="000A3BF4" w:rsidP="00531FF1">
            <w:pPr>
              <w:pStyle w:val="TableText"/>
              <w:jc w:val="center"/>
            </w:pPr>
            <w:r w:rsidRPr="00732139">
              <w:t>FC</w:t>
            </w:r>
          </w:p>
        </w:tc>
        <w:tc>
          <w:tcPr>
            <w:tcW w:w="1120" w:type="dxa"/>
            <w:shd w:val="clear" w:color="auto" w:fill="B8CCE4" w:themeFill="accent1" w:themeFillTint="66"/>
            <w:vAlign w:val="center"/>
          </w:tcPr>
          <w:p w:rsidR="000A3BF4" w:rsidRPr="00732139" w:rsidRDefault="000A3BF4" w:rsidP="00531FF1">
            <w:pPr>
              <w:pStyle w:val="TableText"/>
              <w:jc w:val="center"/>
            </w:pPr>
            <w:r w:rsidRPr="00732139">
              <w:t>4-yr: 98.3%</w:t>
            </w:r>
          </w:p>
        </w:tc>
        <w:tc>
          <w:tcPr>
            <w:tcW w:w="1127" w:type="dxa"/>
            <w:vMerge w:val="restart"/>
            <w:shd w:val="clear" w:color="auto" w:fill="B8CCE4" w:themeFill="accent1" w:themeFillTint="66"/>
            <w:vAlign w:val="center"/>
          </w:tcPr>
          <w:p w:rsidR="000A3BF4" w:rsidRPr="00732139" w:rsidRDefault="000A3BF4" w:rsidP="00531FF1">
            <w:pPr>
              <w:pStyle w:val="TableText"/>
              <w:jc w:val="center"/>
            </w:pPr>
            <w:r w:rsidRPr="00732139">
              <w:t>-</w:t>
            </w:r>
          </w:p>
        </w:tc>
      </w:tr>
      <w:tr w:rsidR="000A3BF4" w:rsidRPr="00732139" w:rsidTr="000A3BF4">
        <w:tc>
          <w:tcPr>
            <w:tcW w:w="972" w:type="dxa"/>
            <w:vMerge/>
            <w:shd w:val="clear" w:color="auto" w:fill="B8CCE4" w:themeFill="accent1" w:themeFillTint="66"/>
            <w:vAlign w:val="center"/>
          </w:tcPr>
          <w:p w:rsidR="000A3BF4" w:rsidRPr="00732139" w:rsidRDefault="000A3BF4" w:rsidP="00531FF1">
            <w:pPr>
              <w:pStyle w:val="Tableheadingrow"/>
              <w:rPr>
                <w:b w:val="0"/>
                <w:bCs/>
                <w:lang w:val="en-AU"/>
              </w:rPr>
            </w:pPr>
          </w:p>
        </w:tc>
        <w:tc>
          <w:tcPr>
            <w:tcW w:w="879" w:type="dxa"/>
            <w:shd w:val="clear" w:color="auto" w:fill="B8CCE4" w:themeFill="accent1" w:themeFillTint="66"/>
            <w:vAlign w:val="center"/>
          </w:tcPr>
          <w:p w:rsidR="000A3BF4" w:rsidRPr="00732139" w:rsidRDefault="000A3BF4" w:rsidP="00531FF1">
            <w:pPr>
              <w:pStyle w:val="TableText"/>
            </w:pPr>
            <w:r w:rsidRPr="00732139">
              <w:t>No ECU</w:t>
            </w:r>
          </w:p>
        </w:tc>
        <w:tc>
          <w:tcPr>
            <w:tcW w:w="636" w:type="dxa"/>
            <w:shd w:val="clear" w:color="auto" w:fill="B8CCE4" w:themeFill="accent1" w:themeFillTint="66"/>
            <w:vAlign w:val="center"/>
          </w:tcPr>
          <w:p w:rsidR="000A3BF4" w:rsidRPr="00732139" w:rsidRDefault="000A3BF4" w:rsidP="00531FF1">
            <w:pPr>
              <w:pStyle w:val="TableText"/>
              <w:jc w:val="center"/>
            </w:pPr>
            <w:r w:rsidRPr="00732139">
              <w:t>244</w:t>
            </w:r>
          </w:p>
        </w:tc>
        <w:tc>
          <w:tcPr>
            <w:tcW w:w="1064" w:type="dxa"/>
            <w:shd w:val="clear" w:color="auto" w:fill="B8CCE4" w:themeFill="accent1" w:themeFillTint="66"/>
            <w:vAlign w:val="center"/>
          </w:tcPr>
          <w:p w:rsidR="000A3BF4" w:rsidRPr="00732139" w:rsidRDefault="000A3BF4" w:rsidP="00531FF1">
            <w:pPr>
              <w:pStyle w:val="TableText"/>
              <w:jc w:val="center"/>
            </w:pPr>
            <w:r w:rsidRPr="00732139">
              <w:t>2002-2016</w:t>
            </w:r>
          </w:p>
        </w:tc>
        <w:tc>
          <w:tcPr>
            <w:tcW w:w="1148" w:type="dxa"/>
            <w:shd w:val="clear" w:color="auto" w:fill="B8CCE4" w:themeFill="accent1" w:themeFillTint="66"/>
            <w:vAlign w:val="center"/>
          </w:tcPr>
          <w:p w:rsidR="000A3BF4" w:rsidRPr="00732139" w:rsidRDefault="000A3BF4" w:rsidP="00531FF1">
            <w:pPr>
              <w:pStyle w:val="TableText"/>
              <w:jc w:val="center"/>
            </w:pPr>
            <w:r w:rsidRPr="00732139">
              <w:t>Median 1.7 (&lt;0.01-4.3)</w:t>
            </w:r>
          </w:p>
        </w:tc>
        <w:tc>
          <w:tcPr>
            <w:tcW w:w="1158" w:type="dxa"/>
            <w:shd w:val="clear" w:color="auto" w:fill="B8CCE4" w:themeFill="accent1" w:themeFillTint="66"/>
            <w:vAlign w:val="center"/>
          </w:tcPr>
          <w:p w:rsidR="000A3BF4" w:rsidRPr="00732139" w:rsidRDefault="000A3BF4" w:rsidP="00531FF1">
            <w:pPr>
              <w:pStyle w:val="TableText"/>
              <w:jc w:val="center"/>
            </w:pPr>
            <w:r w:rsidRPr="00732139">
              <w:t>51 (1-94)</w:t>
            </w:r>
          </w:p>
        </w:tc>
        <w:tc>
          <w:tcPr>
            <w:tcW w:w="913" w:type="dxa"/>
            <w:shd w:val="clear" w:color="auto" w:fill="B8CCE4" w:themeFill="accent1" w:themeFillTint="66"/>
            <w:vAlign w:val="center"/>
          </w:tcPr>
          <w:p w:rsidR="000A3BF4" w:rsidRPr="00732139" w:rsidRDefault="000A3BF4" w:rsidP="00531FF1">
            <w:pPr>
              <w:pStyle w:val="TableText"/>
              <w:jc w:val="center"/>
            </w:pPr>
            <w:r w:rsidRPr="00732139">
              <w:t>FC</w:t>
            </w:r>
          </w:p>
        </w:tc>
        <w:tc>
          <w:tcPr>
            <w:tcW w:w="1120" w:type="dxa"/>
            <w:shd w:val="clear" w:color="auto" w:fill="B8CCE4" w:themeFill="accent1" w:themeFillTint="66"/>
            <w:vAlign w:val="center"/>
          </w:tcPr>
          <w:p w:rsidR="000A3BF4" w:rsidRPr="00732139" w:rsidRDefault="000A3BF4" w:rsidP="00531FF1">
            <w:pPr>
              <w:pStyle w:val="TableText"/>
              <w:jc w:val="center"/>
            </w:pPr>
            <w:r w:rsidRPr="00732139">
              <w:t>4-yr: 79.7%</w:t>
            </w:r>
          </w:p>
        </w:tc>
        <w:tc>
          <w:tcPr>
            <w:tcW w:w="1127" w:type="dxa"/>
            <w:vMerge/>
            <w:shd w:val="clear" w:color="auto" w:fill="B8CCE4" w:themeFill="accent1" w:themeFillTint="66"/>
            <w:vAlign w:val="center"/>
          </w:tcPr>
          <w:p w:rsidR="000A3BF4" w:rsidRPr="00732139" w:rsidRDefault="000A3BF4" w:rsidP="00531FF1">
            <w:pPr>
              <w:pStyle w:val="TableText"/>
              <w:jc w:val="center"/>
            </w:pPr>
          </w:p>
        </w:tc>
      </w:tr>
      <w:tr w:rsidR="000A3BF4" w:rsidRPr="00732139" w:rsidTr="00531FF1">
        <w:trPr>
          <w:trHeight w:val="339"/>
        </w:trPr>
        <w:tc>
          <w:tcPr>
            <w:tcW w:w="972" w:type="dxa"/>
            <w:vMerge w:val="restart"/>
            <w:vAlign w:val="center"/>
          </w:tcPr>
          <w:p w:rsidR="000A3BF4" w:rsidRPr="00732139" w:rsidRDefault="000A3BF4" w:rsidP="00531FF1">
            <w:pPr>
              <w:pStyle w:val="Tableheadingrow"/>
              <w:rPr>
                <w:b w:val="0"/>
                <w:bCs/>
                <w:lang w:val="en-AU"/>
              </w:rPr>
            </w:pPr>
            <w:r w:rsidRPr="00732139">
              <w:rPr>
                <w:b w:val="0"/>
                <w:bCs/>
                <w:lang w:val="en-AU"/>
              </w:rPr>
              <w:t xml:space="preserve">Kelly </w:t>
            </w:r>
          </w:p>
          <w:p w:rsidR="000A3BF4" w:rsidRPr="00732139" w:rsidRDefault="000A3BF4" w:rsidP="00531FF1">
            <w:pPr>
              <w:pStyle w:val="TableText"/>
            </w:pPr>
            <w:r w:rsidRPr="00732139">
              <w:t>2011 (UK)</w:t>
            </w:r>
          </w:p>
        </w:tc>
        <w:tc>
          <w:tcPr>
            <w:tcW w:w="879" w:type="dxa"/>
            <w:vAlign w:val="center"/>
          </w:tcPr>
          <w:p w:rsidR="000A3BF4" w:rsidRPr="00732139" w:rsidRDefault="000A3BF4" w:rsidP="00531FF1">
            <w:pPr>
              <w:pStyle w:val="TableText"/>
            </w:pPr>
            <w:r w:rsidRPr="00732139">
              <w:t>ECU</w:t>
            </w:r>
          </w:p>
        </w:tc>
        <w:tc>
          <w:tcPr>
            <w:tcW w:w="636" w:type="dxa"/>
            <w:vAlign w:val="center"/>
          </w:tcPr>
          <w:p w:rsidR="000A3BF4" w:rsidRPr="00732139" w:rsidRDefault="000A3BF4" w:rsidP="00531FF1">
            <w:pPr>
              <w:pStyle w:val="TableText"/>
              <w:jc w:val="center"/>
            </w:pPr>
            <w:r w:rsidRPr="00732139">
              <w:t>79</w:t>
            </w:r>
          </w:p>
        </w:tc>
        <w:tc>
          <w:tcPr>
            <w:tcW w:w="1064" w:type="dxa"/>
            <w:vAlign w:val="center"/>
          </w:tcPr>
          <w:p w:rsidR="000A3BF4" w:rsidRPr="00732139" w:rsidRDefault="000A3BF4" w:rsidP="00531FF1">
            <w:pPr>
              <w:pStyle w:val="TableText"/>
              <w:jc w:val="center"/>
            </w:pPr>
            <w:r w:rsidRPr="00732139">
              <w:t>2002-2010</w:t>
            </w:r>
          </w:p>
        </w:tc>
        <w:tc>
          <w:tcPr>
            <w:tcW w:w="1148" w:type="dxa"/>
            <w:vAlign w:val="center"/>
          </w:tcPr>
          <w:p w:rsidR="000A3BF4" w:rsidRPr="00732139" w:rsidRDefault="000A3BF4" w:rsidP="00531FF1">
            <w:pPr>
              <w:pStyle w:val="TableText"/>
              <w:jc w:val="center"/>
            </w:pPr>
            <w:r w:rsidRPr="00732139">
              <w:t>Max 8</w:t>
            </w:r>
          </w:p>
        </w:tc>
        <w:tc>
          <w:tcPr>
            <w:tcW w:w="1158" w:type="dxa"/>
            <w:vAlign w:val="center"/>
          </w:tcPr>
          <w:p w:rsidR="000A3BF4" w:rsidRPr="00732139" w:rsidRDefault="000A3BF4" w:rsidP="00531FF1">
            <w:pPr>
              <w:pStyle w:val="TableText"/>
              <w:jc w:val="center"/>
            </w:pPr>
            <w:r w:rsidRPr="00732139">
              <w:t>37 (12-79)</w:t>
            </w:r>
          </w:p>
        </w:tc>
        <w:tc>
          <w:tcPr>
            <w:tcW w:w="913" w:type="dxa"/>
            <w:vAlign w:val="center"/>
          </w:tcPr>
          <w:p w:rsidR="000A3BF4" w:rsidRPr="00732139" w:rsidRDefault="000A3BF4" w:rsidP="00531FF1">
            <w:pPr>
              <w:pStyle w:val="TableText"/>
              <w:jc w:val="center"/>
            </w:pPr>
            <w:r w:rsidRPr="00732139">
              <w:t>FC</w:t>
            </w:r>
          </w:p>
        </w:tc>
        <w:tc>
          <w:tcPr>
            <w:tcW w:w="1120" w:type="dxa"/>
            <w:vAlign w:val="center"/>
          </w:tcPr>
          <w:p w:rsidR="000A3BF4" w:rsidRPr="00732139" w:rsidRDefault="000A3BF4" w:rsidP="00531FF1">
            <w:pPr>
              <w:pStyle w:val="TableText"/>
              <w:jc w:val="center"/>
            </w:pPr>
            <w:r w:rsidRPr="00732139">
              <w:t>5-yr: 95.5%</w:t>
            </w:r>
          </w:p>
        </w:tc>
        <w:tc>
          <w:tcPr>
            <w:tcW w:w="1127" w:type="dxa"/>
            <w:vMerge w:val="restart"/>
            <w:vAlign w:val="center"/>
          </w:tcPr>
          <w:p w:rsidR="000A3BF4" w:rsidRPr="00732139" w:rsidRDefault="000A3BF4" w:rsidP="00531FF1">
            <w:pPr>
              <w:pStyle w:val="TableText"/>
              <w:jc w:val="center"/>
            </w:pPr>
            <w:r w:rsidRPr="00732139">
              <w:t xml:space="preserve">0.21 </w:t>
            </w:r>
          </w:p>
          <w:p w:rsidR="000A3BF4" w:rsidRPr="00732139" w:rsidRDefault="000A3BF4" w:rsidP="00531FF1">
            <w:pPr>
              <w:pStyle w:val="TableText"/>
              <w:jc w:val="center"/>
            </w:pPr>
            <w:r w:rsidRPr="00732139">
              <w:t>(0.05-0.88)</w:t>
            </w:r>
          </w:p>
        </w:tc>
      </w:tr>
      <w:tr w:rsidR="000A3BF4" w:rsidRPr="00732139" w:rsidTr="00531FF1">
        <w:trPr>
          <w:trHeight w:val="339"/>
        </w:trPr>
        <w:tc>
          <w:tcPr>
            <w:tcW w:w="972" w:type="dxa"/>
            <w:vMerge/>
            <w:vAlign w:val="center"/>
          </w:tcPr>
          <w:p w:rsidR="000A3BF4" w:rsidRPr="00732139" w:rsidRDefault="000A3BF4" w:rsidP="00531FF1">
            <w:pPr>
              <w:pStyle w:val="TableText"/>
            </w:pPr>
          </w:p>
        </w:tc>
        <w:tc>
          <w:tcPr>
            <w:tcW w:w="879" w:type="dxa"/>
            <w:vAlign w:val="center"/>
          </w:tcPr>
          <w:p w:rsidR="000A3BF4" w:rsidRPr="00732139" w:rsidRDefault="000A3BF4" w:rsidP="00531FF1">
            <w:pPr>
              <w:pStyle w:val="TableText"/>
            </w:pPr>
            <w:r w:rsidRPr="00732139">
              <w:t>No ECU</w:t>
            </w:r>
          </w:p>
        </w:tc>
        <w:tc>
          <w:tcPr>
            <w:tcW w:w="636" w:type="dxa"/>
            <w:vAlign w:val="center"/>
          </w:tcPr>
          <w:p w:rsidR="000A3BF4" w:rsidRPr="00732139" w:rsidRDefault="000A3BF4" w:rsidP="00531FF1">
            <w:pPr>
              <w:pStyle w:val="TableText"/>
              <w:jc w:val="center"/>
            </w:pPr>
            <w:r w:rsidRPr="00732139">
              <w:t>30</w:t>
            </w:r>
          </w:p>
        </w:tc>
        <w:tc>
          <w:tcPr>
            <w:tcW w:w="1064" w:type="dxa"/>
            <w:vAlign w:val="center"/>
          </w:tcPr>
          <w:p w:rsidR="000A3BF4" w:rsidRPr="00732139" w:rsidRDefault="000A3BF4" w:rsidP="00531FF1">
            <w:pPr>
              <w:pStyle w:val="TableText"/>
              <w:jc w:val="center"/>
            </w:pPr>
            <w:r w:rsidRPr="00732139">
              <w:t>1997-2004</w:t>
            </w:r>
          </w:p>
        </w:tc>
        <w:tc>
          <w:tcPr>
            <w:tcW w:w="1148" w:type="dxa"/>
            <w:vAlign w:val="center"/>
          </w:tcPr>
          <w:p w:rsidR="000A3BF4" w:rsidRPr="00732139" w:rsidRDefault="000A3BF4" w:rsidP="00531FF1">
            <w:pPr>
              <w:pStyle w:val="TableText"/>
              <w:jc w:val="center"/>
            </w:pPr>
            <w:r w:rsidRPr="00732139">
              <w:t>Max 7</w:t>
            </w:r>
          </w:p>
        </w:tc>
        <w:tc>
          <w:tcPr>
            <w:tcW w:w="1158" w:type="dxa"/>
            <w:vAlign w:val="center"/>
          </w:tcPr>
          <w:p w:rsidR="000A3BF4" w:rsidRPr="00732139" w:rsidRDefault="000A3BF4" w:rsidP="00531FF1">
            <w:pPr>
              <w:pStyle w:val="TableText"/>
              <w:jc w:val="center"/>
            </w:pPr>
            <w:r w:rsidRPr="00732139">
              <w:t>NR</w:t>
            </w:r>
          </w:p>
        </w:tc>
        <w:tc>
          <w:tcPr>
            <w:tcW w:w="913" w:type="dxa"/>
            <w:vAlign w:val="center"/>
          </w:tcPr>
          <w:p w:rsidR="000A3BF4" w:rsidRPr="00732139" w:rsidRDefault="000A3BF4" w:rsidP="00531FF1">
            <w:pPr>
              <w:pStyle w:val="TableText"/>
              <w:jc w:val="center"/>
            </w:pPr>
            <w:r w:rsidRPr="00732139">
              <w:t>NR</w:t>
            </w:r>
          </w:p>
        </w:tc>
        <w:tc>
          <w:tcPr>
            <w:tcW w:w="1120" w:type="dxa"/>
            <w:vAlign w:val="center"/>
          </w:tcPr>
          <w:p w:rsidR="000A3BF4" w:rsidRPr="00732139" w:rsidRDefault="000A3BF4" w:rsidP="00531FF1">
            <w:pPr>
              <w:pStyle w:val="TableText"/>
              <w:jc w:val="center"/>
            </w:pPr>
            <w:r w:rsidRPr="00732139">
              <w:t>5-yr: 66.8%</w:t>
            </w:r>
          </w:p>
        </w:tc>
        <w:tc>
          <w:tcPr>
            <w:tcW w:w="1127" w:type="dxa"/>
            <w:vMerge/>
            <w:vAlign w:val="center"/>
          </w:tcPr>
          <w:p w:rsidR="000A3BF4" w:rsidRPr="00732139" w:rsidRDefault="000A3BF4" w:rsidP="00531FF1">
            <w:pPr>
              <w:pStyle w:val="TableText"/>
              <w:jc w:val="center"/>
            </w:pPr>
          </w:p>
        </w:tc>
      </w:tr>
      <w:tr w:rsidR="000A3BF4" w:rsidRPr="00732139" w:rsidTr="000A3BF4">
        <w:trPr>
          <w:trHeight w:val="339"/>
        </w:trPr>
        <w:tc>
          <w:tcPr>
            <w:tcW w:w="972" w:type="dxa"/>
            <w:vMerge w:val="restart"/>
            <w:shd w:val="clear" w:color="auto" w:fill="B8CCE4" w:themeFill="accent1" w:themeFillTint="66"/>
            <w:vAlign w:val="center"/>
          </w:tcPr>
          <w:p w:rsidR="000A3BF4" w:rsidRPr="00732139" w:rsidRDefault="000A3BF4" w:rsidP="00531FF1">
            <w:pPr>
              <w:pStyle w:val="TableText"/>
            </w:pPr>
            <w:r w:rsidRPr="00732139">
              <w:t>Kulagin 2018 (Russia)</w:t>
            </w:r>
          </w:p>
        </w:tc>
        <w:tc>
          <w:tcPr>
            <w:tcW w:w="879" w:type="dxa"/>
            <w:shd w:val="clear" w:color="auto" w:fill="B8CCE4" w:themeFill="accent1" w:themeFillTint="66"/>
            <w:vAlign w:val="center"/>
          </w:tcPr>
          <w:p w:rsidR="000A3BF4" w:rsidRPr="00732139" w:rsidRDefault="000A3BF4" w:rsidP="00531FF1">
            <w:pPr>
              <w:pStyle w:val="TableText"/>
            </w:pPr>
            <w:r w:rsidRPr="00732139">
              <w:t>ECU</w:t>
            </w:r>
          </w:p>
        </w:tc>
        <w:tc>
          <w:tcPr>
            <w:tcW w:w="636" w:type="dxa"/>
            <w:shd w:val="clear" w:color="auto" w:fill="B8CCE4" w:themeFill="accent1" w:themeFillTint="66"/>
            <w:vAlign w:val="center"/>
          </w:tcPr>
          <w:p w:rsidR="000A3BF4" w:rsidRPr="00732139" w:rsidRDefault="000A3BF4" w:rsidP="00531FF1">
            <w:pPr>
              <w:pStyle w:val="TableText"/>
              <w:jc w:val="center"/>
            </w:pPr>
            <w:r w:rsidRPr="00732139">
              <w:t>114</w:t>
            </w:r>
          </w:p>
        </w:tc>
        <w:tc>
          <w:tcPr>
            <w:tcW w:w="1064" w:type="dxa"/>
            <w:shd w:val="clear" w:color="auto" w:fill="B8CCE4" w:themeFill="accent1" w:themeFillTint="66"/>
            <w:vAlign w:val="center"/>
          </w:tcPr>
          <w:p w:rsidR="000A3BF4" w:rsidRPr="00732139" w:rsidRDefault="000A3BF4" w:rsidP="00531FF1">
            <w:pPr>
              <w:pStyle w:val="TableText"/>
              <w:jc w:val="center"/>
            </w:pPr>
            <w:r w:rsidRPr="00732139">
              <w:t>From 2011</w:t>
            </w:r>
          </w:p>
        </w:tc>
        <w:tc>
          <w:tcPr>
            <w:tcW w:w="1148" w:type="dxa"/>
            <w:shd w:val="clear" w:color="auto" w:fill="B8CCE4" w:themeFill="accent1" w:themeFillTint="66"/>
            <w:vAlign w:val="center"/>
          </w:tcPr>
          <w:p w:rsidR="000A3BF4" w:rsidRPr="00732139" w:rsidRDefault="000A3BF4" w:rsidP="00531FF1">
            <w:pPr>
              <w:pStyle w:val="TableText"/>
              <w:jc w:val="center"/>
            </w:pPr>
            <w:r w:rsidRPr="00732139">
              <w:t>NR</w:t>
            </w:r>
          </w:p>
        </w:tc>
        <w:tc>
          <w:tcPr>
            <w:tcW w:w="1158" w:type="dxa"/>
            <w:shd w:val="clear" w:color="auto" w:fill="B8CCE4" w:themeFill="accent1" w:themeFillTint="66"/>
            <w:vAlign w:val="center"/>
          </w:tcPr>
          <w:p w:rsidR="000A3BF4" w:rsidRPr="00732139" w:rsidRDefault="000A3BF4" w:rsidP="00531FF1">
            <w:pPr>
              <w:pStyle w:val="TableText"/>
              <w:jc w:val="center"/>
            </w:pPr>
            <w:r w:rsidRPr="00732139">
              <w:t>NR</w:t>
            </w:r>
          </w:p>
        </w:tc>
        <w:tc>
          <w:tcPr>
            <w:tcW w:w="913" w:type="dxa"/>
            <w:shd w:val="clear" w:color="auto" w:fill="B8CCE4" w:themeFill="accent1" w:themeFillTint="66"/>
            <w:vAlign w:val="center"/>
          </w:tcPr>
          <w:p w:rsidR="000A3BF4" w:rsidRPr="00732139" w:rsidRDefault="000A3BF4" w:rsidP="00531FF1">
            <w:pPr>
              <w:pStyle w:val="TableText"/>
              <w:jc w:val="center"/>
            </w:pPr>
            <w:r w:rsidRPr="00732139">
              <w:t>NR</w:t>
            </w:r>
          </w:p>
        </w:tc>
        <w:tc>
          <w:tcPr>
            <w:tcW w:w="1120" w:type="dxa"/>
            <w:shd w:val="clear" w:color="auto" w:fill="B8CCE4" w:themeFill="accent1" w:themeFillTint="66"/>
            <w:vAlign w:val="center"/>
          </w:tcPr>
          <w:p w:rsidR="000A3BF4" w:rsidRPr="00732139" w:rsidRDefault="000A3BF4" w:rsidP="00531FF1">
            <w:pPr>
              <w:pStyle w:val="TableText"/>
              <w:jc w:val="center"/>
            </w:pPr>
            <w:r w:rsidRPr="00732139">
              <w:t>5-yr: 91%</w:t>
            </w:r>
          </w:p>
        </w:tc>
        <w:tc>
          <w:tcPr>
            <w:tcW w:w="1127" w:type="dxa"/>
            <w:vMerge w:val="restart"/>
            <w:shd w:val="clear" w:color="auto" w:fill="B8CCE4" w:themeFill="accent1" w:themeFillTint="66"/>
            <w:vAlign w:val="center"/>
          </w:tcPr>
          <w:p w:rsidR="000A3BF4" w:rsidRPr="00732139" w:rsidRDefault="000A3BF4" w:rsidP="00531FF1">
            <w:pPr>
              <w:pStyle w:val="TableText"/>
              <w:jc w:val="center"/>
            </w:pPr>
            <w:r w:rsidRPr="00732139">
              <w:t>0.23</w:t>
            </w:r>
          </w:p>
          <w:p w:rsidR="000A3BF4" w:rsidRPr="00732139" w:rsidRDefault="000A3BF4" w:rsidP="00531FF1">
            <w:pPr>
              <w:pStyle w:val="TableText"/>
              <w:jc w:val="center"/>
            </w:pPr>
            <w:r w:rsidRPr="00732139">
              <w:t>(0.1-0.52)</w:t>
            </w:r>
          </w:p>
        </w:tc>
      </w:tr>
      <w:tr w:rsidR="000A3BF4" w:rsidRPr="00732139" w:rsidTr="000A3BF4">
        <w:trPr>
          <w:trHeight w:val="340"/>
        </w:trPr>
        <w:tc>
          <w:tcPr>
            <w:tcW w:w="972" w:type="dxa"/>
            <w:vMerge/>
            <w:shd w:val="clear" w:color="auto" w:fill="B8CCE4" w:themeFill="accent1" w:themeFillTint="66"/>
            <w:vAlign w:val="center"/>
          </w:tcPr>
          <w:p w:rsidR="000A3BF4" w:rsidRPr="00732139" w:rsidRDefault="000A3BF4" w:rsidP="00531FF1">
            <w:pPr>
              <w:pStyle w:val="TableText"/>
            </w:pPr>
          </w:p>
        </w:tc>
        <w:tc>
          <w:tcPr>
            <w:tcW w:w="879" w:type="dxa"/>
            <w:shd w:val="clear" w:color="auto" w:fill="B8CCE4" w:themeFill="accent1" w:themeFillTint="66"/>
            <w:vAlign w:val="center"/>
          </w:tcPr>
          <w:p w:rsidR="000A3BF4" w:rsidRPr="00732139" w:rsidRDefault="000A3BF4" w:rsidP="00531FF1">
            <w:pPr>
              <w:pStyle w:val="TableText"/>
            </w:pPr>
            <w:r w:rsidRPr="00732139">
              <w:t>No ECU</w:t>
            </w:r>
          </w:p>
        </w:tc>
        <w:tc>
          <w:tcPr>
            <w:tcW w:w="636" w:type="dxa"/>
            <w:shd w:val="clear" w:color="auto" w:fill="B8CCE4" w:themeFill="accent1" w:themeFillTint="66"/>
            <w:vAlign w:val="center"/>
          </w:tcPr>
          <w:p w:rsidR="000A3BF4" w:rsidRPr="00732139" w:rsidRDefault="000A3BF4" w:rsidP="00531FF1">
            <w:pPr>
              <w:pStyle w:val="TableText"/>
              <w:jc w:val="center"/>
            </w:pPr>
            <w:r w:rsidRPr="00732139">
              <w:t>89</w:t>
            </w:r>
          </w:p>
        </w:tc>
        <w:tc>
          <w:tcPr>
            <w:tcW w:w="1064" w:type="dxa"/>
            <w:shd w:val="clear" w:color="auto" w:fill="B8CCE4" w:themeFill="accent1" w:themeFillTint="66"/>
            <w:vAlign w:val="center"/>
          </w:tcPr>
          <w:p w:rsidR="000A3BF4" w:rsidRPr="00732139" w:rsidRDefault="000A3BF4" w:rsidP="00531FF1">
            <w:pPr>
              <w:pStyle w:val="TableText"/>
              <w:jc w:val="center"/>
            </w:pPr>
            <w:r w:rsidRPr="00732139">
              <w:t>From 2011</w:t>
            </w:r>
          </w:p>
        </w:tc>
        <w:tc>
          <w:tcPr>
            <w:tcW w:w="1148" w:type="dxa"/>
            <w:shd w:val="clear" w:color="auto" w:fill="B8CCE4" w:themeFill="accent1" w:themeFillTint="66"/>
            <w:vAlign w:val="center"/>
          </w:tcPr>
          <w:p w:rsidR="000A3BF4" w:rsidRPr="00732139" w:rsidRDefault="000A3BF4" w:rsidP="00531FF1">
            <w:pPr>
              <w:pStyle w:val="TableText"/>
              <w:jc w:val="center"/>
            </w:pPr>
            <w:r w:rsidRPr="00732139">
              <w:t>NR</w:t>
            </w:r>
          </w:p>
        </w:tc>
        <w:tc>
          <w:tcPr>
            <w:tcW w:w="1158" w:type="dxa"/>
            <w:shd w:val="clear" w:color="auto" w:fill="B8CCE4" w:themeFill="accent1" w:themeFillTint="66"/>
            <w:vAlign w:val="center"/>
          </w:tcPr>
          <w:p w:rsidR="000A3BF4" w:rsidRPr="00732139" w:rsidRDefault="000A3BF4" w:rsidP="00531FF1">
            <w:pPr>
              <w:pStyle w:val="TableText"/>
              <w:jc w:val="center"/>
            </w:pPr>
            <w:r w:rsidRPr="00732139">
              <w:t>NR</w:t>
            </w:r>
          </w:p>
        </w:tc>
        <w:tc>
          <w:tcPr>
            <w:tcW w:w="913" w:type="dxa"/>
            <w:shd w:val="clear" w:color="auto" w:fill="B8CCE4" w:themeFill="accent1" w:themeFillTint="66"/>
            <w:vAlign w:val="center"/>
          </w:tcPr>
          <w:p w:rsidR="000A3BF4" w:rsidRPr="00732139" w:rsidRDefault="000A3BF4" w:rsidP="00531FF1">
            <w:pPr>
              <w:pStyle w:val="TableText"/>
              <w:jc w:val="center"/>
            </w:pPr>
            <w:r w:rsidRPr="00732139">
              <w:t>NR</w:t>
            </w:r>
          </w:p>
        </w:tc>
        <w:tc>
          <w:tcPr>
            <w:tcW w:w="1120" w:type="dxa"/>
            <w:shd w:val="clear" w:color="auto" w:fill="B8CCE4" w:themeFill="accent1" w:themeFillTint="66"/>
            <w:vAlign w:val="center"/>
          </w:tcPr>
          <w:p w:rsidR="000A3BF4" w:rsidRPr="00732139" w:rsidRDefault="000A3BF4" w:rsidP="00531FF1">
            <w:pPr>
              <w:pStyle w:val="TableText"/>
              <w:jc w:val="center"/>
            </w:pPr>
            <w:r w:rsidRPr="00732139">
              <w:t>5-yr: 74%</w:t>
            </w:r>
          </w:p>
        </w:tc>
        <w:tc>
          <w:tcPr>
            <w:tcW w:w="1127" w:type="dxa"/>
            <w:vMerge/>
            <w:shd w:val="clear" w:color="auto" w:fill="B8CCE4" w:themeFill="accent1" w:themeFillTint="66"/>
            <w:vAlign w:val="center"/>
          </w:tcPr>
          <w:p w:rsidR="000A3BF4" w:rsidRPr="00732139" w:rsidRDefault="000A3BF4" w:rsidP="00531FF1">
            <w:pPr>
              <w:pStyle w:val="TableText"/>
              <w:jc w:val="center"/>
            </w:pPr>
          </w:p>
        </w:tc>
      </w:tr>
      <w:tr w:rsidR="000A3BF4" w:rsidRPr="00732139" w:rsidTr="00531FF1">
        <w:tc>
          <w:tcPr>
            <w:tcW w:w="972" w:type="dxa"/>
            <w:vMerge w:val="restart"/>
            <w:vAlign w:val="center"/>
          </w:tcPr>
          <w:p w:rsidR="000A3BF4" w:rsidRPr="00732139" w:rsidRDefault="000A3BF4" w:rsidP="00531FF1">
            <w:pPr>
              <w:pStyle w:val="TableText"/>
            </w:pPr>
            <w:r w:rsidRPr="00732139">
              <w:t>Loschi 2016 (France)</w:t>
            </w:r>
          </w:p>
        </w:tc>
        <w:tc>
          <w:tcPr>
            <w:tcW w:w="879" w:type="dxa"/>
            <w:vAlign w:val="center"/>
          </w:tcPr>
          <w:p w:rsidR="000A3BF4" w:rsidRPr="00732139" w:rsidRDefault="000A3BF4" w:rsidP="00531FF1">
            <w:pPr>
              <w:pStyle w:val="TableText"/>
            </w:pPr>
            <w:r w:rsidRPr="00732139">
              <w:t>ECU</w:t>
            </w:r>
          </w:p>
        </w:tc>
        <w:tc>
          <w:tcPr>
            <w:tcW w:w="636" w:type="dxa"/>
            <w:vAlign w:val="center"/>
          </w:tcPr>
          <w:p w:rsidR="000A3BF4" w:rsidRPr="00732139" w:rsidRDefault="000A3BF4" w:rsidP="00531FF1">
            <w:pPr>
              <w:pStyle w:val="TableText"/>
              <w:jc w:val="center"/>
            </w:pPr>
            <w:r w:rsidRPr="00732139">
              <w:t>123</w:t>
            </w:r>
          </w:p>
        </w:tc>
        <w:tc>
          <w:tcPr>
            <w:tcW w:w="1064" w:type="dxa"/>
            <w:vAlign w:val="center"/>
          </w:tcPr>
          <w:p w:rsidR="000A3BF4" w:rsidRPr="00732139" w:rsidRDefault="000A3BF4" w:rsidP="00531FF1">
            <w:pPr>
              <w:pStyle w:val="TableText"/>
              <w:jc w:val="center"/>
            </w:pPr>
            <w:r w:rsidRPr="00732139">
              <w:t>2005-2014</w:t>
            </w:r>
          </w:p>
        </w:tc>
        <w:tc>
          <w:tcPr>
            <w:tcW w:w="1148" w:type="dxa"/>
            <w:vAlign w:val="center"/>
          </w:tcPr>
          <w:p w:rsidR="000A3BF4" w:rsidRPr="00732139" w:rsidRDefault="000A3BF4" w:rsidP="00531FF1">
            <w:pPr>
              <w:pStyle w:val="TableText"/>
              <w:jc w:val="center"/>
            </w:pPr>
            <w:r w:rsidRPr="00732139">
              <w:t>4.5 (2.5-5.6)</w:t>
            </w:r>
          </w:p>
        </w:tc>
        <w:tc>
          <w:tcPr>
            <w:tcW w:w="1158" w:type="dxa"/>
            <w:vAlign w:val="center"/>
          </w:tcPr>
          <w:p w:rsidR="000A3BF4" w:rsidRPr="00732139" w:rsidRDefault="000A3BF4" w:rsidP="00531FF1">
            <w:pPr>
              <w:pStyle w:val="TableText"/>
              <w:jc w:val="center"/>
            </w:pPr>
            <w:r w:rsidRPr="00732139">
              <w:t>37 (24-49)</w:t>
            </w:r>
          </w:p>
        </w:tc>
        <w:tc>
          <w:tcPr>
            <w:tcW w:w="913" w:type="dxa"/>
            <w:vAlign w:val="center"/>
          </w:tcPr>
          <w:p w:rsidR="000A3BF4" w:rsidRPr="00732139" w:rsidRDefault="000A3BF4" w:rsidP="00531FF1">
            <w:pPr>
              <w:pStyle w:val="TableText"/>
              <w:jc w:val="center"/>
            </w:pPr>
            <w:r w:rsidRPr="00732139">
              <w:t>FC</w:t>
            </w:r>
          </w:p>
        </w:tc>
        <w:tc>
          <w:tcPr>
            <w:tcW w:w="1120" w:type="dxa"/>
            <w:vAlign w:val="center"/>
          </w:tcPr>
          <w:p w:rsidR="000A3BF4" w:rsidRPr="00732139" w:rsidRDefault="000A3BF4" w:rsidP="00531FF1">
            <w:pPr>
              <w:pStyle w:val="TableText"/>
              <w:jc w:val="center"/>
            </w:pPr>
            <w:r w:rsidRPr="00732139">
              <w:t>6-yr: 92%</w:t>
            </w:r>
          </w:p>
        </w:tc>
        <w:tc>
          <w:tcPr>
            <w:tcW w:w="1127" w:type="dxa"/>
            <w:vAlign w:val="center"/>
          </w:tcPr>
          <w:p w:rsidR="000A3BF4" w:rsidRPr="00732139" w:rsidRDefault="000A3BF4" w:rsidP="00531FF1">
            <w:pPr>
              <w:pStyle w:val="TableText"/>
              <w:jc w:val="center"/>
            </w:pPr>
            <w:r w:rsidRPr="00732139">
              <w:t>-</w:t>
            </w:r>
          </w:p>
        </w:tc>
      </w:tr>
      <w:tr w:rsidR="000A3BF4" w:rsidRPr="00732139" w:rsidTr="00531FF1">
        <w:tc>
          <w:tcPr>
            <w:tcW w:w="972" w:type="dxa"/>
            <w:vMerge/>
            <w:vAlign w:val="center"/>
          </w:tcPr>
          <w:p w:rsidR="000A3BF4" w:rsidRPr="00732139" w:rsidRDefault="000A3BF4" w:rsidP="00531FF1">
            <w:pPr>
              <w:pStyle w:val="TableText"/>
            </w:pPr>
          </w:p>
        </w:tc>
        <w:tc>
          <w:tcPr>
            <w:tcW w:w="879" w:type="dxa"/>
            <w:vAlign w:val="center"/>
          </w:tcPr>
          <w:p w:rsidR="000A3BF4" w:rsidRPr="00732139" w:rsidRDefault="000A3BF4" w:rsidP="00531FF1">
            <w:pPr>
              <w:pStyle w:val="TableText"/>
            </w:pPr>
            <w:r w:rsidRPr="00732139">
              <w:t>No ECU</w:t>
            </w:r>
          </w:p>
        </w:tc>
        <w:tc>
          <w:tcPr>
            <w:tcW w:w="636" w:type="dxa"/>
            <w:vAlign w:val="center"/>
          </w:tcPr>
          <w:p w:rsidR="000A3BF4" w:rsidRPr="00732139" w:rsidRDefault="000A3BF4" w:rsidP="00531FF1">
            <w:pPr>
              <w:pStyle w:val="TableText"/>
              <w:jc w:val="center"/>
            </w:pPr>
            <w:r w:rsidRPr="00732139">
              <w:t>100</w:t>
            </w:r>
          </w:p>
        </w:tc>
        <w:tc>
          <w:tcPr>
            <w:tcW w:w="1064" w:type="dxa"/>
            <w:vAlign w:val="center"/>
          </w:tcPr>
          <w:p w:rsidR="000A3BF4" w:rsidRPr="00732139" w:rsidRDefault="000A3BF4" w:rsidP="00531FF1">
            <w:pPr>
              <w:pStyle w:val="TableText"/>
              <w:jc w:val="center"/>
            </w:pPr>
            <w:r w:rsidRPr="00732139">
              <w:t>&gt;1985</w:t>
            </w:r>
          </w:p>
        </w:tc>
        <w:tc>
          <w:tcPr>
            <w:tcW w:w="1148" w:type="dxa"/>
            <w:vAlign w:val="center"/>
          </w:tcPr>
          <w:p w:rsidR="000A3BF4" w:rsidRPr="00732139" w:rsidRDefault="000A3BF4" w:rsidP="00531FF1">
            <w:pPr>
              <w:pStyle w:val="TableText"/>
              <w:jc w:val="center"/>
            </w:pPr>
            <w:r w:rsidRPr="00732139">
              <w:t>5.1 (1.8-11.4)</w:t>
            </w:r>
          </w:p>
        </w:tc>
        <w:tc>
          <w:tcPr>
            <w:tcW w:w="1158" w:type="dxa"/>
            <w:vAlign w:val="center"/>
          </w:tcPr>
          <w:p w:rsidR="000A3BF4" w:rsidRPr="00732139" w:rsidRDefault="000A3BF4" w:rsidP="00531FF1">
            <w:pPr>
              <w:pStyle w:val="TableText"/>
              <w:jc w:val="center"/>
            </w:pPr>
            <w:r w:rsidRPr="00732139">
              <w:t>38 (26-51)</w:t>
            </w:r>
          </w:p>
        </w:tc>
        <w:tc>
          <w:tcPr>
            <w:tcW w:w="913" w:type="dxa"/>
            <w:vAlign w:val="center"/>
          </w:tcPr>
          <w:p w:rsidR="000A3BF4" w:rsidRPr="00732139" w:rsidRDefault="000A3BF4" w:rsidP="00531FF1">
            <w:pPr>
              <w:pStyle w:val="TableText"/>
              <w:jc w:val="center"/>
            </w:pPr>
            <w:r w:rsidRPr="00732139">
              <w:t>Ham and/or FC</w:t>
            </w:r>
          </w:p>
        </w:tc>
        <w:tc>
          <w:tcPr>
            <w:tcW w:w="1120" w:type="dxa"/>
            <w:vAlign w:val="center"/>
          </w:tcPr>
          <w:p w:rsidR="000A3BF4" w:rsidRPr="00732139" w:rsidRDefault="000A3BF4" w:rsidP="00531FF1">
            <w:pPr>
              <w:pStyle w:val="TableText"/>
              <w:jc w:val="center"/>
            </w:pPr>
            <w:r w:rsidRPr="00732139">
              <w:t>6-yr: 80%</w:t>
            </w:r>
          </w:p>
        </w:tc>
        <w:tc>
          <w:tcPr>
            <w:tcW w:w="1127" w:type="dxa"/>
            <w:vAlign w:val="center"/>
          </w:tcPr>
          <w:p w:rsidR="000A5783" w:rsidRPr="00732139" w:rsidRDefault="000A5783" w:rsidP="000A5783">
            <w:pPr>
              <w:pStyle w:val="TableText"/>
              <w:jc w:val="center"/>
            </w:pPr>
            <w:r w:rsidRPr="00732139">
              <w:t xml:space="preserve">0.38 </w:t>
            </w:r>
          </w:p>
          <w:p w:rsidR="000A3BF4" w:rsidRPr="00732139" w:rsidRDefault="000A5783" w:rsidP="000A5783">
            <w:pPr>
              <w:pStyle w:val="TableText"/>
              <w:jc w:val="center"/>
            </w:pPr>
            <w:r w:rsidRPr="00732139">
              <w:t>(0.15-0.94)</w:t>
            </w:r>
            <w:r w:rsidR="000A3BF4" w:rsidRPr="00732139">
              <w:t>)</w:t>
            </w:r>
          </w:p>
        </w:tc>
      </w:tr>
      <w:tr w:rsidR="000A3BF4" w:rsidRPr="00732139" w:rsidTr="00531FF1">
        <w:tc>
          <w:tcPr>
            <w:tcW w:w="972" w:type="dxa"/>
            <w:vMerge/>
            <w:vAlign w:val="center"/>
          </w:tcPr>
          <w:p w:rsidR="000A3BF4" w:rsidRPr="00732139" w:rsidRDefault="000A3BF4" w:rsidP="00531FF1">
            <w:pPr>
              <w:pStyle w:val="TableText"/>
            </w:pPr>
          </w:p>
        </w:tc>
        <w:tc>
          <w:tcPr>
            <w:tcW w:w="879" w:type="dxa"/>
            <w:vAlign w:val="center"/>
          </w:tcPr>
          <w:p w:rsidR="000A3BF4" w:rsidRPr="00732139" w:rsidRDefault="000A3BF4" w:rsidP="00531FF1">
            <w:pPr>
              <w:pStyle w:val="TableText"/>
            </w:pPr>
            <w:r w:rsidRPr="00732139">
              <w:t>No ECU</w:t>
            </w:r>
          </w:p>
        </w:tc>
        <w:tc>
          <w:tcPr>
            <w:tcW w:w="636" w:type="dxa"/>
            <w:vAlign w:val="center"/>
          </w:tcPr>
          <w:p w:rsidR="000A3BF4" w:rsidRPr="00732139" w:rsidRDefault="000A3BF4" w:rsidP="00531FF1">
            <w:pPr>
              <w:pStyle w:val="TableText"/>
              <w:jc w:val="center"/>
            </w:pPr>
            <w:r w:rsidRPr="00732139">
              <w:t>191</w:t>
            </w:r>
          </w:p>
        </w:tc>
        <w:tc>
          <w:tcPr>
            <w:tcW w:w="1064" w:type="dxa"/>
            <w:vAlign w:val="center"/>
          </w:tcPr>
          <w:p w:rsidR="000A3BF4" w:rsidRPr="00732139" w:rsidRDefault="000A3BF4" w:rsidP="00531FF1">
            <w:pPr>
              <w:pStyle w:val="TableText"/>
              <w:jc w:val="center"/>
            </w:pPr>
            <w:r w:rsidRPr="00732139">
              <w:t>1954-1985</w:t>
            </w:r>
          </w:p>
        </w:tc>
        <w:tc>
          <w:tcPr>
            <w:tcW w:w="1148" w:type="dxa"/>
            <w:vAlign w:val="center"/>
          </w:tcPr>
          <w:p w:rsidR="000A3BF4" w:rsidRPr="00732139" w:rsidRDefault="000A3BF4" w:rsidP="00531FF1">
            <w:pPr>
              <w:pStyle w:val="TableText"/>
              <w:jc w:val="center"/>
            </w:pPr>
            <w:r w:rsidRPr="00732139">
              <w:t>4.5 (2.5-5.6)</w:t>
            </w:r>
          </w:p>
        </w:tc>
        <w:tc>
          <w:tcPr>
            <w:tcW w:w="1158" w:type="dxa"/>
            <w:vAlign w:val="center"/>
          </w:tcPr>
          <w:p w:rsidR="000A3BF4" w:rsidRPr="00732139" w:rsidRDefault="000A3BF4" w:rsidP="00531FF1">
            <w:pPr>
              <w:pStyle w:val="TableText"/>
              <w:jc w:val="center"/>
            </w:pPr>
            <w:r w:rsidRPr="00732139">
              <w:t>38 (27-50)</w:t>
            </w:r>
          </w:p>
        </w:tc>
        <w:tc>
          <w:tcPr>
            <w:tcW w:w="913" w:type="dxa"/>
            <w:vAlign w:val="center"/>
          </w:tcPr>
          <w:p w:rsidR="000A3BF4" w:rsidRPr="00732139" w:rsidRDefault="000A3BF4" w:rsidP="00531FF1">
            <w:pPr>
              <w:pStyle w:val="TableText"/>
              <w:jc w:val="center"/>
            </w:pPr>
            <w:r w:rsidRPr="00732139">
              <w:t>Ham and/or FC</w:t>
            </w:r>
          </w:p>
        </w:tc>
        <w:tc>
          <w:tcPr>
            <w:tcW w:w="1120" w:type="dxa"/>
            <w:vAlign w:val="center"/>
          </w:tcPr>
          <w:p w:rsidR="000A3BF4" w:rsidRPr="00732139" w:rsidRDefault="000A3BF4" w:rsidP="00531FF1">
            <w:pPr>
              <w:pStyle w:val="TableText"/>
              <w:jc w:val="center"/>
            </w:pPr>
            <w:r w:rsidRPr="00732139">
              <w:t>6-yr: 58%</w:t>
            </w:r>
          </w:p>
        </w:tc>
        <w:tc>
          <w:tcPr>
            <w:tcW w:w="1127" w:type="dxa"/>
            <w:vAlign w:val="center"/>
          </w:tcPr>
          <w:p w:rsidR="000A5783" w:rsidRPr="00732139" w:rsidRDefault="000A5783" w:rsidP="000A5783">
            <w:pPr>
              <w:pStyle w:val="TableText"/>
              <w:jc w:val="center"/>
            </w:pPr>
            <w:r w:rsidRPr="00732139">
              <w:t xml:space="preserve">0.16 </w:t>
            </w:r>
          </w:p>
          <w:p w:rsidR="000A3BF4" w:rsidRPr="00732139" w:rsidRDefault="000A5783" w:rsidP="00531FF1">
            <w:pPr>
              <w:pStyle w:val="TableText"/>
              <w:jc w:val="center"/>
            </w:pPr>
            <w:r w:rsidRPr="00732139">
              <w:t>(0.07-0.37</w:t>
            </w:r>
          </w:p>
        </w:tc>
      </w:tr>
    </w:tbl>
    <w:p w:rsidR="000A3BF4" w:rsidRPr="00732139" w:rsidRDefault="000A3BF4" w:rsidP="000A3BF4">
      <w:pPr>
        <w:pStyle w:val="TableFigureFooter"/>
      </w:pPr>
      <w:r w:rsidRPr="00732139">
        <w:t>Source: Table 2.106, p210 pf the resubmission</w:t>
      </w:r>
    </w:p>
    <w:p w:rsidR="000A3BF4" w:rsidRPr="00732139" w:rsidRDefault="000A3BF4" w:rsidP="000A3BF4">
      <w:pPr>
        <w:pStyle w:val="TableFigureFooter"/>
      </w:pPr>
      <w:r w:rsidRPr="00732139">
        <w:t>Abbreviations: CI, confidence interval; ECU, eculizumab; FC, flow cytometry; HR, hazard ratio; NR, not reported; SD, standard deviation</w:t>
      </w:r>
    </w:p>
    <w:p w:rsidR="00EB078B" w:rsidRPr="00732139" w:rsidRDefault="00EB078B" w:rsidP="000A3BF4">
      <w:pPr>
        <w:pStyle w:val="TableFigureFooter"/>
      </w:pPr>
      <w:r w:rsidRPr="00732139">
        <w:t>Note: Studies highlighted in blue have not previously been considered by the PBAC</w:t>
      </w:r>
    </w:p>
    <w:p w:rsidR="0089325E" w:rsidRPr="00732139" w:rsidRDefault="0089325E" w:rsidP="000A3BF4">
      <w:pPr>
        <w:pStyle w:val="TableFigureFooter"/>
        <w:rPr>
          <w:iCs/>
        </w:rPr>
      </w:pPr>
      <w:r w:rsidRPr="00732139">
        <w:rPr>
          <w:iCs/>
        </w:rPr>
        <w:t>The results presented in this table were updated during the evaluation to reflect available res</w:t>
      </w:r>
      <w:r w:rsidR="005C640E" w:rsidRPr="00732139">
        <w:rPr>
          <w:iCs/>
        </w:rPr>
        <w:t>ults in the references provided.</w:t>
      </w:r>
    </w:p>
    <w:p w:rsidR="00E65854" w:rsidRPr="00732139" w:rsidRDefault="00F80219" w:rsidP="00E65854">
      <w:pPr>
        <w:pStyle w:val="ExecSumBodyText"/>
      </w:pPr>
      <w:r w:rsidRPr="00732139">
        <w:t xml:space="preserve">There were multiple survival estimates presented in the resubmission that could not be validated during the evaluation due to poor documentation. </w:t>
      </w:r>
      <w:r w:rsidR="004B46D8" w:rsidRPr="00732139">
        <w:t xml:space="preserve">For example, the hazard ratio for the Kang 2020 study </w:t>
      </w:r>
      <w:r w:rsidR="005979A2" w:rsidRPr="00732139">
        <w:t>referenced</w:t>
      </w:r>
      <w:r w:rsidR="004B46D8" w:rsidRPr="00732139">
        <w:t xml:space="preserve"> in the resubmission</w:t>
      </w:r>
      <w:r w:rsidR="005979A2" w:rsidRPr="00732139">
        <w:t xml:space="preserve"> (HR 0.11)</w:t>
      </w:r>
      <w:r w:rsidR="004B46D8" w:rsidRPr="00732139">
        <w:t xml:space="preserve"> was</w:t>
      </w:r>
      <w:r w:rsidR="008172AF" w:rsidRPr="00732139">
        <w:t xml:space="preserve"> not presented in the study publication. The estimate </w:t>
      </w:r>
      <w:r w:rsidR="00E65854" w:rsidRPr="00732139">
        <w:t xml:space="preserve">appeared to be </w:t>
      </w:r>
      <w:r w:rsidR="008172AF" w:rsidRPr="00732139">
        <w:t>inappropriately</w:t>
      </w:r>
      <w:r w:rsidR="004B46D8" w:rsidRPr="00732139">
        <w:t xml:space="preserve"> </w:t>
      </w:r>
      <w:r w:rsidR="005979A2" w:rsidRPr="00732139">
        <w:lastRenderedPageBreak/>
        <w:t>derived</w:t>
      </w:r>
      <w:r w:rsidR="008172AF" w:rsidRPr="00732139">
        <w:t xml:space="preserve"> in the resubmission</w:t>
      </w:r>
      <w:r w:rsidR="005979A2" w:rsidRPr="00732139">
        <w:t xml:space="preserve"> </w:t>
      </w:r>
      <w:r w:rsidR="00E65854" w:rsidRPr="00732139">
        <w:t xml:space="preserve">from Table 2 of Kang (2020) </w:t>
      </w:r>
      <w:r w:rsidR="005979A2" w:rsidRPr="00732139">
        <w:t xml:space="preserve">using </w:t>
      </w:r>
      <w:r w:rsidR="00E65854" w:rsidRPr="00732139">
        <w:t xml:space="preserve">the </w:t>
      </w:r>
      <w:r w:rsidR="004B46D8" w:rsidRPr="00732139">
        <w:t xml:space="preserve">multivariate analysis of the unadjusted set of treated and untreated patients (N=1,340) </w:t>
      </w:r>
      <w:r w:rsidR="00EA025D" w:rsidRPr="00732139">
        <w:t xml:space="preserve">that was </w:t>
      </w:r>
      <w:r w:rsidR="004B46D8" w:rsidRPr="00732139">
        <w:t>used to identify prognostic factors related to survival (the use of eculizumab no vs yes; HR: 9.318 95% CI (1.28, 67.74)</w:t>
      </w:r>
      <w:r w:rsidR="00E65854" w:rsidRPr="00732139">
        <w:t xml:space="preserve">; </w:t>
      </w:r>
      <w:r w:rsidR="00E65854" w:rsidRPr="00732139">
        <w:rPr>
          <w:iCs/>
        </w:rPr>
        <w:t>calculated in the resubmission as 1/9.318 = 0.11) to derive the hazard ratio of eculizumab vs no eculizumab.</w:t>
      </w:r>
    </w:p>
    <w:p w:rsidR="007278BA" w:rsidRPr="00732139" w:rsidRDefault="007278BA" w:rsidP="001F1A90">
      <w:pPr>
        <w:pStyle w:val="ExecSumBodyText"/>
        <w:rPr>
          <w:iCs/>
        </w:rPr>
      </w:pPr>
      <w:r w:rsidRPr="00732139">
        <w:rPr>
          <w:iCs/>
        </w:rPr>
        <w:t xml:space="preserve">The majority of the evidence presented in the resubmission has been considered by the PBAC in previous eculizumab submissions and the July 2020 ravulizumab submission. The PBAC previously noted eculizumab’s survival data varied significantly in relation to duration of follow-up. </w:t>
      </w:r>
      <w:r w:rsidR="00FF2CCE" w:rsidRPr="00732139">
        <w:rPr>
          <w:iCs/>
        </w:rPr>
        <w:t>In July 2020, t</w:t>
      </w:r>
      <w:r w:rsidRPr="00732139">
        <w:rPr>
          <w:iCs/>
        </w:rPr>
        <w:t>he PBAC also considered the magnitude of any survival benefit of eculizumab versus BSC was unclear given the lack of contemporary data for BSC survival outcomes (para 7.4, ravulizumab PSD, July 2020 PBAC meeting).</w:t>
      </w:r>
    </w:p>
    <w:p w:rsidR="006306C4" w:rsidRPr="00732139" w:rsidRDefault="006306C4" w:rsidP="00EC5836">
      <w:pPr>
        <w:pStyle w:val="ExecSumBodyText"/>
      </w:pPr>
      <w:r w:rsidRPr="00732139">
        <w:rPr>
          <w:iCs/>
        </w:rPr>
        <w:t xml:space="preserve">There was substantial variance in the survival estimates across the included studies </w:t>
      </w:r>
      <w:r w:rsidR="006626C7" w:rsidRPr="00732139">
        <w:rPr>
          <w:iCs/>
        </w:rPr>
        <w:t xml:space="preserve">in this resubmission </w:t>
      </w:r>
      <w:r w:rsidRPr="00732139">
        <w:rPr>
          <w:iCs/>
        </w:rPr>
        <w:t xml:space="preserve">which were difficult to interpret and compare. </w:t>
      </w:r>
      <w:r w:rsidRPr="00732139">
        <w:t>The resubmission stated the assessment of the evidence was challenging due to numerous issues surrounding heterogeneity and applicability to the PBS population (e.g. age of study, study design, population and disease characteristics, and healthcare settings).</w:t>
      </w:r>
    </w:p>
    <w:p w:rsidR="006306C4" w:rsidRPr="00732139" w:rsidRDefault="006306C4" w:rsidP="00EC5836">
      <w:pPr>
        <w:pStyle w:val="ExecSumBodyText"/>
        <w:rPr>
          <w:iCs/>
        </w:rPr>
      </w:pPr>
      <w:r w:rsidRPr="00732139">
        <w:t>However, the resubmission claimed the study by Kang (2020) represented the best evidence</w:t>
      </w:r>
      <w:r w:rsidR="00A25561" w:rsidRPr="00732139">
        <w:t xml:space="preserve"> from the comparative studies</w:t>
      </w:r>
      <w:r w:rsidRPr="00732139">
        <w:t>, given the population was broadly applicable to the LSDP population, and the propensity matching on important disease and demographic characteristics of the eculizumab and untreated cohorts reduced the potential for confounding</w:t>
      </w:r>
      <w:r w:rsidR="00732139">
        <w:t xml:space="preserve">. </w:t>
      </w:r>
      <w:r w:rsidRPr="00732139">
        <w:rPr>
          <w:iCs/>
        </w:rPr>
        <w:t xml:space="preserve">The analysis only included patients who were alive from the time of eculizumab availability (from October 2012), therefore there is risk of selection and immortal time biases (i.e. patients who survived a risk-free period prior to eculizumab availability). The results of this study were also limited by relatively short follow-up durations for both untreated and treated groups (median duration of 1.7 and 2.5 years respectively). </w:t>
      </w:r>
    </w:p>
    <w:p w:rsidR="00467CF7" w:rsidRPr="00732139" w:rsidRDefault="00467CF7" w:rsidP="00665185">
      <w:pPr>
        <w:pStyle w:val="ExecSumBodyText"/>
        <w:spacing w:after="0"/>
        <w:rPr>
          <w:iCs/>
        </w:rPr>
      </w:pPr>
      <w:r w:rsidRPr="00732139">
        <w:rPr>
          <w:iCs/>
        </w:rPr>
        <w:t>Overall, the body of evidence for survival should be interpreted with caution</w:t>
      </w:r>
      <w:r w:rsidR="00E1110A" w:rsidRPr="00732139">
        <w:rPr>
          <w:iCs/>
        </w:rPr>
        <w:t xml:space="preserve"> as it was difficult to differentiate between survival benefit associated with improvements in BSC over time from treatment benefit associated with eculizumab</w:t>
      </w:r>
      <w:r w:rsidRPr="00732139">
        <w:rPr>
          <w:iCs/>
        </w:rPr>
        <w:t>. The following are limitations specific to survival analyses conducted in the included studies:</w:t>
      </w:r>
    </w:p>
    <w:p w:rsidR="00E15DCE" w:rsidRPr="00732139" w:rsidRDefault="00467CF7" w:rsidP="00EF2D64">
      <w:pPr>
        <w:pStyle w:val="ExecSumBodyText"/>
        <w:numPr>
          <w:ilvl w:val="0"/>
          <w:numId w:val="10"/>
        </w:numPr>
        <w:spacing w:after="0"/>
        <w:rPr>
          <w:iCs/>
        </w:rPr>
      </w:pPr>
      <w:r w:rsidRPr="00732139">
        <w:rPr>
          <w:iCs/>
        </w:rPr>
        <w:t xml:space="preserve">The use of supportive therapies and overall disease management (diagnosis of concomitant bone marrow disorders and co-morbidities) at baseline and over time were not well reported. </w:t>
      </w:r>
    </w:p>
    <w:p w:rsidR="00E15DCE" w:rsidRPr="00732139" w:rsidRDefault="00467CF7" w:rsidP="00EF2D64">
      <w:pPr>
        <w:pStyle w:val="ExecSumBodyText"/>
        <w:numPr>
          <w:ilvl w:val="0"/>
          <w:numId w:val="10"/>
        </w:numPr>
        <w:spacing w:after="0"/>
        <w:rPr>
          <w:iCs/>
        </w:rPr>
      </w:pPr>
      <w:r w:rsidRPr="00732139">
        <w:rPr>
          <w:iCs/>
        </w:rPr>
        <w:t xml:space="preserve">Data relating to causes of death and incidence of life-threatening events such as thromboembolisms were sparse. </w:t>
      </w:r>
    </w:p>
    <w:p w:rsidR="00665185" w:rsidRPr="00732139" w:rsidRDefault="00467CF7" w:rsidP="00EF2D64">
      <w:pPr>
        <w:pStyle w:val="ExecSumBodyText"/>
        <w:numPr>
          <w:ilvl w:val="0"/>
          <w:numId w:val="10"/>
        </w:numPr>
        <w:spacing w:after="0"/>
        <w:rPr>
          <w:iCs/>
        </w:rPr>
      </w:pPr>
      <w:r w:rsidRPr="00732139">
        <w:rPr>
          <w:iCs/>
        </w:rPr>
        <w:t>Some studies had overlapping cohorts of treated and untreated patients, with survival analysis based on pre- and post-eculizumab eras. There is a high risk of immortal time bias given the inclusion of patients in the treated cohort was conditional upon survival during the pre-eculizumab era (i.e. risk-free period)</w:t>
      </w:r>
      <w:r w:rsidR="00732139">
        <w:rPr>
          <w:iCs/>
        </w:rPr>
        <w:t xml:space="preserve">. </w:t>
      </w:r>
    </w:p>
    <w:p w:rsidR="00665185" w:rsidRPr="00732139" w:rsidRDefault="00467CF7" w:rsidP="00EF2D64">
      <w:pPr>
        <w:pStyle w:val="ExecSumBodyText"/>
        <w:numPr>
          <w:ilvl w:val="0"/>
          <w:numId w:val="10"/>
        </w:numPr>
        <w:spacing w:after="0"/>
        <w:rPr>
          <w:iCs/>
        </w:rPr>
      </w:pPr>
      <w:r w:rsidRPr="00732139">
        <w:rPr>
          <w:iCs/>
        </w:rPr>
        <w:lastRenderedPageBreak/>
        <w:t>Comparisons of survival between eculizumab and BSC that were conducted using ever-treated and never-treated cohorts should be interpreted with caution due to potential confounders relating to access to treatment (e.g. disease severity, healthcare setting, rare disease treatment coverage).</w:t>
      </w:r>
    </w:p>
    <w:p w:rsidR="00665185" w:rsidRPr="00732139" w:rsidRDefault="00467CF7" w:rsidP="00EF2D64">
      <w:pPr>
        <w:pStyle w:val="ExecSumBodyText"/>
        <w:numPr>
          <w:ilvl w:val="0"/>
          <w:numId w:val="10"/>
        </w:numPr>
        <w:spacing w:after="0"/>
        <w:rPr>
          <w:iCs/>
        </w:rPr>
      </w:pPr>
      <w:r w:rsidRPr="00732139">
        <w:rPr>
          <w:iCs/>
        </w:rPr>
        <w:t xml:space="preserve">Most survival comparisons were unadjusted for treatment exposure to eculizumab, assuming no relationship between the duration of therapy and mortality. Where treatment exposure was included as a covariate, this was defined as a baseline (fixed effects) rather than a time-varying measure. </w:t>
      </w:r>
    </w:p>
    <w:p w:rsidR="00467CF7" w:rsidRPr="00732139" w:rsidRDefault="00467CF7" w:rsidP="00EF2D64">
      <w:pPr>
        <w:pStyle w:val="ExecSumBodyText"/>
        <w:numPr>
          <w:ilvl w:val="0"/>
          <w:numId w:val="10"/>
        </w:numPr>
        <w:rPr>
          <w:iCs/>
        </w:rPr>
      </w:pPr>
      <w:r w:rsidRPr="00732139">
        <w:rPr>
          <w:iCs/>
        </w:rPr>
        <w:t xml:space="preserve">Adjustments for known prognostic factors were typically conducted using baseline data only, not accounting for time-varying prognostic factors (e.g. thrombotic events, clonal evolution, development of malignancies). </w:t>
      </w:r>
    </w:p>
    <w:p w:rsidR="00B57BD3" w:rsidRPr="00732139" w:rsidRDefault="00B57BD3" w:rsidP="00EC5836">
      <w:pPr>
        <w:pStyle w:val="ExecSumBodyText"/>
        <w:rPr>
          <w:iCs/>
        </w:rPr>
      </w:pPr>
      <w:r w:rsidRPr="00732139">
        <w:rPr>
          <w:iCs/>
        </w:rPr>
        <w:t xml:space="preserve">The </w:t>
      </w:r>
      <w:r w:rsidR="00E757F1" w:rsidRPr="00732139">
        <w:rPr>
          <w:iCs/>
        </w:rPr>
        <w:t>PSCR</w:t>
      </w:r>
      <w:r w:rsidRPr="00732139">
        <w:rPr>
          <w:iCs/>
        </w:rPr>
        <w:t xml:space="preserve"> argued that the evaluation of published </w:t>
      </w:r>
      <w:r w:rsidR="00FD07BD" w:rsidRPr="00732139">
        <w:rPr>
          <w:iCs/>
        </w:rPr>
        <w:t>eculizumab</w:t>
      </w:r>
      <w:r w:rsidRPr="00732139">
        <w:rPr>
          <w:iCs/>
        </w:rPr>
        <w:t xml:space="preserve"> survival data included in the resubmission reflected an improved assessment of available sources, which has reduced the magnitude of incremental survival benefit with eculizumab owing to selection of more contempor</w:t>
      </w:r>
      <w:r w:rsidR="00FD07BD" w:rsidRPr="00732139">
        <w:rPr>
          <w:iCs/>
        </w:rPr>
        <w:t>ar</w:t>
      </w:r>
      <w:r w:rsidRPr="00732139">
        <w:rPr>
          <w:iCs/>
        </w:rPr>
        <w:t>y BSC data. The ESC noted the resubmission’s approach to study selection was complex and difficult to reproduce</w:t>
      </w:r>
      <w:r w:rsidR="004D489C" w:rsidRPr="00732139">
        <w:rPr>
          <w:iCs/>
        </w:rPr>
        <w:t xml:space="preserve"> (see paragraph 6.13)</w:t>
      </w:r>
      <w:r w:rsidRPr="00732139">
        <w:rPr>
          <w:iCs/>
        </w:rPr>
        <w:t xml:space="preserve">. </w:t>
      </w:r>
      <w:r w:rsidR="004D489C" w:rsidRPr="00732139">
        <w:rPr>
          <w:iCs/>
        </w:rPr>
        <w:t xml:space="preserve">Despite the inclusion of newer evidence, the ESC considered the data representing BSC remained sparse and largely dated in terms of data collection. The ESC </w:t>
      </w:r>
      <w:r w:rsidR="00B235A1" w:rsidRPr="00732139">
        <w:rPr>
          <w:iCs/>
        </w:rPr>
        <w:t xml:space="preserve">noted the substantial variation in the survival estimates and </w:t>
      </w:r>
      <w:r w:rsidR="007053EE" w:rsidRPr="00732139">
        <w:rPr>
          <w:iCs/>
        </w:rPr>
        <w:t xml:space="preserve">considered </w:t>
      </w:r>
      <w:r w:rsidR="00B235A1" w:rsidRPr="00732139">
        <w:rPr>
          <w:iCs/>
        </w:rPr>
        <w:t xml:space="preserve">that they </w:t>
      </w:r>
      <w:r w:rsidRPr="00732139">
        <w:rPr>
          <w:iCs/>
        </w:rPr>
        <w:t>should be interpreted with caution due to the high risk of bias, significant heterogeneity between studies</w:t>
      </w:r>
      <w:r w:rsidR="00B235A1" w:rsidRPr="00732139">
        <w:rPr>
          <w:iCs/>
        </w:rPr>
        <w:t xml:space="preserve"> and</w:t>
      </w:r>
      <w:r w:rsidR="004D489C" w:rsidRPr="00732139">
        <w:rPr>
          <w:iCs/>
        </w:rPr>
        <w:t xml:space="preserve"> </w:t>
      </w:r>
      <w:r w:rsidRPr="00732139">
        <w:rPr>
          <w:iCs/>
        </w:rPr>
        <w:t>differential duration</w:t>
      </w:r>
      <w:r w:rsidR="007053EE" w:rsidRPr="00732139">
        <w:rPr>
          <w:iCs/>
        </w:rPr>
        <w:t>s</w:t>
      </w:r>
      <w:r w:rsidRPr="00732139">
        <w:rPr>
          <w:iCs/>
        </w:rPr>
        <w:t xml:space="preserve"> of follow-</w:t>
      </w:r>
      <w:r w:rsidR="00B235A1" w:rsidRPr="00732139">
        <w:rPr>
          <w:iCs/>
        </w:rPr>
        <w:t>up</w:t>
      </w:r>
      <w:r w:rsidRPr="00732139">
        <w:rPr>
          <w:iCs/>
        </w:rPr>
        <w:t>.</w:t>
      </w:r>
      <w:r w:rsidR="004D489C" w:rsidRPr="00732139">
        <w:rPr>
          <w:iCs/>
        </w:rPr>
        <w:t xml:space="preserve"> </w:t>
      </w:r>
      <w:r w:rsidR="007053EE" w:rsidRPr="00732139">
        <w:rPr>
          <w:iCs/>
        </w:rPr>
        <w:t xml:space="preserve">As such, the ESC agreed with the evaluation that it was </w:t>
      </w:r>
      <w:r w:rsidR="004D489C" w:rsidRPr="00732139">
        <w:rPr>
          <w:iCs/>
        </w:rPr>
        <w:t>di</w:t>
      </w:r>
      <w:r w:rsidR="007053EE" w:rsidRPr="00732139">
        <w:rPr>
          <w:iCs/>
        </w:rPr>
        <w:t>fficult to differentiate the</w:t>
      </w:r>
      <w:r w:rsidR="004D489C" w:rsidRPr="00732139">
        <w:rPr>
          <w:iCs/>
        </w:rPr>
        <w:t xml:space="preserve"> survival benefit associated with improvements in BSC over time from </w:t>
      </w:r>
      <w:r w:rsidR="007053EE" w:rsidRPr="00732139">
        <w:rPr>
          <w:iCs/>
        </w:rPr>
        <w:t xml:space="preserve">the </w:t>
      </w:r>
      <w:r w:rsidR="004D489C" w:rsidRPr="00732139">
        <w:rPr>
          <w:iCs/>
        </w:rPr>
        <w:t>treatment benefit associated with eculizumab</w:t>
      </w:r>
      <w:r w:rsidR="00B235A1" w:rsidRPr="00732139">
        <w:rPr>
          <w:iCs/>
        </w:rPr>
        <w:t xml:space="preserve"> based on these published data</w:t>
      </w:r>
      <w:r w:rsidR="007053EE" w:rsidRPr="00732139">
        <w:rPr>
          <w:iCs/>
        </w:rPr>
        <w:t>.</w:t>
      </w:r>
    </w:p>
    <w:p w:rsidR="00175968" w:rsidRPr="00732139" w:rsidRDefault="00175968" w:rsidP="00175968">
      <w:pPr>
        <w:pStyle w:val="5-SubSubSubHead"/>
      </w:pPr>
      <w:r w:rsidRPr="00732139">
        <w:t>PNH Regist</w:t>
      </w:r>
      <w:r w:rsidR="004533E2" w:rsidRPr="00732139">
        <w:t>r</w:t>
      </w:r>
      <w:r w:rsidRPr="00732139">
        <w:t>y data</w:t>
      </w:r>
    </w:p>
    <w:p w:rsidR="006E01C5" w:rsidRPr="00732139" w:rsidRDefault="00D338A5" w:rsidP="00EC5836">
      <w:pPr>
        <w:pStyle w:val="ExecSumBodyText"/>
        <w:rPr>
          <w:i/>
          <w:iCs/>
        </w:rPr>
      </w:pPr>
      <w:r w:rsidRPr="00732139">
        <w:t xml:space="preserve">The resubmission considered the adjusted survival analysis based on the International PNH Registry data was the best available evidence upon which to establish the magnitude of survival benefit of eculizumab versus BSC. </w:t>
      </w:r>
    </w:p>
    <w:p w:rsidR="006E01C5" w:rsidRPr="00732139" w:rsidRDefault="006E01C5" w:rsidP="006E01C5">
      <w:pPr>
        <w:pStyle w:val="ExecSumBodyText"/>
      </w:pPr>
      <w:r w:rsidRPr="00732139">
        <w:t xml:space="preserve">The International PNH Registry (NCT01374360, estimated enrolment N=5,000) is a prospective, non-interventional, observational study funded by the sponsor. The study started in January 2007 with an estimated completion date of December 2025. Patients of any age with a clinical diagnosis of PNH (by any applicable diagnostic method and/or detectable PNH clone) were eligible for inclusion in the registry, regardless of disease severity, co-morbidities or treatments (past, current or planned). </w:t>
      </w:r>
    </w:p>
    <w:p w:rsidR="006E01C5" w:rsidRPr="00732139" w:rsidRDefault="006E01C5" w:rsidP="006E01C5">
      <w:pPr>
        <w:pStyle w:val="ExecSumBodyText"/>
      </w:pPr>
      <w:r w:rsidRPr="00732139">
        <w:t xml:space="preserve">The primary aim of the registry is to evaluate safety data specific to the use of eculizumab and ravulizumab (C5 inhibitors) over a maximum follow-up period of 13 years. Secondary outcomes include the collection of data to characterise the progression of PNH as well as clinical outcomes, mortality and morbidity in patients who are treated or untreated with C5 inhibitors. The analysis presented in the resubmission was based on eculizumab-treated patients only, with the resubmission </w:t>
      </w:r>
      <w:r w:rsidRPr="00732139">
        <w:lastRenderedPageBreak/>
        <w:t>noting that provision of registry data pertaining to ravulizumab-treated patients can be requested in the future.</w:t>
      </w:r>
    </w:p>
    <w:p w:rsidR="006E01C5" w:rsidRPr="00732139" w:rsidRDefault="006E01C5" w:rsidP="006E01C5">
      <w:pPr>
        <w:pStyle w:val="ExecSumBodyText"/>
      </w:pPr>
      <w:r w:rsidRPr="00732139">
        <w:t>The resubmission presented three survival models comparing the survival of the ever-treated (international and Australian) cohorts versus the international never-treated cohort. The resubmission claimed that a propensity-score adjusted comparison was not feasible given the small sample size of Australian patients and presented both unadjusted and adjusted Cox proportional hazards models.</w:t>
      </w:r>
      <w:r w:rsidR="000B3B1A" w:rsidRPr="00732139">
        <w:t xml:space="preserve"> </w:t>
      </w:r>
      <w:r w:rsidR="00E757F1" w:rsidRPr="00732139">
        <w:t xml:space="preserve">The ESC considered that a propensity-score adjusted comparison may have been possible </w:t>
      </w:r>
      <w:r w:rsidR="002B69B9" w:rsidRPr="00732139">
        <w:t>with the cohort</w:t>
      </w:r>
      <w:r w:rsidR="00E757F1" w:rsidRPr="00732139">
        <w:t xml:space="preserve"> sample size. However, the ESC acknowledged that the small number of events (2 deaths) in the Australian ever</w:t>
      </w:r>
      <w:r w:rsidR="002B69B9" w:rsidRPr="00732139">
        <w:t>-treated cohort may limit confidence in the results of this approach</w:t>
      </w:r>
      <w:r w:rsidR="00E757F1" w:rsidRPr="00732139">
        <w:t>.</w:t>
      </w:r>
    </w:p>
    <w:p w:rsidR="006E01C5" w:rsidRPr="00732139" w:rsidRDefault="006E01C5" w:rsidP="006E01C5">
      <w:pPr>
        <w:pStyle w:val="Tableheadingrow"/>
        <w:rPr>
          <w:lang w:val="en-AU"/>
        </w:rPr>
      </w:pPr>
      <w:r w:rsidRPr="00732139">
        <w:rPr>
          <w:lang w:val="en-AU"/>
        </w:rPr>
        <w:t xml:space="preserve">Table </w:t>
      </w:r>
      <w:r w:rsidR="00911D94" w:rsidRPr="00732139">
        <w:rPr>
          <w:lang w:val="en-AU"/>
        </w:rPr>
        <w:t>7</w:t>
      </w:r>
      <w:r w:rsidRPr="00732139">
        <w:rPr>
          <w:lang w:val="en-AU"/>
        </w:rPr>
        <w:t>: Descriptions of subgroups used in the survival comparison</w:t>
      </w:r>
      <w:r w:rsidR="00911D94" w:rsidRPr="00732139">
        <w:rPr>
          <w:lang w:val="en-AU"/>
        </w:rPr>
        <w:t xml:space="preserve"> based on PNH registry data</w:t>
      </w:r>
    </w:p>
    <w:tbl>
      <w:tblPr>
        <w:tblStyle w:val="TableGrid"/>
        <w:tblW w:w="0" w:type="auto"/>
        <w:tblLook w:val="04A0" w:firstRow="1" w:lastRow="0" w:firstColumn="1" w:lastColumn="0" w:noHBand="0" w:noVBand="1"/>
        <w:tblCaption w:val="Table 7: Descriptions of subgroups used in the survival comparison based on PNH registry data"/>
      </w:tblPr>
      <w:tblGrid>
        <w:gridCol w:w="1129"/>
        <w:gridCol w:w="1652"/>
        <w:gridCol w:w="1325"/>
        <w:gridCol w:w="817"/>
        <w:gridCol w:w="4094"/>
      </w:tblGrid>
      <w:tr w:rsidR="006E01C5" w:rsidRPr="00732139" w:rsidTr="00C704DD">
        <w:trPr>
          <w:tblHeader/>
        </w:trPr>
        <w:tc>
          <w:tcPr>
            <w:tcW w:w="1129" w:type="dxa"/>
            <w:vAlign w:val="center"/>
          </w:tcPr>
          <w:p w:rsidR="006E01C5" w:rsidRPr="00732139" w:rsidRDefault="006E01C5" w:rsidP="00531FF1">
            <w:pPr>
              <w:pStyle w:val="TableText"/>
              <w:rPr>
                <w:b/>
                <w:bCs w:val="0"/>
              </w:rPr>
            </w:pPr>
            <w:r w:rsidRPr="00732139">
              <w:rPr>
                <w:b/>
                <w:bCs w:val="0"/>
              </w:rPr>
              <w:t>Survival model</w:t>
            </w:r>
          </w:p>
        </w:tc>
        <w:tc>
          <w:tcPr>
            <w:tcW w:w="1652" w:type="dxa"/>
            <w:vAlign w:val="center"/>
          </w:tcPr>
          <w:p w:rsidR="006E01C5" w:rsidRPr="00732139" w:rsidRDefault="006E01C5" w:rsidP="00531FF1">
            <w:pPr>
              <w:pStyle w:val="TableText"/>
              <w:rPr>
                <w:b/>
                <w:bCs w:val="0"/>
                <w:vertAlign w:val="superscript"/>
              </w:rPr>
            </w:pPr>
            <w:r w:rsidRPr="00732139">
              <w:rPr>
                <w:b/>
                <w:bCs w:val="0"/>
              </w:rPr>
              <w:t xml:space="preserve">Covariates </w:t>
            </w:r>
            <w:r w:rsidRPr="00732139">
              <w:rPr>
                <w:b/>
                <w:bCs w:val="0"/>
                <w:vertAlign w:val="superscript"/>
              </w:rPr>
              <w:t>a</w:t>
            </w:r>
          </w:p>
        </w:tc>
        <w:tc>
          <w:tcPr>
            <w:tcW w:w="1325" w:type="dxa"/>
            <w:vAlign w:val="center"/>
          </w:tcPr>
          <w:p w:rsidR="006E01C5" w:rsidRPr="00732139" w:rsidRDefault="006E01C5" w:rsidP="00531FF1">
            <w:pPr>
              <w:pStyle w:val="TableText"/>
              <w:rPr>
                <w:b/>
                <w:bCs w:val="0"/>
              </w:rPr>
            </w:pPr>
            <w:r w:rsidRPr="00732139">
              <w:rPr>
                <w:b/>
                <w:bCs w:val="0"/>
              </w:rPr>
              <w:t>Group</w:t>
            </w:r>
          </w:p>
        </w:tc>
        <w:tc>
          <w:tcPr>
            <w:tcW w:w="817" w:type="dxa"/>
            <w:vAlign w:val="center"/>
          </w:tcPr>
          <w:p w:rsidR="006E01C5" w:rsidRPr="00732139" w:rsidRDefault="006E01C5" w:rsidP="00531FF1">
            <w:pPr>
              <w:pStyle w:val="TableText"/>
              <w:rPr>
                <w:b/>
                <w:bCs w:val="0"/>
              </w:rPr>
            </w:pPr>
            <w:r w:rsidRPr="00732139">
              <w:rPr>
                <w:b/>
                <w:bCs w:val="0"/>
              </w:rPr>
              <w:t>N</w:t>
            </w:r>
          </w:p>
        </w:tc>
        <w:tc>
          <w:tcPr>
            <w:tcW w:w="4094" w:type="dxa"/>
            <w:vAlign w:val="center"/>
          </w:tcPr>
          <w:p w:rsidR="006E01C5" w:rsidRPr="00732139" w:rsidRDefault="006E01C5" w:rsidP="00531FF1">
            <w:pPr>
              <w:pStyle w:val="TableText"/>
              <w:rPr>
                <w:b/>
                <w:bCs w:val="0"/>
              </w:rPr>
            </w:pPr>
            <w:r w:rsidRPr="00732139">
              <w:rPr>
                <w:b/>
                <w:bCs w:val="0"/>
              </w:rPr>
              <w:t>Description</w:t>
            </w:r>
          </w:p>
        </w:tc>
      </w:tr>
      <w:tr w:rsidR="006E01C5" w:rsidRPr="00732139" w:rsidTr="00531FF1">
        <w:tc>
          <w:tcPr>
            <w:tcW w:w="1129" w:type="dxa"/>
            <w:vMerge w:val="restart"/>
            <w:vAlign w:val="center"/>
          </w:tcPr>
          <w:p w:rsidR="006E01C5" w:rsidRPr="00732139" w:rsidRDefault="006E01C5" w:rsidP="00531FF1">
            <w:pPr>
              <w:pStyle w:val="TableText"/>
              <w:rPr>
                <w:b/>
                <w:bCs w:val="0"/>
              </w:rPr>
            </w:pPr>
            <w:r w:rsidRPr="00732139">
              <w:t>Unadjusted</w:t>
            </w:r>
          </w:p>
        </w:tc>
        <w:tc>
          <w:tcPr>
            <w:tcW w:w="1652" w:type="dxa"/>
            <w:vMerge w:val="restart"/>
            <w:vAlign w:val="center"/>
          </w:tcPr>
          <w:p w:rsidR="006E01C5" w:rsidRPr="00732139" w:rsidRDefault="006E01C5" w:rsidP="00531FF1">
            <w:pPr>
              <w:pStyle w:val="TableText"/>
              <w:rPr>
                <w:b/>
                <w:bCs w:val="0"/>
              </w:rPr>
            </w:pPr>
            <w:r w:rsidRPr="00732139">
              <w:t>-</w:t>
            </w:r>
          </w:p>
        </w:tc>
        <w:tc>
          <w:tcPr>
            <w:tcW w:w="1325" w:type="dxa"/>
            <w:vAlign w:val="center"/>
          </w:tcPr>
          <w:p w:rsidR="006E01C5" w:rsidRPr="00732139" w:rsidRDefault="006E01C5" w:rsidP="00531FF1">
            <w:pPr>
              <w:pStyle w:val="TableText"/>
              <w:rPr>
                <w:b/>
                <w:bCs w:val="0"/>
              </w:rPr>
            </w:pPr>
            <w:r w:rsidRPr="00732139">
              <w:t>International, ever-treated</w:t>
            </w:r>
          </w:p>
        </w:tc>
        <w:tc>
          <w:tcPr>
            <w:tcW w:w="817" w:type="dxa"/>
            <w:vAlign w:val="center"/>
          </w:tcPr>
          <w:p w:rsidR="006E01C5" w:rsidRPr="00732139" w:rsidRDefault="006E01C5" w:rsidP="00531FF1">
            <w:pPr>
              <w:pStyle w:val="TableText"/>
              <w:rPr>
                <w:b/>
                <w:bCs w:val="0"/>
              </w:rPr>
            </w:pPr>
            <w:r w:rsidRPr="00732139">
              <w:t xml:space="preserve">1,989 </w:t>
            </w:r>
            <w:r w:rsidRPr="00732139">
              <w:rPr>
                <w:vertAlign w:val="superscript"/>
              </w:rPr>
              <w:t>b</w:t>
            </w:r>
          </w:p>
        </w:tc>
        <w:tc>
          <w:tcPr>
            <w:tcW w:w="4094" w:type="dxa"/>
            <w:vAlign w:val="center"/>
          </w:tcPr>
          <w:p w:rsidR="006E01C5" w:rsidRPr="00732139" w:rsidRDefault="006E01C5" w:rsidP="00531FF1">
            <w:pPr>
              <w:pStyle w:val="TableText"/>
              <w:rPr>
                <w:b/>
                <w:bCs w:val="0"/>
              </w:rPr>
            </w:pPr>
            <w:r w:rsidRPr="00732139">
              <w:t>All patients who were ever treated with eculizumab</w:t>
            </w:r>
          </w:p>
        </w:tc>
      </w:tr>
      <w:tr w:rsidR="006E01C5" w:rsidRPr="00732139" w:rsidTr="00531FF1">
        <w:tc>
          <w:tcPr>
            <w:tcW w:w="1129" w:type="dxa"/>
            <w:vMerge/>
            <w:vAlign w:val="center"/>
          </w:tcPr>
          <w:p w:rsidR="006E01C5" w:rsidRPr="00732139" w:rsidRDefault="006E01C5" w:rsidP="00531FF1">
            <w:pPr>
              <w:pStyle w:val="TableText"/>
              <w:rPr>
                <w:b/>
                <w:bCs w:val="0"/>
              </w:rPr>
            </w:pPr>
          </w:p>
        </w:tc>
        <w:tc>
          <w:tcPr>
            <w:tcW w:w="1652" w:type="dxa"/>
            <w:vMerge/>
            <w:vAlign w:val="center"/>
          </w:tcPr>
          <w:p w:rsidR="006E01C5" w:rsidRPr="00732139" w:rsidRDefault="006E01C5" w:rsidP="00531FF1">
            <w:pPr>
              <w:pStyle w:val="TableText"/>
              <w:rPr>
                <w:b/>
                <w:bCs w:val="0"/>
              </w:rPr>
            </w:pPr>
          </w:p>
        </w:tc>
        <w:tc>
          <w:tcPr>
            <w:tcW w:w="1325" w:type="dxa"/>
            <w:vAlign w:val="center"/>
          </w:tcPr>
          <w:p w:rsidR="006E01C5" w:rsidRPr="00732139" w:rsidRDefault="006E01C5" w:rsidP="00531FF1">
            <w:pPr>
              <w:pStyle w:val="TableText"/>
              <w:rPr>
                <w:b/>
                <w:bCs w:val="0"/>
              </w:rPr>
            </w:pPr>
            <w:r w:rsidRPr="00732139">
              <w:t>Australian, ever-treated</w:t>
            </w:r>
          </w:p>
        </w:tc>
        <w:tc>
          <w:tcPr>
            <w:tcW w:w="817" w:type="dxa"/>
            <w:vAlign w:val="center"/>
          </w:tcPr>
          <w:p w:rsidR="006E01C5" w:rsidRPr="00732139" w:rsidRDefault="006E01C5" w:rsidP="00531FF1">
            <w:pPr>
              <w:pStyle w:val="TableText"/>
              <w:rPr>
                <w:b/>
                <w:bCs w:val="0"/>
              </w:rPr>
            </w:pPr>
            <w:r w:rsidRPr="00732139">
              <w:t>74</w:t>
            </w:r>
          </w:p>
        </w:tc>
        <w:tc>
          <w:tcPr>
            <w:tcW w:w="4094" w:type="dxa"/>
            <w:vAlign w:val="center"/>
          </w:tcPr>
          <w:p w:rsidR="006E01C5" w:rsidRPr="00732139" w:rsidRDefault="006E01C5" w:rsidP="00531FF1">
            <w:pPr>
              <w:pStyle w:val="TableText"/>
              <w:rPr>
                <w:b/>
                <w:bCs w:val="0"/>
              </w:rPr>
            </w:pPr>
            <w:r w:rsidRPr="00732139">
              <w:t>Australian patients who were ever treated with eculizumab on the LSDP</w:t>
            </w:r>
          </w:p>
        </w:tc>
      </w:tr>
      <w:tr w:rsidR="006E01C5" w:rsidRPr="00732139" w:rsidTr="00531FF1">
        <w:tc>
          <w:tcPr>
            <w:tcW w:w="1129" w:type="dxa"/>
            <w:vMerge/>
            <w:vAlign w:val="center"/>
          </w:tcPr>
          <w:p w:rsidR="006E01C5" w:rsidRPr="00732139" w:rsidRDefault="006E01C5" w:rsidP="00531FF1">
            <w:pPr>
              <w:pStyle w:val="TableText"/>
              <w:rPr>
                <w:b/>
                <w:bCs w:val="0"/>
              </w:rPr>
            </w:pPr>
          </w:p>
        </w:tc>
        <w:tc>
          <w:tcPr>
            <w:tcW w:w="1652" w:type="dxa"/>
            <w:vMerge/>
            <w:vAlign w:val="center"/>
          </w:tcPr>
          <w:p w:rsidR="006E01C5" w:rsidRPr="00732139" w:rsidRDefault="006E01C5" w:rsidP="00531FF1">
            <w:pPr>
              <w:pStyle w:val="TableText"/>
              <w:rPr>
                <w:b/>
                <w:bCs w:val="0"/>
              </w:rPr>
            </w:pPr>
          </w:p>
        </w:tc>
        <w:tc>
          <w:tcPr>
            <w:tcW w:w="1325" w:type="dxa"/>
            <w:vAlign w:val="center"/>
          </w:tcPr>
          <w:p w:rsidR="006E01C5" w:rsidRPr="00732139" w:rsidRDefault="006E01C5" w:rsidP="00531FF1">
            <w:pPr>
              <w:pStyle w:val="TableText"/>
              <w:rPr>
                <w:b/>
                <w:bCs w:val="0"/>
              </w:rPr>
            </w:pPr>
            <w:r w:rsidRPr="00732139">
              <w:t>International, never-treated</w:t>
            </w:r>
          </w:p>
        </w:tc>
        <w:tc>
          <w:tcPr>
            <w:tcW w:w="817" w:type="dxa"/>
            <w:vAlign w:val="center"/>
          </w:tcPr>
          <w:p w:rsidR="006E01C5" w:rsidRPr="00732139" w:rsidRDefault="006E01C5" w:rsidP="00531FF1">
            <w:pPr>
              <w:pStyle w:val="TableText"/>
              <w:rPr>
                <w:b/>
                <w:bCs w:val="0"/>
              </w:rPr>
            </w:pPr>
            <w:r w:rsidRPr="00732139">
              <w:t xml:space="preserve">227 </w:t>
            </w:r>
            <w:r w:rsidRPr="00732139">
              <w:rPr>
                <w:vertAlign w:val="superscript"/>
              </w:rPr>
              <w:t>b</w:t>
            </w:r>
          </w:p>
        </w:tc>
        <w:tc>
          <w:tcPr>
            <w:tcW w:w="4094" w:type="dxa"/>
            <w:vAlign w:val="center"/>
          </w:tcPr>
          <w:p w:rsidR="006E01C5" w:rsidRPr="00732139" w:rsidRDefault="006E01C5" w:rsidP="00531FF1">
            <w:pPr>
              <w:pStyle w:val="TableText"/>
              <w:rPr>
                <w:b/>
                <w:bCs w:val="0"/>
              </w:rPr>
            </w:pPr>
            <w:r w:rsidRPr="00732139">
              <w:t>All patients who were never treated with eculizumab</w:t>
            </w:r>
          </w:p>
        </w:tc>
      </w:tr>
      <w:tr w:rsidR="006E01C5" w:rsidRPr="00732139" w:rsidTr="00531FF1">
        <w:trPr>
          <w:trHeight w:val="321"/>
        </w:trPr>
        <w:tc>
          <w:tcPr>
            <w:tcW w:w="1129" w:type="dxa"/>
            <w:vMerge w:val="restart"/>
            <w:shd w:val="clear" w:color="auto" w:fill="FFC000"/>
            <w:vAlign w:val="center"/>
          </w:tcPr>
          <w:p w:rsidR="006E01C5" w:rsidRPr="00732139" w:rsidRDefault="006E01C5" w:rsidP="00531FF1">
            <w:pPr>
              <w:pStyle w:val="TableText"/>
            </w:pPr>
            <w:r w:rsidRPr="00732139">
              <w:t>Adjusted – with LDH</w:t>
            </w:r>
          </w:p>
        </w:tc>
        <w:tc>
          <w:tcPr>
            <w:tcW w:w="1652" w:type="dxa"/>
            <w:vMerge w:val="restart"/>
            <w:shd w:val="clear" w:color="auto" w:fill="FFC000"/>
            <w:vAlign w:val="center"/>
          </w:tcPr>
          <w:p w:rsidR="006E01C5" w:rsidRPr="00732139" w:rsidRDefault="006E01C5" w:rsidP="00531FF1">
            <w:pPr>
              <w:pStyle w:val="TableText"/>
            </w:pPr>
            <w:r w:rsidRPr="00732139">
              <w:t xml:space="preserve">- treatment group </w:t>
            </w:r>
          </w:p>
          <w:p w:rsidR="006E01C5" w:rsidRPr="00732139" w:rsidRDefault="006E01C5" w:rsidP="00531FF1">
            <w:pPr>
              <w:pStyle w:val="TableText"/>
            </w:pPr>
            <w:r w:rsidRPr="00732139">
              <w:t xml:space="preserve">- age </w:t>
            </w:r>
          </w:p>
          <w:p w:rsidR="006E01C5" w:rsidRPr="00732139" w:rsidRDefault="006E01C5" w:rsidP="00531FF1">
            <w:pPr>
              <w:pStyle w:val="TableText"/>
            </w:pPr>
            <w:r w:rsidRPr="00732139">
              <w:t>- gender</w:t>
            </w:r>
          </w:p>
          <w:p w:rsidR="006E01C5" w:rsidRPr="00732139" w:rsidRDefault="006E01C5" w:rsidP="00531FF1">
            <w:pPr>
              <w:pStyle w:val="TableText"/>
            </w:pPr>
            <w:r w:rsidRPr="00732139">
              <w:t xml:space="preserve">- history of BMD </w:t>
            </w:r>
          </w:p>
          <w:p w:rsidR="006E01C5" w:rsidRPr="00732139" w:rsidRDefault="006E01C5" w:rsidP="00531FF1">
            <w:pPr>
              <w:pStyle w:val="TableText"/>
            </w:pPr>
            <w:r w:rsidRPr="00732139">
              <w:t xml:space="preserve">- history of TE </w:t>
            </w:r>
          </w:p>
          <w:p w:rsidR="006E01C5" w:rsidRPr="00732139" w:rsidRDefault="006E01C5" w:rsidP="00531FF1">
            <w:pPr>
              <w:pStyle w:val="TableText"/>
            </w:pPr>
            <w:r w:rsidRPr="00732139">
              <w:t>- LDH ratio ≥ 1.5 x ULN</w:t>
            </w:r>
          </w:p>
        </w:tc>
        <w:tc>
          <w:tcPr>
            <w:tcW w:w="1325" w:type="dxa"/>
            <w:shd w:val="clear" w:color="auto" w:fill="FFC000"/>
            <w:vAlign w:val="center"/>
          </w:tcPr>
          <w:p w:rsidR="006E01C5" w:rsidRPr="00732139" w:rsidRDefault="006E01C5" w:rsidP="00531FF1">
            <w:pPr>
              <w:pStyle w:val="TableText"/>
            </w:pPr>
            <w:r w:rsidRPr="00732139">
              <w:t>International, ever-treated</w:t>
            </w:r>
          </w:p>
        </w:tc>
        <w:tc>
          <w:tcPr>
            <w:tcW w:w="817" w:type="dxa"/>
            <w:shd w:val="clear" w:color="auto" w:fill="FFC000"/>
            <w:vAlign w:val="center"/>
          </w:tcPr>
          <w:p w:rsidR="006E01C5" w:rsidRPr="00732139" w:rsidRDefault="006E01C5" w:rsidP="00531FF1">
            <w:pPr>
              <w:pStyle w:val="TableText"/>
            </w:pPr>
            <w:r w:rsidRPr="00732139">
              <w:t>1,295</w:t>
            </w:r>
          </w:p>
        </w:tc>
        <w:tc>
          <w:tcPr>
            <w:tcW w:w="4094" w:type="dxa"/>
            <w:shd w:val="clear" w:color="auto" w:fill="FFC000"/>
            <w:vAlign w:val="center"/>
          </w:tcPr>
          <w:p w:rsidR="006E01C5" w:rsidRPr="00732139" w:rsidRDefault="006E01C5" w:rsidP="00531FF1">
            <w:pPr>
              <w:pStyle w:val="TableText"/>
            </w:pPr>
            <w:r w:rsidRPr="00732139">
              <w:t>All patients who were ever treated with eculizumab, selected variables reported</w:t>
            </w:r>
          </w:p>
        </w:tc>
      </w:tr>
      <w:tr w:rsidR="006E01C5" w:rsidRPr="00732139" w:rsidTr="00531FF1">
        <w:trPr>
          <w:trHeight w:val="203"/>
        </w:trPr>
        <w:tc>
          <w:tcPr>
            <w:tcW w:w="1129" w:type="dxa"/>
            <w:vMerge/>
            <w:shd w:val="clear" w:color="auto" w:fill="FFC000"/>
            <w:vAlign w:val="center"/>
          </w:tcPr>
          <w:p w:rsidR="006E01C5" w:rsidRPr="00732139" w:rsidRDefault="006E01C5" w:rsidP="00531FF1">
            <w:pPr>
              <w:pStyle w:val="TableText"/>
            </w:pPr>
          </w:p>
        </w:tc>
        <w:tc>
          <w:tcPr>
            <w:tcW w:w="1652" w:type="dxa"/>
            <w:vMerge/>
            <w:shd w:val="clear" w:color="auto" w:fill="FFC000"/>
            <w:vAlign w:val="center"/>
          </w:tcPr>
          <w:p w:rsidR="006E01C5" w:rsidRPr="00732139" w:rsidRDefault="006E01C5" w:rsidP="00531FF1">
            <w:pPr>
              <w:pStyle w:val="TableText"/>
            </w:pPr>
          </w:p>
        </w:tc>
        <w:tc>
          <w:tcPr>
            <w:tcW w:w="1325" w:type="dxa"/>
            <w:shd w:val="clear" w:color="auto" w:fill="FFC000"/>
            <w:vAlign w:val="center"/>
          </w:tcPr>
          <w:p w:rsidR="006E01C5" w:rsidRPr="00732139" w:rsidRDefault="006E01C5" w:rsidP="00531FF1">
            <w:pPr>
              <w:pStyle w:val="TableText"/>
            </w:pPr>
            <w:r w:rsidRPr="00732139">
              <w:t>Australian, ever-treated</w:t>
            </w:r>
          </w:p>
        </w:tc>
        <w:tc>
          <w:tcPr>
            <w:tcW w:w="817" w:type="dxa"/>
            <w:shd w:val="clear" w:color="auto" w:fill="FFC000"/>
            <w:vAlign w:val="center"/>
          </w:tcPr>
          <w:p w:rsidR="006E01C5" w:rsidRPr="00732139" w:rsidRDefault="006E01C5" w:rsidP="00531FF1">
            <w:pPr>
              <w:pStyle w:val="TableText"/>
            </w:pPr>
            <w:r w:rsidRPr="00732139">
              <w:t>51</w:t>
            </w:r>
          </w:p>
        </w:tc>
        <w:tc>
          <w:tcPr>
            <w:tcW w:w="4094" w:type="dxa"/>
            <w:shd w:val="clear" w:color="auto" w:fill="FFC000"/>
            <w:vAlign w:val="center"/>
          </w:tcPr>
          <w:p w:rsidR="006E01C5" w:rsidRPr="00732139" w:rsidRDefault="006E01C5" w:rsidP="00531FF1">
            <w:pPr>
              <w:pStyle w:val="TableText"/>
            </w:pPr>
            <w:r w:rsidRPr="00732139">
              <w:t>Australian patients who were ever treated with eculizumab on the LSDP, selected variables reported</w:t>
            </w:r>
          </w:p>
        </w:tc>
      </w:tr>
      <w:tr w:rsidR="006E01C5" w:rsidRPr="00732139" w:rsidTr="00531FF1">
        <w:trPr>
          <w:trHeight w:val="214"/>
        </w:trPr>
        <w:tc>
          <w:tcPr>
            <w:tcW w:w="1129" w:type="dxa"/>
            <w:vMerge/>
            <w:shd w:val="clear" w:color="auto" w:fill="FFC000"/>
            <w:vAlign w:val="center"/>
          </w:tcPr>
          <w:p w:rsidR="006E01C5" w:rsidRPr="00732139" w:rsidRDefault="006E01C5" w:rsidP="00531FF1">
            <w:pPr>
              <w:pStyle w:val="TableText"/>
            </w:pPr>
          </w:p>
        </w:tc>
        <w:tc>
          <w:tcPr>
            <w:tcW w:w="1652" w:type="dxa"/>
            <w:vMerge/>
            <w:shd w:val="clear" w:color="auto" w:fill="FFC000"/>
            <w:vAlign w:val="center"/>
          </w:tcPr>
          <w:p w:rsidR="006E01C5" w:rsidRPr="00732139" w:rsidRDefault="006E01C5" w:rsidP="00531FF1">
            <w:pPr>
              <w:pStyle w:val="TableText"/>
            </w:pPr>
          </w:p>
        </w:tc>
        <w:tc>
          <w:tcPr>
            <w:tcW w:w="1325" w:type="dxa"/>
            <w:shd w:val="clear" w:color="auto" w:fill="FFC000"/>
            <w:vAlign w:val="center"/>
          </w:tcPr>
          <w:p w:rsidR="006E01C5" w:rsidRPr="00732139" w:rsidRDefault="006E01C5" w:rsidP="00531FF1">
            <w:pPr>
              <w:pStyle w:val="TableText"/>
            </w:pPr>
            <w:r w:rsidRPr="00732139">
              <w:t>International, never-treated</w:t>
            </w:r>
          </w:p>
        </w:tc>
        <w:tc>
          <w:tcPr>
            <w:tcW w:w="817" w:type="dxa"/>
            <w:shd w:val="clear" w:color="auto" w:fill="FFC000"/>
            <w:vAlign w:val="center"/>
          </w:tcPr>
          <w:p w:rsidR="006E01C5" w:rsidRPr="00732139" w:rsidRDefault="006E01C5" w:rsidP="00531FF1">
            <w:pPr>
              <w:pStyle w:val="TableText"/>
            </w:pPr>
            <w:r w:rsidRPr="00732139">
              <w:t>200</w:t>
            </w:r>
          </w:p>
        </w:tc>
        <w:tc>
          <w:tcPr>
            <w:tcW w:w="4094" w:type="dxa"/>
            <w:shd w:val="clear" w:color="auto" w:fill="FFC000"/>
            <w:vAlign w:val="center"/>
          </w:tcPr>
          <w:p w:rsidR="006E01C5" w:rsidRPr="00732139" w:rsidRDefault="006E01C5" w:rsidP="00531FF1">
            <w:pPr>
              <w:pStyle w:val="TableText"/>
            </w:pPr>
            <w:r w:rsidRPr="00732139">
              <w:t>All patients who were never treated with eculizumab, selected variables reported</w:t>
            </w:r>
          </w:p>
        </w:tc>
      </w:tr>
      <w:tr w:rsidR="006E01C5" w:rsidRPr="00732139" w:rsidTr="00531FF1">
        <w:tc>
          <w:tcPr>
            <w:tcW w:w="1129" w:type="dxa"/>
            <w:vMerge w:val="restart"/>
            <w:vAlign w:val="center"/>
          </w:tcPr>
          <w:p w:rsidR="006E01C5" w:rsidRPr="00732139" w:rsidRDefault="006E01C5" w:rsidP="00531FF1">
            <w:pPr>
              <w:pStyle w:val="TableText"/>
            </w:pPr>
            <w:r w:rsidRPr="00732139">
              <w:t xml:space="preserve">Adjusted - without LDH </w:t>
            </w:r>
          </w:p>
        </w:tc>
        <w:tc>
          <w:tcPr>
            <w:tcW w:w="1652" w:type="dxa"/>
            <w:vMerge w:val="restart"/>
            <w:vAlign w:val="center"/>
          </w:tcPr>
          <w:p w:rsidR="006E01C5" w:rsidRPr="00732139" w:rsidRDefault="006E01C5" w:rsidP="00531FF1">
            <w:pPr>
              <w:pStyle w:val="TableText"/>
            </w:pPr>
            <w:r w:rsidRPr="00732139">
              <w:t>- treatment group</w:t>
            </w:r>
          </w:p>
          <w:p w:rsidR="006E01C5" w:rsidRPr="00732139" w:rsidRDefault="006E01C5" w:rsidP="00531FF1">
            <w:pPr>
              <w:pStyle w:val="TableText"/>
            </w:pPr>
            <w:r w:rsidRPr="00732139">
              <w:t xml:space="preserve">- age </w:t>
            </w:r>
          </w:p>
          <w:p w:rsidR="006E01C5" w:rsidRPr="00732139" w:rsidRDefault="006E01C5" w:rsidP="00531FF1">
            <w:pPr>
              <w:pStyle w:val="TableText"/>
            </w:pPr>
            <w:r w:rsidRPr="00732139">
              <w:t>- gender</w:t>
            </w:r>
          </w:p>
          <w:p w:rsidR="006E01C5" w:rsidRPr="00732139" w:rsidRDefault="006E01C5" w:rsidP="00531FF1">
            <w:pPr>
              <w:pStyle w:val="TableText"/>
            </w:pPr>
            <w:r w:rsidRPr="00732139">
              <w:t xml:space="preserve">- history of BMD </w:t>
            </w:r>
          </w:p>
          <w:p w:rsidR="006E01C5" w:rsidRPr="00732139" w:rsidRDefault="006E01C5" w:rsidP="00531FF1">
            <w:pPr>
              <w:pStyle w:val="TableText"/>
            </w:pPr>
            <w:r w:rsidRPr="00732139">
              <w:t xml:space="preserve">- history of TE </w:t>
            </w:r>
          </w:p>
        </w:tc>
        <w:tc>
          <w:tcPr>
            <w:tcW w:w="1325" w:type="dxa"/>
            <w:vAlign w:val="center"/>
          </w:tcPr>
          <w:p w:rsidR="006E01C5" w:rsidRPr="00732139" w:rsidRDefault="006E01C5" w:rsidP="00531FF1">
            <w:pPr>
              <w:pStyle w:val="TableText"/>
            </w:pPr>
            <w:r w:rsidRPr="00732139">
              <w:t>International, ever-treated</w:t>
            </w:r>
          </w:p>
        </w:tc>
        <w:tc>
          <w:tcPr>
            <w:tcW w:w="817" w:type="dxa"/>
            <w:vAlign w:val="center"/>
          </w:tcPr>
          <w:p w:rsidR="006E01C5" w:rsidRPr="00732139" w:rsidRDefault="006E01C5" w:rsidP="00531FF1">
            <w:pPr>
              <w:pStyle w:val="TableText"/>
            </w:pPr>
            <w:r w:rsidRPr="00732139">
              <w:t>1,912</w:t>
            </w:r>
          </w:p>
        </w:tc>
        <w:tc>
          <w:tcPr>
            <w:tcW w:w="4094" w:type="dxa"/>
            <w:vAlign w:val="center"/>
          </w:tcPr>
          <w:p w:rsidR="006E01C5" w:rsidRPr="00732139" w:rsidRDefault="006E01C5" w:rsidP="00531FF1">
            <w:pPr>
              <w:pStyle w:val="TableText"/>
            </w:pPr>
            <w:r w:rsidRPr="00732139">
              <w:t>All patients who were ever treated with eculizumab, selected variables reported (except LDH ratio)</w:t>
            </w:r>
          </w:p>
        </w:tc>
      </w:tr>
      <w:tr w:rsidR="006E01C5" w:rsidRPr="00732139" w:rsidTr="00531FF1">
        <w:tc>
          <w:tcPr>
            <w:tcW w:w="1129" w:type="dxa"/>
            <w:vMerge/>
            <w:vAlign w:val="center"/>
          </w:tcPr>
          <w:p w:rsidR="006E01C5" w:rsidRPr="00732139" w:rsidRDefault="006E01C5" w:rsidP="00531FF1">
            <w:pPr>
              <w:pStyle w:val="TableText"/>
            </w:pPr>
          </w:p>
        </w:tc>
        <w:tc>
          <w:tcPr>
            <w:tcW w:w="1652" w:type="dxa"/>
            <w:vMerge/>
            <w:vAlign w:val="center"/>
          </w:tcPr>
          <w:p w:rsidR="006E01C5" w:rsidRPr="00732139" w:rsidRDefault="006E01C5" w:rsidP="00531FF1">
            <w:pPr>
              <w:pStyle w:val="TableText"/>
            </w:pPr>
          </w:p>
        </w:tc>
        <w:tc>
          <w:tcPr>
            <w:tcW w:w="1325" w:type="dxa"/>
            <w:vAlign w:val="center"/>
          </w:tcPr>
          <w:p w:rsidR="006E01C5" w:rsidRPr="00732139" w:rsidRDefault="006E01C5" w:rsidP="00531FF1">
            <w:pPr>
              <w:pStyle w:val="TableText"/>
            </w:pPr>
            <w:r w:rsidRPr="00732139">
              <w:t>Australian, ever-treated</w:t>
            </w:r>
          </w:p>
        </w:tc>
        <w:tc>
          <w:tcPr>
            <w:tcW w:w="817" w:type="dxa"/>
            <w:vAlign w:val="center"/>
          </w:tcPr>
          <w:p w:rsidR="006E01C5" w:rsidRPr="00732139" w:rsidRDefault="006E01C5" w:rsidP="00531FF1">
            <w:pPr>
              <w:pStyle w:val="TableText"/>
            </w:pPr>
            <w:r w:rsidRPr="00732139">
              <w:t>72</w:t>
            </w:r>
          </w:p>
        </w:tc>
        <w:tc>
          <w:tcPr>
            <w:tcW w:w="4094" w:type="dxa"/>
            <w:vAlign w:val="center"/>
          </w:tcPr>
          <w:p w:rsidR="006E01C5" w:rsidRPr="00732139" w:rsidRDefault="006E01C5" w:rsidP="00531FF1">
            <w:pPr>
              <w:pStyle w:val="TableText"/>
            </w:pPr>
            <w:r w:rsidRPr="00732139">
              <w:t>Australian patients who were ever treated with eculizumab on the LSDP, selected variables reported (except LDH ratio)</w:t>
            </w:r>
          </w:p>
        </w:tc>
      </w:tr>
      <w:tr w:rsidR="006E01C5" w:rsidRPr="00732139" w:rsidTr="00531FF1">
        <w:tc>
          <w:tcPr>
            <w:tcW w:w="1129" w:type="dxa"/>
            <w:vMerge/>
            <w:vAlign w:val="center"/>
          </w:tcPr>
          <w:p w:rsidR="006E01C5" w:rsidRPr="00732139" w:rsidRDefault="006E01C5" w:rsidP="00531FF1">
            <w:pPr>
              <w:pStyle w:val="TableText"/>
            </w:pPr>
          </w:p>
        </w:tc>
        <w:tc>
          <w:tcPr>
            <w:tcW w:w="1652" w:type="dxa"/>
            <w:vMerge/>
            <w:vAlign w:val="center"/>
          </w:tcPr>
          <w:p w:rsidR="006E01C5" w:rsidRPr="00732139" w:rsidRDefault="006E01C5" w:rsidP="00531FF1">
            <w:pPr>
              <w:pStyle w:val="TableText"/>
            </w:pPr>
          </w:p>
        </w:tc>
        <w:tc>
          <w:tcPr>
            <w:tcW w:w="1325" w:type="dxa"/>
            <w:vAlign w:val="center"/>
          </w:tcPr>
          <w:p w:rsidR="006E01C5" w:rsidRPr="00732139" w:rsidRDefault="006E01C5" w:rsidP="00531FF1">
            <w:pPr>
              <w:pStyle w:val="TableText"/>
            </w:pPr>
            <w:r w:rsidRPr="00732139">
              <w:t>International, never-treated</w:t>
            </w:r>
          </w:p>
        </w:tc>
        <w:tc>
          <w:tcPr>
            <w:tcW w:w="817" w:type="dxa"/>
            <w:vAlign w:val="center"/>
          </w:tcPr>
          <w:p w:rsidR="006E01C5" w:rsidRPr="00732139" w:rsidRDefault="006E01C5" w:rsidP="00531FF1">
            <w:pPr>
              <w:pStyle w:val="TableText"/>
            </w:pPr>
            <w:r w:rsidRPr="00732139">
              <w:t>200</w:t>
            </w:r>
          </w:p>
        </w:tc>
        <w:tc>
          <w:tcPr>
            <w:tcW w:w="4094" w:type="dxa"/>
            <w:vAlign w:val="center"/>
          </w:tcPr>
          <w:p w:rsidR="006E01C5" w:rsidRPr="00732139" w:rsidRDefault="006E01C5" w:rsidP="00531FF1">
            <w:pPr>
              <w:pStyle w:val="TableText"/>
            </w:pPr>
            <w:r w:rsidRPr="00732139">
              <w:t>All patients who were never treated with eculizumab, selected variables reported (except LDH ratio)</w:t>
            </w:r>
          </w:p>
        </w:tc>
      </w:tr>
    </w:tbl>
    <w:p w:rsidR="006E01C5" w:rsidRPr="00732139" w:rsidRDefault="006E01C5" w:rsidP="006E01C5">
      <w:pPr>
        <w:pStyle w:val="TableFigureFooter"/>
      </w:pPr>
      <w:r w:rsidRPr="00732139">
        <w:t>Source: Table 2.105, p208 of the resubmission</w:t>
      </w:r>
    </w:p>
    <w:p w:rsidR="006E01C5" w:rsidRPr="00732139" w:rsidRDefault="006E01C5" w:rsidP="006E01C5">
      <w:pPr>
        <w:pStyle w:val="TableFigureFooter"/>
      </w:pPr>
      <w:r w:rsidRPr="00732139">
        <w:t>Abbreviations: BMD, bone marrow disorder; LDH, lactate dehydrogenase; TE, thromboembolism</w:t>
      </w:r>
    </w:p>
    <w:p w:rsidR="006E01C5" w:rsidRPr="00732139" w:rsidRDefault="006E01C5" w:rsidP="006E01C5">
      <w:pPr>
        <w:pStyle w:val="TableFigureFooter"/>
      </w:pPr>
      <w:r w:rsidRPr="00732139">
        <w:rPr>
          <w:vertAlign w:val="superscript"/>
        </w:rPr>
        <w:t>a</w:t>
      </w:r>
      <w:r w:rsidRPr="00732139">
        <w:t xml:space="preserve"> Baseline values used in regression models</w:t>
      </w:r>
    </w:p>
    <w:p w:rsidR="006E01C5" w:rsidRPr="00732139" w:rsidRDefault="006E01C5" w:rsidP="006E01C5">
      <w:pPr>
        <w:pStyle w:val="TableFigureFooter"/>
      </w:pPr>
      <w:r w:rsidRPr="00732139">
        <w:rPr>
          <w:vertAlign w:val="superscript"/>
        </w:rPr>
        <w:t>b</w:t>
      </w:r>
      <w:r w:rsidRPr="00732139">
        <w:t xml:space="preserve"> 1 patient in each cohort had missing time/duration variables</w:t>
      </w:r>
    </w:p>
    <w:p w:rsidR="006E01C5" w:rsidRPr="00732139" w:rsidRDefault="006E01C5" w:rsidP="006E01C5">
      <w:pPr>
        <w:pStyle w:val="TableFigureFooter"/>
        <w:rPr>
          <w:iCs/>
        </w:rPr>
      </w:pPr>
      <w:r w:rsidRPr="00732139">
        <w:rPr>
          <w:iCs/>
        </w:rPr>
        <w:t>The population used in the base case of the economic model is highlighted in orange</w:t>
      </w:r>
    </w:p>
    <w:p w:rsidR="006E01C5" w:rsidRPr="00732139" w:rsidRDefault="006E01C5" w:rsidP="006E01C5">
      <w:pPr>
        <w:pStyle w:val="ExecSumBodyText"/>
      </w:pPr>
      <w:r w:rsidRPr="00732139">
        <w:rPr>
          <w:iCs/>
        </w:rPr>
        <w:t>The data used in the resubmission appear</w:t>
      </w:r>
      <w:r w:rsidR="00D01717" w:rsidRPr="00732139">
        <w:rPr>
          <w:iCs/>
        </w:rPr>
        <w:t>ed</w:t>
      </w:r>
      <w:r w:rsidRPr="00732139">
        <w:rPr>
          <w:iCs/>
        </w:rPr>
        <w:t xml:space="preserve"> to be based on a subgroup of all patients enrolled in the registry (N=4,948 as of July 2017; Schrezenmeier 2020a), however, this could not be validated during the evaluation due to poor documentation. </w:t>
      </w:r>
    </w:p>
    <w:p w:rsidR="006E01C5" w:rsidRPr="00732139" w:rsidRDefault="006E01C5" w:rsidP="006E01C5">
      <w:pPr>
        <w:pStyle w:val="ExecSumBodyText"/>
        <w:rPr>
          <w:iCs/>
        </w:rPr>
      </w:pPr>
      <w:r w:rsidRPr="00732139">
        <w:rPr>
          <w:iCs/>
        </w:rPr>
        <w:t>There was limited detail on methods of data collection that is typically reported for retrospective analysis of observational data. Apart from a 5 October 2020 data cut-off date, no detail was provided on patient eligibility, look-back period, inclusion/exclusion criteria, median duration of follow-up, and handling of missing data.</w:t>
      </w:r>
      <w:r w:rsidR="009E1636" w:rsidRPr="00732139">
        <w:rPr>
          <w:iCs/>
        </w:rPr>
        <w:t xml:space="preserve"> The ESC noted that paragraph 6.2</w:t>
      </w:r>
      <w:r w:rsidR="00EE50D6" w:rsidRPr="00732139">
        <w:rPr>
          <w:iCs/>
        </w:rPr>
        <w:t>8</w:t>
      </w:r>
      <w:r w:rsidR="009E1636" w:rsidRPr="00732139">
        <w:rPr>
          <w:iCs/>
        </w:rPr>
        <w:t xml:space="preserve"> provided a small amount of information on patient eligibility criteria. </w:t>
      </w:r>
    </w:p>
    <w:p w:rsidR="006E01C5" w:rsidRPr="00732139" w:rsidRDefault="006E01C5" w:rsidP="006E01C5">
      <w:pPr>
        <w:pStyle w:val="ExecSumBodyText"/>
      </w:pPr>
      <w:r w:rsidRPr="00732139">
        <w:rPr>
          <w:iCs/>
        </w:rPr>
        <w:lastRenderedPageBreak/>
        <w:t>No justification was provided for the limited selection of variables in the regression models. Published studies have used a range of other baseline (e.g. transfusion dependence, age at diagnosis, PNH classification) and time-varying factors (e.g. eculizumab use, bone marrow transplant, anticoagulants, blood transfusions, thrombotic events) in adjusted survival models (Loschi 2016, Socie 2016, Kang 2020).</w:t>
      </w:r>
    </w:p>
    <w:p w:rsidR="006E01C5" w:rsidRPr="00732139" w:rsidRDefault="006E01C5" w:rsidP="006E01C5">
      <w:pPr>
        <w:pStyle w:val="ExecSumBodyText"/>
        <w:rPr>
          <w:iCs/>
        </w:rPr>
      </w:pPr>
      <w:r w:rsidRPr="00732139">
        <w:t xml:space="preserve">The resubmission defined baseline as the date of eculizumab initiation for the treated cohorts and the date of registry enrolment for the never-treated cohort. </w:t>
      </w:r>
      <w:r w:rsidR="008F48A3" w:rsidRPr="00732139">
        <w:t xml:space="preserve">The ESC agreed with the evaluation that </w:t>
      </w:r>
      <w:r w:rsidR="008F48A3" w:rsidRPr="00732139">
        <w:rPr>
          <w:iCs/>
        </w:rPr>
        <w:t>t</w:t>
      </w:r>
      <w:r w:rsidRPr="00732139">
        <w:rPr>
          <w:iCs/>
        </w:rPr>
        <w:t>his approach introduces the risk of immortal time bias, in favour of the ever-treated cohorts, as patients had to survive a risk-free period prior to initiation of eculizumab treatment.</w:t>
      </w:r>
    </w:p>
    <w:p w:rsidR="006E01C5" w:rsidRPr="00732139" w:rsidRDefault="006E01C5" w:rsidP="006E01C5">
      <w:pPr>
        <w:pStyle w:val="ExecSumBodyText"/>
        <w:rPr>
          <w:iCs/>
        </w:rPr>
      </w:pPr>
      <w:r w:rsidRPr="00732139">
        <w:t>The resubmission noted that 30-54% of patients in the ever-treated cohorts had missing LDH data at baseline, therefore two regression models were fitted (with and without LDH).</w:t>
      </w:r>
      <w:r w:rsidRPr="00732139">
        <w:rPr>
          <w:iCs/>
        </w:rPr>
        <w:t xml:space="preserve"> The loss of data with the inclusion of the LDH variable was significant. It was unclear whether the patient populations in the adjusted models were similar to the unadjusted population as the characteristics were not presented in the resubmission.</w:t>
      </w:r>
      <w:r w:rsidR="003A731D" w:rsidRPr="00732139">
        <w:rPr>
          <w:iCs/>
        </w:rPr>
        <w:t xml:space="preserve"> </w:t>
      </w:r>
      <w:r w:rsidR="00431F8A" w:rsidRPr="00732139">
        <w:rPr>
          <w:iCs/>
        </w:rPr>
        <w:t>The ESC considered the measurement of serum LDH levels represented routine medical practice in relation to the diagnosis of PNH and assessment of chronic haemolysis</w:t>
      </w:r>
      <w:r w:rsidR="009E1636" w:rsidRPr="00732139">
        <w:rPr>
          <w:iCs/>
        </w:rPr>
        <w:t xml:space="preserve"> and was concerned that such data were not available for all patients in the PNH registry</w:t>
      </w:r>
      <w:r w:rsidR="005C1ADB" w:rsidRPr="00732139">
        <w:rPr>
          <w:iCs/>
        </w:rPr>
        <w:t>.</w:t>
      </w:r>
    </w:p>
    <w:p w:rsidR="006E01C5" w:rsidRPr="00732139" w:rsidRDefault="006E01C5" w:rsidP="006E01C5">
      <w:pPr>
        <w:pStyle w:val="ExecSumBodyText"/>
      </w:pPr>
      <w:r w:rsidRPr="00732139">
        <w:t xml:space="preserve">Based on the unadjusted dataset (N=2,218), the resubmission acknowledged that there were differences in characteristics between the ever-treated and never-treated cohorts that may affect survival outcomes. </w:t>
      </w:r>
      <w:r w:rsidRPr="00732139">
        <w:rPr>
          <w:iCs/>
        </w:rPr>
        <w:t>Differences included age at diagnosis, history of bone marrow disorder and history of major adverse vascular events or thrombosis. There were also differences in the geographic region and race distribution between the international ever-treated and never-treated cohorts that may indicate differences in treatment accessibility associated with different healthcare systems.</w:t>
      </w:r>
    </w:p>
    <w:p w:rsidR="006E01C5" w:rsidRPr="00732139" w:rsidRDefault="006E01C5" w:rsidP="006E01C5">
      <w:pPr>
        <w:pStyle w:val="ExecSumBodyText"/>
        <w:rPr>
          <w:iCs/>
        </w:rPr>
      </w:pPr>
      <w:r w:rsidRPr="00732139">
        <w:rPr>
          <w:iCs/>
        </w:rPr>
        <w:t>No treatment details of eculizumab (dose, duration of therapy) or supportive therapies (e.g. steroids, immunosuppressants, anticoagulants, blood transfusions) were provided in the resubmission.</w:t>
      </w:r>
    </w:p>
    <w:p w:rsidR="00467CF7" w:rsidRPr="00732139" w:rsidRDefault="00D338A5" w:rsidP="00EC5836">
      <w:pPr>
        <w:pStyle w:val="ExecSumBodyText"/>
        <w:rPr>
          <w:i/>
          <w:iCs/>
        </w:rPr>
      </w:pPr>
      <w:r w:rsidRPr="00732139">
        <w:t>The results of th</w:t>
      </w:r>
      <w:r w:rsidR="006E01C5" w:rsidRPr="00732139">
        <w:t xml:space="preserve">e PNH registry </w:t>
      </w:r>
      <w:r w:rsidRPr="00732139">
        <w:t xml:space="preserve">analysis </w:t>
      </w:r>
      <w:r w:rsidR="00CA3BEA" w:rsidRPr="00732139">
        <w:t xml:space="preserve">are </w:t>
      </w:r>
      <w:r w:rsidRPr="00732139">
        <w:t xml:space="preserve">presented in the table </w:t>
      </w:r>
      <w:r w:rsidR="00F44CB0" w:rsidRPr="00732139">
        <w:t xml:space="preserve">and figure </w:t>
      </w:r>
      <w:r w:rsidRPr="00732139">
        <w:t>below.</w:t>
      </w:r>
    </w:p>
    <w:p w:rsidR="00D338A5" w:rsidRPr="00732139" w:rsidRDefault="00D338A5" w:rsidP="00114974">
      <w:pPr>
        <w:pStyle w:val="Tableheadingrow"/>
        <w:keepLines/>
        <w:rPr>
          <w:lang w:val="en-AU"/>
        </w:rPr>
      </w:pPr>
      <w:r w:rsidRPr="00732139">
        <w:rPr>
          <w:lang w:val="en-AU"/>
        </w:rPr>
        <w:lastRenderedPageBreak/>
        <w:t xml:space="preserve">Table </w:t>
      </w:r>
      <w:r w:rsidR="006F1EF0" w:rsidRPr="00732139">
        <w:rPr>
          <w:lang w:val="en-AU"/>
        </w:rPr>
        <w:t>8</w:t>
      </w:r>
      <w:r w:rsidRPr="00732139">
        <w:rPr>
          <w:lang w:val="en-AU"/>
        </w:rPr>
        <w:t>: Survival estimates for ever-treated and never-treated cohorts of the International PNH Registry</w:t>
      </w:r>
    </w:p>
    <w:tbl>
      <w:tblPr>
        <w:tblStyle w:val="TableGrid"/>
        <w:tblW w:w="0" w:type="auto"/>
        <w:tblLook w:val="04A0" w:firstRow="1" w:lastRow="0" w:firstColumn="1" w:lastColumn="0" w:noHBand="0" w:noVBand="1"/>
        <w:tblCaption w:val="Table 8: Survival estimates for ever-treated and never-treated cohorts of the International PNH Registry"/>
      </w:tblPr>
      <w:tblGrid>
        <w:gridCol w:w="1047"/>
        <w:gridCol w:w="1240"/>
        <w:gridCol w:w="339"/>
        <w:gridCol w:w="325"/>
        <w:gridCol w:w="858"/>
        <w:gridCol w:w="8"/>
        <w:gridCol w:w="726"/>
        <w:gridCol w:w="734"/>
        <w:gridCol w:w="736"/>
        <w:gridCol w:w="706"/>
        <w:gridCol w:w="707"/>
        <w:gridCol w:w="1591"/>
      </w:tblGrid>
      <w:tr w:rsidR="00D338A5" w:rsidRPr="00732139" w:rsidTr="005A0EA8">
        <w:trPr>
          <w:tblHeader/>
        </w:trPr>
        <w:tc>
          <w:tcPr>
            <w:tcW w:w="1047" w:type="dxa"/>
            <w:vAlign w:val="center"/>
          </w:tcPr>
          <w:p w:rsidR="00D338A5" w:rsidRPr="00732139" w:rsidRDefault="00D338A5" w:rsidP="00114974">
            <w:pPr>
              <w:pStyle w:val="TableText"/>
              <w:keepLines/>
              <w:widowControl w:val="0"/>
              <w:rPr>
                <w:b/>
                <w:bCs w:val="0"/>
              </w:rPr>
            </w:pPr>
            <w:r w:rsidRPr="00732139">
              <w:rPr>
                <w:b/>
                <w:bCs w:val="0"/>
              </w:rPr>
              <w:t>Model</w:t>
            </w:r>
          </w:p>
        </w:tc>
        <w:tc>
          <w:tcPr>
            <w:tcW w:w="1240" w:type="dxa"/>
            <w:vAlign w:val="center"/>
          </w:tcPr>
          <w:p w:rsidR="00D338A5" w:rsidRPr="00732139" w:rsidRDefault="00D338A5" w:rsidP="00114974">
            <w:pPr>
              <w:pStyle w:val="TableText"/>
              <w:keepLines/>
              <w:widowControl w:val="0"/>
              <w:rPr>
                <w:b/>
                <w:bCs w:val="0"/>
              </w:rPr>
            </w:pPr>
            <w:r w:rsidRPr="00732139">
              <w:rPr>
                <w:b/>
                <w:bCs w:val="0"/>
              </w:rPr>
              <w:t>Cohort</w:t>
            </w:r>
          </w:p>
        </w:tc>
        <w:tc>
          <w:tcPr>
            <w:tcW w:w="664" w:type="dxa"/>
            <w:gridSpan w:val="2"/>
            <w:vAlign w:val="center"/>
          </w:tcPr>
          <w:p w:rsidR="00D338A5" w:rsidRPr="00732139" w:rsidRDefault="00D338A5" w:rsidP="00114974">
            <w:pPr>
              <w:pStyle w:val="TableText"/>
              <w:keepLines/>
              <w:widowControl w:val="0"/>
              <w:jc w:val="center"/>
              <w:rPr>
                <w:b/>
                <w:bCs w:val="0"/>
              </w:rPr>
            </w:pPr>
            <w:r w:rsidRPr="00732139">
              <w:rPr>
                <w:b/>
                <w:bCs w:val="0"/>
              </w:rPr>
              <w:t>N</w:t>
            </w:r>
          </w:p>
        </w:tc>
        <w:tc>
          <w:tcPr>
            <w:tcW w:w="858" w:type="dxa"/>
            <w:vAlign w:val="center"/>
          </w:tcPr>
          <w:p w:rsidR="00D338A5" w:rsidRPr="00732139" w:rsidRDefault="00D338A5" w:rsidP="00114974">
            <w:pPr>
              <w:pStyle w:val="TableText"/>
              <w:keepLines/>
              <w:widowControl w:val="0"/>
              <w:jc w:val="center"/>
              <w:rPr>
                <w:b/>
                <w:bCs w:val="0"/>
              </w:rPr>
            </w:pPr>
            <w:r w:rsidRPr="00732139">
              <w:rPr>
                <w:b/>
                <w:bCs w:val="0"/>
              </w:rPr>
              <w:t>Patients at risk</w:t>
            </w:r>
          </w:p>
        </w:tc>
        <w:tc>
          <w:tcPr>
            <w:tcW w:w="734" w:type="dxa"/>
            <w:gridSpan w:val="2"/>
            <w:vAlign w:val="center"/>
          </w:tcPr>
          <w:p w:rsidR="00D338A5" w:rsidRPr="00732139" w:rsidRDefault="00D338A5" w:rsidP="00114974">
            <w:pPr>
              <w:pStyle w:val="TableText"/>
              <w:keepLines/>
              <w:widowControl w:val="0"/>
              <w:jc w:val="center"/>
              <w:rPr>
                <w:b/>
                <w:bCs w:val="0"/>
              </w:rPr>
            </w:pPr>
            <w:r w:rsidRPr="00732139">
              <w:rPr>
                <w:b/>
                <w:bCs w:val="0"/>
              </w:rPr>
              <w:t>1 yr</w:t>
            </w:r>
          </w:p>
        </w:tc>
        <w:tc>
          <w:tcPr>
            <w:tcW w:w="734" w:type="dxa"/>
            <w:vAlign w:val="center"/>
          </w:tcPr>
          <w:p w:rsidR="00D338A5" w:rsidRPr="00732139" w:rsidRDefault="00D338A5" w:rsidP="00114974">
            <w:pPr>
              <w:pStyle w:val="TableText"/>
              <w:keepLines/>
              <w:widowControl w:val="0"/>
              <w:jc w:val="center"/>
              <w:rPr>
                <w:b/>
                <w:bCs w:val="0"/>
              </w:rPr>
            </w:pPr>
            <w:r w:rsidRPr="00732139">
              <w:rPr>
                <w:b/>
                <w:bCs w:val="0"/>
              </w:rPr>
              <w:t>2 yr</w:t>
            </w:r>
          </w:p>
        </w:tc>
        <w:tc>
          <w:tcPr>
            <w:tcW w:w="736" w:type="dxa"/>
            <w:vAlign w:val="center"/>
          </w:tcPr>
          <w:p w:rsidR="00D338A5" w:rsidRPr="00732139" w:rsidRDefault="00D338A5" w:rsidP="00114974">
            <w:pPr>
              <w:pStyle w:val="TableText"/>
              <w:keepLines/>
              <w:widowControl w:val="0"/>
              <w:jc w:val="center"/>
              <w:rPr>
                <w:b/>
                <w:bCs w:val="0"/>
              </w:rPr>
            </w:pPr>
            <w:r w:rsidRPr="00732139">
              <w:rPr>
                <w:b/>
                <w:bCs w:val="0"/>
              </w:rPr>
              <w:t>3 yr</w:t>
            </w:r>
          </w:p>
        </w:tc>
        <w:tc>
          <w:tcPr>
            <w:tcW w:w="706" w:type="dxa"/>
            <w:vAlign w:val="center"/>
          </w:tcPr>
          <w:p w:rsidR="00D338A5" w:rsidRPr="00732139" w:rsidRDefault="00D338A5" w:rsidP="00114974">
            <w:pPr>
              <w:pStyle w:val="TableText"/>
              <w:keepLines/>
              <w:widowControl w:val="0"/>
              <w:jc w:val="center"/>
              <w:rPr>
                <w:b/>
                <w:bCs w:val="0"/>
              </w:rPr>
            </w:pPr>
            <w:r w:rsidRPr="00732139">
              <w:rPr>
                <w:b/>
                <w:bCs w:val="0"/>
              </w:rPr>
              <w:t>5 yr</w:t>
            </w:r>
          </w:p>
        </w:tc>
        <w:tc>
          <w:tcPr>
            <w:tcW w:w="707" w:type="dxa"/>
            <w:vAlign w:val="center"/>
          </w:tcPr>
          <w:p w:rsidR="00D338A5" w:rsidRPr="00732139" w:rsidRDefault="00D338A5" w:rsidP="00114974">
            <w:pPr>
              <w:pStyle w:val="TableText"/>
              <w:keepLines/>
              <w:widowControl w:val="0"/>
              <w:jc w:val="center"/>
              <w:rPr>
                <w:b/>
                <w:bCs w:val="0"/>
              </w:rPr>
            </w:pPr>
            <w:r w:rsidRPr="00732139">
              <w:rPr>
                <w:b/>
                <w:bCs w:val="0"/>
              </w:rPr>
              <w:t>8 yr</w:t>
            </w:r>
          </w:p>
        </w:tc>
        <w:tc>
          <w:tcPr>
            <w:tcW w:w="1591" w:type="dxa"/>
            <w:vAlign w:val="center"/>
          </w:tcPr>
          <w:p w:rsidR="00D338A5" w:rsidRPr="00732139" w:rsidRDefault="00D338A5" w:rsidP="00114974">
            <w:pPr>
              <w:pStyle w:val="TableText"/>
              <w:keepLines/>
              <w:widowControl w:val="0"/>
              <w:jc w:val="center"/>
              <w:rPr>
                <w:b/>
                <w:bCs w:val="0"/>
              </w:rPr>
            </w:pPr>
            <w:r w:rsidRPr="00732139">
              <w:rPr>
                <w:b/>
                <w:bCs w:val="0"/>
              </w:rPr>
              <w:t xml:space="preserve">Number of deaths </w:t>
            </w:r>
          </w:p>
        </w:tc>
      </w:tr>
      <w:tr w:rsidR="00D338A5" w:rsidRPr="00732139" w:rsidTr="00531FF1">
        <w:tc>
          <w:tcPr>
            <w:tcW w:w="1047" w:type="dxa"/>
            <w:vMerge w:val="restart"/>
            <w:vAlign w:val="center"/>
          </w:tcPr>
          <w:p w:rsidR="00D338A5" w:rsidRPr="00732139" w:rsidRDefault="00D338A5" w:rsidP="00114974">
            <w:pPr>
              <w:pStyle w:val="TableText"/>
              <w:keepLines/>
              <w:widowControl w:val="0"/>
            </w:pPr>
            <w:r w:rsidRPr="00732139">
              <w:t>Unadjusted</w:t>
            </w:r>
          </w:p>
        </w:tc>
        <w:tc>
          <w:tcPr>
            <w:tcW w:w="1240" w:type="dxa"/>
            <w:vMerge w:val="restart"/>
            <w:vAlign w:val="center"/>
          </w:tcPr>
          <w:p w:rsidR="00D338A5" w:rsidRPr="00732139" w:rsidRDefault="00D338A5" w:rsidP="00114974">
            <w:pPr>
              <w:pStyle w:val="TableText"/>
              <w:keepLines/>
              <w:widowControl w:val="0"/>
            </w:pPr>
            <w:r w:rsidRPr="00732139">
              <w:t>International ever-treated</w:t>
            </w:r>
          </w:p>
        </w:tc>
        <w:tc>
          <w:tcPr>
            <w:tcW w:w="664" w:type="dxa"/>
            <w:gridSpan w:val="2"/>
            <w:vMerge w:val="restart"/>
            <w:vAlign w:val="center"/>
          </w:tcPr>
          <w:p w:rsidR="00D338A5" w:rsidRPr="00732139" w:rsidRDefault="00D338A5" w:rsidP="00114974">
            <w:pPr>
              <w:pStyle w:val="TableText"/>
              <w:keepLines/>
              <w:widowControl w:val="0"/>
              <w:jc w:val="center"/>
            </w:pPr>
            <w:r w:rsidRPr="00732139">
              <w:t>1,989</w:t>
            </w:r>
          </w:p>
        </w:tc>
        <w:tc>
          <w:tcPr>
            <w:tcW w:w="858" w:type="dxa"/>
            <w:vAlign w:val="center"/>
          </w:tcPr>
          <w:p w:rsidR="00D338A5" w:rsidRPr="00732139" w:rsidRDefault="00D338A5" w:rsidP="00114974">
            <w:pPr>
              <w:pStyle w:val="TableText"/>
              <w:keepLines/>
              <w:widowControl w:val="0"/>
              <w:jc w:val="center"/>
            </w:pPr>
            <w:r w:rsidRPr="00732139">
              <w:t>n</w:t>
            </w:r>
          </w:p>
        </w:tc>
        <w:tc>
          <w:tcPr>
            <w:tcW w:w="734" w:type="dxa"/>
            <w:gridSpan w:val="2"/>
            <w:vAlign w:val="center"/>
          </w:tcPr>
          <w:p w:rsidR="00D338A5" w:rsidRPr="00732139" w:rsidRDefault="00D338A5" w:rsidP="00114974">
            <w:pPr>
              <w:pStyle w:val="TableText"/>
              <w:keepLines/>
              <w:widowControl w:val="0"/>
              <w:jc w:val="center"/>
            </w:pPr>
            <w:r w:rsidRPr="00732139">
              <w:t>1,788</w:t>
            </w:r>
          </w:p>
        </w:tc>
        <w:tc>
          <w:tcPr>
            <w:tcW w:w="734" w:type="dxa"/>
            <w:vAlign w:val="center"/>
          </w:tcPr>
          <w:p w:rsidR="00D338A5" w:rsidRPr="00732139" w:rsidRDefault="00D338A5" w:rsidP="00114974">
            <w:pPr>
              <w:pStyle w:val="TableText"/>
              <w:keepLines/>
              <w:widowControl w:val="0"/>
              <w:jc w:val="center"/>
            </w:pPr>
            <w:r w:rsidRPr="00732139">
              <w:t>1,646</w:t>
            </w:r>
          </w:p>
        </w:tc>
        <w:tc>
          <w:tcPr>
            <w:tcW w:w="736" w:type="dxa"/>
            <w:vAlign w:val="center"/>
          </w:tcPr>
          <w:p w:rsidR="00D338A5" w:rsidRPr="00732139" w:rsidRDefault="00D338A5" w:rsidP="00114974">
            <w:pPr>
              <w:pStyle w:val="TableText"/>
              <w:keepLines/>
              <w:widowControl w:val="0"/>
              <w:jc w:val="center"/>
            </w:pPr>
            <w:r w:rsidRPr="00732139">
              <w:t>1,477</w:t>
            </w:r>
          </w:p>
        </w:tc>
        <w:tc>
          <w:tcPr>
            <w:tcW w:w="706" w:type="dxa"/>
            <w:vAlign w:val="center"/>
          </w:tcPr>
          <w:p w:rsidR="00D338A5" w:rsidRPr="00732139" w:rsidRDefault="00D338A5" w:rsidP="00114974">
            <w:pPr>
              <w:pStyle w:val="TableText"/>
              <w:keepLines/>
              <w:widowControl w:val="0"/>
              <w:jc w:val="center"/>
            </w:pPr>
            <w:r w:rsidRPr="00732139">
              <w:t>1,092</w:t>
            </w:r>
          </w:p>
        </w:tc>
        <w:tc>
          <w:tcPr>
            <w:tcW w:w="707" w:type="dxa"/>
            <w:vAlign w:val="center"/>
          </w:tcPr>
          <w:p w:rsidR="00D338A5" w:rsidRPr="00732139" w:rsidRDefault="00D338A5" w:rsidP="00114974">
            <w:pPr>
              <w:pStyle w:val="TableText"/>
              <w:keepLines/>
              <w:widowControl w:val="0"/>
              <w:jc w:val="center"/>
            </w:pPr>
            <w:r w:rsidRPr="00732139">
              <w:t>512</w:t>
            </w:r>
          </w:p>
        </w:tc>
        <w:tc>
          <w:tcPr>
            <w:tcW w:w="1591" w:type="dxa"/>
            <w:vMerge w:val="restart"/>
            <w:vAlign w:val="center"/>
          </w:tcPr>
          <w:p w:rsidR="00D338A5" w:rsidRPr="00732139" w:rsidRDefault="00D338A5" w:rsidP="00114974">
            <w:pPr>
              <w:pStyle w:val="TableText"/>
              <w:keepLines/>
              <w:widowControl w:val="0"/>
              <w:jc w:val="center"/>
            </w:pPr>
            <w:r w:rsidRPr="00732139">
              <w:t>127</w:t>
            </w:r>
          </w:p>
        </w:tc>
      </w:tr>
      <w:tr w:rsidR="00D338A5" w:rsidRPr="00732139" w:rsidTr="00531FF1">
        <w:tc>
          <w:tcPr>
            <w:tcW w:w="1047" w:type="dxa"/>
            <w:vMerge/>
            <w:vAlign w:val="center"/>
          </w:tcPr>
          <w:p w:rsidR="00D338A5" w:rsidRPr="00732139" w:rsidRDefault="00D338A5" w:rsidP="00114974">
            <w:pPr>
              <w:pStyle w:val="TableText"/>
              <w:keepLines/>
              <w:widowControl w:val="0"/>
            </w:pPr>
          </w:p>
        </w:tc>
        <w:tc>
          <w:tcPr>
            <w:tcW w:w="1240" w:type="dxa"/>
            <w:vMerge/>
            <w:vAlign w:val="center"/>
          </w:tcPr>
          <w:p w:rsidR="00D338A5" w:rsidRPr="00732139" w:rsidRDefault="00D338A5" w:rsidP="00114974">
            <w:pPr>
              <w:pStyle w:val="TableText"/>
              <w:keepLines/>
              <w:widowControl w:val="0"/>
            </w:pPr>
          </w:p>
        </w:tc>
        <w:tc>
          <w:tcPr>
            <w:tcW w:w="664" w:type="dxa"/>
            <w:gridSpan w:val="2"/>
            <w:vMerge/>
            <w:vAlign w:val="center"/>
          </w:tcPr>
          <w:p w:rsidR="00D338A5" w:rsidRPr="00732139" w:rsidRDefault="00D338A5" w:rsidP="00114974">
            <w:pPr>
              <w:pStyle w:val="TableText"/>
              <w:keepLines/>
              <w:widowControl w:val="0"/>
              <w:jc w:val="center"/>
            </w:pPr>
          </w:p>
        </w:tc>
        <w:tc>
          <w:tcPr>
            <w:tcW w:w="858" w:type="dxa"/>
            <w:vAlign w:val="center"/>
          </w:tcPr>
          <w:p w:rsidR="00D338A5" w:rsidRPr="00732139" w:rsidRDefault="00D338A5" w:rsidP="00114974">
            <w:pPr>
              <w:pStyle w:val="TableText"/>
              <w:keepLines/>
              <w:widowControl w:val="0"/>
              <w:jc w:val="center"/>
            </w:pPr>
            <w:r w:rsidRPr="00732139">
              <w:t>% alive</w:t>
            </w:r>
          </w:p>
        </w:tc>
        <w:tc>
          <w:tcPr>
            <w:tcW w:w="734" w:type="dxa"/>
            <w:gridSpan w:val="2"/>
            <w:vAlign w:val="center"/>
          </w:tcPr>
          <w:p w:rsidR="00D338A5" w:rsidRPr="00732139" w:rsidRDefault="00D338A5" w:rsidP="00114974">
            <w:pPr>
              <w:pStyle w:val="TableText"/>
              <w:keepLines/>
              <w:widowControl w:val="0"/>
              <w:jc w:val="center"/>
            </w:pPr>
            <w:r w:rsidRPr="00732139">
              <w:t>99%</w:t>
            </w:r>
          </w:p>
        </w:tc>
        <w:tc>
          <w:tcPr>
            <w:tcW w:w="734" w:type="dxa"/>
            <w:vAlign w:val="center"/>
          </w:tcPr>
          <w:p w:rsidR="00D338A5" w:rsidRPr="00732139" w:rsidRDefault="00D338A5" w:rsidP="00114974">
            <w:pPr>
              <w:pStyle w:val="TableText"/>
              <w:keepLines/>
              <w:widowControl w:val="0"/>
              <w:jc w:val="center"/>
            </w:pPr>
            <w:r w:rsidRPr="00732139">
              <w:t>99%</w:t>
            </w:r>
          </w:p>
        </w:tc>
        <w:tc>
          <w:tcPr>
            <w:tcW w:w="736" w:type="dxa"/>
            <w:vAlign w:val="center"/>
          </w:tcPr>
          <w:p w:rsidR="00D338A5" w:rsidRPr="00732139" w:rsidRDefault="00D338A5" w:rsidP="00114974">
            <w:pPr>
              <w:pStyle w:val="TableText"/>
              <w:keepLines/>
              <w:widowControl w:val="0"/>
              <w:jc w:val="center"/>
            </w:pPr>
            <w:r w:rsidRPr="00732139">
              <w:t>98%</w:t>
            </w:r>
          </w:p>
        </w:tc>
        <w:tc>
          <w:tcPr>
            <w:tcW w:w="706" w:type="dxa"/>
            <w:vAlign w:val="center"/>
          </w:tcPr>
          <w:p w:rsidR="00D338A5" w:rsidRPr="00732139" w:rsidRDefault="00D338A5" w:rsidP="00114974">
            <w:pPr>
              <w:pStyle w:val="TableText"/>
              <w:keepLines/>
              <w:widowControl w:val="0"/>
              <w:jc w:val="center"/>
            </w:pPr>
            <w:r w:rsidRPr="00732139">
              <w:t>95%</w:t>
            </w:r>
          </w:p>
        </w:tc>
        <w:tc>
          <w:tcPr>
            <w:tcW w:w="707" w:type="dxa"/>
            <w:vAlign w:val="center"/>
          </w:tcPr>
          <w:p w:rsidR="00D338A5" w:rsidRPr="00732139" w:rsidRDefault="00D338A5" w:rsidP="00114974">
            <w:pPr>
              <w:pStyle w:val="TableText"/>
              <w:keepLines/>
              <w:widowControl w:val="0"/>
              <w:jc w:val="center"/>
            </w:pPr>
            <w:r w:rsidRPr="00732139">
              <w:t>91%</w:t>
            </w:r>
          </w:p>
        </w:tc>
        <w:tc>
          <w:tcPr>
            <w:tcW w:w="1591" w:type="dxa"/>
            <w:vMerge/>
            <w:vAlign w:val="center"/>
          </w:tcPr>
          <w:p w:rsidR="00D338A5" w:rsidRPr="00732139" w:rsidRDefault="00D338A5" w:rsidP="00114974">
            <w:pPr>
              <w:pStyle w:val="TableText"/>
              <w:keepLines/>
              <w:widowControl w:val="0"/>
              <w:jc w:val="center"/>
            </w:pPr>
          </w:p>
        </w:tc>
      </w:tr>
      <w:tr w:rsidR="00D338A5" w:rsidRPr="00732139" w:rsidTr="00531FF1">
        <w:tc>
          <w:tcPr>
            <w:tcW w:w="1047" w:type="dxa"/>
            <w:vMerge/>
            <w:vAlign w:val="center"/>
          </w:tcPr>
          <w:p w:rsidR="00D338A5" w:rsidRPr="00732139" w:rsidRDefault="00D338A5" w:rsidP="00114974">
            <w:pPr>
              <w:pStyle w:val="TableText"/>
              <w:keepLines/>
              <w:widowControl w:val="0"/>
            </w:pPr>
          </w:p>
        </w:tc>
        <w:tc>
          <w:tcPr>
            <w:tcW w:w="1240" w:type="dxa"/>
            <w:vMerge w:val="restart"/>
            <w:vAlign w:val="center"/>
          </w:tcPr>
          <w:p w:rsidR="00D338A5" w:rsidRPr="00732139" w:rsidRDefault="00D338A5" w:rsidP="00114974">
            <w:pPr>
              <w:pStyle w:val="TableText"/>
              <w:keepLines/>
              <w:widowControl w:val="0"/>
            </w:pPr>
            <w:r w:rsidRPr="00732139">
              <w:t>Australian ever-treated</w:t>
            </w:r>
          </w:p>
        </w:tc>
        <w:tc>
          <w:tcPr>
            <w:tcW w:w="664" w:type="dxa"/>
            <w:gridSpan w:val="2"/>
            <w:vMerge w:val="restart"/>
            <w:vAlign w:val="center"/>
          </w:tcPr>
          <w:p w:rsidR="00D338A5" w:rsidRPr="00732139" w:rsidRDefault="00D338A5" w:rsidP="00114974">
            <w:pPr>
              <w:pStyle w:val="TableText"/>
              <w:keepLines/>
              <w:widowControl w:val="0"/>
              <w:jc w:val="center"/>
            </w:pPr>
            <w:r w:rsidRPr="00732139">
              <w:t>74</w:t>
            </w:r>
          </w:p>
        </w:tc>
        <w:tc>
          <w:tcPr>
            <w:tcW w:w="858" w:type="dxa"/>
            <w:vAlign w:val="center"/>
          </w:tcPr>
          <w:p w:rsidR="00D338A5" w:rsidRPr="00732139" w:rsidRDefault="00D338A5" w:rsidP="00114974">
            <w:pPr>
              <w:pStyle w:val="TableText"/>
              <w:keepLines/>
              <w:widowControl w:val="0"/>
              <w:jc w:val="center"/>
            </w:pPr>
            <w:r w:rsidRPr="00732139">
              <w:t>n</w:t>
            </w:r>
          </w:p>
        </w:tc>
        <w:tc>
          <w:tcPr>
            <w:tcW w:w="734" w:type="dxa"/>
            <w:gridSpan w:val="2"/>
            <w:vAlign w:val="center"/>
          </w:tcPr>
          <w:p w:rsidR="00D338A5" w:rsidRPr="00732139" w:rsidRDefault="00D338A5" w:rsidP="00114974">
            <w:pPr>
              <w:pStyle w:val="TableText"/>
              <w:keepLines/>
              <w:widowControl w:val="0"/>
              <w:jc w:val="center"/>
            </w:pPr>
            <w:r w:rsidRPr="00732139">
              <w:t>67</w:t>
            </w:r>
          </w:p>
        </w:tc>
        <w:tc>
          <w:tcPr>
            <w:tcW w:w="734" w:type="dxa"/>
            <w:vAlign w:val="center"/>
          </w:tcPr>
          <w:p w:rsidR="00D338A5" w:rsidRPr="00732139" w:rsidRDefault="00D338A5" w:rsidP="00114974">
            <w:pPr>
              <w:pStyle w:val="TableText"/>
              <w:keepLines/>
              <w:widowControl w:val="0"/>
              <w:jc w:val="center"/>
            </w:pPr>
            <w:r w:rsidRPr="00732139">
              <w:t>64</w:t>
            </w:r>
          </w:p>
        </w:tc>
        <w:tc>
          <w:tcPr>
            <w:tcW w:w="736" w:type="dxa"/>
            <w:vAlign w:val="center"/>
          </w:tcPr>
          <w:p w:rsidR="00D338A5" w:rsidRPr="00732139" w:rsidRDefault="00D338A5" w:rsidP="00114974">
            <w:pPr>
              <w:pStyle w:val="TableText"/>
              <w:keepLines/>
              <w:widowControl w:val="0"/>
              <w:jc w:val="center"/>
            </w:pPr>
            <w:r w:rsidRPr="00732139">
              <w:t>62</w:t>
            </w:r>
          </w:p>
        </w:tc>
        <w:tc>
          <w:tcPr>
            <w:tcW w:w="706" w:type="dxa"/>
            <w:vAlign w:val="center"/>
          </w:tcPr>
          <w:p w:rsidR="00D338A5" w:rsidRPr="00732139" w:rsidRDefault="00D338A5" w:rsidP="00114974">
            <w:pPr>
              <w:pStyle w:val="TableText"/>
              <w:keepLines/>
              <w:widowControl w:val="0"/>
              <w:jc w:val="center"/>
            </w:pPr>
            <w:r w:rsidRPr="00732139">
              <w:t>51</w:t>
            </w:r>
          </w:p>
        </w:tc>
        <w:tc>
          <w:tcPr>
            <w:tcW w:w="707" w:type="dxa"/>
            <w:vAlign w:val="center"/>
          </w:tcPr>
          <w:p w:rsidR="00D338A5" w:rsidRPr="00732139" w:rsidRDefault="00D338A5" w:rsidP="00114974">
            <w:pPr>
              <w:pStyle w:val="TableText"/>
              <w:keepLines/>
              <w:widowControl w:val="0"/>
              <w:jc w:val="center"/>
            </w:pPr>
            <w:r w:rsidRPr="00732139">
              <w:t>24</w:t>
            </w:r>
          </w:p>
        </w:tc>
        <w:tc>
          <w:tcPr>
            <w:tcW w:w="1591" w:type="dxa"/>
            <w:vMerge w:val="restart"/>
            <w:vAlign w:val="center"/>
          </w:tcPr>
          <w:p w:rsidR="00D338A5" w:rsidRPr="00732139" w:rsidRDefault="00D338A5" w:rsidP="00114974">
            <w:pPr>
              <w:pStyle w:val="TableText"/>
              <w:keepLines/>
              <w:widowControl w:val="0"/>
              <w:jc w:val="center"/>
            </w:pPr>
            <w:r w:rsidRPr="00732139">
              <w:t>2</w:t>
            </w:r>
          </w:p>
        </w:tc>
      </w:tr>
      <w:tr w:rsidR="00D338A5" w:rsidRPr="00732139" w:rsidTr="00531FF1">
        <w:tc>
          <w:tcPr>
            <w:tcW w:w="1047" w:type="dxa"/>
            <w:vMerge/>
            <w:vAlign w:val="center"/>
          </w:tcPr>
          <w:p w:rsidR="00D338A5" w:rsidRPr="00732139" w:rsidRDefault="00D338A5" w:rsidP="00114974">
            <w:pPr>
              <w:pStyle w:val="TableText"/>
              <w:keepLines/>
              <w:widowControl w:val="0"/>
            </w:pPr>
          </w:p>
        </w:tc>
        <w:tc>
          <w:tcPr>
            <w:tcW w:w="1240" w:type="dxa"/>
            <w:vMerge/>
            <w:vAlign w:val="center"/>
          </w:tcPr>
          <w:p w:rsidR="00D338A5" w:rsidRPr="00732139" w:rsidRDefault="00D338A5" w:rsidP="00114974">
            <w:pPr>
              <w:pStyle w:val="TableText"/>
              <w:keepLines/>
              <w:widowControl w:val="0"/>
            </w:pPr>
          </w:p>
        </w:tc>
        <w:tc>
          <w:tcPr>
            <w:tcW w:w="664" w:type="dxa"/>
            <w:gridSpan w:val="2"/>
            <w:vMerge/>
            <w:vAlign w:val="center"/>
          </w:tcPr>
          <w:p w:rsidR="00D338A5" w:rsidRPr="00732139" w:rsidRDefault="00D338A5" w:rsidP="00114974">
            <w:pPr>
              <w:pStyle w:val="TableText"/>
              <w:keepLines/>
              <w:widowControl w:val="0"/>
              <w:jc w:val="center"/>
            </w:pPr>
          </w:p>
        </w:tc>
        <w:tc>
          <w:tcPr>
            <w:tcW w:w="858" w:type="dxa"/>
            <w:vAlign w:val="center"/>
          </w:tcPr>
          <w:p w:rsidR="00D338A5" w:rsidRPr="00732139" w:rsidRDefault="00D338A5" w:rsidP="00114974">
            <w:pPr>
              <w:pStyle w:val="TableText"/>
              <w:keepLines/>
              <w:widowControl w:val="0"/>
              <w:jc w:val="center"/>
            </w:pPr>
            <w:r w:rsidRPr="00732139">
              <w:t>% alive</w:t>
            </w:r>
          </w:p>
        </w:tc>
        <w:tc>
          <w:tcPr>
            <w:tcW w:w="734" w:type="dxa"/>
            <w:gridSpan w:val="2"/>
            <w:vAlign w:val="center"/>
          </w:tcPr>
          <w:p w:rsidR="00D338A5" w:rsidRPr="00732139" w:rsidRDefault="00D338A5" w:rsidP="00114974">
            <w:pPr>
              <w:pStyle w:val="TableText"/>
              <w:keepLines/>
              <w:widowControl w:val="0"/>
              <w:jc w:val="center"/>
            </w:pPr>
            <w:r w:rsidRPr="00732139">
              <w:t>100%</w:t>
            </w:r>
          </w:p>
        </w:tc>
        <w:tc>
          <w:tcPr>
            <w:tcW w:w="734" w:type="dxa"/>
            <w:vAlign w:val="center"/>
          </w:tcPr>
          <w:p w:rsidR="00D338A5" w:rsidRPr="00732139" w:rsidRDefault="00D338A5" w:rsidP="00114974">
            <w:pPr>
              <w:pStyle w:val="TableText"/>
              <w:keepLines/>
              <w:widowControl w:val="0"/>
              <w:jc w:val="center"/>
            </w:pPr>
            <w:r w:rsidRPr="00732139">
              <w:t>100%</w:t>
            </w:r>
          </w:p>
        </w:tc>
        <w:tc>
          <w:tcPr>
            <w:tcW w:w="736" w:type="dxa"/>
            <w:vAlign w:val="center"/>
          </w:tcPr>
          <w:p w:rsidR="00D338A5" w:rsidRPr="00732139" w:rsidRDefault="00D338A5" w:rsidP="00114974">
            <w:pPr>
              <w:pStyle w:val="TableText"/>
              <w:keepLines/>
              <w:widowControl w:val="0"/>
              <w:jc w:val="center"/>
            </w:pPr>
            <w:r w:rsidRPr="00732139">
              <w:t>100%</w:t>
            </w:r>
          </w:p>
        </w:tc>
        <w:tc>
          <w:tcPr>
            <w:tcW w:w="706" w:type="dxa"/>
            <w:vAlign w:val="center"/>
          </w:tcPr>
          <w:p w:rsidR="00D338A5" w:rsidRPr="00732139" w:rsidRDefault="00D338A5" w:rsidP="00114974">
            <w:pPr>
              <w:pStyle w:val="TableText"/>
              <w:keepLines/>
              <w:widowControl w:val="0"/>
              <w:jc w:val="center"/>
            </w:pPr>
            <w:r w:rsidRPr="00732139">
              <w:t>98%</w:t>
            </w:r>
          </w:p>
        </w:tc>
        <w:tc>
          <w:tcPr>
            <w:tcW w:w="707" w:type="dxa"/>
            <w:vAlign w:val="center"/>
          </w:tcPr>
          <w:p w:rsidR="00D338A5" w:rsidRPr="00732139" w:rsidRDefault="00D338A5" w:rsidP="00114974">
            <w:pPr>
              <w:pStyle w:val="TableText"/>
              <w:keepLines/>
              <w:widowControl w:val="0"/>
              <w:jc w:val="center"/>
            </w:pPr>
            <w:r w:rsidRPr="00732139">
              <w:t>96%</w:t>
            </w:r>
          </w:p>
        </w:tc>
        <w:tc>
          <w:tcPr>
            <w:tcW w:w="1591" w:type="dxa"/>
            <w:vMerge/>
            <w:vAlign w:val="center"/>
          </w:tcPr>
          <w:p w:rsidR="00D338A5" w:rsidRPr="00732139" w:rsidRDefault="00D338A5" w:rsidP="00114974">
            <w:pPr>
              <w:pStyle w:val="TableText"/>
              <w:keepLines/>
              <w:widowControl w:val="0"/>
              <w:jc w:val="center"/>
            </w:pPr>
          </w:p>
        </w:tc>
      </w:tr>
      <w:tr w:rsidR="00D338A5" w:rsidRPr="00732139" w:rsidTr="00531FF1">
        <w:tc>
          <w:tcPr>
            <w:tcW w:w="1047" w:type="dxa"/>
            <w:vMerge/>
            <w:vAlign w:val="center"/>
          </w:tcPr>
          <w:p w:rsidR="00D338A5" w:rsidRPr="00732139" w:rsidRDefault="00D338A5" w:rsidP="00114974">
            <w:pPr>
              <w:pStyle w:val="TableText"/>
              <w:keepLines/>
              <w:widowControl w:val="0"/>
            </w:pPr>
          </w:p>
        </w:tc>
        <w:tc>
          <w:tcPr>
            <w:tcW w:w="1240" w:type="dxa"/>
            <w:vMerge w:val="restart"/>
            <w:vAlign w:val="center"/>
          </w:tcPr>
          <w:p w:rsidR="00D338A5" w:rsidRPr="00732139" w:rsidRDefault="00D338A5" w:rsidP="00114974">
            <w:pPr>
              <w:pStyle w:val="TableText"/>
              <w:keepLines/>
              <w:widowControl w:val="0"/>
            </w:pPr>
            <w:r w:rsidRPr="00732139">
              <w:t>International never-treated</w:t>
            </w:r>
          </w:p>
        </w:tc>
        <w:tc>
          <w:tcPr>
            <w:tcW w:w="664" w:type="dxa"/>
            <w:gridSpan w:val="2"/>
            <w:vMerge w:val="restart"/>
            <w:vAlign w:val="center"/>
          </w:tcPr>
          <w:p w:rsidR="00D338A5" w:rsidRPr="00732139" w:rsidRDefault="00D338A5" w:rsidP="00114974">
            <w:pPr>
              <w:pStyle w:val="TableText"/>
              <w:keepLines/>
              <w:widowControl w:val="0"/>
              <w:jc w:val="center"/>
            </w:pPr>
            <w:r w:rsidRPr="00732139">
              <w:t>227</w:t>
            </w:r>
          </w:p>
        </w:tc>
        <w:tc>
          <w:tcPr>
            <w:tcW w:w="858" w:type="dxa"/>
            <w:vAlign w:val="center"/>
          </w:tcPr>
          <w:p w:rsidR="00D338A5" w:rsidRPr="00732139" w:rsidRDefault="00D338A5" w:rsidP="00114974">
            <w:pPr>
              <w:pStyle w:val="TableText"/>
              <w:keepLines/>
              <w:widowControl w:val="0"/>
              <w:jc w:val="center"/>
            </w:pPr>
            <w:r w:rsidRPr="00732139">
              <w:t>n</w:t>
            </w:r>
          </w:p>
        </w:tc>
        <w:tc>
          <w:tcPr>
            <w:tcW w:w="734" w:type="dxa"/>
            <w:gridSpan w:val="2"/>
            <w:vAlign w:val="center"/>
          </w:tcPr>
          <w:p w:rsidR="00D338A5" w:rsidRPr="00732139" w:rsidRDefault="00D338A5" w:rsidP="00114974">
            <w:pPr>
              <w:pStyle w:val="TableText"/>
              <w:keepLines/>
              <w:widowControl w:val="0"/>
              <w:jc w:val="center"/>
            </w:pPr>
            <w:r w:rsidRPr="00732139">
              <w:t>148</w:t>
            </w:r>
          </w:p>
        </w:tc>
        <w:tc>
          <w:tcPr>
            <w:tcW w:w="734" w:type="dxa"/>
            <w:vAlign w:val="center"/>
          </w:tcPr>
          <w:p w:rsidR="00D338A5" w:rsidRPr="00732139" w:rsidRDefault="00D338A5" w:rsidP="00114974">
            <w:pPr>
              <w:pStyle w:val="TableText"/>
              <w:keepLines/>
              <w:widowControl w:val="0"/>
              <w:jc w:val="center"/>
            </w:pPr>
            <w:r w:rsidRPr="00732139">
              <w:t>110</w:t>
            </w:r>
          </w:p>
        </w:tc>
        <w:tc>
          <w:tcPr>
            <w:tcW w:w="736" w:type="dxa"/>
            <w:vAlign w:val="center"/>
          </w:tcPr>
          <w:p w:rsidR="00D338A5" w:rsidRPr="00732139" w:rsidRDefault="00D338A5" w:rsidP="00114974">
            <w:pPr>
              <w:pStyle w:val="TableText"/>
              <w:keepLines/>
              <w:widowControl w:val="0"/>
              <w:jc w:val="center"/>
            </w:pPr>
            <w:r w:rsidRPr="00732139">
              <w:t>84</w:t>
            </w:r>
          </w:p>
        </w:tc>
        <w:tc>
          <w:tcPr>
            <w:tcW w:w="706" w:type="dxa"/>
            <w:vAlign w:val="center"/>
          </w:tcPr>
          <w:p w:rsidR="00D338A5" w:rsidRPr="00732139" w:rsidRDefault="00D338A5" w:rsidP="00114974">
            <w:pPr>
              <w:pStyle w:val="TableText"/>
              <w:keepLines/>
              <w:widowControl w:val="0"/>
              <w:jc w:val="center"/>
            </w:pPr>
            <w:r w:rsidRPr="00732139">
              <w:t>41</w:t>
            </w:r>
          </w:p>
        </w:tc>
        <w:tc>
          <w:tcPr>
            <w:tcW w:w="707" w:type="dxa"/>
            <w:vAlign w:val="center"/>
          </w:tcPr>
          <w:p w:rsidR="00D338A5" w:rsidRPr="00732139" w:rsidRDefault="00D338A5" w:rsidP="00114974">
            <w:pPr>
              <w:pStyle w:val="TableText"/>
              <w:keepLines/>
              <w:widowControl w:val="0"/>
              <w:jc w:val="center"/>
            </w:pPr>
            <w:r w:rsidRPr="00732139">
              <w:t>14</w:t>
            </w:r>
          </w:p>
        </w:tc>
        <w:tc>
          <w:tcPr>
            <w:tcW w:w="1591" w:type="dxa"/>
            <w:vMerge w:val="restart"/>
            <w:vAlign w:val="center"/>
          </w:tcPr>
          <w:p w:rsidR="00D338A5" w:rsidRPr="00732139" w:rsidRDefault="00D338A5" w:rsidP="00114974">
            <w:pPr>
              <w:pStyle w:val="TableText"/>
              <w:keepLines/>
              <w:widowControl w:val="0"/>
              <w:jc w:val="center"/>
            </w:pPr>
            <w:r w:rsidRPr="00732139">
              <w:t>33</w:t>
            </w:r>
          </w:p>
        </w:tc>
      </w:tr>
      <w:tr w:rsidR="00D338A5" w:rsidRPr="00732139" w:rsidTr="00531FF1">
        <w:tc>
          <w:tcPr>
            <w:tcW w:w="1047" w:type="dxa"/>
            <w:vMerge/>
            <w:vAlign w:val="center"/>
          </w:tcPr>
          <w:p w:rsidR="00D338A5" w:rsidRPr="00732139" w:rsidRDefault="00D338A5" w:rsidP="00114974">
            <w:pPr>
              <w:pStyle w:val="TableText"/>
              <w:keepLines/>
              <w:widowControl w:val="0"/>
            </w:pPr>
          </w:p>
        </w:tc>
        <w:tc>
          <w:tcPr>
            <w:tcW w:w="1240" w:type="dxa"/>
            <w:vMerge/>
            <w:vAlign w:val="center"/>
          </w:tcPr>
          <w:p w:rsidR="00D338A5" w:rsidRPr="00732139" w:rsidRDefault="00D338A5" w:rsidP="00114974">
            <w:pPr>
              <w:pStyle w:val="TableText"/>
              <w:keepLines/>
              <w:widowControl w:val="0"/>
            </w:pPr>
          </w:p>
        </w:tc>
        <w:tc>
          <w:tcPr>
            <w:tcW w:w="664" w:type="dxa"/>
            <w:gridSpan w:val="2"/>
            <w:vMerge/>
            <w:vAlign w:val="center"/>
          </w:tcPr>
          <w:p w:rsidR="00D338A5" w:rsidRPr="00732139" w:rsidRDefault="00D338A5" w:rsidP="00114974">
            <w:pPr>
              <w:pStyle w:val="TableText"/>
              <w:keepLines/>
              <w:widowControl w:val="0"/>
              <w:jc w:val="center"/>
            </w:pPr>
          </w:p>
        </w:tc>
        <w:tc>
          <w:tcPr>
            <w:tcW w:w="858" w:type="dxa"/>
            <w:vAlign w:val="center"/>
          </w:tcPr>
          <w:p w:rsidR="00D338A5" w:rsidRPr="00732139" w:rsidRDefault="00D338A5" w:rsidP="00114974">
            <w:pPr>
              <w:pStyle w:val="TableText"/>
              <w:keepLines/>
              <w:widowControl w:val="0"/>
              <w:jc w:val="center"/>
            </w:pPr>
            <w:r w:rsidRPr="00732139">
              <w:t>% alive</w:t>
            </w:r>
          </w:p>
        </w:tc>
        <w:tc>
          <w:tcPr>
            <w:tcW w:w="734" w:type="dxa"/>
            <w:gridSpan w:val="2"/>
            <w:vAlign w:val="center"/>
          </w:tcPr>
          <w:p w:rsidR="00D338A5" w:rsidRPr="00732139" w:rsidRDefault="00D338A5" w:rsidP="00114974">
            <w:pPr>
              <w:pStyle w:val="TableText"/>
              <w:keepLines/>
              <w:widowControl w:val="0"/>
              <w:jc w:val="center"/>
            </w:pPr>
            <w:r w:rsidRPr="00732139">
              <w:t>93%</w:t>
            </w:r>
          </w:p>
        </w:tc>
        <w:tc>
          <w:tcPr>
            <w:tcW w:w="734" w:type="dxa"/>
            <w:vAlign w:val="center"/>
          </w:tcPr>
          <w:p w:rsidR="00D338A5" w:rsidRPr="00732139" w:rsidRDefault="00D338A5" w:rsidP="00114974">
            <w:pPr>
              <w:pStyle w:val="TableText"/>
              <w:keepLines/>
              <w:widowControl w:val="0"/>
              <w:jc w:val="center"/>
            </w:pPr>
            <w:r w:rsidRPr="00732139">
              <w:t>84%</w:t>
            </w:r>
          </w:p>
        </w:tc>
        <w:tc>
          <w:tcPr>
            <w:tcW w:w="736" w:type="dxa"/>
            <w:vAlign w:val="center"/>
          </w:tcPr>
          <w:p w:rsidR="00D338A5" w:rsidRPr="00732139" w:rsidRDefault="00D338A5" w:rsidP="00114974">
            <w:pPr>
              <w:pStyle w:val="TableText"/>
              <w:keepLines/>
              <w:widowControl w:val="0"/>
              <w:jc w:val="center"/>
            </w:pPr>
            <w:r w:rsidRPr="00732139">
              <w:t>82%</w:t>
            </w:r>
          </w:p>
        </w:tc>
        <w:tc>
          <w:tcPr>
            <w:tcW w:w="706" w:type="dxa"/>
            <w:vAlign w:val="center"/>
          </w:tcPr>
          <w:p w:rsidR="00D338A5" w:rsidRPr="00732139" w:rsidRDefault="00D338A5" w:rsidP="00114974">
            <w:pPr>
              <w:pStyle w:val="TableText"/>
              <w:keepLines/>
              <w:widowControl w:val="0"/>
              <w:jc w:val="center"/>
            </w:pPr>
            <w:r w:rsidRPr="00732139">
              <w:t>80%</w:t>
            </w:r>
          </w:p>
        </w:tc>
        <w:tc>
          <w:tcPr>
            <w:tcW w:w="707" w:type="dxa"/>
            <w:vAlign w:val="center"/>
          </w:tcPr>
          <w:p w:rsidR="00D338A5" w:rsidRPr="00732139" w:rsidRDefault="00D338A5" w:rsidP="00114974">
            <w:pPr>
              <w:pStyle w:val="TableText"/>
              <w:keepLines/>
              <w:widowControl w:val="0"/>
              <w:jc w:val="center"/>
            </w:pPr>
            <w:r w:rsidRPr="00732139">
              <w:t>73%</w:t>
            </w:r>
          </w:p>
        </w:tc>
        <w:tc>
          <w:tcPr>
            <w:tcW w:w="1591" w:type="dxa"/>
            <w:vMerge/>
            <w:vAlign w:val="center"/>
          </w:tcPr>
          <w:p w:rsidR="00D338A5" w:rsidRPr="00732139" w:rsidRDefault="00D338A5" w:rsidP="00114974">
            <w:pPr>
              <w:pStyle w:val="TableText"/>
              <w:keepLines/>
              <w:widowControl w:val="0"/>
              <w:jc w:val="center"/>
            </w:pPr>
          </w:p>
        </w:tc>
      </w:tr>
      <w:tr w:rsidR="00D338A5" w:rsidRPr="00732139" w:rsidTr="00531FF1">
        <w:trPr>
          <w:trHeight w:val="469"/>
        </w:trPr>
        <w:tc>
          <w:tcPr>
            <w:tcW w:w="1047" w:type="dxa"/>
            <w:vMerge w:val="restart"/>
            <w:shd w:val="clear" w:color="auto" w:fill="FFC000"/>
            <w:vAlign w:val="center"/>
          </w:tcPr>
          <w:p w:rsidR="00D338A5" w:rsidRPr="00732139" w:rsidRDefault="00D338A5" w:rsidP="00114974">
            <w:pPr>
              <w:pStyle w:val="TableText"/>
              <w:keepLines/>
              <w:widowControl w:val="0"/>
            </w:pPr>
            <w:r w:rsidRPr="00732139">
              <w:t xml:space="preserve">Adjusted with LDH </w:t>
            </w:r>
          </w:p>
        </w:tc>
        <w:tc>
          <w:tcPr>
            <w:tcW w:w="1240" w:type="dxa"/>
            <w:shd w:val="clear" w:color="auto" w:fill="FFC000"/>
            <w:vAlign w:val="center"/>
          </w:tcPr>
          <w:p w:rsidR="00D338A5" w:rsidRPr="00732139" w:rsidRDefault="00D338A5" w:rsidP="00114974">
            <w:pPr>
              <w:pStyle w:val="TableText"/>
              <w:keepLines/>
              <w:widowControl w:val="0"/>
            </w:pPr>
            <w:r w:rsidRPr="00732139">
              <w:t>International ever-treated</w:t>
            </w:r>
          </w:p>
        </w:tc>
        <w:tc>
          <w:tcPr>
            <w:tcW w:w="664" w:type="dxa"/>
            <w:gridSpan w:val="2"/>
            <w:shd w:val="clear" w:color="auto" w:fill="FFC000"/>
            <w:vAlign w:val="center"/>
          </w:tcPr>
          <w:p w:rsidR="00D338A5" w:rsidRPr="00732139" w:rsidRDefault="00D338A5" w:rsidP="00114974">
            <w:pPr>
              <w:pStyle w:val="TableText"/>
              <w:keepLines/>
              <w:widowControl w:val="0"/>
              <w:jc w:val="center"/>
            </w:pPr>
            <w:r w:rsidRPr="00732139">
              <w:t>1,295</w:t>
            </w:r>
          </w:p>
        </w:tc>
        <w:tc>
          <w:tcPr>
            <w:tcW w:w="866" w:type="dxa"/>
            <w:gridSpan w:val="2"/>
            <w:shd w:val="clear" w:color="auto" w:fill="FFC000"/>
            <w:vAlign w:val="center"/>
          </w:tcPr>
          <w:p w:rsidR="00D338A5" w:rsidRPr="00732139" w:rsidRDefault="00D338A5" w:rsidP="00114974">
            <w:pPr>
              <w:pStyle w:val="TableText"/>
              <w:keepLines/>
              <w:widowControl w:val="0"/>
              <w:jc w:val="center"/>
            </w:pPr>
            <w:r w:rsidRPr="00732139">
              <w:t>% alive</w:t>
            </w:r>
          </w:p>
        </w:tc>
        <w:tc>
          <w:tcPr>
            <w:tcW w:w="726" w:type="dxa"/>
            <w:shd w:val="clear" w:color="auto" w:fill="FFC000"/>
            <w:vAlign w:val="center"/>
          </w:tcPr>
          <w:p w:rsidR="00D338A5" w:rsidRPr="00732139" w:rsidRDefault="00D338A5" w:rsidP="00114974">
            <w:pPr>
              <w:pStyle w:val="TableText"/>
              <w:keepLines/>
              <w:widowControl w:val="0"/>
              <w:jc w:val="center"/>
            </w:pPr>
            <w:r w:rsidRPr="00732139">
              <w:t>99%</w:t>
            </w:r>
          </w:p>
        </w:tc>
        <w:tc>
          <w:tcPr>
            <w:tcW w:w="734" w:type="dxa"/>
            <w:shd w:val="clear" w:color="auto" w:fill="FFC000"/>
            <w:vAlign w:val="center"/>
          </w:tcPr>
          <w:p w:rsidR="00D338A5" w:rsidRPr="00732139" w:rsidRDefault="00D338A5" w:rsidP="00114974">
            <w:pPr>
              <w:pStyle w:val="TableText"/>
              <w:keepLines/>
              <w:widowControl w:val="0"/>
              <w:jc w:val="center"/>
            </w:pPr>
            <w:r w:rsidRPr="00732139">
              <w:t>99%</w:t>
            </w:r>
          </w:p>
        </w:tc>
        <w:tc>
          <w:tcPr>
            <w:tcW w:w="736" w:type="dxa"/>
            <w:shd w:val="clear" w:color="auto" w:fill="FFC000"/>
            <w:vAlign w:val="center"/>
          </w:tcPr>
          <w:p w:rsidR="00D338A5" w:rsidRPr="00732139" w:rsidRDefault="00D338A5" w:rsidP="00114974">
            <w:pPr>
              <w:pStyle w:val="TableText"/>
              <w:keepLines/>
              <w:widowControl w:val="0"/>
              <w:jc w:val="center"/>
            </w:pPr>
            <w:r w:rsidRPr="00732139">
              <w:t>98%</w:t>
            </w:r>
          </w:p>
        </w:tc>
        <w:tc>
          <w:tcPr>
            <w:tcW w:w="706" w:type="dxa"/>
            <w:shd w:val="clear" w:color="auto" w:fill="FFC000"/>
            <w:vAlign w:val="center"/>
          </w:tcPr>
          <w:p w:rsidR="00D338A5" w:rsidRPr="00732139" w:rsidRDefault="00D338A5" w:rsidP="00114974">
            <w:pPr>
              <w:pStyle w:val="TableText"/>
              <w:keepLines/>
              <w:widowControl w:val="0"/>
              <w:jc w:val="center"/>
            </w:pPr>
            <w:r w:rsidRPr="00732139">
              <w:t>96%</w:t>
            </w:r>
          </w:p>
        </w:tc>
        <w:tc>
          <w:tcPr>
            <w:tcW w:w="707" w:type="dxa"/>
            <w:shd w:val="clear" w:color="auto" w:fill="FFC000"/>
            <w:vAlign w:val="center"/>
          </w:tcPr>
          <w:p w:rsidR="00D338A5" w:rsidRPr="00732139" w:rsidRDefault="00D338A5" w:rsidP="00114974">
            <w:pPr>
              <w:pStyle w:val="TableText"/>
              <w:keepLines/>
              <w:widowControl w:val="0"/>
              <w:jc w:val="center"/>
            </w:pPr>
            <w:r w:rsidRPr="00732139">
              <w:t>95%</w:t>
            </w:r>
          </w:p>
        </w:tc>
        <w:tc>
          <w:tcPr>
            <w:tcW w:w="1591" w:type="dxa"/>
            <w:shd w:val="clear" w:color="auto" w:fill="FFC000"/>
            <w:vAlign w:val="center"/>
          </w:tcPr>
          <w:p w:rsidR="00D338A5" w:rsidRPr="00732139" w:rsidRDefault="00D338A5" w:rsidP="00114974">
            <w:pPr>
              <w:pStyle w:val="TableText"/>
              <w:keepLines/>
              <w:widowControl w:val="0"/>
              <w:jc w:val="center"/>
            </w:pPr>
            <w:r w:rsidRPr="00732139">
              <w:t>77</w:t>
            </w:r>
          </w:p>
        </w:tc>
      </w:tr>
      <w:tr w:rsidR="00D338A5" w:rsidRPr="00732139" w:rsidTr="00531FF1">
        <w:trPr>
          <w:trHeight w:val="469"/>
        </w:trPr>
        <w:tc>
          <w:tcPr>
            <w:tcW w:w="1047" w:type="dxa"/>
            <w:vMerge/>
            <w:shd w:val="clear" w:color="auto" w:fill="FFC000"/>
            <w:vAlign w:val="center"/>
          </w:tcPr>
          <w:p w:rsidR="00D338A5" w:rsidRPr="00732139" w:rsidRDefault="00D338A5" w:rsidP="00114974">
            <w:pPr>
              <w:pStyle w:val="TableText"/>
              <w:keepLines/>
              <w:widowControl w:val="0"/>
            </w:pPr>
          </w:p>
        </w:tc>
        <w:tc>
          <w:tcPr>
            <w:tcW w:w="1240" w:type="dxa"/>
            <w:shd w:val="clear" w:color="auto" w:fill="FFC000"/>
            <w:vAlign w:val="center"/>
          </w:tcPr>
          <w:p w:rsidR="00D338A5" w:rsidRPr="00732139" w:rsidRDefault="00D338A5" w:rsidP="00114974">
            <w:pPr>
              <w:pStyle w:val="TableText"/>
              <w:keepLines/>
              <w:widowControl w:val="0"/>
            </w:pPr>
            <w:r w:rsidRPr="00732139">
              <w:t>Australian ever-treated</w:t>
            </w:r>
          </w:p>
        </w:tc>
        <w:tc>
          <w:tcPr>
            <w:tcW w:w="664" w:type="dxa"/>
            <w:gridSpan w:val="2"/>
            <w:shd w:val="clear" w:color="auto" w:fill="FFC000"/>
            <w:vAlign w:val="center"/>
          </w:tcPr>
          <w:p w:rsidR="00D338A5" w:rsidRPr="00732139" w:rsidRDefault="00D338A5" w:rsidP="00114974">
            <w:pPr>
              <w:pStyle w:val="TableText"/>
              <w:keepLines/>
              <w:widowControl w:val="0"/>
              <w:jc w:val="center"/>
            </w:pPr>
            <w:r w:rsidRPr="00732139">
              <w:t>51</w:t>
            </w:r>
          </w:p>
        </w:tc>
        <w:tc>
          <w:tcPr>
            <w:tcW w:w="866" w:type="dxa"/>
            <w:gridSpan w:val="2"/>
            <w:shd w:val="clear" w:color="auto" w:fill="FFC000"/>
            <w:vAlign w:val="center"/>
          </w:tcPr>
          <w:p w:rsidR="00D338A5" w:rsidRPr="00732139" w:rsidRDefault="00D338A5" w:rsidP="00114974">
            <w:pPr>
              <w:pStyle w:val="TableText"/>
              <w:keepLines/>
              <w:widowControl w:val="0"/>
              <w:jc w:val="center"/>
            </w:pPr>
            <w:r w:rsidRPr="00732139">
              <w:t>% alive</w:t>
            </w:r>
          </w:p>
        </w:tc>
        <w:tc>
          <w:tcPr>
            <w:tcW w:w="726" w:type="dxa"/>
            <w:shd w:val="clear" w:color="auto" w:fill="FFC000"/>
            <w:vAlign w:val="center"/>
          </w:tcPr>
          <w:p w:rsidR="00D338A5" w:rsidRPr="00732139" w:rsidRDefault="00D338A5" w:rsidP="00114974">
            <w:pPr>
              <w:pStyle w:val="TableText"/>
              <w:keepLines/>
              <w:widowControl w:val="0"/>
              <w:jc w:val="center"/>
            </w:pPr>
            <w:r w:rsidRPr="00732139">
              <w:t>99%</w:t>
            </w:r>
          </w:p>
        </w:tc>
        <w:tc>
          <w:tcPr>
            <w:tcW w:w="734" w:type="dxa"/>
            <w:shd w:val="clear" w:color="auto" w:fill="FFC000"/>
            <w:vAlign w:val="center"/>
          </w:tcPr>
          <w:p w:rsidR="00D338A5" w:rsidRPr="00732139" w:rsidRDefault="00D338A5" w:rsidP="00114974">
            <w:pPr>
              <w:pStyle w:val="TableText"/>
              <w:keepLines/>
              <w:widowControl w:val="0"/>
              <w:jc w:val="center"/>
            </w:pPr>
            <w:r w:rsidRPr="00732139">
              <w:t>99%</w:t>
            </w:r>
          </w:p>
        </w:tc>
        <w:tc>
          <w:tcPr>
            <w:tcW w:w="736" w:type="dxa"/>
            <w:shd w:val="clear" w:color="auto" w:fill="FFC000"/>
            <w:vAlign w:val="center"/>
          </w:tcPr>
          <w:p w:rsidR="00D338A5" w:rsidRPr="00732139" w:rsidRDefault="00D338A5" w:rsidP="00114974">
            <w:pPr>
              <w:pStyle w:val="TableText"/>
              <w:keepLines/>
              <w:widowControl w:val="0"/>
              <w:jc w:val="center"/>
            </w:pPr>
            <w:r w:rsidRPr="00732139">
              <w:t>98%</w:t>
            </w:r>
          </w:p>
        </w:tc>
        <w:tc>
          <w:tcPr>
            <w:tcW w:w="706" w:type="dxa"/>
            <w:shd w:val="clear" w:color="auto" w:fill="FFC000"/>
            <w:vAlign w:val="center"/>
          </w:tcPr>
          <w:p w:rsidR="00D338A5" w:rsidRPr="00732139" w:rsidRDefault="00D338A5" w:rsidP="00114974">
            <w:pPr>
              <w:pStyle w:val="TableText"/>
              <w:keepLines/>
              <w:widowControl w:val="0"/>
              <w:jc w:val="center"/>
            </w:pPr>
            <w:r w:rsidRPr="00732139">
              <w:t>98%</w:t>
            </w:r>
          </w:p>
        </w:tc>
        <w:tc>
          <w:tcPr>
            <w:tcW w:w="707" w:type="dxa"/>
            <w:shd w:val="clear" w:color="auto" w:fill="FFC000"/>
            <w:vAlign w:val="center"/>
          </w:tcPr>
          <w:p w:rsidR="00D338A5" w:rsidRPr="00732139" w:rsidRDefault="00D338A5" w:rsidP="00114974">
            <w:pPr>
              <w:pStyle w:val="TableText"/>
              <w:keepLines/>
              <w:widowControl w:val="0"/>
              <w:jc w:val="center"/>
            </w:pPr>
            <w:r w:rsidRPr="00732139">
              <w:t>97%</w:t>
            </w:r>
          </w:p>
        </w:tc>
        <w:tc>
          <w:tcPr>
            <w:tcW w:w="1591" w:type="dxa"/>
            <w:shd w:val="clear" w:color="auto" w:fill="FFC000"/>
            <w:vAlign w:val="center"/>
          </w:tcPr>
          <w:p w:rsidR="00D338A5" w:rsidRPr="00732139" w:rsidRDefault="00D338A5" w:rsidP="00114974">
            <w:pPr>
              <w:pStyle w:val="TableText"/>
              <w:keepLines/>
              <w:widowControl w:val="0"/>
              <w:jc w:val="center"/>
            </w:pPr>
            <w:r w:rsidRPr="00732139">
              <w:t>2</w:t>
            </w:r>
          </w:p>
        </w:tc>
      </w:tr>
      <w:tr w:rsidR="00D338A5" w:rsidRPr="00732139" w:rsidTr="00531FF1">
        <w:trPr>
          <w:trHeight w:val="469"/>
        </w:trPr>
        <w:tc>
          <w:tcPr>
            <w:tcW w:w="1047" w:type="dxa"/>
            <w:vMerge/>
            <w:shd w:val="clear" w:color="auto" w:fill="FFC000"/>
            <w:vAlign w:val="center"/>
          </w:tcPr>
          <w:p w:rsidR="00D338A5" w:rsidRPr="00732139" w:rsidRDefault="00D338A5" w:rsidP="00114974">
            <w:pPr>
              <w:pStyle w:val="TableText"/>
              <w:keepLines/>
              <w:widowControl w:val="0"/>
            </w:pPr>
          </w:p>
        </w:tc>
        <w:tc>
          <w:tcPr>
            <w:tcW w:w="1240" w:type="dxa"/>
            <w:shd w:val="clear" w:color="auto" w:fill="FFC000"/>
            <w:vAlign w:val="center"/>
          </w:tcPr>
          <w:p w:rsidR="00D338A5" w:rsidRPr="00732139" w:rsidRDefault="00D338A5" w:rsidP="00114974">
            <w:pPr>
              <w:pStyle w:val="TableText"/>
              <w:keepLines/>
              <w:widowControl w:val="0"/>
            </w:pPr>
            <w:r w:rsidRPr="00732139">
              <w:t>International never-treated</w:t>
            </w:r>
          </w:p>
        </w:tc>
        <w:tc>
          <w:tcPr>
            <w:tcW w:w="664" w:type="dxa"/>
            <w:gridSpan w:val="2"/>
            <w:shd w:val="clear" w:color="auto" w:fill="FFC000"/>
            <w:vAlign w:val="center"/>
          </w:tcPr>
          <w:p w:rsidR="00D338A5" w:rsidRPr="00732139" w:rsidRDefault="00D338A5" w:rsidP="00114974">
            <w:pPr>
              <w:pStyle w:val="TableText"/>
              <w:keepLines/>
              <w:widowControl w:val="0"/>
              <w:jc w:val="center"/>
            </w:pPr>
            <w:r w:rsidRPr="00732139">
              <w:t>200</w:t>
            </w:r>
          </w:p>
        </w:tc>
        <w:tc>
          <w:tcPr>
            <w:tcW w:w="866" w:type="dxa"/>
            <w:gridSpan w:val="2"/>
            <w:shd w:val="clear" w:color="auto" w:fill="FFC000"/>
            <w:vAlign w:val="center"/>
          </w:tcPr>
          <w:p w:rsidR="00D338A5" w:rsidRPr="00732139" w:rsidRDefault="00D338A5" w:rsidP="00114974">
            <w:pPr>
              <w:pStyle w:val="TableText"/>
              <w:keepLines/>
              <w:widowControl w:val="0"/>
              <w:jc w:val="center"/>
            </w:pPr>
            <w:r w:rsidRPr="00732139">
              <w:t>% alive</w:t>
            </w:r>
          </w:p>
        </w:tc>
        <w:tc>
          <w:tcPr>
            <w:tcW w:w="726" w:type="dxa"/>
            <w:shd w:val="clear" w:color="auto" w:fill="FFC000"/>
            <w:vAlign w:val="center"/>
          </w:tcPr>
          <w:p w:rsidR="00D338A5" w:rsidRPr="00732139" w:rsidRDefault="00D338A5" w:rsidP="00114974">
            <w:pPr>
              <w:pStyle w:val="TableText"/>
              <w:keepLines/>
              <w:widowControl w:val="0"/>
              <w:jc w:val="center"/>
            </w:pPr>
            <w:r w:rsidRPr="00732139">
              <w:t>94%</w:t>
            </w:r>
          </w:p>
        </w:tc>
        <w:tc>
          <w:tcPr>
            <w:tcW w:w="734" w:type="dxa"/>
            <w:shd w:val="clear" w:color="auto" w:fill="FFC000"/>
            <w:vAlign w:val="center"/>
          </w:tcPr>
          <w:p w:rsidR="00D338A5" w:rsidRPr="00732139" w:rsidRDefault="00D338A5" w:rsidP="00114974">
            <w:pPr>
              <w:pStyle w:val="TableText"/>
              <w:keepLines/>
              <w:widowControl w:val="0"/>
              <w:jc w:val="center"/>
            </w:pPr>
            <w:r w:rsidRPr="00732139">
              <w:t>88%</w:t>
            </w:r>
          </w:p>
        </w:tc>
        <w:tc>
          <w:tcPr>
            <w:tcW w:w="736" w:type="dxa"/>
            <w:shd w:val="clear" w:color="auto" w:fill="FFC000"/>
            <w:vAlign w:val="center"/>
          </w:tcPr>
          <w:p w:rsidR="00D338A5" w:rsidRPr="00732139" w:rsidRDefault="00D338A5" w:rsidP="00114974">
            <w:pPr>
              <w:pStyle w:val="TableText"/>
              <w:keepLines/>
              <w:widowControl w:val="0"/>
              <w:jc w:val="center"/>
            </w:pPr>
            <w:r w:rsidRPr="00732139">
              <w:t>86%</w:t>
            </w:r>
          </w:p>
        </w:tc>
        <w:tc>
          <w:tcPr>
            <w:tcW w:w="706" w:type="dxa"/>
            <w:shd w:val="clear" w:color="auto" w:fill="FFC000"/>
            <w:vAlign w:val="center"/>
          </w:tcPr>
          <w:p w:rsidR="00D338A5" w:rsidRPr="00732139" w:rsidRDefault="00D338A5" w:rsidP="00114974">
            <w:pPr>
              <w:pStyle w:val="TableText"/>
              <w:keepLines/>
              <w:widowControl w:val="0"/>
              <w:jc w:val="center"/>
            </w:pPr>
            <w:r w:rsidRPr="00732139">
              <w:t>83%</w:t>
            </w:r>
          </w:p>
        </w:tc>
        <w:tc>
          <w:tcPr>
            <w:tcW w:w="707" w:type="dxa"/>
            <w:shd w:val="clear" w:color="auto" w:fill="FFC000"/>
            <w:vAlign w:val="center"/>
          </w:tcPr>
          <w:p w:rsidR="00D338A5" w:rsidRPr="00732139" w:rsidRDefault="00D338A5" w:rsidP="00114974">
            <w:pPr>
              <w:pStyle w:val="TableText"/>
              <w:keepLines/>
              <w:widowControl w:val="0"/>
              <w:jc w:val="center"/>
            </w:pPr>
            <w:r w:rsidRPr="00732139">
              <w:t>77%</w:t>
            </w:r>
          </w:p>
        </w:tc>
        <w:tc>
          <w:tcPr>
            <w:tcW w:w="1591" w:type="dxa"/>
            <w:shd w:val="clear" w:color="auto" w:fill="FFC000"/>
            <w:vAlign w:val="center"/>
          </w:tcPr>
          <w:p w:rsidR="00D338A5" w:rsidRPr="00732139" w:rsidRDefault="00D338A5" w:rsidP="00114974">
            <w:pPr>
              <w:pStyle w:val="TableText"/>
              <w:keepLines/>
              <w:widowControl w:val="0"/>
              <w:jc w:val="center"/>
            </w:pPr>
            <w:r w:rsidRPr="00732139">
              <w:t>29</w:t>
            </w:r>
          </w:p>
        </w:tc>
      </w:tr>
      <w:tr w:rsidR="00D338A5" w:rsidRPr="00732139" w:rsidTr="00531FF1">
        <w:tc>
          <w:tcPr>
            <w:tcW w:w="1047" w:type="dxa"/>
            <w:vMerge w:val="restart"/>
            <w:vAlign w:val="center"/>
          </w:tcPr>
          <w:p w:rsidR="00D338A5" w:rsidRPr="00732139" w:rsidRDefault="00D338A5" w:rsidP="00114974">
            <w:pPr>
              <w:pStyle w:val="TableText"/>
              <w:keepLines/>
              <w:widowControl w:val="0"/>
            </w:pPr>
            <w:r w:rsidRPr="00732139">
              <w:t>Adjusted without LDH</w:t>
            </w:r>
          </w:p>
        </w:tc>
        <w:tc>
          <w:tcPr>
            <w:tcW w:w="1240" w:type="dxa"/>
            <w:vAlign w:val="center"/>
          </w:tcPr>
          <w:p w:rsidR="00D338A5" w:rsidRPr="00732139" w:rsidRDefault="00D338A5" w:rsidP="00114974">
            <w:pPr>
              <w:pStyle w:val="TableText"/>
              <w:keepLines/>
              <w:widowControl w:val="0"/>
            </w:pPr>
            <w:r w:rsidRPr="00732139">
              <w:t>International ever-treated</w:t>
            </w:r>
          </w:p>
        </w:tc>
        <w:tc>
          <w:tcPr>
            <w:tcW w:w="664" w:type="dxa"/>
            <w:gridSpan w:val="2"/>
            <w:vAlign w:val="center"/>
          </w:tcPr>
          <w:p w:rsidR="00D338A5" w:rsidRPr="00732139" w:rsidRDefault="00D338A5" w:rsidP="00114974">
            <w:pPr>
              <w:pStyle w:val="TableText"/>
              <w:keepLines/>
              <w:widowControl w:val="0"/>
              <w:jc w:val="center"/>
            </w:pPr>
            <w:r w:rsidRPr="00732139">
              <w:t>1,912</w:t>
            </w:r>
          </w:p>
        </w:tc>
        <w:tc>
          <w:tcPr>
            <w:tcW w:w="858" w:type="dxa"/>
            <w:vAlign w:val="center"/>
          </w:tcPr>
          <w:p w:rsidR="00D338A5" w:rsidRPr="00732139" w:rsidRDefault="00D338A5" w:rsidP="00114974">
            <w:pPr>
              <w:pStyle w:val="TableText"/>
              <w:keepLines/>
              <w:widowControl w:val="0"/>
              <w:jc w:val="center"/>
            </w:pPr>
            <w:r w:rsidRPr="00732139">
              <w:t>% alive</w:t>
            </w:r>
          </w:p>
        </w:tc>
        <w:tc>
          <w:tcPr>
            <w:tcW w:w="734" w:type="dxa"/>
            <w:gridSpan w:val="2"/>
            <w:vAlign w:val="center"/>
          </w:tcPr>
          <w:p w:rsidR="00D338A5" w:rsidRPr="00732139" w:rsidRDefault="00D338A5" w:rsidP="00114974">
            <w:pPr>
              <w:pStyle w:val="TableText"/>
              <w:keepLines/>
              <w:widowControl w:val="0"/>
              <w:jc w:val="center"/>
            </w:pPr>
            <w:r w:rsidRPr="00732139">
              <w:t>99%</w:t>
            </w:r>
          </w:p>
        </w:tc>
        <w:tc>
          <w:tcPr>
            <w:tcW w:w="734" w:type="dxa"/>
            <w:vAlign w:val="center"/>
          </w:tcPr>
          <w:p w:rsidR="00D338A5" w:rsidRPr="00732139" w:rsidRDefault="00D338A5" w:rsidP="00114974">
            <w:pPr>
              <w:pStyle w:val="TableText"/>
              <w:keepLines/>
              <w:widowControl w:val="0"/>
              <w:jc w:val="center"/>
            </w:pPr>
            <w:r w:rsidRPr="00732139">
              <w:t>99%</w:t>
            </w:r>
          </w:p>
        </w:tc>
        <w:tc>
          <w:tcPr>
            <w:tcW w:w="736" w:type="dxa"/>
            <w:vAlign w:val="center"/>
          </w:tcPr>
          <w:p w:rsidR="00D338A5" w:rsidRPr="00732139" w:rsidRDefault="00D338A5" w:rsidP="00114974">
            <w:pPr>
              <w:pStyle w:val="TableText"/>
              <w:keepLines/>
              <w:widowControl w:val="0"/>
              <w:jc w:val="center"/>
            </w:pPr>
            <w:r w:rsidRPr="00732139">
              <w:t>98%</w:t>
            </w:r>
          </w:p>
        </w:tc>
        <w:tc>
          <w:tcPr>
            <w:tcW w:w="706" w:type="dxa"/>
            <w:vAlign w:val="center"/>
          </w:tcPr>
          <w:p w:rsidR="00D338A5" w:rsidRPr="00732139" w:rsidRDefault="00D338A5" w:rsidP="00114974">
            <w:pPr>
              <w:pStyle w:val="TableText"/>
              <w:keepLines/>
              <w:widowControl w:val="0"/>
              <w:jc w:val="center"/>
            </w:pPr>
            <w:r w:rsidRPr="00732139">
              <w:t>97%</w:t>
            </w:r>
          </w:p>
        </w:tc>
        <w:tc>
          <w:tcPr>
            <w:tcW w:w="707" w:type="dxa"/>
            <w:vAlign w:val="center"/>
          </w:tcPr>
          <w:p w:rsidR="00D338A5" w:rsidRPr="00732139" w:rsidRDefault="00D338A5" w:rsidP="00114974">
            <w:pPr>
              <w:pStyle w:val="TableText"/>
              <w:keepLines/>
              <w:widowControl w:val="0"/>
              <w:jc w:val="center"/>
            </w:pPr>
            <w:r w:rsidRPr="00732139">
              <w:t>94%</w:t>
            </w:r>
          </w:p>
        </w:tc>
        <w:tc>
          <w:tcPr>
            <w:tcW w:w="1591" w:type="dxa"/>
            <w:vAlign w:val="center"/>
          </w:tcPr>
          <w:p w:rsidR="00D338A5" w:rsidRPr="00732139" w:rsidRDefault="00D338A5" w:rsidP="00114974">
            <w:pPr>
              <w:pStyle w:val="TableText"/>
              <w:keepLines/>
              <w:widowControl w:val="0"/>
              <w:jc w:val="center"/>
            </w:pPr>
            <w:r w:rsidRPr="00732139">
              <w:t>124</w:t>
            </w:r>
          </w:p>
        </w:tc>
      </w:tr>
      <w:tr w:rsidR="00D338A5" w:rsidRPr="00732139" w:rsidTr="00531FF1">
        <w:tc>
          <w:tcPr>
            <w:tcW w:w="1047" w:type="dxa"/>
            <w:vMerge/>
            <w:vAlign w:val="center"/>
          </w:tcPr>
          <w:p w:rsidR="00D338A5" w:rsidRPr="00732139" w:rsidRDefault="00D338A5" w:rsidP="00114974">
            <w:pPr>
              <w:pStyle w:val="TableText"/>
              <w:keepLines/>
              <w:widowControl w:val="0"/>
            </w:pPr>
          </w:p>
        </w:tc>
        <w:tc>
          <w:tcPr>
            <w:tcW w:w="1240" w:type="dxa"/>
            <w:vAlign w:val="center"/>
          </w:tcPr>
          <w:p w:rsidR="00D338A5" w:rsidRPr="00732139" w:rsidRDefault="00D338A5" w:rsidP="00114974">
            <w:pPr>
              <w:pStyle w:val="TableText"/>
              <w:keepLines/>
              <w:widowControl w:val="0"/>
            </w:pPr>
            <w:r w:rsidRPr="00732139">
              <w:t>Australian ever-treated</w:t>
            </w:r>
          </w:p>
        </w:tc>
        <w:tc>
          <w:tcPr>
            <w:tcW w:w="664" w:type="dxa"/>
            <w:gridSpan w:val="2"/>
            <w:vAlign w:val="center"/>
          </w:tcPr>
          <w:p w:rsidR="00D338A5" w:rsidRPr="00732139" w:rsidRDefault="00D338A5" w:rsidP="00114974">
            <w:pPr>
              <w:pStyle w:val="TableText"/>
              <w:keepLines/>
              <w:widowControl w:val="0"/>
              <w:jc w:val="center"/>
            </w:pPr>
            <w:r w:rsidRPr="00732139">
              <w:t>72</w:t>
            </w:r>
          </w:p>
        </w:tc>
        <w:tc>
          <w:tcPr>
            <w:tcW w:w="858" w:type="dxa"/>
            <w:vAlign w:val="center"/>
          </w:tcPr>
          <w:p w:rsidR="00D338A5" w:rsidRPr="00732139" w:rsidRDefault="00D338A5" w:rsidP="00114974">
            <w:pPr>
              <w:pStyle w:val="TableText"/>
              <w:keepLines/>
              <w:widowControl w:val="0"/>
              <w:jc w:val="center"/>
            </w:pPr>
            <w:r w:rsidRPr="00732139">
              <w:t>% alive</w:t>
            </w:r>
          </w:p>
        </w:tc>
        <w:tc>
          <w:tcPr>
            <w:tcW w:w="734" w:type="dxa"/>
            <w:gridSpan w:val="2"/>
            <w:vAlign w:val="center"/>
          </w:tcPr>
          <w:p w:rsidR="00D338A5" w:rsidRPr="00732139" w:rsidRDefault="00D338A5" w:rsidP="00114974">
            <w:pPr>
              <w:pStyle w:val="TableText"/>
              <w:keepLines/>
              <w:widowControl w:val="0"/>
              <w:jc w:val="center"/>
            </w:pPr>
            <w:r w:rsidRPr="00732139">
              <w:t>99%</w:t>
            </w:r>
          </w:p>
        </w:tc>
        <w:tc>
          <w:tcPr>
            <w:tcW w:w="734" w:type="dxa"/>
            <w:vAlign w:val="center"/>
          </w:tcPr>
          <w:p w:rsidR="00D338A5" w:rsidRPr="00732139" w:rsidRDefault="00D338A5" w:rsidP="00114974">
            <w:pPr>
              <w:pStyle w:val="TableText"/>
              <w:keepLines/>
              <w:widowControl w:val="0"/>
              <w:jc w:val="center"/>
            </w:pPr>
            <w:r w:rsidRPr="00732139">
              <w:t>98%</w:t>
            </w:r>
          </w:p>
        </w:tc>
        <w:tc>
          <w:tcPr>
            <w:tcW w:w="736" w:type="dxa"/>
            <w:vAlign w:val="center"/>
          </w:tcPr>
          <w:p w:rsidR="00D338A5" w:rsidRPr="00732139" w:rsidRDefault="00D338A5" w:rsidP="00114974">
            <w:pPr>
              <w:pStyle w:val="TableText"/>
              <w:keepLines/>
              <w:widowControl w:val="0"/>
              <w:jc w:val="center"/>
            </w:pPr>
            <w:r w:rsidRPr="00732139">
              <w:t>98%</w:t>
            </w:r>
          </w:p>
        </w:tc>
        <w:tc>
          <w:tcPr>
            <w:tcW w:w="706" w:type="dxa"/>
            <w:vAlign w:val="center"/>
          </w:tcPr>
          <w:p w:rsidR="00D338A5" w:rsidRPr="00732139" w:rsidRDefault="00D338A5" w:rsidP="00114974">
            <w:pPr>
              <w:pStyle w:val="TableText"/>
              <w:keepLines/>
              <w:widowControl w:val="0"/>
              <w:jc w:val="center"/>
            </w:pPr>
            <w:r w:rsidRPr="00732139">
              <w:t>98%</w:t>
            </w:r>
          </w:p>
        </w:tc>
        <w:tc>
          <w:tcPr>
            <w:tcW w:w="707" w:type="dxa"/>
            <w:vAlign w:val="center"/>
          </w:tcPr>
          <w:p w:rsidR="00D338A5" w:rsidRPr="00732139" w:rsidRDefault="00D338A5" w:rsidP="00114974">
            <w:pPr>
              <w:pStyle w:val="TableText"/>
              <w:keepLines/>
              <w:widowControl w:val="0"/>
              <w:jc w:val="center"/>
            </w:pPr>
            <w:r w:rsidRPr="00732139">
              <w:t>97%</w:t>
            </w:r>
          </w:p>
        </w:tc>
        <w:tc>
          <w:tcPr>
            <w:tcW w:w="1591" w:type="dxa"/>
            <w:vAlign w:val="center"/>
          </w:tcPr>
          <w:p w:rsidR="00D338A5" w:rsidRPr="00732139" w:rsidRDefault="00D338A5" w:rsidP="00114974">
            <w:pPr>
              <w:pStyle w:val="TableText"/>
              <w:keepLines/>
              <w:widowControl w:val="0"/>
              <w:jc w:val="center"/>
            </w:pPr>
            <w:r w:rsidRPr="00732139">
              <w:t>2</w:t>
            </w:r>
          </w:p>
        </w:tc>
      </w:tr>
      <w:tr w:rsidR="00D338A5" w:rsidRPr="00732139" w:rsidTr="00531FF1">
        <w:tc>
          <w:tcPr>
            <w:tcW w:w="1047" w:type="dxa"/>
            <w:vMerge/>
            <w:vAlign w:val="center"/>
          </w:tcPr>
          <w:p w:rsidR="00D338A5" w:rsidRPr="00732139" w:rsidRDefault="00D338A5" w:rsidP="00114974">
            <w:pPr>
              <w:pStyle w:val="TableText"/>
              <w:keepLines/>
              <w:widowControl w:val="0"/>
            </w:pPr>
          </w:p>
        </w:tc>
        <w:tc>
          <w:tcPr>
            <w:tcW w:w="1240" w:type="dxa"/>
            <w:vAlign w:val="center"/>
          </w:tcPr>
          <w:p w:rsidR="00D338A5" w:rsidRPr="00732139" w:rsidRDefault="00D338A5" w:rsidP="00114974">
            <w:pPr>
              <w:pStyle w:val="TableText"/>
              <w:keepLines/>
              <w:widowControl w:val="0"/>
            </w:pPr>
            <w:r w:rsidRPr="00732139">
              <w:t>International never-treated</w:t>
            </w:r>
          </w:p>
        </w:tc>
        <w:tc>
          <w:tcPr>
            <w:tcW w:w="664" w:type="dxa"/>
            <w:gridSpan w:val="2"/>
            <w:vAlign w:val="center"/>
          </w:tcPr>
          <w:p w:rsidR="00D338A5" w:rsidRPr="00732139" w:rsidRDefault="00D338A5" w:rsidP="00114974">
            <w:pPr>
              <w:pStyle w:val="TableText"/>
              <w:keepLines/>
              <w:widowControl w:val="0"/>
              <w:jc w:val="center"/>
            </w:pPr>
            <w:r w:rsidRPr="00732139">
              <w:t>200</w:t>
            </w:r>
          </w:p>
        </w:tc>
        <w:tc>
          <w:tcPr>
            <w:tcW w:w="858" w:type="dxa"/>
            <w:vAlign w:val="center"/>
          </w:tcPr>
          <w:p w:rsidR="00D338A5" w:rsidRPr="00732139" w:rsidRDefault="00D338A5" w:rsidP="00114974">
            <w:pPr>
              <w:pStyle w:val="TableText"/>
              <w:keepLines/>
              <w:widowControl w:val="0"/>
              <w:jc w:val="center"/>
            </w:pPr>
            <w:r w:rsidRPr="00732139">
              <w:t>% alive</w:t>
            </w:r>
          </w:p>
        </w:tc>
        <w:tc>
          <w:tcPr>
            <w:tcW w:w="734" w:type="dxa"/>
            <w:gridSpan w:val="2"/>
            <w:vAlign w:val="center"/>
          </w:tcPr>
          <w:p w:rsidR="00D338A5" w:rsidRPr="00732139" w:rsidRDefault="00D338A5" w:rsidP="00114974">
            <w:pPr>
              <w:pStyle w:val="TableText"/>
              <w:keepLines/>
              <w:widowControl w:val="0"/>
              <w:jc w:val="center"/>
            </w:pPr>
            <w:r w:rsidRPr="00732139">
              <w:t>95%</w:t>
            </w:r>
          </w:p>
        </w:tc>
        <w:tc>
          <w:tcPr>
            <w:tcW w:w="734" w:type="dxa"/>
            <w:vAlign w:val="center"/>
          </w:tcPr>
          <w:p w:rsidR="00D338A5" w:rsidRPr="00732139" w:rsidRDefault="00D338A5" w:rsidP="00114974">
            <w:pPr>
              <w:pStyle w:val="TableText"/>
              <w:keepLines/>
              <w:widowControl w:val="0"/>
              <w:jc w:val="center"/>
            </w:pPr>
            <w:r w:rsidRPr="00732139">
              <w:t>89%</w:t>
            </w:r>
          </w:p>
        </w:tc>
        <w:tc>
          <w:tcPr>
            <w:tcW w:w="736" w:type="dxa"/>
            <w:vAlign w:val="center"/>
          </w:tcPr>
          <w:p w:rsidR="00D338A5" w:rsidRPr="00732139" w:rsidRDefault="00D338A5" w:rsidP="00114974">
            <w:pPr>
              <w:pStyle w:val="TableText"/>
              <w:keepLines/>
              <w:widowControl w:val="0"/>
              <w:jc w:val="center"/>
            </w:pPr>
            <w:r w:rsidRPr="00732139">
              <w:t>88%</w:t>
            </w:r>
          </w:p>
        </w:tc>
        <w:tc>
          <w:tcPr>
            <w:tcW w:w="706" w:type="dxa"/>
            <w:vAlign w:val="center"/>
          </w:tcPr>
          <w:p w:rsidR="00D338A5" w:rsidRPr="00732139" w:rsidRDefault="00D338A5" w:rsidP="00114974">
            <w:pPr>
              <w:pStyle w:val="TableText"/>
              <w:keepLines/>
              <w:widowControl w:val="0"/>
              <w:jc w:val="center"/>
            </w:pPr>
            <w:r w:rsidRPr="00732139">
              <w:t>85%</w:t>
            </w:r>
          </w:p>
        </w:tc>
        <w:tc>
          <w:tcPr>
            <w:tcW w:w="707" w:type="dxa"/>
            <w:vAlign w:val="center"/>
          </w:tcPr>
          <w:p w:rsidR="00D338A5" w:rsidRPr="00732139" w:rsidRDefault="00D338A5" w:rsidP="00114974">
            <w:pPr>
              <w:pStyle w:val="TableText"/>
              <w:keepLines/>
              <w:widowControl w:val="0"/>
              <w:jc w:val="center"/>
            </w:pPr>
            <w:r w:rsidRPr="00732139">
              <w:t>79%</w:t>
            </w:r>
          </w:p>
        </w:tc>
        <w:tc>
          <w:tcPr>
            <w:tcW w:w="1591" w:type="dxa"/>
            <w:vAlign w:val="center"/>
          </w:tcPr>
          <w:p w:rsidR="00D338A5" w:rsidRPr="00732139" w:rsidRDefault="00D338A5" w:rsidP="00114974">
            <w:pPr>
              <w:pStyle w:val="TableText"/>
              <w:keepLines/>
              <w:widowControl w:val="0"/>
              <w:jc w:val="center"/>
            </w:pPr>
            <w:r w:rsidRPr="00732139">
              <w:t>29</w:t>
            </w:r>
          </w:p>
        </w:tc>
      </w:tr>
      <w:tr w:rsidR="00D338A5" w:rsidRPr="00732139" w:rsidTr="00531FF1">
        <w:tc>
          <w:tcPr>
            <w:tcW w:w="9017" w:type="dxa"/>
            <w:gridSpan w:val="12"/>
          </w:tcPr>
          <w:p w:rsidR="00D338A5" w:rsidRPr="00732139" w:rsidRDefault="00D338A5" w:rsidP="00114974">
            <w:pPr>
              <w:pStyle w:val="TableText"/>
              <w:keepLines/>
              <w:widowControl w:val="0"/>
              <w:rPr>
                <w:b/>
                <w:bCs w:val="0"/>
              </w:rPr>
            </w:pPr>
            <w:r w:rsidRPr="00732139">
              <w:rPr>
                <w:b/>
                <w:bCs w:val="0"/>
              </w:rPr>
              <w:t>Hazard ratio (95% CI)</w:t>
            </w:r>
          </w:p>
        </w:tc>
      </w:tr>
      <w:tr w:rsidR="00D338A5" w:rsidRPr="00732139" w:rsidTr="00531FF1">
        <w:tc>
          <w:tcPr>
            <w:tcW w:w="2626" w:type="dxa"/>
            <w:gridSpan w:val="3"/>
            <w:vAlign w:val="center"/>
          </w:tcPr>
          <w:p w:rsidR="00D338A5" w:rsidRPr="00732139" w:rsidRDefault="00D338A5" w:rsidP="00114974">
            <w:pPr>
              <w:pStyle w:val="TableText"/>
              <w:keepLines/>
              <w:widowControl w:val="0"/>
              <w:jc w:val="center"/>
              <w:rPr>
                <w:b/>
                <w:bCs w:val="0"/>
              </w:rPr>
            </w:pPr>
            <w:r w:rsidRPr="00732139">
              <w:rPr>
                <w:b/>
                <w:bCs w:val="0"/>
              </w:rPr>
              <w:t>Model</w:t>
            </w:r>
          </w:p>
        </w:tc>
        <w:tc>
          <w:tcPr>
            <w:tcW w:w="3387" w:type="dxa"/>
            <w:gridSpan w:val="6"/>
            <w:vAlign w:val="center"/>
          </w:tcPr>
          <w:p w:rsidR="00D338A5" w:rsidRPr="00732139" w:rsidRDefault="00D338A5" w:rsidP="00114974">
            <w:pPr>
              <w:pStyle w:val="TableText"/>
              <w:keepLines/>
              <w:widowControl w:val="0"/>
              <w:jc w:val="center"/>
              <w:rPr>
                <w:b/>
                <w:bCs w:val="0"/>
              </w:rPr>
            </w:pPr>
            <w:r w:rsidRPr="00732139">
              <w:rPr>
                <w:b/>
                <w:bCs w:val="0"/>
              </w:rPr>
              <w:t>Australia ever-treated vs international never-treated</w:t>
            </w:r>
          </w:p>
        </w:tc>
        <w:tc>
          <w:tcPr>
            <w:tcW w:w="3004" w:type="dxa"/>
            <w:gridSpan w:val="3"/>
            <w:vAlign w:val="center"/>
          </w:tcPr>
          <w:p w:rsidR="00D338A5" w:rsidRPr="00732139" w:rsidRDefault="00D338A5" w:rsidP="00114974">
            <w:pPr>
              <w:pStyle w:val="TableText"/>
              <w:keepLines/>
              <w:widowControl w:val="0"/>
              <w:jc w:val="center"/>
              <w:rPr>
                <w:b/>
                <w:bCs w:val="0"/>
              </w:rPr>
            </w:pPr>
            <w:r w:rsidRPr="00732139">
              <w:rPr>
                <w:b/>
                <w:bCs w:val="0"/>
              </w:rPr>
              <w:t>International ever-treated vs international never-treated</w:t>
            </w:r>
          </w:p>
        </w:tc>
      </w:tr>
      <w:tr w:rsidR="00D338A5" w:rsidRPr="00732139" w:rsidTr="00531FF1">
        <w:tc>
          <w:tcPr>
            <w:tcW w:w="2626" w:type="dxa"/>
            <w:gridSpan w:val="3"/>
            <w:vAlign w:val="center"/>
          </w:tcPr>
          <w:p w:rsidR="00D338A5" w:rsidRPr="00732139" w:rsidRDefault="00D338A5" w:rsidP="00114974">
            <w:pPr>
              <w:pStyle w:val="TableText"/>
              <w:keepLines/>
              <w:widowControl w:val="0"/>
              <w:jc w:val="center"/>
            </w:pPr>
            <w:r w:rsidRPr="00732139">
              <w:t>Unadjusted</w:t>
            </w:r>
          </w:p>
        </w:tc>
        <w:tc>
          <w:tcPr>
            <w:tcW w:w="3387" w:type="dxa"/>
            <w:gridSpan w:val="6"/>
          </w:tcPr>
          <w:p w:rsidR="00D338A5" w:rsidRPr="00732139" w:rsidRDefault="00D338A5" w:rsidP="00114974">
            <w:pPr>
              <w:pStyle w:val="TableText"/>
              <w:keepLines/>
              <w:widowControl w:val="0"/>
              <w:jc w:val="center"/>
            </w:pPr>
            <w:r w:rsidRPr="00732139">
              <w:t>0.11 (0.03, 0.45)</w:t>
            </w:r>
          </w:p>
        </w:tc>
        <w:tc>
          <w:tcPr>
            <w:tcW w:w="3004" w:type="dxa"/>
            <w:gridSpan w:val="3"/>
          </w:tcPr>
          <w:p w:rsidR="00D338A5" w:rsidRPr="00732139" w:rsidRDefault="00D338A5" w:rsidP="00114974">
            <w:pPr>
              <w:pStyle w:val="TableText"/>
              <w:keepLines/>
              <w:widowControl w:val="0"/>
              <w:jc w:val="center"/>
            </w:pPr>
            <w:r w:rsidRPr="00732139">
              <w:t>0.20 (0.14, 0.30)</w:t>
            </w:r>
          </w:p>
        </w:tc>
      </w:tr>
      <w:tr w:rsidR="00D338A5" w:rsidRPr="00732139" w:rsidTr="00531FF1">
        <w:tc>
          <w:tcPr>
            <w:tcW w:w="2626" w:type="dxa"/>
            <w:gridSpan w:val="3"/>
            <w:shd w:val="clear" w:color="auto" w:fill="FFC000"/>
            <w:vAlign w:val="center"/>
          </w:tcPr>
          <w:p w:rsidR="00D338A5" w:rsidRPr="00732139" w:rsidRDefault="00D338A5" w:rsidP="00114974">
            <w:pPr>
              <w:pStyle w:val="TableText"/>
              <w:keepLines/>
              <w:widowControl w:val="0"/>
              <w:jc w:val="center"/>
            </w:pPr>
            <w:r w:rsidRPr="00732139">
              <w:t>Adjusted with LDH</w:t>
            </w:r>
          </w:p>
        </w:tc>
        <w:tc>
          <w:tcPr>
            <w:tcW w:w="3387" w:type="dxa"/>
            <w:gridSpan w:val="6"/>
            <w:shd w:val="clear" w:color="auto" w:fill="FFC000"/>
          </w:tcPr>
          <w:p w:rsidR="00D338A5" w:rsidRPr="00732139" w:rsidRDefault="00D338A5" w:rsidP="00114974">
            <w:pPr>
              <w:pStyle w:val="TableText"/>
              <w:keepLines/>
              <w:widowControl w:val="0"/>
              <w:jc w:val="center"/>
            </w:pPr>
            <w:r w:rsidRPr="00732139">
              <w:t>0.10 (0.01, 0.78)</w:t>
            </w:r>
          </w:p>
        </w:tc>
        <w:tc>
          <w:tcPr>
            <w:tcW w:w="3004" w:type="dxa"/>
            <w:gridSpan w:val="3"/>
            <w:shd w:val="clear" w:color="auto" w:fill="FFC000"/>
          </w:tcPr>
          <w:p w:rsidR="00D338A5" w:rsidRPr="00732139" w:rsidRDefault="00D338A5" w:rsidP="00114974">
            <w:pPr>
              <w:pStyle w:val="TableText"/>
              <w:keepLines/>
              <w:widowControl w:val="0"/>
              <w:jc w:val="center"/>
            </w:pPr>
            <w:r w:rsidRPr="00732139">
              <w:t>0.29 (0.18, 0.46)</w:t>
            </w:r>
          </w:p>
        </w:tc>
      </w:tr>
      <w:tr w:rsidR="00D338A5" w:rsidRPr="00732139" w:rsidTr="00531FF1">
        <w:tc>
          <w:tcPr>
            <w:tcW w:w="2626" w:type="dxa"/>
            <w:gridSpan w:val="3"/>
            <w:vAlign w:val="center"/>
          </w:tcPr>
          <w:p w:rsidR="00D338A5" w:rsidRPr="00732139" w:rsidRDefault="00D338A5" w:rsidP="00114974">
            <w:pPr>
              <w:pStyle w:val="TableText"/>
              <w:keepLines/>
              <w:widowControl w:val="0"/>
              <w:jc w:val="center"/>
            </w:pPr>
            <w:r w:rsidRPr="00732139">
              <w:t>Adjusted without LDH</w:t>
            </w:r>
          </w:p>
        </w:tc>
        <w:tc>
          <w:tcPr>
            <w:tcW w:w="3387" w:type="dxa"/>
            <w:gridSpan w:val="6"/>
          </w:tcPr>
          <w:p w:rsidR="00D338A5" w:rsidRPr="00732139" w:rsidRDefault="00D338A5" w:rsidP="00114974">
            <w:pPr>
              <w:pStyle w:val="TableText"/>
              <w:keepLines/>
              <w:widowControl w:val="0"/>
              <w:jc w:val="center"/>
            </w:pPr>
            <w:r w:rsidRPr="00732139">
              <w:t>0.14 (0.03, 0.64)</w:t>
            </w:r>
          </w:p>
        </w:tc>
        <w:tc>
          <w:tcPr>
            <w:tcW w:w="3004" w:type="dxa"/>
            <w:gridSpan w:val="3"/>
          </w:tcPr>
          <w:p w:rsidR="00D338A5" w:rsidRPr="00732139" w:rsidRDefault="00D338A5" w:rsidP="00114974">
            <w:pPr>
              <w:pStyle w:val="TableText"/>
              <w:keepLines/>
              <w:widowControl w:val="0"/>
              <w:jc w:val="center"/>
            </w:pPr>
            <w:r w:rsidRPr="00732139">
              <w:t>0.28 (0.19, 0.43)</w:t>
            </w:r>
          </w:p>
        </w:tc>
      </w:tr>
    </w:tbl>
    <w:p w:rsidR="00D338A5" w:rsidRPr="00732139" w:rsidRDefault="00D338A5" w:rsidP="00114974">
      <w:pPr>
        <w:pStyle w:val="TableFigureFooter"/>
        <w:keepNext/>
        <w:keepLines/>
      </w:pPr>
      <w:r w:rsidRPr="00732139">
        <w:t>Source: Table 2.107, p212 and Attachment 4 of the resubmission</w:t>
      </w:r>
    </w:p>
    <w:p w:rsidR="00D338A5" w:rsidRPr="00732139" w:rsidRDefault="00D338A5" w:rsidP="00D338A5">
      <w:pPr>
        <w:pStyle w:val="TableFigureFooter"/>
      </w:pPr>
      <w:r w:rsidRPr="00732139">
        <w:t>Abbreviations: LDH, lactate dehydrogenase</w:t>
      </w:r>
    </w:p>
    <w:p w:rsidR="00D338A5" w:rsidRPr="00732139" w:rsidRDefault="00D338A5" w:rsidP="00204B94">
      <w:pPr>
        <w:pStyle w:val="TableFigureFooter"/>
        <w:rPr>
          <w:iCs/>
        </w:rPr>
      </w:pPr>
      <w:r w:rsidRPr="00732139">
        <w:rPr>
          <w:iCs/>
        </w:rPr>
        <w:t>The population used in the base case of the economic model is highlighted in orange</w:t>
      </w:r>
      <w:r w:rsidR="005C640E" w:rsidRPr="00732139">
        <w:rPr>
          <w:iCs/>
        </w:rPr>
        <w:t>.</w:t>
      </w:r>
    </w:p>
    <w:p w:rsidR="00CF2D47" w:rsidRPr="00732139" w:rsidRDefault="00204B94" w:rsidP="00EC5836">
      <w:pPr>
        <w:pStyle w:val="ExecSumBodyText"/>
        <w:rPr>
          <w:i/>
          <w:iCs/>
        </w:rPr>
      </w:pPr>
      <w:r w:rsidRPr="00732139">
        <w:t xml:space="preserve">The </w:t>
      </w:r>
      <w:r w:rsidR="00764948" w:rsidRPr="00732139">
        <w:t xml:space="preserve">ESC agreed with the evaluation that the </w:t>
      </w:r>
      <w:r w:rsidRPr="00732139">
        <w:t>results suggest that patients who were ever treated with eculizumab had improved survival compared with patients who were never treated with eculizumab. The results also indicate a greater improvement in survival when comparing the Australian ever-treated cohort with the international never-treated cohort, than comparisons between the international ever-treated and international never-treated cohorts.</w:t>
      </w:r>
      <w:r w:rsidRPr="00732139">
        <w:rPr>
          <w:iCs/>
        </w:rPr>
        <w:t xml:space="preserve"> </w:t>
      </w:r>
      <w:r w:rsidR="00764948" w:rsidRPr="00732139">
        <w:rPr>
          <w:iCs/>
        </w:rPr>
        <w:t>However, the ESC considered t</w:t>
      </w:r>
      <w:r w:rsidRPr="00732139">
        <w:rPr>
          <w:iCs/>
        </w:rPr>
        <w:t xml:space="preserve">hese results should be interpreted with caution due to limited detail provided regarding data </w:t>
      </w:r>
      <w:r w:rsidR="00CF2D47" w:rsidRPr="00732139">
        <w:rPr>
          <w:iCs/>
        </w:rPr>
        <w:t>collection, heterogeneity</w:t>
      </w:r>
      <w:r w:rsidRPr="00732139">
        <w:rPr>
          <w:iCs/>
        </w:rPr>
        <w:t xml:space="preserve"> between treatment groups, lack of treatment details and risk of bias (selection and immortal time biases).</w:t>
      </w:r>
      <w:r w:rsidR="00CF2D47" w:rsidRPr="00732139">
        <w:rPr>
          <w:i/>
          <w:iCs/>
        </w:rPr>
        <w:t xml:space="preserve"> </w:t>
      </w:r>
      <w:r w:rsidR="00806F71" w:rsidRPr="00732139">
        <w:rPr>
          <w:iCs/>
        </w:rPr>
        <w:t xml:space="preserve">The PBAC </w:t>
      </w:r>
      <w:r w:rsidR="00175968" w:rsidRPr="00732139">
        <w:rPr>
          <w:iCs/>
        </w:rPr>
        <w:t>not</w:t>
      </w:r>
      <w:r w:rsidR="00806F71" w:rsidRPr="00732139">
        <w:rPr>
          <w:iCs/>
        </w:rPr>
        <w:t>ed the reported hazard ratios adjusted with and without LDH were relatively consistent within the Australian ever-treated versus international never-treated and international ever-treated versus international never-treated cohorts.</w:t>
      </w:r>
    </w:p>
    <w:p w:rsidR="00D338A5" w:rsidRPr="00732139" w:rsidRDefault="00CF2D47" w:rsidP="00EC5836">
      <w:pPr>
        <w:pStyle w:val="ExecSumBodyText"/>
        <w:rPr>
          <w:iCs/>
        </w:rPr>
      </w:pPr>
      <w:r w:rsidRPr="00732139">
        <w:rPr>
          <w:iCs/>
        </w:rPr>
        <w:t xml:space="preserve">Based on the survival curves constructed for </w:t>
      </w:r>
      <w:r w:rsidR="009A3143" w:rsidRPr="00732139">
        <w:rPr>
          <w:iCs/>
        </w:rPr>
        <w:t>each cohort</w:t>
      </w:r>
      <w:r w:rsidRPr="00732139">
        <w:rPr>
          <w:iCs/>
        </w:rPr>
        <w:t xml:space="preserve">, there appear to be differences in duration of follow-up, with a maximum of 8 years reported for the </w:t>
      </w:r>
      <w:r w:rsidR="009A3143" w:rsidRPr="00732139">
        <w:rPr>
          <w:iCs/>
        </w:rPr>
        <w:t>Australian ever-treated cohort</w:t>
      </w:r>
      <w:r w:rsidRPr="00732139">
        <w:rPr>
          <w:iCs/>
        </w:rPr>
        <w:t xml:space="preserve"> but up to 13 years in the </w:t>
      </w:r>
      <w:r w:rsidR="009A3143" w:rsidRPr="00732139">
        <w:rPr>
          <w:iCs/>
        </w:rPr>
        <w:t>international cohorts</w:t>
      </w:r>
      <w:r w:rsidRPr="00732139">
        <w:rPr>
          <w:iCs/>
        </w:rPr>
        <w:t>. The reasons for this difference were not provided in the resubmission.</w:t>
      </w:r>
    </w:p>
    <w:p w:rsidR="00204B94" w:rsidRPr="00732139" w:rsidRDefault="00457A79" w:rsidP="00EC5836">
      <w:pPr>
        <w:pStyle w:val="ExecSumBodyText"/>
        <w:rPr>
          <w:iCs/>
        </w:rPr>
      </w:pPr>
      <w:r w:rsidRPr="00732139">
        <w:rPr>
          <w:iCs/>
        </w:rPr>
        <w:lastRenderedPageBreak/>
        <w:t xml:space="preserve">The robustness of the data at the tail-end of the curves </w:t>
      </w:r>
      <w:r w:rsidR="000136D3" w:rsidRPr="00732139">
        <w:rPr>
          <w:iCs/>
        </w:rPr>
        <w:t xml:space="preserve">for the </w:t>
      </w:r>
      <w:r w:rsidR="006E26FB" w:rsidRPr="00732139">
        <w:rPr>
          <w:iCs/>
        </w:rPr>
        <w:t xml:space="preserve">subgroups used in the regression models </w:t>
      </w:r>
      <w:r w:rsidRPr="00732139">
        <w:rPr>
          <w:iCs/>
        </w:rPr>
        <w:t>was unclear as the number of patients remaining at risk was not provided.</w:t>
      </w:r>
    </w:p>
    <w:p w:rsidR="006E26FB" w:rsidRPr="00732139" w:rsidRDefault="006E26FB" w:rsidP="00EC5836">
      <w:pPr>
        <w:pStyle w:val="ExecSumBodyText"/>
        <w:rPr>
          <w:iCs/>
        </w:rPr>
      </w:pPr>
      <w:r w:rsidRPr="00732139">
        <w:t>The eculizumab survival data reported in the LSDP review (May 2020 draft report) were not considered in the resubmission. The resubmission noted the review included a comparison of modelled survival curves of eculizumab ever treated patients versus natural history, however, the analysis appeared to use time on treatment data for the eculizumab arm rather than time to death.</w:t>
      </w:r>
      <w:r w:rsidRPr="00732139">
        <w:rPr>
          <w:i/>
          <w:iCs/>
        </w:rPr>
        <w:t xml:space="preserve"> </w:t>
      </w:r>
      <w:r w:rsidRPr="00732139">
        <w:rPr>
          <w:iCs/>
        </w:rPr>
        <w:t>The LSDP review (May 2020 draft report) provided an analysis of unadjusted survival data, which was presented during the evaluation</w:t>
      </w:r>
      <w:r w:rsidR="00551207" w:rsidRPr="00732139">
        <w:rPr>
          <w:iCs/>
        </w:rPr>
        <w:t xml:space="preserve"> (see </w:t>
      </w:r>
      <w:r w:rsidR="00582A40" w:rsidRPr="00732139">
        <w:rPr>
          <w:iCs/>
        </w:rPr>
        <w:t>Figure 1</w:t>
      </w:r>
      <w:r w:rsidR="00551207" w:rsidRPr="00732139">
        <w:rPr>
          <w:iCs/>
        </w:rPr>
        <w:t>)</w:t>
      </w:r>
      <w:r w:rsidRPr="00732139">
        <w:rPr>
          <w:iCs/>
        </w:rPr>
        <w:t xml:space="preserve">. </w:t>
      </w:r>
      <w:r w:rsidR="00F25826" w:rsidRPr="00732139">
        <w:rPr>
          <w:iCs/>
        </w:rPr>
        <w:t>The evaluation considered a</w:t>
      </w:r>
      <w:r w:rsidRPr="00732139">
        <w:rPr>
          <w:iCs/>
        </w:rPr>
        <w:t xml:space="preserve"> naïve comparison of these data with the PNH registry analyses may be useful given the Australian cohort in the </w:t>
      </w:r>
      <w:r w:rsidR="00FA6768" w:rsidRPr="00732139">
        <w:rPr>
          <w:iCs/>
        </w:rPr>
        <w:t xml:space="preserve">resubmission’s </w:t>
      </w:r>
      <w:r w:rsidRPr="00732139">
        <w:rPr>
          <w:iCs/>
        </w:rPr>
        <w:t>analys</w:t>
      </w:r>
      <w:r w:rsidR="00FA6768" w:rsidRPr="00732139">
        <w:rPr>
          <w:iCs/>
        </w:rPr>
        <w:t>i</w:t>
      </w:r>
      <w:r w:rsidRPr="00732139">
        <w:rPr>
          <w:iCs/>
        </w:rPr>
        <w:t>s is a subgroup of patients treated on the LSDP.</w:t>
      </w:r>
      <w:r w:rsidR="00941AD0" w:rsidRPr="00732139">
        <w:rPr>
          <w:iCs/>
        </w:rPr>
        <w:t xml:space="preserve"> </w:t>
      </w:r>
    </w:p>
    <w:p w:rsidR="00990918" w:rsidRPr="00732139" w:rsidRDefault="00990918" w:rsidP="00990918">
      <w:pPr>
        <w:pStyle w:val="Tableheadingrow"/>
        <w:rPr>
          <w:lang w:val="en-AU"/>
        </w:rPr>
      </w:pPr>
      <w:r w:rsidRPr="00732139">
        <w:rPr>
          <w:lang w:val="en-AU"/>
        </w:rPr>
        <w:t xml:space="preserve">Figure </w:t>
      </w:r>
      <w:r w:rsidR="000B387F" w:rsidRPr="00732139">
        <w:rPr>
          <w:lang w:val="en-AU"/>
        </w:rPr>
        <w:t>1</w:t>
      </w:r>
      <w:r w:rsidRPr="00732139">
        <w:rPr>
          <w:lang w:val="en-AU"/>
        </w:rPr>
        <w:t>: Time to death from treatment initiation and age of death, LSDP patient-level data (2011 to 2019)</w:t>
      </w:r>
    </w:p>
    <w:p w:rsidR="00990918" w:rsidRPr="00732139" w:rsidRDefault="00990918" w:rsidP="00990918">
      <w:r w:rsidRPr="00732139">
        <w:rPr>
          <w:noProof/>
        </w:rPr>
        <w:drawing>
          <wp:inline distT="0" distB="0" distL="0" distR="0" wp14:anchorId="4B844350" wp14:editId="2C1725BC">
            <wp:extent cx="5732145" cy="2374900"/>
            <wp:effectExtent l="0" t="0" r="1905" b="6350"/>
            <wp:docPr id="39" name="Picture 39" title="Figure 1: Time to death from treatment initiation and age of death, LSDP patient-level data (2011 t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2374900"/>
                    </a:xfrm>
                    <a:prstGeom prst="rect">
                      <a:avLst/>
                    </a:prstGeom>
                  </pic:spPr>
                </pic:pic>
              </a:graphicData>
            </a:graphic>
          </wp:inline>
        </w:drawing>
      </w:r>
    </w:p>
    <w:p w:rsidR="00990918" w:rsidRPr="00732139" w:rsidRDefault="00990918" w:rsidP="00990918">
      <w:pPr>
        <w:pStyle w:val="TableFigureFooter"/>
      </w:pPr>
      <w:r w:rsidRPr="00732139">
        <w:t>Source: Figure 71, p551 of the draft report for the LSDP review of PNH (May 2020) provided in the resubmission</w:t>
      </w:r>
    </w:p>
    <w:p w:rsidR="00990918" w:rsidRPr="00732139" w:rsidRDefault="00990918" w:rsidP="00990918">
      <w:pPr>
        <w:pStyle w:val="TableFigureFooter"/>
      </w:pPr>
      <w:r w:rsidRPr="00732139">
        <w:t xml:space="preserve">Note: The LSDP review report notes limitations with the time to death from treatment initiation analysis that may be subject to confounding, particularly if there is a significant delay between diagnosis and commence of eculizumab treatment. </w:t>
      </w:r>
    </w:p>
    <w:p w:rsidR="004D4508" w:rsidRPr="00732139" w:rsidRDefault="004D4508" w:rsidP="00EC5836">
      <w:pPr>
        <w:pStyle w:val="ExecSumBodyText"/>
        <w:rPr>
          <w:iCs/>
        </w:rPr>
      </w:pPr>
      <w:r w:rsidRPr="00732139">
        <w:t>The results show approximately 95% 5-year survival and slightly less than 90% 8-year survival in patients ever treated with eculizumab, over a maximum follow-up of 8 years. The median age of death was 77 years (Table 6, p 20 of the May 2020 LSDP Review of PNH report), suggesting the majority of patients died at an older age.</w:t>
      </w:r>
      <w:r w:rsidRPr="00732139">
        <w:rPr>
          <w:i/>
          <w:iCs/>
        </w:rPr>
        <w:t xml:space="preserve"> </w:t>
      </w:r>
      <w:r w:rsidRPr="00732139">
        <w:rPr>
          <w:iCs/>
        </w:rPr>
        <w:t>Survival rates of these patients appeared lower than results from the PNH registry analysis.</w:t>
      </w:r>
      <w:r w:rsidR="00C943E4" w:rsidRPr="00732139">
        <w:rPr>
          <w:i/>
          <w:iCs/>
        </w:rPr>
        <w:t xml:space="preserve"> </w:t>
      </w:r>
      <w:r w:rsidR="00C943E4" w:rsidRPr="00732139">
        <w:rPr>
          <w:iCs/>
        </w:rPr>
        <w:t>The PSCR refuted the usefulness of this comparison arguing that the survival analyses included in the LSDP review appeared to have considered treatment discontinuations as being surrogates for death which may not be appropriate given patients could cease eculizumab treatment to move to a clinical trial. In addition, the PSCR argued that the survival data may have been affected by patients who lived with PNH for a long time before finally initiating LSDP-funded eculizumab meaning they may be older with more advanced PNH. The PSCR acknowledged that the same bias may be evident in the employed registry data but argued that it may be less so given the longer follow up and larger sample size of the PNH registry.</w:t>
      </w:r>
    </w:p>
    <w:p w:rsidR="00004AE1" w:rsidRPr="00732139" w:rsidRDefault="00640501" w:rsidP="00004AE1">
      <w:pPr>
        <w:pStyle w:val="ExecSumBodyText"/>
        <w:numPr>
          <w:ilvl w:val="1"/>
          <w:numId w:val="4"/>
        </w:numPr>
        <w:rPr>
          <w:iCs/>
        </w:rPr>
      </w:pPr>
      <w:r w:rsidRPr="00732139">
        <w:rPr>
          <w:iCs/>
        </w:rPr>
        <w:lastRenderedPageBreak/>
        <w:t xml:space="preserve">It was unclear whether the subgroup of Australians ever treated in the PNH registry were similar to the LSDP population due to a lack of publicly available data (only age of enrolment into each program was available for comparison). The results for the Australian ever treated cohort were based on 2 deaths and a relatively small number of patients (74 in the unadjusted analysis and 51 in the adjusted with LDH model). The number of deaths reported in these subgroups were relatively low compared to the number of deaths reported for patients treated with eculizumab on the LSDP (11 deaths </w:t>
      </w:r>
      <w:r w:rsidR="00B036D7" w:rsidRPr="00732139">
        <w:rPr>
          <w:iCs/>
        </w:rPr>
        <w:t xml:space="preserve">in </w:t>
      </w:r>
      <w:r w:rsidRPr="00732139">
        <w:rPr>
          <w:iCs/>
        </w:rPr>
        <w:t>150 patients ever treated between 2011 and 2019) (see Table 1, p3 of the draft report for the LSDP review of PNH, May 2020)</w:t>
      </w:r>
      <w:r w:rsidR="00732139">
        <w:rPr>
          <w:iCs/>
        </w:rPr>
        <w:t xml:space="preserve">. </w:t>
      </w:r>
      <w:r w:rsidR="00004AE1" w:rsidRPr="00732139">
        <w:rPr>
          <w:iCs/>
        </w:rPr>
        <w:t>The pre-PBAC response argued that regardless of which data source is used, the number of deaths reported for patients treated with eculizumab on the LSDP equates to a low proportion (7%) of the</w:t>
      </w:r>
      <w:r w:rsidR="00DD5B69" w:rsidRPr="00732139">
        <w:rPr>
          <w:iCs/>
        </w:rPr>
        <w:t xml:space="preserve"> ever treated</w:t>
      </w:r>
      <w:r w:rsidR="00004AE1" w:rsidRPr="00732139">
        <w:rPr>
          <w:iCs/>
        </w:rPr>
        <w:t xml:space="preserve"> population. </w:t>
      </w:r>
    </w:p>
    <w:p w:rsidR="0040252E" w:rsidRPr="00732139" w:rsidRDefault="005C5D8C" w:rsidP="004A7623">
      <w:pPr>
        <w:pStyle w:val="ExecSumBodyText"/>
        <w:rPr>
          <w:iCs/>
        </w:rPr>
      </w:pPr>
      <w:r w:rsidRPr="00732139">
        <w:t>The resubmission claimed that the international cohort who were eligible but never treated with eculizumab are managed on BSC and therefore represent a plausible comparator arm for the eculizumab treated cohorts.</w:t>
      </w:r>
      <w:r w:rsidRPr="00732139">
        <w:rPr>
          <w:i/>
          <w:iCs/>
        </w:rPr>
        <w:t xml:space="preserve"> </w:t>
      </w:r>
      <w:r w:rsidRPr="00732139">
        <w:rPr>
          <w:iCs/>
        </w:rPr>
        <w:t>There are concerns with the generalisability of the international never-treated cohort to Australian practice given differences in characteristics in terms of geographic region, age at diagnosis and co-morbidities. There</w:t>
      </w:r>
      <w:r w:rsidR="0009577F" w:rsidRPr="00732139">
        <w:rPr>
          <w:iCs/>
        </w:rPr>
        <w:t xml:space="preserve"> are likely to be other patient</w:t>
      </w:r>
      <w:r w:rsidRPr="00732139">
        <w:rPr>
          <w:iCs/>
        </w:rPr>
        <w:t xml:space="preserve"> and healthcare setting factors that influence both choice and access to therapy in the international setting that may not be app</w:t>
      </w:r>
      <w:r w:rsidR="004A7623" w:rsidRPr="00732139">
        <w:rPr>
          <w:iCs/>
        </w:rPr>
        <w:t>licable to Australian practice.</w:t>
      </w:r>
    </w:p>
    <w:p w:rsidR="00B60939" w:rsidRPr="00732139" w:rsidRDefault="00B60939" w:rsidP="00D86231">
      <w:pPr>
        <w:pStyle w:val="3-SubsectionHeading"/>
      </w:pPr>
      <w:bookmarkStart w:id="17" w:name="_Toc22897642"/>
      <w:bookmarkStart w:id="18" w:name="_Toc72331255"/>
      <w:r w:rsidRPr="00732139">
        <w:t>Comparative harms</w:t>
      </w:r>
      <w:bookmarkEnd w:id="17"/>
      <w:bookmarkEnd w:id="18"/>
    </w:p>
    <w:p w:rsidR="00B60939" w:rsidRPr="00732139" w:rsidRDefault="0032510E" w:rsidP="00D86231">
      <w:pPr>
        <w:pStyle w:val="ExecSumBodyText"/>
      </w:pPr>
      <w:r w:rsidRPr="00732139">
        <w:t>The most freque</w:t>
      </w:r>
      <w:r w:rsidR="005F5F26" w:rsidRPr="00732139">
        <w:t xml:space="preserve">ntly reported adverse events with ravulizumab </w:t>
      </w:r>
      <w:r w:rsidR="0094639C" w:rsidRPr="00732139">
        <w:t xml:space="preserve">and eculizumab </w:t>
      </w:r>
      <w:r w:rsidR="00E0062C" w:rsidRPr="00732139">
        <w:t xml:space="preserve">in the key trials </w:t>
      </w:r>
      <w:r w:rsidR="005F5F26" w:rsidRPr="00732139">
        <w:t xml:space="preserve">were </w:t>
      </w:r>
      <w:r w:rsidR="00AE0670" w:rsidRPr="00732139">
        <w:t>headache, upper respiratory tract infections</w:t>
      </w:r>
      <w:r w:rsidR="00D45224" w:rsidRPr="00732139">
        <w:t xml:space="preserve">, nasopharyngitis and pyrexia. </w:t>
      </w:r>
      <w:r w:rsidR="0094639C" w:rsidRPr="00732139">
        <w:t>Both treatments</w:t>
      </w:r>
      <w:r w:rsidR="005A0281" w:rsidRPr="00732139">
        <w:t xml:space="preserve"> w</w:t>
      </w:r>
      <w:r w:rsidR="004D5BF8" w:rsidRPr="00732139">
        <w:t>ere</w:t>
      </w:r>
      <w:r w:rsidR="005A0281" w:rsidRPr="00732139">
        <w:t xml:space="preserve"> also associated with a higher incidence of serious infections and in</w:t>
      </w:r>
      <w:r w:rsidR="00311772" w:rsidRPr="00732139">
        <w:t xml:space="preserve">fusion reactions. </w:t>
      </w:r>
    </w:p>
    <w:p w:rsidR="00E0062C" w:rsidRPr="00732139" w:rsidRDefault="00E0062C" w:rsidP="00D86231">
      <w:pPr>
        <w:pStyle w:val="ExecSumBodyText"/>
      </w:pPr>
      <w:r w:rsidRPr="00732139">
        <w:t>Overall, the rates of adverse events including serious adverse events and adverse events of special interest remained stable or decreased during the 2-year extension period. One patient experience</w:t>
      </w:r>
      <w:r w:rsidR="00911D94" w:rsidRPr="00732139">
        <w:t>d</w:t>
      </w:r>
      <w:r w:rsidRPr="00732139">
        <w:t xml:space="preserve"> thrombosis during the randomised period of the trial. Three deaths were reported during the extension period, all of which were unrelated to PNH (lung adenocarcinoma, pulmonary sepsis and acute myeloid leukaemia).</w:t>
      </w:r>
    </w:p>
    <w:p w:rsidR="00F82EB8" w:rsidRPr="00732139" w:rsidRDefault="002A0B1D" w:rsidP="00D86231">
      <w:pPr>
        <w:pStyle w:val="ExecSumBodyText"/>
      </w:pPr>
      <w:r w:rsidRPr="00732139">
        <w:t xml:space="preserve">The resubmission claimed the low occurrence of thrombosis (1 event) and high survival rates (99.5% and 99.8% in Trials 301 and 302 respectively) support the plausibility that a patient’s lifespan would be extended with the use of ravulizumab. </w:t>
      </w:r>
      <w:r w:rsidR="00695D8A" w:rsidRPr="00732139">
        <w:rPr>
          <w:iCs/>
        </w:rPr>
        <w:t xml:space="preserve">This claim may not be reasonable given the data were based on an uncontrolled </w:t>
      </w:r>
      <w:r w:rsidR="00CB5CD2" w:rsidRPr="00732139">
        <w:rPr>
          <w:iCs/>
        </w:rPr>
        <w:t>safety extension period of the trial</w:t>
      </w:r>
      <w:r w:rsidR="00106DA4" w:rsidRPr="00732139">
        <w:rPr>
          <w:iCs/>
        </w:rPr>
        <w:t xml:space="preserve"> with relatively short follow-up.</w:t>
      </w:r>
      <w:r w:rsidR="00106DA4" w:rsidRPr="00732139">
        <w:rPr>
          <w:i/>
          <w:iCs/>
        </w:rPr>
        <w:t xml:space="preserve"> </w:t>
      </w:r>
    </w:p>
    <w:p w:rsidR="0094639C" w:rsidRPr="00732139" w:rsidRDefault="004D5BF8" w:rsidP="00D86231">
      <w:pPr>
        <w:pStyle w:val="ExecSumBodyText"/>
      </w:pPr>
      <w:r w:rsidRPr="00732139">
        <w:t xml:space="preserve">The resubmission did not </w:t>
      </w:r>
      <w:r w:rsidR="00D54826" w:rsidRPr="00732139">
        <w:t xml:space="preserve">present a comparison of safety between ravulizumab and </w:t>
      </w:r>
      <w:r w:rsidR="00AE4B2A" w:rsidRPr="00732139">
        <w:t>BSC</w:t>
      </w:r>
      <w:r w:rsidR="00D54826" w:rsidRPr="00732139">
        <w:t xml:space="preserve"> but assumed the likely inferiority of eculizumab to </w:t>
      </w:r>
      <w:r w:rsidR="00AE4B2A" w:rsidRPr="00732139">
        <w:t>BSC</w:t>
      </w:r>
      <w:r w:rsidR="00D54826" w:rsidRPr="00732139">
        <w:t xml:space="preserve"> in terms of safety would also apply to ravulizumab.</w:t>
      </w:r>
      <w:r w:rsidR="001709A1" w:rsidRPr="00732139">
        <w:t xml:space="preserve"> </w:t>
      </w:r>
      <w:r w:rsidR="001709A1" w:rsidRPr="00732139">
        <w:rPr>
          <w:iCs/>
        </w:rPr>
        <w:t>This was reasonable given the similar mechanism of action and similar patterns of adverse events reported in the ravulizumab and eculizumab trials.</w:t>
      </w:r>
    </w:p>
    <w:p w:rsidR="00D54826" w:rsidRPr="00732139" w:rsidRDefault="00446ED7" w:rsidP="00446ED7">
      <w:pPr>
        <w:pStyle w:val="ExecSumBodyText"/>
      </w:pPr>
      <w:r w:rsidRPr="00732139">
        <w:lastRenderedPageBreak/>
        <w:t>The resubmission presented an expanded assessment of harms for ravulizumab. Important identified risks include meningococcal infections, which is directly associated with its mode of action. Important potential risks include serious haemolysis after drug discontinuation in PNH patients, immunogenicity, serious infections and malignancies and hematologic abnormalities in PNH patients. There is no information available on use in pregnant and breast-feeding women.</w:t>
      </w:r>
    </w:p>
    <w:p w:rsidR="007F1017" w:rsidRPr="00732139" w:rsidRDefault="007F1017" w:rsidP="00D86231">
      <w:pPr>
        <w:pStyle w:val="3-SubsectionHeading"/>
      </w:pPr>
      <w:bookmarkStart w:id="19" w:name="_Toc22897643"/>
      <w:bookmarkStart w:id="20" w:name="_Toc72331256"/>
      <w:r w:rsidRPr="00732139">
        <w:t>Benefits/harms</w:t>
      </w:r>
      <w:bookmarkEnd w:id="19"/>
      <w:bookmarkEnd w:id="20"/>
    </w:p>
    <w:p w:rsidR="00FC1884" w:rsidRPr="00732139" w:rsidRDefault="00F71618" w:rsidP="001A51D6">
      <w:pPr>
        <w:pStyle w:val="Bulletpoints"/>
        <w:ind w:left="714" w:hanging="357"/>
      </w:pPr>
      <w:r w:rsidRPr="00732139">
        <w:rPr>
          <w:snapToGrid/>
        </w:rPr>
        <w:t>A benefits/harms summary for the comparison of ravulizumab and eculizumab was not presented as the clinical claim was based on non-</w:t>
      </w:r>
      <w:r w:rsidR="001A51D6" w:rsidRPr="00732139">
        <w:rPr>
          <w:snapToGrid/>
        </w:rPr>
        <w:t>inferiority.</w:t>
      </w:r>
    </w:p>
    <w:p w:rsidR="00F642FE" w:rsidRPr="00732139" w:rsidRDefault="001A51D6" w:rsidP="001A51D6">
      <w:pPr>
        <w:pStyle w:val="Bulletpoints"/>
        <w:rPr>
          <w:iCs/>
        </w:rPr>
      </w:pPr>
      <w:r w:rsidRPr="00732139">
        <w:rPr>
          <w:iCs/>
        </w:rPr>
        <w:t xml:space="preserve">A benefits/harms summary for the comparison of ravulizumab and </w:t>
      </w:r>
      <w:r w:rsidR="00AE4B2A" w:rsidRPr="00732139">
        <w:rPr>
          <w:iCs/>
        </w:rPr>
        <w:t>BSC</w:t>
      </w:r>
      <w:r w:rsidRPr="00732139">
        <w:rPr>
          <w:iCs/>
        </w:rPr>
        <w:t xml:space="preserve"> was not presented as </w:t>
      </w:r>
      <w:r w:rsidR="00FE121A" w:rsidRPr="00732139">
        <w:rPr>
          <w:iCs/>
        </w:rPr>
        <w:t xml:space="preserve">the </w:t>
      </w:r>
      <w:r w:rsidRPr="00732139">
        <w:rPr>
          <w:iCs/>
        </w:rPr>
        <w:t xml:space="preserve">data </w:t>
      </w:r>
      <w:r w:rsidR="00FE121A" w:rsidRPr="00732139">
        <w:rPr>
          <w:iCs/>
        </w:rPr>
        <w:t>we</w:t>
      </w:r>
      <w:r w:rsidRPr="00732139">
        <w:rPr>
          <w:iCs/>
        </w:rPr>
        <w:t xml:space="preserve">re inadequate to reliably quantify the magnitude of comparative benefits and harms of ravulizumab and </w:t>
      </w:r>
      <w:r w:rsidR="00AE4B2A" w:rsidRPr="00732139">
        <w:rPr>
          <w:iCs/>
        </w:rPr>
        <w:t>BSC</w:t>
      </w:r>
      <w:r w:rsidRPr="00732139">
        <w:rPr>
          <w:iCs/>
        </w:rPr>
        <w:t>.</w:t>
      </w:r>
    </w:p>
    <w:p w:rsidR="00B60939" w:rsidRPr="00732139" w:rsidRDefault="00B60939" w:rsidP="00E9094A">
      <w:pPr>
        <w:pStyle w:val="3-SubsectionHeading"/>
      </w:pPr>
      <w:bookmarkStart w:id="21" w:name="_Toc22897644"/>
      <w:bookmarkStart w:id="22" w:name="_Toc72331257"/>
      <w:r w:rsidRPr="00732139">
        <w:t>Clinical claim</w:t>
      </w:r>
      <w:bookmarkEnd w:id="21"/>
      <w:bookmarkEnd w:id="22"/>
    </w:p>
    <w:p w:rsidR="005F179C" w:rsidRPr="00732139" w:rsidRDefault="007201A2" w:rsidP="005F179C">
      <w:pPr>
        <w:pStyle w:val="ExecSumBodyText"/>
        <w:rPr>
          <w:iCs/>
        </w:rPr>
      </w:pPr>
      <w:r w:rsidRPr="00732139">
        <w:t>The resubmission described ravulizumab as non-inferior to eculizumab in terms of efficacy and safety.</w:t>
      </w:r>
      <w:r w:rsidR="00EB2F18" w:rsidRPr="00732139">
        <w:t xml:space="preserve"> </w:t>
      </w:r>
      <w:r w:rsidR="005F179C" w:rsidRPr="00732139">
        <w:rPr>
          <w:iCs/>
        </w:rPr>
        <w:t>The PBAC previously considered that ravulizumab is likely to be non-inferior to eculizumab in the short term (para 7.1, ravulizumab PSD, July 2020 PBAC meeting)</w:t>
      </w:r>
      <w:r w:rsidR="00732139">
        <w:rPr>
          <w:iCs/>
        </w:rPr>
        <w:t xml:space="preserve">. </w:t>
      </w:r>
    </w:p>
    <w:p w:rsidR="00437930" w:rsidRPr="00732139" w:rsidRDefault="00806419" w:rsidP="00806419">
      <w:pPr>
        <w:pStyle w:val="ExecSumBodyText"/>
      </w:pPr>
      <w:r w:rsidRPr="00732139">
        <w:t>A</w:t>
      </w:r>
      <w:r w:rsidR="00EB2F18" w:rsidRPr="00732139">
        <w:t>dditional 2-year data from the extension periods support maintenance of treatment effect with ravulizumab based on key endpoints in the trials. However, the magnitude of any survival benefit of ravulizumab remains uncertain due to the absence of long-term survival data.</w:t>
      </w:r>
      <w:r w:rsidRPr="00732139">
        <w:t xml:space="preserve"> </w:t>
      </w:r>
    </w:p>
    <w:p w:rsidR="00437930" w:rsidRPr="00732139" w:rsidRDefault="00437930" w:rsidP="00437930">
      <w:pPr>
        <w:pStyle w:val="ExecSumBodyText"/>
      </w:pPr>
      <w:r w:rsidRPr="00732139">
        <w:t xml:space="preserve">The resubmission’s claim of non-inferior survival of ravulizumab compared to eculizumab, and superior survival compared to </w:t>
      </w:r>
      <w:r w:rsidR="00AE4B2A" w:rsidRPr="00732139">
        <w:t>BSC</w:t>
      </w:r>
      <w:r w:rsidRPr="00732139">
        <w:t xml:space="preserve"> was entirely based on the available survival data for eculizumab, and an assumption that non-inferiority for measured efficacy outcomes may be extended to survival. </w:t>
      </w:r>
    </w:p>
    <w:p w:rsidR="00437930" w:rsidRPr="00732139" w:rsidRDefault="00B90B74" w:rsidP="00E9094A">
      <w:pPr>
        <w:pStyle w:val="ExecSumBodyText"/>
        <w:rPr>
          <w:iCs/>
          <w:color w:val="0066FF"/>
        </w:rPr>
      </w:pPr>
      <w:r w:rsidRPr="00732139">
        <w:rPr>
          <w:iCs/>
        </w:rPr>
        <w:t>In July 2020, the PBAC considered that it may not be reasonable to assume that the superior survival benefit previously accepted for eculizumab compared to BSC can be applied to ravulizumab compared to BSC, in the absence of any long-term survival data for ravulizumab. Moreover, the PBAC considered the magnitude of any survival benefit of eculizumab compared to BSC is itself unclear, given the lack of contemporary data for BSC survival outcomes (para 7.4, ravulizumab PSD, July 2020 PBAC meeting).</w:t>
      </w:r>
      <w:r w:rsidR="00097F76" w:rsidRPr="00732139">
        <w:rPr>
          <w:iCs/>
        </w:rPr>
        <w:t xml:space="preserve"> The pre-PBAC response </w:t>
      </w:r>
      <w:r w:rsidR="00751032" w:rsidRPr="00732139">
        <w:rPr>
          <w:iCs/>
        </w:rPr>
        <w:t>for this resubmi</w:t>
      </w:r>
      <w:r w:rsidR="004533E2" w:rsidRPr="00732139">
        <w:rPr>
          <w:iCs/>
        </w:rPr>
        <w:t>ss</w:t>
      </w:r>
      <w:r w:rsidR="00751032" w:rsidRPr="00732139">
        <w:rPr>
          <w:iCs/>
        </w:rPr>
        <w:t xml:space="preserve">ion </w:t>
      </w:r>
      <w:r w:rsidR="00097F76" w:rsidRPr="00732139">
        <w:rPr>
          <w:iCs/>
        </w:rPr>
        <w:t xml:space="preserve">argued that acceptance by the PBAC in July 2020 that ravulizumab is non-inferior to eculizumab with respect to clinically relevant efficacy and safety outcomes, coupled with the fact that it is a pharmacological analogue to eculizumab, </w:t>
      </w:r>
      <w:r w:rsidR="007F521D" w:rsidRPr="00732139">
        <w:rPr>
          <w:iCs/>
        </w:rPr>
        <w:t>suggested</w:t>
      </w:r>
      <w:r w:rsidR="00097F76" w:rsidRPr="00732139">
        <w:rPr>
          <w:iCs/>
        </w:rPr>
        <w:t xml:space="preserve"> </w:t>
      </w:r>
      <w:r w:rsidR="007F521D" w:rsidRPr="00732139">
        <w:rPr>
          <w:iCs/>
        </w:rPr>
        <w:t>it wa</w:t>
      </w:r>
      <w:r w:rsidR="00097F76" w:rsidRPr="00732139">
        <w:rPr>
          <w:iCs/>
        </w:rPr>
        <w:t>s directly plausible that the survival benefits observed wit</w:t>
      </w:r>
      <w:r w:rsidR="007F521D" w:rsidRPr="00732139">
        <w:rPr>
          <w:iCs/>
        </w:rPr>
        <w:t>h eculizumab relative to BSC could</w:t>
      </w:r>
      <w:r w:rsidR="00097F76" w:rsidRPr="00732139">
        <w:rPr>
          <w:iCs/>
        </w:rPr>
        <w:t xml:space="preserve"> be extended to ravulizumab.</w:t>
      </w:r>
      <w:r w:rsidR="00751032" w:rsidRPr="00732139">
        <w:rPr>
          <w:iCs/>
        </w:rPr>
        <w:t xml:space="preserve"> The PBAC noted the support for this argument from the clinical expert in the sponsor hearing.</w:t>
      </w:r>
    </w:p>
    <w:p w:rsidR="005F7588" w:rsidRPr="00732139" w:rsidRDefault="00097F76" w:rsidP="00B90B74">
      <w:pPr>
        <w:pStyle w:val="ExecSumBodyText"/>
        <w:rPr>
          <w:rFonts w:eastAsia="Calibri"/>
        </w:rPr>
      </w:pPr>
      <w:r w:rsidRPr="00732139">
        <w:rPr>
          <w:rFonts w:eastAsia="Calibri"/>
        </w:rPr>
        <w:lastRenderedPageBreak/>
        <w:t>S</w:t>
      </w:r>
      <w:r w:rsidR="00FD13F2" w:rsidRPr="00732139">
        <w:rPr>
          <w:rFonts w:eastAsia="Calibri"/>
        </w:rPr>
        <w:t xml:space="preserve">urvival estimates from the published data presented in the resubmission varied significantly and were limited by varying follow-up durations, risk of bias and applicability concerns. The results were difficult to interpret due to substantial heterogeneity in the evidence base. Despite the inclusion of newer studies, the data for </w:t>
      </w:r>
      <w:r w:rsidR="00AE4B2A" w:rsidRPr="00732139">
        <w:rPr>
          <w:rFonts w:eastAsia="Calibri"/>
        </w:rPr>
        <w:t>BSC</w:t>
      </w:r>
      <w:r w:rsidR="00FD13F2" w:rsidRPr="00732139">
        <w:rPr>
          <w:rFonts w:eastAsia="Calibri"/>
        </w:rPr>
        <w:t xml:space="preserve"> remained sparse and largely dated.</w:t>
      </w:r>
    </w:p>
    <w:p w:rsidR="00FD13F2" w:rsidRPr="00732139" w:rsidRDefault="00416B2F" w:rsidP="00B90B74">
      <w:pPr>
        <w:pStyle w:val="ExecSumBodyText"/>
        <w:rPr>
          <w:rFonts w:eastAsia="Calibri"/>
          <w:i/>
        </w:rPr>
      </w:pPr>
      <w:r w:rsidRPr="00732139">
        <w:rPr>
          <w:rFonts w:eastAsia="Calibri"/>
        </w:rPr>
        <w:t xml:space="preserve">New analyses based on data from the International PNH Registry could not be </w:t>
      </w:r>
      <w:r w:rsidR="00BB0BFD" w:rsidRPr="00732139">
        <w:rPr>
          <w:rFonts w:eastAsia="Calibri"/>
        </w:rPr>
        <w:t>effectively</w:t>
      </w:r>
      <w:r w:rsidRPr="00732139">
        <w:rPr>
          <w:rFonts w:eastAsia="Calibri"/>
        </w:rPr>
        <w:t xml:space="preserve"> evaluated due to limited detail on methods of data collection and lack of patient characteristics for the subgroup </w:t>
      </w:r>
      <w:r w:rsidR="00F65F64" w:rsidRPr="00732139">
        <w:rPr>
          <w:rFonts w:eastAsia="Calibri"/>
        </w:rPr>
        <w:t xml:space="preserve">used in the survival model that formed the base case of the economic model. There were </w:t>
      </w:r>
      <w:r w:rsidR="00DE0699" w:rsidRPr="00732139">
        <w:rPr>
          <w:rFonts w:eastAsia="Calibri"/>
        </w:rPr>
        <w:t xml:space="preserve">additional concerns with </w:t>
      </w:r>
      <w:r w:rsidR="00737912" w:rsidRPr="00732139">
        <w:rPr>
          <w:rFonts w:eastAsia="Calibri"/>
        </w:rPr>
        <w:t xml:space="preserve">the </w:t>
      </w:r>
      <w:r w:rsidR="00710BA6" w:rsidRPr="00732139">
        <w:rPr>
          <w:rFonts w:eastAsia="Calibri"/>
        </w:rPr>
        <w:t xml:space="preserve">robustness and applicability of </w:t>
      </w:r>
      <w:r w:rsidR="00DE0699" w:rsidRPr="00732139">
        <w:rPr>
          <w:rFonts w:eastAsia="Calibri"/>
        </w:rPr>
        <w:t xml:space="preserve">the survival estimates due to heterogeneity between treatment arms, </w:t>
      </w:r>
      <w:r w:rsidR="009B78CD" w:rsidRPr="00732139">
        <w:rPr>
          <w:rFonts w:eastAsia="Calibri"/>
        </w:rPr>
        <w:t>lack of treatment details for eculizumab and supportive therapies used, risk of immortal time bias</w:t>
      </w:r>
      <w:r w:rsidR="00B035A7" w:rsidRPr="00732139">
        <w:rPr>
          <w:rFonts w:eastAsia="Calibri"/>
        </w:rPr>
        <w:t xml:space="preserve"> and discrepancies in the number of deaths reported in the PNH registry subgroup treated on the LSDP </w:t>
      </w:r>
      <w:r w:rsidR="005C16B3" w:rsidRPr="00732139">
        <w:rPr>
          <w:rFonts w:eastAsia="Calibri"/>
        </w:rPr>
        <w:t>versus number of deaths reported in the LSDP report analysis.</w:t>
      </w:r>
      <w:r w:rsidR="005C16B3" w:rsidRPr="00732139">
        <w:rPr>
          <w:rFonts w:eastAsia="Calibri"/>
          <w:i/>
        </w:rPr>
        <w:t xml:space="preserve"> </w:t>
      </w:r>
    </w:p>
    <w:p w:rsidR="00C250C8" w:rsidRPr="00732139" w:rsidRDefault="00A86A59" w:rsidP="00D23952">
      <w:pPr>
        <w:pStyle w:val="ExecSumBodyText"/>
      </w:pPr>
      <w:r w:rsidRPr="00732139">
        <w:t>The PSCR argued that the totality of the evidence (registry or published), along with the LSDP cohort experience, concur that compared to BSC, patients on eculizumab live significantly longer. The ESC</w:t>
      </w:r>
      <w:r w:rsidR="00EC4107" w:rsidRPr="00732139">
        <w:t>, however,</w:t>
      </w:r>
      <w:r w:rsidRPr="00732139">
        <w:t xml:space="preserve"> considered that the magnitude of survival benefit associated with eculizumab versus BSC remains uncertain due to the extensive caveats associated with the interpretation of available survival data</w:t>
      </w:r>
      <w:r w:rsidR="00732139">
        <w:t xml:space="preserve">. </w:t>
      </w:r>
    </w:p>
    <w:p w:rsidR="00097F76" w:rsidRPr="00732139" w:rsidRDefault="00097F76" w:rsidP="00D23952">
      <w:pPr>
        <w:pStyle w:val="ExecSumBodyText"/>
      </w:pPr>
      <w:r w:rsidRPr="00732139">
        <w:rPr>
          <w:iCs/>
        </w:rPr>
        <w:t xml:space="preserve">Overall, the PBAC considered there was unlikely to be a substantial improvement in the body of evidence relating to BSC given the established place in therapy of complement inhibitors for the treatment of PNH. </w:t>
      </w:r>
      <w:r w:rsidR="00171056" w:rsidRPr="00732139">
        <w:t>The PBAC agreed with the sponsor the data from the International PNH Registry was the best available evidence to establish the magnitude of survival benefit versus BSC in this rare condition.</w:t>
      </w:r>
    </w:p>
    <w:p w:rsidR="00EE50D6" w:rsidRPr="00732139" w:rsidRDefault="00EE50D6" w:rsidP="00D23952">
      <w:pPr>
        <w:pStyle w:val="ExecSumBodyText"/>
      </w:pPr>
      <w:r w:rsidRPr="00732139">
        <w:t>The PBAC considered that while the magnitude of survival benefit associated with eculizumab versus BSC remain</w:t>
      </w:r>
      <w:r w:rsidR="00751032" w:rsidRPr="00732139">
        <w:t>ed</w:t>
      </w:r>
      <w:r w:rsidRPr="00732139">
        <w:t xml:space="preserve"> uncertain the claim of superior comparative effectiveness was reasonable. </w:t>
      </w:r>
    </w:p>
    <w:p w:rsidR="00194512" w:rsidRPr="00732139" w:rsidRDefault="00EE50D6" w:rsidP="007F521D">
      <w:pPr>
        <w:pStyle w:val="ExecSumBodyText"/>
        <w:rPr>
          <w:bCs/>
        </w:rPr>
      </w:pPr>
      <w:r w:rsidRPr="00732139">
        <w:t xml:space="preserve">The PBAC considered that the claim of inferior safety of eculizumab compared to BSC was reasonable. </w:t>
      </w:r>
    </w:p>
    <w:p w:rsidR="00C250C8" w:rsidRPr="00732139" w:rsidRDefault="00C250C8" w:rsidP="00C250C8">
      <w:pPr>
        <w:pStyle w:val="ExecSumBodyText"/>
      </w:pPr>
      <w:bookmarkStart w:id="23" w:name="_Hlk76376200"/>
      <w:r w:rsidRPr="00732139">
        <w:rPr>
          <w:iCs/>
        </w:rPr>
        <w:t>The</w:t>
      </w:r>
      <w:r w:rsidRPr="00732139">
        <w:t xml:space="preserve"> PBAC considered that the claim of non-inferior comparative effectiveness </w:t>
      </w:r>
      <w:r w:rsidR="007F521D" w:rsidRPr="00732139">
        <w:t xml:space="preserve">of ravulizumab versus eculizumab </w:t>
      </w:r>
      <w:r w:rsidRPr="00732139">
        <w:t>was reasonable.</w:t>
      </w:r>
    </w:p>
    <w:bookmarkEnd w:id="23"/>
    <w:p w:rsidR="003945CF" w:rsidRPr="00732139" w:rsidRDefault="007F521D" w:rsidP="003945CF">
      <w:pPr>
        <w:pStyle w:val="ExecSumBodyText"/>
      </w:pPr>
      <w:r w:rsidRPr="00732139">
        <w:rPr>
          <w:iCs/>
        </w:rPr>
        <w:t>T</w:t>
      </w:r>
      <w:r w:rsidR="003945CF" w:rsidRPr="00732139">
        <w:rPr>
          <w:iCs/>
        </w:rPr>
        <w:t xml:space="preserve">he PBAC considered </w:t>
      </w:r>
      <w:r w:rsidR="003945CF" w:rsidRPr="00732139">
        <w:t xml:space="preserve">the claim </w:t>
      </w:r>
      <w:r w:rsidRPr="00732139">
        <w:t xml:space="preserve">of superior comparative effectiveness of </w:t>
      </w:r>
      <w:r w:rsidR="003945CF" w:rsidRPr="00732139">
        <w:t>ravuliz</w:t>
      </w:r>
      <w:r w:rsidRPr="00732139">
        <w:t xml:space="preserve">umab versus </w:t>
      </w:r>
      <w:r w:rsidR="003945CF" w:rsidRPr="00732139">
        <w:t xml:space="preserve">BSC was </w:t>
      </w:r>
      <w:r w:rsidR="00171056" w:rsidRPr="00732139">
        <w:t xml:space="preserve">uncertain, due to the </w:t>
      </w:r>
      <w:r w:rsidR="003945CF" w:rsidRPr="00732139">
        <w:t xml:space="preserve">caveats associated with the interpretation of available data, but reasonable. </w:t>
      </w:r>
    </w:p>
    <w:p w:rsidR="003945CF" w:rsidRPr="00732139" w:rsidRDefault="003945CF" w:rsidP="003945CF">
      <w:pPr>
        <w:pStyle w:val="ExecSumBodyText"/>
      </w:pPr>
      <w:r w:rsidRPr="00732139">
        <w:t>The PBAC reiterated the resubmission’s claim of non-inferior safety compared to eculizumab and inferior safety compared to BSC was appropriate (para 7.9, ravulizumab PSD, July 2020 PBAC meeting).</w:t>
      </w:r>
    </w:p>
    <w:p w:rsidR="00B60939" w:rsidRPr="00732139" w:rsidRDefault="00B60939" w:rsidP="00E9094A">
      <w:pPr>
        <w:pStyle w:val="3-SubsectionHeading"/>
      </w:pPr>
      <w:bookmarkStart w:id="24" w:name="_Toc22897645"/>
      <w:bookmarkStart w:id="25" w:name="_Toc72331258"/>
      <w:r w:rsidRPr="00732139">
        <w:lastRenderedPageBreak/>
        <w:t>Economic analysis</w:t>
      </w:r>
      <w:bookmarkEnd w:id="24"/>
      <w:bookmarkEnd w:id="25"/>
      <w:r w:rsidR="00491B3A" w:rsidRPr="00732139">
        <w:t xml:space="preserve"> </w:t>
      </w:r>
    </w:p>
    <w:p w:rsidR="007D5699" w:rsidRPr="00732139" w:rsidRDefault="007D5699" w:rsidP="007D5699">
      <w:pPr>
        <w:pStyle w:val="4-SubsectSubhead"/>
        <w:rPr>
          <w:sz w:val="24"/>
          <w:szCs w:val="24"/>
        </w:rPr>
      </w:pPr>
      <w:r w:rsidRPr="00732139">
        <w:rPr>
          <w:sz w:val="24"/>
          <w:szCs w:val="24"/>
        </w:rPr>
        <w:t>Cost-minimisation analysis</w:t>
      </w:r>
      <w:r w:rsidR="00CE32E9" w:rsidRPr="00732139">
        <w:rPr>
          <w:sz w:val="24"/>
          <w:szCs w:val="24"/>
        </w:rPr>
        <w:t xml:space="preserve"> </w:t>
      </w:r>
      <w:r w:rsidR="00291560" w:rsidRPr="00732139">
        <w:rPr>
          <w:sz w:val="24"/>
          <w:szCs w:val="24"/>
        </w:rPr>
        <w:t xml:space="preserve">(CMA) </w:t>
      </w:r>
      <w:r w:rsidR="00CE32E9" w:rsidRPr="00732139">
        <w:rPr>
          <w:sz w:val="24"/>
          <w:szCs w:val="24"/>
        </w:rPr>
        <w:t xml:space="preserve">of ravulizumab and eculizumab </w:t>
      </w:r>
    </w:p>
    <w:p w:rsidR="007F514B" w:rsidRPr="00732139" w:rsidRDefault="007F514B" w:rsidP="007F514B">
      <w:pPr>
        <w:pStyle w:val="ExecSumBodyText"/>
      </w:pPr>
      <w:r w:rsidRPr="00732139">
        <w:t>The resubmission assumed that weight-based dosing of ravulizumab administered every 8 weeks is equivalent to fixed dose eculizumab 900 mg administered every 2 weeks. The estimated equi-effective doses over a 52-week maintenance period were:</w:t>
      </w:r>
    </w:p>
    <w:p w:rsidR="007F514B" w:rsidRPr="001C596E" w:rsidRDefault="007F514B" w:rsidP="00EF2D64">
      <w:pPr>
        <w:pStyle w:val="ExecSumBodyText"/>
        <w:numPr>
          <w:ilvl w:val="0"/>
          <w:numId w:val="12"/>
        </w:numPr>
      </w:pPr>
      <w:r w:rsidRPr="001C596E">
        <w:t>Ravulizumab 21,375 mg (3,288 mg x 6.5 infusions) is equivalent to eculizumab 23,400 mg (900 mg x 26 infusions)</w:t>
      </w:r>
    </w:p>
    <w:p w:rsidR="00E52758" w:rsidRPr="001C596E" w:rsidRDefault="00EA0DBD" w:rsidP="00291560">
      <w:pPr>
        <w:pStyle w:val="ExecSumBodyText"/>
      </w:pPr>
      <w:r w:rsidRPr="001C596E">
        <w:t>The proposed equi-effective doses were based on the maintenance treatment phase and consistent with recommended doses in the product information.</w:t>
      </w:r>
      <w:r w:rsidR="00291560" w:rsidRPr="001C596E">
        <w:t xml:space="preserve"> </w:t>
      </w:r>
      <w:r w:rsidR="00D8455B" w:rsidRPr="001C596E">
        <w:t>However, the evaluation high</w:t>
      </w:r>
      <w:r w:rsidR="005337CC" w:rsidRPr="001C596E">
        <w:t>l</w:t>
      </w:r>
      <w:r w:rsidR="00D8455B" w:rsidRPr="001C596E">
        <w:t>ighted that t</w:t>
      </w:r>
      <w:r w:rsidR="00291560" w:rsidRPr="001C596E">
        <w:rPr>
          <w:iCs/>
        </w:rPr>
        <w:t xml:space="preserve">he CMA should be </w:t>
      </w:r>
      <w:r w:rsidR="00291560" w:rsidRPr="001C596E">
        <w:t xml:space="preserve">conducted over a two year period for consistency with the </w:t>
      </w:r>
      <w:r w:rsidR="00291560" w:rsidRPr="001C596E">
        <w:rPr>
          <w:iCs/>
        </w:rPr>
        <w:t>time horizon chosen for other drugs considered by the PBAC which include loading doses in year one, such as bDMARDs</w:t>
      </w:r>
      <w:r w:rsidR="00732139" w:rsidRPr="001C596E">
        <w:t xml:space="preserve">. </w:t>
      </w:r>
      <w:r w:rsidR="00E52758" w:rsidRPr="001C596E">
        <w:t xml:space="preserve">The estimated equi-effective doses over the first two years of treatment were: </w:t>
      </w:r>
    </w:p>
    <w:p w:rsidR="00275C5A" w:rsidRPr="00732139" w:rsidRDefault="00E52758" w:rsidP="00E52758">
      <w:pPr>
        <w:pStyle w:val="ExecSumBodyText"/>
        <w:numPr>
          <w:ilvl w:val="0"/>
          <w:numId w:val="12"/>
        </w:numPr>
      </w:pPr>
      <w:r w:rsidRPr="001C596E">
        <w:t>Ravulizumab 44,616 mg (13.75 infusions including loading dose) is equivalent to eculizumab 47,</w:t>
      </w:r>
      <w:r w:rsidR="0006649E" w:rsidRPr="001C596E">
        <w:t>4</w:t>
      </w:r>
      <w:r w:rsidRPr="001C596E">
        <w:t>00</w:t>
      </w:r>
      <w:r w:rsidRPr="00732139">
        <w:t xml:space="preserve"> mg (54 infusions).</w:t>
      </w:r>
      <w:r w:rsidR="000E4061" w:rsidRPr="00732139">
        <w:t xml:space="preserve"> </w:t>
      </w:r>
    </w:p>
    <w:p w:rsidR="00377E75" w:rsidRPr="00732139" w:rsidRDefault="00377E75" w:rsidP="00EA0DBD">
      <w:pPr>
        <w:pStyle w:val="ExecSumBodyText"/>
        <w:rPr>
          <w:i/>
          <w:iCs/>
        </w:rPr>
      </w:pPr>
      <w:r w:rsidRPr="00732139">
        <w:t>The estimated dose for ravulizumab was based on weight distributions from the subgroup of Australians in the International PNH registry who were ever treated with eculizumab on the LSDP, with reported weights.</w:t>
      </w:r>
      <w:r w:rsidRPr="00732139">
        <w:rPr>
          <w:i/>
          <w:iCs/>
        </w:rPr>
        <w:t xml:space="preserve"> </w:t>
      </w:r>
      <w:r w:rsidRPr="00732139">
        <w:rPr>
          <w:iCs/>
        </w:rPr>
        <w:t>The resubmission claimed that the subgroup was more applicable to the PBS population than trial-based estimates. This claim could not be validated due to poor documentation of this subgroup in terms of data collection and characteristics. It was unclear whether the PNH registry subgroup are representative of LSDP treated patients given the number of patients in the dataset was relatively small (N=52) compared with the total number of patients treated on the LSDP (N=150 between 2011 and 2019).</w:t>
      </w:r>
    </w:p>
    <w:p w:rsidR="00B3103E" w:rsidRPr="00732139" w:rsidRDefault="00B3103E" w:rsidP="00EA0DBD">
      <w:pPr>
        <w:pStyle w:val="ExecSumBodyText"/>
      </w:pPr>
      <w:r w:rsidRPr="00732139">
        <w:t xml:space="preserve">The resubmission included a cost offset based on the yearly difference in IV administration frequencies associated with ravulizumab (6.5 infusions) versus eculizumab (26 infusions). The cost offset per administration (less than 1-hour infusion for both therapies) was $111.40 based on MBS item 13950 for parenteral administration of one or more antineoplastic agents. </w:t>
      </w:r>
      <w:r w:rsidRPr="00732139">
        <w:rPr>
          <w:iCs/>
        </w:rPr>
        <w:t xml:space="preserve">The resubmission did not adequately justify the use of an MBS item for chemotherapy medicines. The Manual of Resource Items v5.0 recommends the use of a standard MBS consultation item if there is no specific MBS item for the administration of the proposed drug. </w:t>
      </w:r>
      <w:r w:rsidR="001A7559" w:rsidRPr="00732139">
        <w:rPr>
          <w:iCs/>
        </w:rPr>
        <w:t>S</w:t>
      </w:r>
      <w:r w:rsidRPr="00732139">
        <w:rPr>
          <w:iCs/>
        </w:rPr>
        <w:t xml:space="preserve">ensitivity analysis using the </w:t>
      </w:r>
      <w:r w:rsidR="000B4A3D" w:rsidRPr="00732139">
        <w:rPr>
          <w:iCs/>
        </w:rPr>
        <w:t>MBS item 105 for a follow-up specialist visit (</w:t>
      </w:r>
      <w:r w:rsidRPr="00732139">
        <w:rPr>
          <w:iCs/>
        </w:rPr>
        <w:t>$45</w:t>
      </w:r>
      <w:r w:rsidR="000B4A3D" w:rsidRPr="00732139">
        <w:rPr>
          <w:iCs/>
        </w:rPr>
        <w:t>)</w:t>
      </w:r>
      <w:r w:rsidRPr="00732139">
        <w:rPr>
          <w:iCs/>
        </w:rPr>
        <w:t xml:space="preserve"> </w:t>
      </w:r>
      <w:r w:rsidR="009A64F6" w:rsidRPr="00732139">
        <w:rPr>
          <w:iCs/>
        </w:rPr>
        <w:t>was conducted during the evaluation.</w:t>
      </w:r>
      <w:r w:rsidR="009A64F6" w:rsidRPr="00732139">
        <w:rPr>
          <w:i/>
          <w:iCs/>
        </w:rPr>
        <w:t xml:space="preserve"> </w:t>
      </w:r>
    </w:p>
    <w:p w:rsidR="001A7559" w:rsidRPr="00732139" w:rsidRDefault="001A7559" w:rsidP="00EA0DBD">
      <w:pPr>
        <w:pStyle w:val="ExecSumBodyText"/>
      </w:pPr>
      <w:r w:rsidRPr="00732139">
        <w:t xml:space="preserve">The cost-minimisation analysis </w:t>
      </w:r>
      <w:r w:rsidR="00B11A2F" w:rsidRPr="00732139">
        <w:t xml:space="preserve">from the submission </w:t>
      </w:r>
      <w:r w:rsidRPr="00732139">
        <w:t>was presented based on effective prices only, as summarised in the table below.</w:t>
      </w:r>
    </w:p>
    <w:p w:rsidR="001A7559" w:rsidRPr="00732139" w:rsidRDefault="001A7559" w:rsidP="001A7559">
      <w:pPr>
        <w:pStyle w:val="Tableheadingrow"/>
        <w:rPr>
          <w:color w:val="3366FF"/>
          <w:lang w:val="en-AU"/>
        </w:rPr>
      </w:pPr>
      <w:r w:rsidRPr="00732139">
        <w:rPr>
          <w:lang w:val="en-AU"/>
        </w:rPr>
        <w:lastRenderedPageBreak/>
        <w:t xml:space="preserve">Table </w:t>
      </w:r>
      <w:r w:rsidR="000B387F" w:rsidRPr="00732139">
        <w:rPr>
          <w:lang w:val="en-AU"/>
        </w:rPr>
        <w:t>9</w:t>
      </w:r>
      <w:r w:rsidRPr="00732139">
        <w:rPr>
          <w:lang w:val="en-AU"/>
        </w:rPr>
        <w:t>: Results of the cost-minimisation analysis</w:t>
      </w:r>
      <w:r w:rsidR="00E52758" w:rsidRPr="00732139">
        <w:rPr>
          <w:lang w:val="en-AU"/>
        </w:rPr>
        <w:t xml:space="preserve"> – </w:t>
      </w:r>
      <w:r w:rsidR="00732139" w:rsidRPr="00732139">
        <w:rPr>
          <w:lang w:val="en-AU"/>
        </w:rPr>
        <w:t>52-week</w:t>
      </w:r>
      <w:r w:rsidR="00B11A2F" w:rsidRPr="00732139">
        <w:rPr>
          <w:lang w:val="en-AU"/>
        </w:rPr>
        <w:t xml:space="preserve"> maintenance period</w:t>
      </w:r>
    </w:p>
    <w:tbl>
      <w:tblPr>
        <w:tblStyle w:val="TableGrid"/>
        <w:tblW w:w="9067" w:type="dxa"/>
        <w:tblLook w:val="04A0" w:firstRow="1" w:lastRow="0" w:firstColumn="1" w:lastColumn="0" w:noHBand="0" w:noVBand="1"/>
        <w:tblCaption w:val="Table 9: Results of the cost-minimisation analysis – 52-week maintenance period"/>
      </w:tblPr>
      <w:tblGrid>
        <w:gridCol w:w="4957"/>
        <w:gridCol w:w="4110"/>
      </w:tblGrid>
      <w:tr w:rsidR="001A7559" w:rsidRPr="00732139" w:rsidTr="00C704DD">
        <w:trPr>
          <w:tblHeader/>
        </w:trPr>
        <w:tc>
          <w:tcPr>
            <w:tcW w:w="9067" w:type="dxa"/>
            <w:gridSpan w:val="2"/>
          </w:tcPr>
          <w:p w:rsidR="001A7559" w:rsidRPr="00732139" w:rsidRDefault="001A7559" w:rsidP="00F720C5">
            <w:pPr>
              <w:pStyle w:val="TableText"/>
              <w:widowControl w:val="0"/>
              <w:rPr>
                <w:b/>
                <w:bCs w:val="0"/>
              </w:rPr>
            </w:pPr>
            <w:r w:rsidRPr="00732139">
              <w:rPr>
                <w:b/>
                <w:bCs w:val="0"/>
              </w:rPr>
              <w:t>Estimated cost of eculizumab</w:t>
            </w:r>
          </w:p>
        </w:tc>
      </w:tr>
      <w:tr w:rsidR="001A7559" w:rsidRPr="00732139" w:rsidTr="00531FF1">
        <w:tc>
          <w:tcPr>
            <w:tcW w:w="4957" w:type="dxa"/>
          </w:tcPr>
          <w:p w:rsidR="001A7559" w:rsidRPr="001C596E" w:rsidRDefault="001A7559" w:rsidP="00F720C5">
            <w:pPr>
              <w:pStyle w:val="TableText"/>
              <w:widowControl w:val="0"/>
            </w:pPr>
            <w:r w:rsidRPr="001C596E">
              <w:t xml:space="preserve">Total dose </w:t>
            </w:r>
          </w:p>
        </w:tc>
        <w:tc>
          <w:tcPr>
            <w:tcW w:w="4110" w:type="dxa"/>
          </w:tcPr>
          <w:p w:rsidR="001A7559" w:rsidRPr="001C596E" w:rsidRDefault="001A7559" w:rsidP="00F720C5">
            <w:pPr>
              <w:pStyle w:val="TableText"/>
              <w:widowControl w:val="0"/>
            </w:pPr>
            <w:r w:rsidRPr="001C596E">
              <w:t>23,400 mg</w:t>
            </w:r>
          </w:p>
        </w:tc>
      </w:tr>
      <w:tr w:rsidR="001A7559" w:rsidRPr="00732139" w:rsidTr="00531FF1">
        <w:tc>
          <w:tcPr>
            <w:tcW w:w="4957" w:type="dxa"/>
          </w:tcPr>
          <w:p w:rsidR="001A7559" w:rsidRPr="001C596E" w:rsidRDefault="001A7559" w:rsidP="00F720C5">
            <w:pPr>
              <w:pStyle w:val="TableText"/>
              <w:widowControl w:val="0"/>
            </w:pPr>
            <w:r w:rsidRPr="001C596E">
              <w:t>Number of vials</w:t>
            </w:r>
          </w:p>
        </w:tc>
        <w:tc>
          <w:tcPr>
            <w:tcW w:w="4110" w:type="dxa"/>
          </w:tcPr>
          <w:p w:rsidR="001A7559" w:rsidRPr="001C596E" w:rsidRDefault="001A7559" w:rsidP="00F720C5">
            <w:pPr>
              <w:pStyle w:val="TableText"/>
              <w:widowControl w:val="0"/>
            </w:pPr>
            <w:r w:rsidRPr="001C596E">
              <w:t>78</w:t>
            </w:r>
          </w:p>
        </w:tc>
      </w:tr>
      <w:tr w:rsidR="001A7559" w:rsidRPr="00732139" w:rsidTr="00531FF1">
        <w:tc>
          <w:tcPr>
            <w:tcW w:w="4957" w:type="dxa"/>
          </w:tcPr>
          <w:p w:rsidR="001A7559" w:rsidRPr="00732139" w:rsidRDefault="001A7559" w:rsidP="00F720C5">
            <w:pPr>
              <w:pStyle w:val="TableText"/>
              <w:widowControl w:val="0"/>
            </w:pPr>
            <w:r w:rsidRPr="00732139">
              <w:t>Cost per vial (LSDP price per vial as of April 2021)</w:t>
            </w:r>
          </w:p>
        </w:tc>
        <w:tc>
          <w:tcPr>
            <w:tcW w:w="4110" w:type="dxa"/>
          </w:tcPr>
          <w:p w:rsidR="001A7559" w:rsidRPr="00732139" w:rsidRDefault="001A7559" w:rsidP="00F720C5">
            <w:pPr>
              <w:pStyle w:val="TableText"/>
              <w:widowControl w:val="0"/>
            </w:pPr>
            <w:r w:rsidRPr="00732139">
              <w:t>$</w:t>
            </w:r>
            <w:r w:rsidR="008661E6">
              <w:rPr>
                <w:noProof/>
                <w:color w:val="000000"/>
                <w:highlight w:val="black"/>
              </w:rPr>
              <w:t>''''''''''''''''''''''</w:t>
            </w:r>
          </w:p>
        </w:tc>
      </w:tr>
      <w:tr w:rsidR="001A7559" w:rsidRPr="00732139" w:rsidTr="00531FF1">
        <w:tc>
          <w:tcPr>
            <w:tcW w:w="4957" w:type="dxa"/>
          </w:tcPr>
          <w:p w:rsidR="001A7559" w:rsidRPr="00732139" w:rsidRDefault="001A7559" w:rsidP="00F720C5">
            <w:pPr>
              <w:pStyle w:val="TableText"/>
              <w:widowControl w:val="0"/>
            </w:pPr>
            <w:r w:rsidRPr="00732139">
              <w:t>Drug cost</w:t>
            </w:r>
          </w:p>
        </w:tc>
        <w:tc>
          <w:tcPr>
            <w:tcW w:w="4110" w:type="dxa"/>
          </w:tcPr>
          <w:p w:rsidR="001A7559" w:rsidRPr="00732139" w:rsidRDefault="001A7559" w:rsidP="00F720C5">
            <w:pPr>
              <w:pStyle w:val="TableText"/>
              <w:widowControl w:val="0"/>
            </w:pPr>
            <w:r w:rsidRPr="00732139">
              <w:t>$</w:t>
            </w:r>
            <w:r w:rsidR="008661E6">
              <w:rPr>
                <w:noProof/>
                <w:color w:val="000000"/>
                <w:highlight w:val="black"/>
              </w:rPr>
              <w:t>'''''''''''''''''''</w:t>
            </w:r>
          </w:p>
        </w:tc>
      </w:tr>
      <w:tr w:rsidR="001A7559" w:rsidRPr="00732139" w:rsidTr="00531FF1">
        <w:tc>
          <w:tcPr>
            <w:tcW w:w="4957" w:type="dxa"/>
          </w:tcPr>
          <w:p w:rsidR="001A7559" w:rsidRPr="00732139" w:rsidRDefault="001A7559" w:rsidP="00F720C5">
            <w:pPr>
              <w:pStyle w:val="TableText"/>
              <w:widowControl w:val="0"/>
            </w:pPr>
            <w:r w:rsidRPr="00732139">
              <w:t xml:space="preserve">Number of administrations </w:t>
            </w:r>
          </w:p>
        </w:tc>
        <w:tc>
          <w:tcPr>
            <w:tcW w:w="4110" w:type="dxa"/>
          </w:tcPr>
          <w:p w:rsidR="001A7559" w:rsidRPr="00732139" w:rsidRDefault="001A7559" w:rsidP="00F720C5">
            <w:pPr>
              <w:pStyle w:val="TableText"/>
              <w:widowControl w:val="0"/>
            </w:pPr>
            <w:r w:rsidRPr="00732139">
              <w:t>26</w:t>
            </w:r>
          </w:p>
        </w:tc>
      </w:tr>
      <w:tr w:rsidR="001A7559" w:rsidRPr="00732139" w:rsidTr="00531FF1">
        <w:tc>
          <w:tcPr>
            <w:tcW w:w="4957" w:type="dxa"/>
          </w:tcPr>
          <w:p w:rsidR="001A7559" w:rsidRPr="00732139" w:rsidRDefault="001A7559" w:rsidP="00F720C5">
            <w:pPr>
              <w:pStyle w:val="TableText"/>
              <w:widowControl w:val="0"/>
            </w:pPr>
            <w:r w:rsidRPr="00732139">
              <w:t>Cost of administrations</w:t>
            </w:r>
          </w:p>
        </w:tc>
        <w:tc>
          <w:tcPr>
            <w:tcW w:w="4110" w:type="dxa"/>
          </w:tcPr>
          <w:p w:rsidR="001A7559" w:rsidRPr="00732139" w:rsidRDefault="001A7559" w:rsidP="00F720C5">
            <w:pPr>
              <w:pStyle w:val="TableText"/>
              <w:widowControl w:val="0"/>
            </w:pPr>
            <w:r w:rsidRPr="00732139">
              <w:t>$2,896</w:t>
            </w:r>
          </w:p>
        </w:tc>
      </w:tr>
      <w:tr w:rsidR="001A7559" w:rsidRPr="00732139" w:rsidTr="00531FF1">
        <w:tc>
          <w:tcPr>
            <w:tcW w:w="4957" w:type="dxa"/>
          </w:tcPr>
          <w:p w:rsidR="001A7559" w:rsidRPr="00732139" w:rsidRDefault="001A7559" w:rsidP="00F720C5">
            <w:pPr>
              <w:pStyle w:val="TableText"/>
              <w:widowControl w:val="0"/>
            </w:pPr>
            <w:r w:rsidRPr="00732139">
              <w:t>Total cost</w:t>
            </w:r>
          </w:p>
        </w:tc>
        <w:tc>
          <w:tcPr>
            <w:tcW w:w="4110" w:type="dxa"/>
          </w:tcPr>
          <w:p w:rsidR="001A7559" w:rsidRPr="00732139" w:rsidRDefault="001A7559" w:rsidP="00F720C5">
            <w:pPr>
              <w:pStyle w:val="TableText"/>
              <w:widowControl w:val="0"/>
            </w:pPr>
            <w:r w:rsidRPr="00732139">
              <w:t>$</w:t>
            </w:r>
            <w:r w:rsidR="008661E6">
              <w:rPr>
                <w:noProof/>
                <w:color w:val="000000"/>
                <w:highlight w:val="black"/>
              </w:rPr>
              <w:t>''''''''''''''''''</w:t>
            </w:r>
          </w:p>
        </w:tc>
      </w:tr>
      <w:tr w:rsidR="001A7559" w:rsidRPr="00732139" w:rsidTr="00531FF1">
        <w:tc>
          <w:tcPr>
            <w:tcW w:w="9067" w:type="dxa"/>
            <w:gridSpan w:val="2"/>
          </w:tcPr>
          <w:p w:rsidR="001A7559" w:rsidRPr="00732139" w:rsidRDefault="001A7559" w:rsidP="00F720C5">
            <w:pPr>
              <w:pStyle w:val="TableText"/>
              <w:widowControl w:val="0"/>
              <w:rPr>
                <w:b/>
                <w:bCs w:val="0"/>
              </w:rPr>
            </w:pPr>
            <w:r w:rsidRPr="00732139">
              <w:rPr>
                <w:b/>
                <w:bCs w:val="0"/>
              </w:rPr>
              <w:t>Estimated cost of ravulizumab</w:t>
            </w:r>
          </w:p>
        </w:tc>
      </w:tr>
      <w:tr w:rsidR="001A7559" w:rsidRPr="00732139" w:rsidTr="00531FF1">
        <w:tc>
          <w:tcPr>
            <w:tcW w:w="4957" w:type="dxa"/>
          </w:tcPr>
          <w:p w:rsidR="001A7559" w:rsidRPr="00732139" w:rsidRDefault="001A7559" w:rsidP="00F720C5">
            <w:pPr>
              <w:pStyle w:val="TableText"/>
              <w:widowControl w:val="0"/>
            </w:pPr>
            <w:r w:rsidRPr="00732139">
              <w:t xml:space="preserve">Number of administrations </w:t>
            </w:r>
          </w:p>
        </w:tc>
        <w:tc>
          <w:tcPr>
            <w:tcW w:w="4110" w:type="dxa"/>
          </w:tcPr>
          <w:p w:rsidR="001A7559" w:rsidRPr="00732139" w:rsidRDefault="001A7559" w:rsidP="00F720C5">
            <w:pPr>
              <w:pStyle w:val="TableText"/>
              <w:widowControl w:val="0"/>
            </w:pPr>
            <w:r w:rsidRPr="00732139">
              <w:t>6.5</w:t>
            </w:r>
          </w:p>
        </w:tc>
      </w:tr>
      <w:tr w:rsidR="001A7559" w:rsidRPr="00732139" w:rsidTr="00531FF1">
        <w:tc>
          <w:tcPr>
            <w:tcW w:w="4957" w:type="dxa"/>
          </w:tcPr>
          <w:p w:rsidR="001A7559" w:rsidRPr="00732139" w:rsidRDefault="001A7559" w:rsidP="00F720C5">
            <w:pPr>
              <w:pStyle w:val="TableText"/>
              <w:widowControl w:val="0"/>
            </w:pPr>
            <w:r w:rsidRPr="00732139">
              <w:t>Ravulizumab administration cost</w:t>
            </w:r>
          </w:p>
        </w:tc>
        <w:tc>
          <w:tcPr>
            <w:tcW w:w="4110" w:type="dxa"/>
          </w:tcPr>
          <w:p w:rsidR="001A7559" w:rsidRPr="00732139" w:rsidRDefault="001A7559" w:rsidP="00F720C5">
            <w:pPr>
              <w:pStyle w:val="TableText"/>
              <w:widowControl w:val="0"/>
            </w:pPr>
            <w:r w:rsidRPr="00732139">
              <w:t>$724</w:t>
            </w:r>
          </w:p>
        </w:tc>
      </w:tr>
      <w:tr w:rsidR="001A7559" w:rsidRPr="00732139" w:rsidTr="00531FF1">
        <w:tc>
          <w:tcPr>
            <w:tcW w:w="4957" w:type="dxa"/>
          </w:tcPr>
          <w:p w:rsidR="001A7559" w:rsidRPr="00732139" w:rsidRDefault="001A7559" w:rsidP="00F720C5">
            <w:pPr>
              <w:pStyle w:val="TableText"/>
              <w:widowControl w:val="0"/>
            </w:pPr>
            <w:r w:rsidRPr="00732139">
              <w:t>Total cost of eculizumab minus ravulizumab administration cost</w:t>
            </w:r>
          </w:p>
        </w:tc>
        <w:tc>
          <w:tcPr>
            <w:tcW w:w="4110" w:type="dxa"/>
          </w:tcPr>
          <w:p w:rsidR="001A7559" w:rsidRPr="00732139" w:rsidRDefault="001A7559" w:rsidP="00F720C5">
            <w:pPr>
              <w:pStyle w:val="TableText"/>
              <w:widowControl w:val="0"/>
            </w:pPr>
            <w:r w:rsidRPr="00732139">
              <w:t>$</w:t>
            </w:r>
            <w:r w:rsidR="008661E6">
              <w:rPr>
                <w:noProof/>
                <w:color w:val="000000"/>
                <w:highlight w:val="black"/>
              </w:rPr>
              <w:t>''''''''''''''''''''</w:t>
            </w:r>
          </w:p>
        </w:tc>
      </w:tr>
      <w:tr w:rsidR="001A7559" w:rsidRPr="00732139" w:rsidTr="00531FF1">
        <w:tc>
          <w:tcPr>
            <w:tcW w:w="4957" w:type="dxa"/>
          </w:tcPr>
          <w:p w:rsidR="001A7559" w:rsidRPr="00732139" w:rsidRDefault="001A7559" w:rsidP="00F720C5">
            <w:pPr>
              <w:pStyle w:val="TableText"/>
              <w:widowControl w:val="0"/>
            </w:pPr>
            <w:r w:rsidRPr="00732139">
              <w:t>Total dose</w:t>
            </w:r>
          </w:p>
        </w:tc>
        <w:tc>
          <w:tcPr>
            <w:tcW w:w="4110" w:type="dxa"/>
          </w:tcPr>
          <w:p w:rsidR="001A7559" w:rsidRPr="00732139" w:rsidRDefault="001A7559" w:rsidP="00F720C5">
            <w:pPr>
              <w:pStyle w:val="TableText"/>
              <w:widowControl w:val="0"/>
            </w:pPr>
            <w:r w:rsidRPr="001C596E">
              <w:t>21,375 mg</w:t>
            </w:r>
          </w:p>
        </w:tc>
      </w:tr>
      <w:tr w:rsidR="001A7559" w:rsidRPr="00732139" w:rsidTr="00531FF1">
        <w:tc>
          <w:tcPr>
            <w:tcW w:w="4957" w:type="dxa"/>
            <w:tcBorders>
              <w:bottom w:val="single" w:sz="8" w:space="0" w:color="auto"/>
            </w:tcBorders>
          </w:tcPr>
          <w:p w:rsidR="001A7559" w:rsidRPr="00732139" w:rsidRDefault="001A7559" w:rsidP="00F720C5">
            <w:pPr>
              <w:pStyle w:val="TableText"/>
              <w:widowControl w:val="0"/>
            </w:pPr>
            <w:r w:rsidRPr="00732139">
              <w:t xml:space="preserve">Cost per mg </w:t>
            </w:r>
          </w:p>
        </w:tc>
        <w:tc>
          <w:tcPr>
            <w:tcW w:w="4110" w:type="dxa"/>
            <w:tcBorders>
              <w:bottom w:val="single" w:sz="8" w:space="0" w:color="auto"/>
            </w:tcBorders>
          </w:tcPr>
          <w:p w:rsidR="001A7559" w:rsidRPr="00732139" w:rsidRDefault="001A7559" w:rsidP="00F720C5">
            <w:pPr>
              <w:pStyle w:val="TableText"/>
              <w:widowControl w:val="0"/>
            </w:pPr>
            <w:r w:rsidRPr="00732139">
              <w:t>$</w:t>
            </w:r>
            <w:r w:rsidR="008661E6">
              <w:rPr>
                <w:noProof/>
                <w:color w:val="000000"/>
                <w:highlight w:val="black"/>
              </w:rPr>
              <w:t>'''''''''''''</w:t>
            </w:r>
          </w:p>
        </w:tc>
      </w:tr>
      <w:tr w:rsidR="001A7559" w:rsidRPr="00732139" w:rsidTr="00531FF1">
        <w:tc>
          <w:tcPr>
            <w:tcW w:w="4957" w:type="dxa"/>
            <w:tcBorders>
              <w:top w:val="single" w:sz="8" w:space="0" w:color="auto"/>
            </w:tcBorders>
          </w:tcPr>
          <w:p w:rsidR="001A7559" w:rsidRPr="00732139" w:rsidRDefault="001A7559" w:rsidP="00F720C5">
            <w:pPr>
              <w:pStyle w:val="TableText"/>
              <w:widowControl w:val="0"/>
            </w:pPr>
            <w:r w:rsidRPr="00732139">
              <w:t>AEMP per 300 mg vial (effective price)</w:t>
            </w:r>
          </w:p>
        </w:tc>
        <w:tc>
          <w:tcPr>
            <w:tcW w:w="4110" w:type="dxa"/>
            <w:tcBorders>
              <w:top w:val="single" w:sz="8" w:space="0" w:color="auto"/>
            </w:tcBorders>
          </w:tcPr>
          <w:p w:rsidR="001A7559" w:rsidRPr="00732139" w:rsidRDefault="001A7559" w:rsidP="00F720C5">
            <w:pPr>
              <w:pStyle w:val="TableText"/>
              <w:widowControl w:val="0"/>
            </w:pPr>
            <w:r w:rsidRPr="00732139">
              <w:t>$</w:t>
            </w:r>
            <w:r w:rsidR="008661E6">
              <w:rPr>
                <w:noProof/>
                <w:color w:val="000000"/>
                <w:highlight w:val="black"/>
              </w:rPr>
              <w:t>'''''''''''''''''''''''</w:t>
            </w:r>
          </w:p>
        </w:tc>
      </w:tr>
      <w:tr w:rsidR="001A7559" w:rsidRPr="00732139" w:rsidTr="00531FF1">
        <w:tc>
          <w:tcPr>
            <w:tcW w:w="4957" w:type="dxa"/>
          </w:tcPr>
          <w:p w:rsidR="001A7559" w:rsidRPr="00732139" w:rsidRDefault="001A7559" w:rsidP="00F720C5">
            <w:pPr>
              <w:pStyle w:val="TableText"/>
              <w:widowControl w:val="0"/>
            </w:pPr>
            <w:r w:rsidRPr="00732139">
              <w:t>AEMP per 1,100 mg vial (effective price)</w:t>
            </w:r>
          </w:p>
        </w:tc>
        <w:tc>
          <w:tcPr>
            <w:tcW w:w="4110" w:type="dxa"/>
          </w:tcPr>
          <w:p w:rsidR="001A7559" w:rsidRPr="00732139" w:rsidRDefault="001A7559" w:rsidP="00F720C5">
            <w:pPr>
              <w:pStyle w:val="TableText"/>
              <w:widowControl w:val="0"/>
            </w:pPr>
            <w:r w:rsidRPr="00732139">
              <w:t>$</w:t>
            </w:r>
            <w:r w:rsidR="008661E6">
              <w:rPr>
                <w:noProof/>
                <w:color w:val="000000"/>
                <w:highlight w:val="black"/>
              </w:rPr>
              <w:t>'''''''''''''''''''''''''</w:t>
            </w:r>
          </w:p>
        </w:tc>
      </w:tr>
    </w:tbl>
    <w:p w:rsidR="001A7559" w:rsidRPr="00732139" w:rsidRDefault="001A7559" w:rsidP="00B362C6">
      <w:pPr>
        <w:pStyle w:val="TableFigureFooter"/>
      </w:pPr>
      <w:r w:rsidRPr="00732139">
        <w:t>Source: ‘Cost-minimisation model workbook’ Excel workbook of the resubmission</w:t>
      </w:r>
    </w:p>
    <w:p w:rsidR="00BB50F1" w:rsidRPr="00732139" w:rsidRDefault="00B362C6" w:rsidP="006E173A">
      <w:pPr>
        <w:pStyle w:val="ExecSumBodyText"/>
      </w:pPr>
      <w:r w:rsidRPr="00732139">
        <w:t xml:space="preserve">The </w:t>
      </w:r>
      <w:r w:rsidR="00967B1C" w:rsidRPr="00732139">
        <w:t xml:space="preserve">price per vial of ravulizumab </w:t>
      </w:r>
      <w:r w:rsidR="00E52758" w:rsidRPr="00732139">
        <w:t xml:space="preserve">as calculated above </w:t>
      </w:r>
      <w:r w:rsidR="00967B1C" w:rsidRPr="00732139">
        <w:t>was used in the cost-utility analys</w:t>
      </w:r>
      <w:r w:rsidR="00FF3818" w:rsidRPr="00732139">
        <w:t>i</w:t>
      </w:r>
      <w:r w:rsidR="00967B1C" w:rsidRPr="00732139">
        <w:t xml:space="preserve">s </w:t>
      </w:r>
      <w:r w:rsidR="00A76F90" w:rsidRPr="00732139">
        <w:t xml:space="preserve">versus </w:t>
      </w:r>
      <w:r w:rsidR="00AE4B2A" w:rsidRPr="00732139">
        <w:t>BSC</w:t>
      </w:r>
      <w:r w:rsidR="00A76F90" w:rsidRPr="00732139">
        <w:t>.</w:t>
      </w:r>
    </w:p>
    <w:p w:rsidR="00E52758" w:rsidRPr="00732139" w:rsidRDefault="00E52758" w:rsidP="00E52758">
      <w:pPr>
        <w:pStyle w:val="ExecSumBodyText"/>
      </w:pPr>
      <w:r w:rsidRPr="00732139">
        <w:t>The cost-minimisation analysis adjusting the equi-effective doses over the first two years and the cost of administration base</w:t>
      </w:r>
      <w:r w:rsidR="001E7B59" w:rsidRPr="00732139">
        <w:t>d</w:t>
      </w:r>
      <w:r w:rsidRPr="00732139">
        <w:t xml:space="preserve"> on MBS item 105, is presented below.</w:t>
      </w:r>
    </w:p>
    <w:p w:rsidR="00B11A2F" w:rsidRPr="00732139" w:rsidRDefault="00CB1C60" w:rsidP="00B11A2F">
      <w:pPr>
        <w:pStyle w:val="TableText"/>
        <w:widowControl w:val="0"/>
        <w:rPr>
          <w:b/>
          <w:bCs w:val="0"/>
        </w:rPr>
      </w:pPr>
      <w:r>
        <w:rPr>
          <w:b/>
          <w:bCs w:val="0"/>
        </w:rPr>
        <w:t xml:space="preserve">Table 10: </w:t>
      </w:r>
      <w:r w:rsidR="00B11A2F" w:rsidRPr="00732139">
        <w:rPr>
          <w:b/>
          <w:bCs w:val="0"/>
        </w:rPr>
        <w:t xml:space="preserve">Results of the cost-minimisation analysis over 2 </w:t>
      </w:r>
      <w:r w:rsidR="00732139" w:rsidRPr="00732139">
        <w:rPr>
          <w:b/>
          <w:bCs w:val="0"/>
        </w:rPr>
        <w:t>years -</w:t>
      </w:r>
      <w:r w:rsidR="00B11A2F" w:rsidRPr="00732139">
        <w:rPr>
          <w:b/>
          <w:bCs w:val="0"/>
        </w:rPr>
        <w:t xml:space="preserve"> based on initial year and subsequent year costs in the economic model</w:t>
      </w:r>
    </w:p>
    <w:tbl>
      <w:tblPr>
        <w:tblW w:w="9067" w:type="dxa"/>
        <w:tblCellMar>
          <w:left w:w="0" w:type="dxa"/>
          <w:right w:w="0" w:type="dxa"/>
        </w:tblCellMar>
        <w:tblLook w:val="04A0" w:firstRow="1" w:lastRow="0" w:firstColumn="1" w:lastColumn="0" w:noHBand="0" w:noVBand="1"/>
      </w:tblPr>
      <w:tblGrid>
        <w:gridCol w:w="4957"/>
        <w:gridCol w:w="4110"/>
      </w:tblGrid>
      <w:tr w:rsidR="00B11A2F" w:rsidRPr="00732139" w:rsidTr="00B11A2F">
        <w:tc>
          <w:tcPr>
            <w:tcW w:w="906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Estimated cost of eculizumab</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1C596E" w:rsidRDefault="00B11A2F" w:rsidP="00B11A2F">
            <w:pPr>
              <w:pStyle w:val="TableText"/>
              <w:widowControl w:val="0"/>
            </w:pPr>
            <w:r w:rsidRPr="001C596E">
              <w:t xml:space="preserve">Total dose </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1C596E" w:rsidRDefault="00B11A2F" w:rsidP="00B11A2F">
            <w:pPr>
              <w:pStyle w:val="TableText"/>
              <w:widowControl w:val="0"/>
            </w:pPr>
            <w:r w:rsidRPr="001C596E">
              <w:t>47,400 mg</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1C596E" w:rsidRDefault="00B11A2F" w:rsidP="00B11A2F">
            <w:pPr>
              <w:pStyle w:val="TableText"/>
              <w:widowControl w:val="0"/>
            </w:pPr>
            <w:r w:rsidRPr="001C596E">
              <w:t>Number of vials</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1C596E" w:rsidRDefault="00B11A2F" w:rsidP="00B11A2F">
            <w:pPr>
              <w:pStyle w:val="TableText"/>
              <w:widowControl w:val="0"/>
            </w:pPr>
            <w:r w:rsidRPr="001C596E">
              <w:t>158</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Cost per vial (LSDP price per vial as of April 2021)</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w:t>
            </w:r>
            <w:r w:rsidR="008661E6">
              <w:rPr>
                <w:noProof/>
                <w:color w:val="000000"/>
                <w:highlight w:val="black"/>
              </w:rPr>
              <w:t>''''''''''''''''''''''</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Drug cost</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w:t>
            </w:r>
            <w:r w:rsidR="008661E6">
              <w:rPr>
                <w:noProof/>
                <w:color w:val="000000"/>
                <w:highlight w:val="black"/>
              </w:rPr>
              <w:t>'''''''''''''''''''''''''''</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 xml:space="preserve">Number of administrations </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54</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Cost of administrations (MBS item 105)</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$2,430.00</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Total cost</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w:t>
            </w:r>
            <w:r w:rsidR="008661E6">
              <w:rPr>
                <w:noProof/>
                <w:color w:val="000000"/>
                <w:highlight w:val="black"/>
              </w:rPr>
              <w:t>''''''''''''''''''''''''''</w:t>
            </w:r>
          </w:p>
        </w:tc>
      </w:tr>
      <w:tr w:rsidR="00B11A2F" w:rsidRPr="00732139" w:rsidTr="00B11A2F">
        <w:tc>
          <w:tcPr>
            <w:tcW w:w="90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Estimated cost of ravulizumab</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 xml:space="preserve">Number of administrations </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13.75</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Ravulizumab administration cost (MBS item 105)</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$618.75</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Total cost of eculizumab minus ravulizumab administration cost</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w:t>
            </w:r>
            <w:r w:rsidR="008661E6">
              <w:rPr>
                <w:noProof/>
                <w:color w:val="000000"/>
                <w:highlight w:val="black"/>
              </w:rPr>
              <w:t>'''''''''''''''''''''''''''''</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1C596E" w:rsidRDefault="00B11A2F" w:rsidP="00B11A2F">
            <w:pPr>
              <w:pStyle w:val="TableText"/>
              <w:widowControl w:val="0"/>
            </w:pPr>
            <w:r w:rsidRPr="001C596E">
              <w:t>Total dose</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1C596E" w:rsidRDefault="00B11A2F" w:rsidP="00B11A2F">
            <w:pPr>
              <w:pStyle w:val="TableText"/>
              <w:widowControl w:val="0"/>
            </w:pPr>
            <w:r w:rsidRPr="001C596E">
              <w:t>44,616 mg</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 xml:space="preserve">Cost per mg </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w:t>
            </w:r>
            <w:r w:rsidR="008661E6">
              <w:rPr>
                <w:noProof/>
                <w:color w:val="000000"/>
                <w:highlight w:val="black"/>
              </w:rPr>
              <w:t>''''''''''''''</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AEMP per 300 mg vial (effective price)</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w:t>
            </w:r>
            <w:r w:rsidR="008661E6">
              <w:rPr>
                <w:noProof/>
                <w:color w:val="000000"/>
                <w:highlight w:val="black"/>
              </w:rPr>
              <w:t>'''''''''''''''''''</w:t>
            </w:r>
          </w:p>
        </w:tc>
      </w:tr>
      <w:tr w:rsidR="00B11A2F" w:rsidRPr="00732139" w:rsidTr="00B11A2F">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AEMP per 1,100 mg vial (effective price)</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B11A2F" w:rsidRPr="00732139" w:rsidRDefault="00B11A2F" w:rsidP="00B11A2F">
            <w:pPr>
              <w:pStyle w:val="TableText"/>
              <w:widowControl w:val="0"/>
            </w:pPr>
            <w:r w:rsidRPr="00732139">
              <w:t>$</w:t>
            </w:r>
            <w:r w:rsidR="008661E6">
              <w:rPr>
                <w:noProof/>
                <w:color w:val="000000"/>
                <w:highlight w:val="black"/>
              </w:rPr>
              <w:t>'''''''''''''''''''''</w:t>
            </w:r>
          </w:p>
        </w:tc>
      </w:tr>
    </w:tbl>
    <w:p w:rsidR="00B11A2F" w:rsidRPr="00732139" w:rsidRDefault="00B11A2F" w:rsidP="00590912">
      <w:pPr>
        <w:pStyle w:val="ExecSumBodyText"/>
        <w:numPr>
          <w:ilvl w:val="0"/>
          <w:numId w:val="0"/>
        </w:numPr>
        <w:ind w:left="720"/>
        <w:rPr>
          <w:i/>
        </w:rPr>
      </w:pPr>
    </w:p>
    <w:p w:rsidR="00590912" w:rsidRPr="00732139" w:rsidRDefault="00590912" w:rsidP="00590912">
      <w:pPr>
        <w:pStyle w:val="ExecSumBodyText"/>
        <w:numPr>
          <w:ilvl w:val="0"/>
          <w:numId w:val="0"/>
        </w:numPr>
        <w:ind w:left="720"/>
        <w:rPr>
          <w:iCs/>
        </w:rPr>
      </w:pPr>
      <w:r w:rsidRPr="00732139">
        <w:rPr>
          <w:i/>
        </w:rPr>
        <w:t>For more detail on PBAC’s view, see section 7 PBAC outcome.</w:t>
      </w:r>
    </w:p>
    <w:p w:rsidR="00590912" w:rsidRPr="00732139" w:rsidRDefault="00590912" w:rsidP="00590912">
      <w:pPr>
        <w:pStyle w:val="ExecSumBodyText"/>
        <w:numPr>
          <w:ilvl w:val="0"/>
          <w:numId w:val="0"/>
        </w:numPr>
      </w:pPr>
    </w:p>
    <w:p w:rsidR="00FF3818" w:rsidRPr="00732139" w:rsidRDefault="00FF3818" w:rsidP="00FF3818">
      <w:pPr>
        <w:pStyle w:val="4-SubsectSubhead"/>
        <w:rPr>
          <w:sz w:val="24"/>
          <w:szCs w:val="24"/>
        </w:rPr>
      </w:pPr>
      <w:r w:rsidRPr="00732139">
        <w:rPr>
          <w:sz w:val="24"/>
          <w:szCs w:val="24"/>
        </w:rPr>
        <w:t>Cost-utility analysis of eculizumab versus best supportive care</w:t>
      </w:r>
    </w:p>
    <w:p w:rsidR="00FF3818" w:rsidRPr="00732139" w:rsidRDefault="00620490" w:rsidP="00511D2A">
      <w:pPr>
        <w:pStyle w:val="ExecSumBodyText"/>
      </w:pPr>
      <w:r w:rsidRPr="00732139">
        <w:t xml:space="preserve">The ravulizumab July 2020 submission presented a cost-utility analysis of ravulizumab versus BSC. Due to the absence of direct comparative data for ravulizumab versus BSC, </w:t>
      </w:r>
      <w:r w:rsidRPr="00732139">
        <w:lastRenderedPageBreak/>
        <w:t>the modelled inputs for survival and quality of life were derived using eculizumab data. The submission’s approach assumed non-inferiority between ravulizumab and eculizumab in terms of long-term outcomes.</w:t>
      </w:r>
    </w:p>
    <w:p w:rsidR="00AF5303" w:rsidRPr="00732139" w:rsidRDefault="00F71E77" w:rsidP="00AF5303">
      <w:pPr>
        <w:pStyle w:val="ExecSumBodyText"/>
      </w:pPr>
      <w:r w:rsidRPr="00732139">
        <w:t>The same approach was used in the resubmission, which presented the same economic model to represent the cost-effectiveness of eculizumab or ravulizumab versus BSC.</w:t>
      </w:r>
    </w:p>
    <w:p w:rsidR="00AF5303" w:rsidRPr="00732139" w:rsidRDefault="00AF5303" w:rsidP="00AF5303">
      <w:pPr>
        <w:pStyle w:val="ExecSumBodyText"/>
        <w:spacing w:after="0"/>
      </w:pPr>
      <w:r w:rsidRPr="00732139">
        <w:t>Compared to the ravulizumab July 2020 submission, the main changes to t</w:t>
      </w:r>
      <w:r w:rsidR="00911D94" w:rsidRPr="00732139">
        <w:t>he modelled economic evaluation</w:t>
      </w:r>
      <w:r w:rsidRPr="00732139">
        <w:t xml:space="preserve"> were:</w:t>
      </w:r>
    </w:p>
    <w:p w:rsidR="00AF5303" w:rsidRPr="00732139" w:rsidRDefault="00AF5303" w:rsidP="00EF2D64">
      <w:pPr>
        <w:pStyle w:val="ListParagraph"/>
        <w:numPr>
          <w:ilvl w:val="0"/>
          <w:numId w:val="7"/>
        </w:numPr>
      </w:pPr>
      <w:r w:rsidRPr="00732139">
        <w:t>Revised time horizon.</w:t>
      </w:r>
    </w:p>
    <w:p w:rsidR="00AF5303" w:rsidRPr="00732139" w:rsidRDefault="00AF5303" w:rsidP="00EF2D64">
      <w:pPr>
        <w:pStyle w:val="ListParagraph"/>
        <w:numPr>
          <w:ilvl w:val="0"/>
          <w:numId w:val="7"/>
        </w:numPr>
      </w:pPr>
      <w:r w:rsidRPr="00732139">
        <w:t>Revised clinical inputs informing modelled survival for eculizumab and BSC.</w:t>
      </w:r>
    </w:p>
    <w:p w:rsidR="00AF5303" w:rsidRPr="00732139" w:rsidRDefault="00AF5303" w:rsidP="00EF2D64">
      <w:pPr>
        <w:pStyle w:val="ListParagraph"/>
        <w:numPr>
          <w:ilvl w:val="0"/>
          <w:numId w:val="7"/>
        </w:numPr>
      </w:pPr>
      <w:r w:rsidRPr="00732139">
        <w:t>Removal of transitions to the spontaneous remission health state in the base case.</w:t>
      </w:r>
    </w:p>
    <w:p w:rsidR="00AF5303" w:rsidRPr="00732139" w:rsidRDefault="00AF5303" w:rsidP="00EF2D64">
      <w:pPr>
        <w:pStyle w:val="ListParagraph"/>
        <w:numPr>
          <w:ilvl w:val="0"/>
          <w:numId w:val="7"/>
        </w:numPr>
      </w:pPr>
      <w:r w:rsidRPr="00732139">
        <w:t>Revised utility inputs with removal of utility gain associated with reduced infusion frequency.</w:t>
      </w:r>
    </w:p>
    <w:p w:rsidR="00AF5303" w:rsidRPr="00732139" w:rsidRDefault="00AF5303" w:rsidP="00EF2D64">
      <w:pPr>
        <w:pStyle w:val="ListParagraph"/>
        <w:numPr>
          <w:ilvl w:val="0"/>
          <w:numId w:val="7"/>
        </w:numPr>
      </w:pPr>
      <w:r w:rsidRPr="00732139">
        <w:t>Updated ravulizumab price based on cost-minimisation analysis versus eculizumab.</w:t>
      </w:r>
    </w:p>
    <w:p w:rsidR="00AF5303" w:rsidRPr="00732139" w:rsidRDefault="00AF5303" w:rsidP="00EF2D64">
      <w:pPr>
        <w:pStyle w:val="ListParagraph"/>
        <w:numPr>
          <w:ilvl w:val="0"/>
          <w:numId w:val="7"/>
        </w:numPr>
      </w:pPr>
      <w:r w:rsidRPr="00732139">
        <w:t xml:space="preserve">Revised rates of </w:t>
      </w:r>
      <w:r w:rsidR="00AE4B2A" w:rsidRPr="00732139">
        <w:t>TE</w:t>
      </w:r>
      <w:r w:rsidRPr="00732139">
        <w:t xml:space="preserve"> and included treatment costs.</w:t>
      </w:r>
    </w:p>
    <w:p w:rsidR="00AF5303" w:rsidRPr="00732139" w:rsidRDefault="00AF5303" w:rsidP="00EF2D64">
      <w:pPr>
        <w:pStyle w:val="ListParagraph"/>
        <w:numPr>
          <w:ilvl w:val="0"/>
          <w:numId w:val="7"/>
        </w:numPr>
      </w:pPr>
      <w:r w:rsidRPr="00732139">
        <w:t>Revised frequencies and costs of blood transfusions.</w:t>
      </w:r>
    </w:p>
    <w:p w:rsidR="00AF5303" w:rsidRPr="00732139" w:rsidRDefault="00AF5303" w:rsidP="00EF2D64">
      <w:pPr>
        <w:pStyle w:val="ListParagraph"/>
        <w:numPr>
          <w:ilvl w:val="0"/>
          <w:numId w:val="7"/>
        </w:numPr>
        <w:spacing w:after="120"/>
      </w:pPr>
      <w:r w:rsidRPr="00732139">
        <w:t>Updated drug administration, disease management and co-administered medication costs.</w:t>
      </w:r>
    </w:p>
    <w:p w:rsidR="00511D2A" w:rsidRPr="00732139" w:rsidRDefault="00511D2A" w:rsidP="00511D2A">
      <w:pPr>
        <w:pStyle w:val="ExecSumBodyText"/>
      </w:pPr>
      <w:r w:rsidRPr="00732139">
        <w:t>Noting the changes to the modelled economic evaluation outlined in paragraph 6.</w:t>
      </w:r>
      <w:r w:rsidR="009E39FE" w:rsidRPr="00732139">
        <w:t>73</w:t>
      </w:r>
      <w:r w:rsidRPr="00732139">
        <w:t xml:space="preserve">, the ESC considered the model structure remained essentially the same as that presented in </w:t>
      </w:r>
      <w:r w:rsidR="00633FC6" w:rsidRPr="00732139">
        <w:t xml:space="preserve">the </w:t>
      </w:r>
      <w:r w:rsidRPr="00732139">
        <w:t>ravulizumab July 2020</w:t>
      </w:r>
      <w:r w:rsidR="003817C5" w:rsidRPr="00732139">
        <w:t xml:space="preserve"> submission. The ESC reiterated</w:t>
      </w:r>
      <w:r w:rsidRPr="00732139">
        <w:t xml:space="preserve"> its </w:t>
      </w:r>
      <w:r w:rsidR="00417994" w:rsidRPr="00732139">
        <w:t>previous</w:t>
      </w:r>
      <w:r w:rsidRPr="00732139">
        <w:t xml:space="preserve"> advice that the model structure used in the comparison versus BSC lacked face validity and was unlikely to be </w:t>
      </w:r>
      <w:r w:rsidR="00417994" w:rsidRPr="00732139">
        <w:t>reliable</w:t>
      </w:r>
      <w:r w:rsidRPr="00732139">
        <w:t xml:space="preserve"> for decision making</w:t>
      </w:r>
      <w:r w:rsidR="00633FC6" w:rsidRPr="00732139">
        <w:t xml:space="preserve"> (para 6.63, ravulizumab PSD, July 2020 PBAC meeting)</w:t>
      </w:r>
      <w:r w:rsidRPr="00732139">
        <w:t>.</w:t>
      </w:r>
      <w:r w:rsidR="009E39FE" w:rsidRPr="00732139">
        <w:t xml:space="preserve"> The pre-PBAC response disagreed with the ESC advice arguing the revised model provided flexibility in terms of data selection, allowing the PBAC to explore alternative scenarios in an easy and transparent manner to inform decision making.</w:t>
      </w:r>
      <w:r w:rsidR="00AF228A" w:rsidRPr="00732139">
        <w:t xml:space="preserve"> </w:t>
      </w:r>
    </w:p>
    <w:p w:rsidR="00AF5303" w:rsidRPr="00732139" w:rsidRDefault="00580E5A" w:rsidP="008C5739">
      <w:pPr>
        <w:pStyle w:val="ExecSumBodyText"/>
      </w:pPr>
      <w:r w:rsidRPr="00732139">
        <w:t xml:space="preserve">The resubmission presented a stepped economic evaluation of eculizumab versus </w:t>
      </w:r>
      <w:r w:rsidR="00AE4B2A" w:rsidRPr="00732139">
        <w:t>BSC</w:t>
      </w:r>
      <w:r w:rsidRPr="00732139">
        <w:t xml:space="preserve"> for the treatment of adult patients with PNH who are eligible for treatment on the LSDP (broadly reflecting classic PNH). The economic evaluation was a cost-utility analysis based on modelled survival benefit using an unpublished analysis of observational data from the International PNH registry and other modelled variables.</w:t>
      </w:r>
    </w:p>
    <w:p w:rsidR="003007FE" w:rsidRPr="00732139" w:rsidRDefault="003007FE" w:rsidP="003007FE">
      <w:pPr>
        <w:pStyle w:val="TableFigureCaption"/>
      </w:pPr>
      <w:r w:rsidRPr="00732139">
        <w:lastRenderedPageBreak/>
        <w:t xml:space="preserve">Table </w:t>
      </w:r>
      <w:r w:rsidR="00CB1C60">
        <w:t>11</w:t>
      </w:r>
      <w:r w:rsidRPr="00732139">
        <w:t xml:space="preserve">: Key components of the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46"/>
        <w:gridCol w:w="6471"/>
      </w:tblGrid>
      <w:tr w:rsidR="003007FE" w:rsidRPr="00732139" w:rsidTr="00531FF1">
        <w:trPr>
          <w:tblHeader/>
        </w:trPr>
        <w:tc>
          <w:tcPr>
            <w:tcW w:w="1412" w:type="pct"/>
            <w:shd w:val="clear" w:color="auto" w:fill="auto"/>
            <w:vAlign w:val="center"/>
          </w:tcPr>
          <w:p w:rsidR="003007FE" w:rsidRPr="00732139" w:rsidRDefault="003007FE" w:rsidP="00531FF1">
            <w:pPr>
              <w:pStyle w:val="Tableheadingrow"/>
              <w:rPr>
                <w:lang w:val="en-AU"/>
              </w:rPr>
            </w:pPr>
            <w:r w:rsidRPr="00732139">
              <w:rPr>
                <w:lang w:val="en-AU"/>
              </w:rPr>
              <w:t>Component</w:t>
            </w:r>
          </w:p>
        </w:tc>
        <w:tc>
          <w:tcPr>
            <w:tcW w:w="3588" w:type="pct"/>
            <w:shd w:val="clear" w:color="auto" w:fill="auto"/>
            <w:vAlign w:val="center"/>
          </w:tcPr>
          <w:p w:rsidR="003007FE" w:rsidRPr="00732139" w:rsidRDefault="003007FE" w:rsidP="00531FF1">
            <w:pPr>
              <w:pStyle w:val="Tableheadingrow"/>
              <w:rPr>
                <w:lang w:val="en-AU"/>
              </w:rPr>
            </w:pPr>
            <w:r w:rsidRPr="00732139">
              <w:rPr>
                <w:lang w:val="en-AU"/>
              </w:rPr>
              <w:t>Summary</w:t>
            </w:r>
          </w:p>
        </w:tc>
      </w:tr>
      <w:tr w:rsidR="003007FE" w:rsidRPr="00732139" w:rsidTr="00531FF1">
        <w:tc>
          <w:tcPr>
            <w:tcW w:w="1412" w:type="pct"/>
            <w:shd w:val="clear" w:color="auto" w:fill="auto"/>
            <w:vAlign w:val="center"/>
          </w:tcPr>
          <w:p w:rsidR="003007FE" w:rsidRPr="00732139" w:rsidRDefault="003007FE" w:rsidP="00531FF1">
            <w:pPr>
              <w:pStyle w:val="TableText"/>
            </w:pPr>
            <w:r w:rsidRPr="00732139">
              <w:t>Treatments</w:t>
            </w:r>
          </w:p>
        </w:tc>
        <w:tc>
          <w:tcPr>
            <w:tcW w:w="3588" w:type="pct"/>
            <w:shd w:val="clear" w:color="auto" w:fill="auto"/>
            <w:vAlign w:val="center"/>
          </w:tcPr>
          <w:p w:rsidR="003007FE" w:rsidRPr="00732139" w:rsidRDefault="003007FE" w:rsidP="00531FF1">
            <w:pPr>
              <w:pStyle w:val="TableText"/>
            </w:pPr>
            <w:r w:rsidRPr="00732139">
              <w:t>Eculizumab versus best supportive care</w:t>
            </w:r>
          </w:p>
        </w:tc>
      </w:tr>
      <w:tr w:rsidR="003007FE" w:rsidRPr="00732139" w:rsidTr="00531FF1">
        <w:tc>
          <w:tcPr>
            <w:tcW w:w="1412" w:type="pct"/>
            <w:shd w:val="clear" w:color="auto" w:fill="auto"/>
            <w:vAlign w:val="center"/>
          </w:tcPr>
          <w:p w:rsidR="003007FE" w:rsidRPr="00732139" w:rsidRDefault="003007FE" w:rsidP="00531FF1">
            <w:pPr>
              <w:pStyle w:val="TableText"/>
            </w:pPr>
            <w:r w:rsidRPr="00732139">
              <w:t>Time horizon</w:t>
            </w:r>
          </w:p>
        </w:tc>
        <w:tc>
          <w:tcPr>
            <w:tcW w:w="3588" w:type="pct"/>
            <w:shd w:val="clear" w:color="auto" w:fill="auto"/>
            <w:vAlign w:val="center"/>
          </w:tcPr>
          <w:p w:rsidR="003007FE" w:rsidRPr="00732139" w:rsidRDefault="003007FE" w:rsidP="00531FF1">
            <w:pPr>
              <w:pStyle w:val="TableText"/>
            </w:pPr>
            <w:r w:rsidRPr="00732139">
              <w:t>60 years in the model base case versus 6.6 years (Australian ever treated) and 12 years (international never treated) follow-up in the PNH registry analysis</w:t>
            </w:r>
          </w:p>
        </w:tc>
      </w:tr>
      <w:tr w:rsidR="003007FE" w:rsidRPr="00732139" w:rsidTr="00531FF1">
        <w:tc>
          <w:tcPr>
            <w:tcW w:w="1412" w:type="pct"/>
            <w:shd w:val="clear" w:color="auto" w:fill="auto"/>
            <w:vAlign w:val="center"/>
          </w:tcPr>
          <w:p w:rsidR="003007FE" w:rsidRPr="00732139" w:rsidRDefault="003007FE" w:rsidP="00531FF1">
            <w:pPr>
              <w:pStyle w:val="TableText"/>
            </w:pPr>
            <w:r w:rsidRPr="00732139">
              <w:t>Outcomes</w:t>
            </w:r>
          </w:p>
        </w:tc>
        <w:tc>
          <w:tcPr>
            <w:tcW w:w="3588" w:type="pct"/>
            <w:shd w:val="clear" w:color="auto" w:fill="auto"/>
            <w:vAlign w:val="center"/>
          </w:tcPr>
          <w:p w:rsidR="003007FE" w:rsidRPr="00732139" w:rsidRDefault="003007FE" w:rsidP="00531FF1">
            <w:pPr>
              <w:pStyle w:val="TableText"/>
            </w:pPr>
            <w:r w:rsidRPr="00732139">
              <w:t>Life-years and quality-adjusted life-year (QALY) gained</w:t>
            </w:r>
          </w:p>
        </w:tc>
      </w:tr>
      <w:tr w:rsidR="003007FE" w:rsidRPr="00732139" w:rsidTr="00531FF1">
        <w:tc>
          <w:tcPr>
            <w:tcW w:w="1412" w:type="pct"/>
            <w:shd w:val="clear" w:color="auto" w:fill="auto"/>
            <w:vAlign w:val="center"/>
          </w:tcPr>
          <w:p w:rsidR="003007FE" w:rsidRPr="00732139" w:rsidRDefault="003007FE" w:rsidP="00531FF1">
            <w:pPr>
              <w:pStyle w:val="TableText"/>
            </w:pPr>
            <w:r w:rsidRPr="00732139">
              <w:t>Methods used to generate results</w:t>
            </w:r>
          </w:p>
        </w:tc>
        <w:tc>
          <w:tcPr>
            <w:tcW w:w="3588" w:type="pct"/>
            <w:shd w:val="clear" w:color="auto" w:fill="auto"/>
            <w:vAlign w:val="center"/>
          </w:tcPr>
          <w:p w:rsidR="003007FE" w:rsidRPr="00732139" w:rsidRDefault="003007FE" w:rsidP="00531FF1">
            <w:pPr>
              <w:pStyle w:val="TableText"/>
            </w:pPr>
            <w:r w:rsidRPr="00732139">
              <w:t>Markov cohort model</w:t>
            </w:r>
          </w:p>
        </w:tc>
      </w:tr>
      <w:tr w:rsidR="003007FE" w:rsidRPr="00732139" w:rsidTr="00531FF1">
        <w:tc>
          <w:tcPr>
            <w:tcW w:w="1412" w:type="pct"/>
            <w:shd w:val="clear" w:color="auto" w:fill="auto"/>
            <w:vAlign w:val="center"/>
          </w:tcPr>
          <w:p w:rsidR="003007FE" w:rsidRPr="00732139" w:rsidRDefault="003007FE" w:rsidP="00531FF1">
            <w:pPr>
              <w:pStyle w:val="TableText"/>
            </w:pPr>
            <w:r w:rsidRPr="00732139">
              <w:t>Health states</w:t>
            </w:r>
          </w:p>
        </w:tc>
        <w:tc>
          <w:tcPr>
            <w:tcW w:w="3588" w:type="pct"/>
            <w:shd w:val="clear" w:color="auto" w:fill="auto"/>
            <w:vAlign w:val="center"/>
          </w:tcPr>
          <w:p w:rsidR="003007FE" w:rsidRPr="00732139" w:rsidRDefault="003007FE" w:rsidP="00531FF1">
            <w:pPr>
              <w:pStyle w:val="TableText"/>
            </w:pPr>
            <w:r w:rsidRPr="00732139">
              <w:t>Alive with PNH, alive in remission (no transitions allowed in the base case) and dead</w:t>
            </w:r>
          </w:p>
        </w:tc>
      </w:tr>
      <w:tr w:rsidR="003007FE" w:rsidRPr="00732139" w:rsidTr="00531FF1">
        <w:tc>
          <w:tcPr>
            <w:tcW w:w="1412" w:type="pct"/>
            <w:shd w:val="clear" w:color="auto" w:fill="auto"/>
            <w:vAlign w:val="center"/>
          </w:tcPr>
          <w:p w:rsidR="003007FE" w:rsidRPr="00732139" w:rsidRDefault="003007FE" w:rsidP="00531FF1">
            <w:pPr>
              <w:pStyle w:val="TableText"/>
            </w:pPr>
            <w:r w:rsidRPr="00732139">
              <w:t>Cycle length</w:t>
            </w:r>
          </w:p>
        </w:tc>
        <w:tc>
          <w:tcPr>
            <w:tcW w:w="3588" w:type="pct"/>
            <w:shd w:val="clear" w:color="auto" w:fill="auto"/>
            <w:vAlign w:val="center"/>
          </w:tcPr>
          <w:p w:rsidR="003007FE" w:rsidRPr="00732139" w:rsidRDefault="003007FE" w:rsidP="00531FF1">
            <w:pPr>
              <w:pStyle w:val="TableText"/>
            </w:pPr>
            <w:r w:rsidRPr="00732139">
              <w:t xml:space="preserve">1 year, half-cycle corrections </w:t>
            </w:r>
          </w:p>
        </w:tc>
      </w:tr>
      <w:tr w:rsidR="003007FE" w:rsidRPr="00732139" w:rsidTr="00531FF1">
        <w:tc>
          <w:tcPr>
            <w:tcW w:w="1412" w:type="pct"/>
            <w:shd w:val="clear" w:color="auto" w:fill="auto"/>
            <w:vAlign w:val="center"/>
          </w:tcPr>
          <w:p w:rsidR="003007FE" w:rsidRPr="00732139" w:rsidRDefault="003007FE" w:rsidP="00531FF1">
            <w:pPr>
              <w:pStyle w:val="TableText"/>
            </w:pPr>
            <w:r w:rsidRPr="00732139">
              <w:t>Extrapolation</w:t>
            </w:r>
          </w:p>
        </w:tc>
        <w:tc>
          <w:tcPr>
            <w:tcW w:w="3588" w:type="pct"/>
            <w:shd w:val="clear" w:color="auto" w:fill="auto"/>
            <w:vAlign w:val="center"/>
          </w:tcPr>
          <w:p w:rsidR="003007FE" w:rsidRPr="00732139" w:rsidRDefault="003007FE" w:rsidP="00531FF1">
            <w:pPr>
              <w:pStyle w:val="TableText"/>
            </w:pPr>
            <w:r w:rsidRPr="00732139">
              <w:t xml:space="preserve">Separately modelled overall survival curves for eculizumab and BSC using parametric distributions over the modelled duration. Models were based on an unpublished PNH registry analysis comparing the Australian ever-treated with eculizumab versus international never-treated with eculizumab cohorts. A survival cap was included based on age-adjusted mortality in the Australian population. </w:t>
            </w:r>
          </w:p>
          <w:p w:rsidR="003007FE" w:rsidRPr="00732139" w:rsidRDefault="003007FE" w:rsidP="00531FF1">
            <w:pPr>
              <w:pStyle w:val="TableText"/>
            </w:pPr>
          </w:p>
          <w:p w:rsidR="003007FE" w:rsidRPr="00732139" w:rsidRDefault="003007FE" w:rsidP="00531FF1">
            <w:pPr>
              <w:pStyle w:val="TableText"/>
            </w:pPr>
            <w:r w:rsidRPr="00732139">
              <w:t>70.0% of the incremental costs; 93.7% of the incremental life years; 83.6% of the incremental QALYs are accrued in the extrapolated period (beyond 6 years)</w:t>
            </w:r>
          </w:p>
        </w:tc>
      </w:tr>
      <w:tr w:rsidR="003007FE" w:rsidRPr="00732139" w:rsidTr="00531FF1">
        <w:tc>
          <w:tcPr>
            <w:tcW w:w="1412" w:type="pct"/>
            <w:shd w:val="clear" w:color="auto" w:fill="auto"/>
            <w:vAlign w:val="center"/>
          </w:tcPr>
          <w:p w:rsidR="003007FE" w:rsidRPr="00732139" w:rsidRDefault="003007FE" w:rsidP="00531FF1">
            <w:pPr>
              <w:pStyle w:val="TableText"/>
            </w:pPr>
            <w:r w:rsidRPr="00732139">
              <w:t>Health related quality of life</w:t>
            </w:r>
          </w:p>
        </w:tc>
        <w:tc>
          <w:tcPr>
            <w:tcW w:w="3588" w:type="pct"/>
            <w:shd w:val="clear" w:color="auto" w:fill="auto"/>
            <w:vAlign w:val="center"/>
          </w:tcPr>
          <w:p w:rsidR="003007FE" w:rsidRPr="00732139" w:rsidRDefault="003007FE" w:rsidP="00531FF1">
            <w:pPr>
              <w:pStyle w:val="TableText"/>
            </w:pPr>
            <w:r w:rsidRPr="00732139">
              <w:t>Baseline PNH utility (both arms): 0.756</w:t>
            </w:r>
          </w:p>
          <w:p w:rsidR="003007FE" w:rsidRPr="00732139" w:rsidRDefault="003007FE" w:rsidP="00531FF1">
            <w:pPr>
              <w:pStyle w:val="TableText"/>
            </w:pPr>
            <w:r w:rsidRPr="00732139">
              <w:t>Eculizumab non-specific disease-related utility gain: 0.093</w:t>
            </w:r>
          </w:p>
          <w:p w:rsidR="003007FE" w:rsidRPr="00732139" w:rsidRDefault="003007FE" w:rsidP="00531FF1">
            <w:pPr>
              <w:pStyle w:val="TableText"/>
            </w:pPr>
            <w:r w:rsidRPr="00732139">
              <w:t>BSC non-specific disease-related disutility: -0.061</w:t>
            </w:r>
          </w:p>
          <w:p w:rsidR="003007FE" w:rsidRPr="00732139" w:rsidRDefault="003007FE" w:rsidP="00531FF1">
            <w:pPr>
              <w:pStyle w:val="TableText"/>
            </w:pPr>
            <w:r w:rsidRPr="00732139">
              <w:t>Thromboembolic events disutility (distributed across treatment arms using rates derived from Kelly 2011 and assumptions): -0.0750</w:t>
            </w:r>
          </w:p>
          <w:p w:rsidR="003007FE" w:rsidRPr="00732139" w:rsidRDefault="003007FE" w:rsidP="00531FF1">
            <w:pPr>
              <w:pStyle w:val="TableText"/>
            </w:pPr>
          </w:p>
          <w:p w:rsidR="003007FE" w:rsidRPr="00732139" w:rsidRDefault="003007FE" w:rsidP="00531FF1">
            <w:pPr>
              <w:pStyle w:val="TableText"/>
            </w:pPr>
            <w:r w:rsidRPr="00732139">
              <w:t xml:space="preserve">Baseline and non-specific disease-related utility changes were based on quality of life scores (EORTC QLQ-C30) from TRIUMPH and SHEPHERD eculizumab studies mapped to utility values (EQ-5D-3L) and assumptions. Utility values were capped at the utility value of the general population. </w:t>
            </w:r>
          </w:p>
        </w:tc>
      </w:tr>
      <w:tr w:rsidR="003007FE" w:rsidRPr="00732139" w:rsidTr="00531FF1">
        <w:tc>
          <w:tcPr>
            <w:tcW w:w="1412" w:type="pct"/>
            <w:shd w:val="clear" w:color="auto" w:fill="auto"/>
            <w:vAlign w:val="center"/>
          </w:tcPr>
          <w:p w:rsidR="003007FE" w:rsidRPr="00732139" w:rsidRDefault="003007FE" w:rsidP="00531FF1">
            <w:pPr>
              <w:pStyle w:val="TableText"/>
            </w:pPr>
            <w:r w:rsidRPr="00732139">
              <w:t>Discount rate</w:t>
            </w:r>
          </w:p>
        </w:tc>
        <w:tc>
          <w:tcPr>
            <w:tcW w:w="3588" w:type="pct"/>
            <w:shd w:val="clear" w:color="auto" w:fill="auto"/>
            <w:vAlign w:val="center"/>
          </w:tcPr>
          <w:p w:rsidR="003007FE" w:rsidRPr="00732139" w:rsidRDefault="003007FE" w:rsidP="00531FF1">
            <w:pPr>
              <w:pStyle w:val="TableText"/>
            </w:pPr>
            <w:r w:rsidRPr="00732139">
              <w:t>5% for costs and outcomes, applied annually</w:t>
            </w:r>
          </w:p>
        </w:tc>
      </w:tr>
      <w:tr w:rsidR="003007FE" w:rsidRPr="00732139" w:rsidTr="00531FF1">
        <w:tc>
          <w:tcPr>
            <w:tcW w:w="1412" w:type="pct"/>
            <w:shd w:val="clear" w:color="auto" w:fill="auto"/>
            <w:vAlign w:val="center"/>
          </w:tcPr>
          <w:p w:rsidR="003007FE" w:rsidRPr="00732139" w:rsidRDefault="003007FE" w:rsidP="00531FF1">
            <w:pPr>
              <w:pStyle w:val="TableText"/>
            </w:pPr>
            <w:r w:rsidRPr="00732139">
              <w:t>Software package</w:t>
            </w:r>
          </w:p>
        </w:tc>
        <w:tc>
          <w:tcPr>
            <w:tcW w:w="3588" w:type="pct"/>
            <w:shd w:val="clear" w:color="auto" w:fill="auto"/>
            <w:vAlign w:val="center"/>
          </w:tcPr>
          <w:p w:rsidR="003007FE" w:rsidRPr="00732139" w:rsidRDefault="003007FE" w:rsidP="00531FF1">
            <w:pPr>
              <w:pStyle w:val="TableText"/>
            </w:pPr>
            <w:r w:rsidRPr="00732139">
              <w:t>Excel</w:t>
            </w:r>
          </w:p>
        </w:tc>
      </w:tr>
    </w:tbl>
    <w:p w:rsidR="003007FE" w:rsidRPr="00732139" w:rsidRDefault="003007FE" w:rsidP="003007FE">
      <w:pPr>
        <w:pStyle w:val="TableFigureFooter"/>
      </w:pPr>
      <w:r w:rsidRPr="00732139">
        <w:t>Source: Table 3.10, p233 and Sections 3.4 to 3.6, pp240-271 of the resubmission</w:t>
      </w:r>
    </w:p>
    <w:p w:rsidR="003007FE" w:rsidRPr="00732139" w:rsidRDefault="003007FE" w:rsidP="003D1DF1">
      <w:pPr>
        <w:pStyle w:val="TableFigureFooter"/>
      </w:pPr>
      <w:r w:rsidRPr="00732139">
        <w:t xml:space="preserve">Abbreviations: EORTC QLQ-C30, European Organization for Research and Treatment of Cancer quality of life questionnaire; EQ-5D-3L, EuroQol 5-dimension 3-level quality of life questionnaire; </w:t>
      </w:r>
      <w:r w:rsidRPr="00732139">
        <w:rPr>
          <w:szCs w:val="18"/>
        </w:rPr>
        <w:t>PNH, paroxysmal nocturnal haemoglobinuria</w:t>
      </w:r>
    </w:p>
    <w:p w:rsidR="002B2F76" w:rsidRPr="00732139" w:rsidRDefault="002B2F76" w:rsidP="00BB00B3">
      <w:pPr>
        <w:pStyle w:val="ExecSumBodyText"/>
        <w:rPr>
          <w:i/>
          <w:iCs/>
        </w:rPr>
      </w:pPr>
      <w:r w:rsidRPr="00732139">
        <w:rPr>
          <w:iCs/>
        </w:rPr>
        <w:t xml:space="preserve">Although there were no major changes </w:t>
      </w:r>
      <w:r w:rsidR="00C952AA" w:rsidRPr="00732139">
        <w:rPr>
          <w:iCs/>
        </w:rPr>
        <w:t xml:space="preserve">to </w:t>
      </w:r>
      <w:r w:rsidR="00DD2B5E" w:rsidRPr="00732139">
        <w:rPr>
          <w:iCs/>
        </w:rPr>
        <w:t>the model structure</w:t>
      </w:r>
      <w:r w:rsidRPr="00732139">
        <w:rPr>
          <w:iCs/>
        </w:rPr>
        <w:t xml:space="preserve"> compared to the previous submission, spontaneous remission is no longer considered in the base case by applying a nil probability for transitions to the ‘alive in remission’ health state (without structural changes to the model). In the base case, the model is effectively a simple survival model with two health states: ‘alive with PNH’ and dead.</w:t>
      </w:r>
      <w:r w:rsidR="00DD2B5E" w:rsidRPr="00732139">
        <w:rPr>
          <w:iCs/>
        </w:rPr>
        <w:t xml:space="preserve"> All patients remaining alive continue to accrue treatment costs (no treatment discontinuation), disease-related costs and consequences.</w:t>
      </w:r>
    </w:p>
    <w:p w:rsidR="00F72D6E" w:rsidRPr="00732139" w:rsidRDefault="00F72D6E" w:rsidP="00BB00B3">
      <w:pPr>
        <w:pStyle w:val="ExecSumBodyText"/>
      </w:pPr>
      <w:r w:rsidRPr="00732139">
        <w:t>The resubmission acknowledged that there remained no explicit relationship between treatment effect, the risk of thromboembolic events, blood transfusions and overall survival. The model is based on a simplified approach, applying aggregated costs and consequences to each arm regardless of disease status.</w:t>
      </w:r>
    </w:p>
    <w:p w:rsidR="00F72D6E" w:rsidRPr="00732139" w:rsidRDefault="00F72D6E" w:rsidP="00BB00B3">
      <w:pPr>
        <w:pStyle w:val="ExecSumBodyText"/>
      </w:pPr>
      <w:r w:rsidRPr="00732139">
        <w:t xml:space="preserve">The resubmission argued that there are limited, adequately powered trial data to support a more complex modelling approach that considers the consequences of individual PNH-related complications or symptoms. </w:t>
      </w:r>
    </w:p>
    <w:p w:rsidR="00275C5A" w:rsidRPr="00732139" w:rsidRDefault="00695A48" w:rsidP="00BB00B3">
      <w:pPr>
        <w:pStyle w:val="ExecSumBodyText"/>
      </w:pPr>
      <w:r w:rsidRPr="00732139">
        <w:t xml:space="preserve">Key drivers of the model are summarised in the table below. </w:t>
      </w:r>
    </w:p>
    <w:p w:rsidR="00D110BD" w:rsidRPr="00732139" w:rsidRDefault="00D110BD" w:rsidP="00230DB1">
      <w:pPr>
        <w:pStyle w:val="TableFigureCaption"/>
      </w:pPr>
      <w:r w:rsidRPr="00732139">
        <w:lastRenderedPageBreak/>
        <w:t>Table</w:t>
      </w:r>
      <w:r w:rsidR="00FE0DA4" w:rsidRPr="00732139">
        <w:t xml:space="preserve"> </w:t>
      </w:r>
      <w:r w:rsidR="00CB1C60">
        <w:t>12</w:t>
      </w:r>
      <w:r w:rsidRPr="00732139">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7"/>
        <w:gridCol w:w="5955"/>
        <w:gridCol w:w="1225"/>
      </w:tblGrid>
      <w:tr w:rsidR="00537182" w:rsidRPr="00732139" w:rsidTr="009F63B0">
        <w:trPr>
          <w:cantSplit/>
          <w:tblHeader/>
        </w:trPr>
        <w:tc>
          <w:tcPr>
            <w:tcW w:w="1019" w:type="pct"/>
            <w:shd w:val="clear" w:color="auto" w:fill="auto"/>
            <w:vAlign w:val="center"/>
          </w:tcPr>
          <w:p w:rsidR="00D110BD" w:rsidRPr="00732139" w:rsidRDefault="00D110BD" w:rsidP="009F63B0">
            <w:pPr>
              <w:pStyle w:val="Tableheadingrow"/>
              <w:widowControl w:val="0"/>
              <w:jc w:val="center"/>
              <w:rPr>
                <w:lang w:val="en-AU"/>
              </w:rPr>
            </w:pPr>
            <w:r w:rsidRPr="00732139">
              <w:rPr>
                <w:lang w:val="en-AU"/>
              </w:rPr>
              <w:t>Description</w:t>
            </w:r>
          </w:p>
        </w:tc>
        <w:tc>
          <w:tcPr>
            <w:tcW w:w="3302" w:type="pct"/>
            <w:shd w:val="clear" w:color="auto" w:fill="auto"/>
            <w:vAlign w:val="center"/>
          </w:tcPr>
          <w:p w:rsidR="00D110BD" w:rsidRPr="00732139" w:rsidRDefault="00D110BD" w:rsidP="009F63B0">
            <w:pPr>
              <w:pStyle w:val="Tableheadingrow"/>
              <w:widowControl w:val="0"/>
              <w:jc w:val="center"/>
              <w:rPr>
                <w:lang w:val="en-AU"/>
              </w:rPr>
            </w:pPr>
            <w:r w:rsidRPr="00732139">
              <w:rPr>
                <w:lang w:val="en-AU"/>
              </w:rPr>
              <w:t>Method/Value</w:t>
            </w:r>
          </w:p>
        </w:tc>
        <w:tc>
          <w:tcPr>
            <w:tcW w:w="679" w:type="pct"/>
            <w:shd w:val="clear" w:color="auto" w:fill="auto"/>
            <w:vAlign w:val="center"/>
          </w:tcPr>
          <w:p w:rsidR="00490B17" w:rsidRPr="00732139" w:rsidRDefault="00D110BD" w:rsidP="009F63B0">
            <w:pPr>
              <w:pStyle w:val="Tableheadingrow"/>
              <w:widowControl w:val="0"/>
              <w:jc w:val="center"/>
              <w:rPr>
                <w:lang w:val="en-AU"/>
              </w:rPr>
            </w:pPr>
            <w:r w:rsidRPr="00732139">
              <w:rPr>
                <w:lang w:val="en-AU"/>
              </w:rPr>
              <w:t>Impact</w:t>
            </w:r>
          </w:p>
        </w:tc>
      </w:tr>
      <w:tr w:rsidR="00BF400A" w:rsidRPr="00732139" w:rsidTr="009F63B0">
        <w:tc>
          <w:tcPr>
            <w:tcW w:w="1019" w:type="pct"/>
            <w:shd w:val="clear" w:color="auto" w:fill="auto"/>
            <w:vAlign w:val="center"/>
          </w:tcPr>
          <w:p w:rsidR="00BF400A" w:rsidRPr="00732139" w:rsidRDefault="00BF400A" w:rsidP="009F63B0">
            <w:pPr>
              <w:pStyle w:val="TableText"/>
              <w:widowControl w:val="0"/>
              <w:jc w:val="center"/>
            </w:pPr>
            <w:r w:rsidRPr="00732139">
              <w:t>Time horizon</w:t>
            </w:r>
          </w:p>
        </w:tc>
        <w:tc>
          <w:tcPr>
            <w:tcW w:w="3302" w:type="pct"/>
            <w:shd w:val="clear" w:color="auto" w:fill="auto"/>
            <w:vAlign w:val="center"/>
          </w:tcPr>
          <w:p w:rsidR="00BF400A" w:rsidRPr="00732139" w:rsidRDefault="005F606D" w:rsidP="009F63B0">
            <w:pPr>
              <w:pStyle w:val="TableText"/>
              <w:widowControl w:val="0"/>
            </w:pPr>
            <w:r w:rsidRPr="00732139">
              <w:t xml:space="preserve">The model was based on a lifetime time horizon of 60 years. </w:t>
            </w:r>
            <w:r w:rsidRPr="00732139">
              <w:rPr>
                <w:iCs/>
              </w:rPr>
              <w:t>This was longer than in the previous submission which used a 55-year time horizon but included a younger population (35 years) compared to the population in the resubmission (40 years). While a lifetime horizon is appropriate given the chronic nature of the disease and relatively young age at diagnosis, there were limited data available to support the extrapolation of data to 60 years (maximum follow-up of 6.6 years for the Australian ever treated cohort and 12.8 years for the international never treated cohort).</w:t>
            </w:r>
            <w:r w:rsidR="00B54FBB" w:rsidRPr="00732139">
              <w:rPr>
                <w:iCs/>
              </w:rPr>
              <w:t xml:space="preserve"> </w:t>
            </w:r>
          </w:p>
        </w:tc>
        <w:tc>
          <w:tcPr>
            <w:tcW w:w="679" w:type="pct"/>
            <w:shd w:val="clear" w:color="auto" w:fill="auto"/>
            <w:vAlign w:val="center"/>
          </w:tcPr>
          <w:p w:rsidR="00BF400A" w:rsidRPr="00732139" w:rsidRDefault="00BF400A" w:rsidP="009F63B0">
            <w:pPr>
              <w:pStyle w:val="TableText"/>
              <w:widowControl w:val="0"/>
            </w:pPr>
            <w:r w:rsidRPr="00732139">
              <w:t>High, favours eculizumab</w:t>
            </w:r>
          </w:p>
        </w:tc>
      </w:tr>
      <w:tr w:rsidR="00537182" w:rsidRPr="00732139" w:rsidTr="009F63B0">
        <w:tc>
          <w:tcPr>
            <w:tcW w:w="1019" w:type="pct"/>
            <w:shd w:val="clear" w:color="auto" w:fill="auto"/>
            <w:vAlign w:val="center"/>
          </w:tcPr>
          <w:p w:rsidR="00D110BD" w:rsidRPr="00732139" w:rsidRDefault="00106B80" w:rsidP="009F63B0">
            <w:pPr>
              <w:pStyle w:val="TableText"/>
              <w:widowControl w:val="0"/>
              <w:jc w:val="center"/>
            </w:pPr>
            <w:r w:rsidRPr="00732139">
              <w:t>Extrapolation</w:t>
            </w:r>
          </w:p>
        </w:tc>
        <w:tc>
          <w:tcPr>
            <w:tcW w:w="3302" w:type="pct"/>
            <w:shd w:val="clear" w:color="auto" w:fill="auto"/>
            <w:vAlign w:val="center"/>
          </w:tcPr>
          <w:p w:rsidR="00C2687F" w:rsidRPr="00732139" w:rsidRDefault="001D429D" w:rsidP="009F63B0">
            <w:pPr>
              <w:pStyle w:val="TableText"/>
              <w:widowControl w:val="0"/>
              <w:rPr>
                <w:iCs/>
              </w:rPr>
            </w:pPr>
            <w:r w:rsidRPr="00732139">
              <w:rPr>
                <w:iCs/>
              </w:rPr>
              <w:t>The</w:t>
            </w:r>
            <w:r w:rsidR="00C63FF1" w:rsidRPr="00732139">
              <w:rPr>
                <w:iCs/>
              </w:rPr>
              <w:t xml:space="preserve"> ESC</w:t>
            </w:r>
            <w:r w:rsidRPr="00732139">
              <w:rPr>
                <w:iCs/>
              </w:rPr>
              <w:t xml:space="preserve"> </w:t>
            </w:r>
            <w:r w:rsidR="00732139" w:rsidRPr="00732139">
              <w:rPr>
                <w:iCs/>
              </w:rPr>
              <w:t>was</w:t>
            </w:r>
            <w:r w:rsidRPr="00732139">
              <w:rPr>
                <w:iCs/>
              </w:rPr>
              <w:t xml:space="preserve"> concern</w:t>
            </w:r>
            <w:r w:rsidR="00C63FF1" w:rsidRPr="00732139">
              <w:rPr>
                <w:iCs/>
              </w:rPr>
              <w:t>ed</w:t>
            </w:r>
            <w:r w:rsidRPr="00732139">
              <w:rPr>
                <w:iCs/>
              </w:rPr>
              <w:t xml:space="preserve"> with the robustness</w:t>
            </w:r>
            <w:r w:rsidR="00C65277" w:rsidRPr="00732139">
              <w:rPr>
                <w:iCs/>
              </w:rPr>
              <w:t xml:space="preserve"> and applicability</w:t>
            </w:r>
            <w:r w:rsidRPr="00732139">
              <w:rPr>
                <w:iCs/>
              </w:rPr>
              <w:t xml:space="preserve"> of the PNH registry </w:t>
            </w:r>
            <w:r w:rsidR="00C65277" w:rsidRPr="00732139">
              <w:rPr>
                <w:iCs/>
              </w:rPr>
              <w:t>analysis used</w:t>
            </w:r>
            <w:r w:rsidRPr="00732139">
              <w:rPr>
                <w:iCs/>
              </w:rPr>
              <w:t xml:space="preserve"> to inform the base case </w:t>
            </w:r>
            <w:r w:rsidR="00C65277" w:rsidRPr="00732139">
              <w:rPr>
                <w:iCs/>
              </w:rPr>
              <w:t>survival estimates</w:t>
            </w:r>
            <w:r w:rsidRPr="00732139">
              <w:rPr>
                <w:iCs/>
              </w:rPr>
              <w:t xml:space="preserve"> of eculizumab versus BSC</w:t>
            </w:r>
            <w:r w:rsidR="003625D1" w:rsidRPr="00732139">
              <w:rPr>
                <w:iCs/>
              </w:rPr>
              <w:t xml:space="preserve">. </w:t>
            </w:r>
            <w:r w:rsidR="00C2687F" w:rsidRPr="00732139">
              <w:t>The resubmission explored the use of standard parametric models (exponential, Gompertz, Weibull, log-logistic, log-normal) for the extrapolation of survival data. Survival models were selected based on statistical goodness of fit (Akaike and Bayesian Information Criterion statistics, AIC/BIC) and visual inspection.</w:t>
            </w:r>
            <w:r w:rsidR="00C2687F" w:rsidRPr="00732139">
              <w:rPr>
                <w:iCs/>
              </w:rPr>
              <w:t xml:space="preserve"> The choice of survival functions was poorly documented and did not appear to include testing of proportional hazards or use of log-cumulative hazard plots to determine whether hazards are likely to be non-monotonic (log-logistic, log-normal), monotonic (Weibull, Gompertz) or constant (exponential).</w:t>
            </w:r>
            <w:r w:rsidR="005A6DB6" w:rsidRPr="00732139">
              <w:rPr>
                <w:iCs/>
              </w:rPr>
              <w:t xml:space="preserve"> During the evaluation, plots of extrapolated hazard functions for both treatment arms were constructed to help illustrate the assumed hazards over time (see Figures </w:t>
            </w:r>
            <w:r w:rsidR="000B387F" w:rsidRPr="00732139">
              <w:rPr>
                <w:iCs/>
              </w:rPr>
              <w:t>2</w:t>
            </w:r>
            <w:r w:rsidR="005A6DB6" w:rsidRPr="00732139">
              <w:rPr>
                <w:iCs/>
              </w:rPr>
              <w:t xml:space="preserve"> and </w:t>
            </w:r>
            <w:r w:rsidR="000B387F" w:rsidRPr="00732139">
              <w:rPr>
                <w:iCs/>
              </w:rPr>
              <w:t>3</w:t>
            </w:r>
            <w:r w:rsidR="005A6DB6" w:rsidRPr="00732139">
              <w:rPr>
                <w:iCs/>
              </w:rPr>
              <w:t xml:space="preserve"> below). </w:t>
            </w:r>
          </w:p>
        </w:tc>
        <w:tc>
          <w:tcPr>
            <w:tcW w:w="679" w:type="pct"/>
            <w:shd w:val="clear" w:color="auto" w:fill="auto"/>
            <w:vAlign w:val="center"/>
          </w:tcPr>
          <w:p w:rsidR="00490B17" w:rsidRPr="00732139" w:rsidRDefault="00D110BD" w:rsidP="009F63B0">
            <w:pPr>
              <w:pStyle w:val="TableText"/>
              <w:widowControl w:val="0"/>
            </w:pPr>
            <w:r w:rsidRPr="00732139">
              <w:t xml:space="preserve">High, favours </w:t>
            </w:r>
            <w:r w:rsidR="00CC6E6F" w:rsidRPr="00732139">
              <w:t>eculizumab</w:t>
            </w:r>
          </w:p>
        </w:tc>
      </w:tr>
      <w:tr w:rsidR="00537182" w:rsidRPr="00732139" w:rsidTr="009F63B0">
        <w:trPr>
          <w:trHeight w:val="414"/>
        </w:trPr>
        <w:tc>
          <w:tcPr>
            <w:tcW w:w="1019" w:type="pct"/>
            <w:shd w:val="clear" w:color="auto" w:fill="auto"/>
            <w:vAlign w:val="center"/>
          </w:tcPr>
          <w:p w:rsidR="00D110BD" w:rsidRPr="00732139" w:rsidRDefault="00F21CDF" w:rsidP="009F63B0">
            <w:pPr>
              <w:pStyle w:val="TableText"/>
              <w:widowControl w:val="0"/>
              <w:jc w:val="center"/>
            </w:pPr>
            <w:r w:rsidRPr="00732139">
              <w:t>Non-specific disease-related utility gain/loss</w:t>
            </w:r>
          </w:p>
        </w:tc>
        <w:tc>
          <w:tcPr>
            <w:tcW w:w="3302" w:type="pct"/>
            <w:shd w:val="clear" w:color="auto" w:fill="auto"/>
            <w:vAlign w:val="center"/>
          </w:tcPr>
          <w:p w:rsidR="00D110BD" w:rsidRPr="00732139" w:rsidRDefault="00656369" w:rsidP="009F63B0">
            <w:pPr>
              <w:pStyle w:val="TableText"/>
              <w:widowControl w:val="0"/>
              <w:rPr>
                <w:iCs/>
              </w:rPr>
            </w:pPr>
            <w:r w:rsidRPr="00732139">
              <w:rPr>
                <w:iCs/>
              </w:rPr>
              <w:t xml:space="preserve">The derivation of the baseline and non-specific disease-related utility values was complex and difficult to interpret. The approach included the use of quality of life data from two different trials (e.g. baseline values from the TRIUMPH trial and mean change from baseline scores in the SHEPHERD trial) and the use of cancer-specific instruments (EORTC QLQ-C30) for scoring and mapping. The ESC previously raised significant concerns regarding the methods and applicability of the </w:t>
            </w:r>
            <w:r w:rsidR="00EA6360" w:rsidRPr="00732139">
              <w:rPr>
                <w:iCs/>
              </w:rPr>
              <w:t>calculated</w:t>
            </w:r>
            <w:r w:rsidRPr="00732139">
              <w:rPr>
                <w:iCs/>
              </w:rPr>
              <w:t xml:space="preserve"> utility values (para 6.75, ravulizumab PSD, July 2020 PBAC meeting). </w:t>
            </w:r>
          </w:p>
          <w:p w:rsidR="00656369" w:rsidRPr="00732139" w:rsidRDefault="00656369" w:rsidP="009F63B0">
            <w:pPr>
              <w:pStyle w:val="TableText"/>
              <w:widowControl w:val="0"/>
              <w:rPr>
                <w:iCs/>
              </w:rPr>
            </w:pPr>
            <w:r w:rsidRPr="00732139">
              <w:t>The inclusion of a utility gain (eculizumab arm) and a utility loss (BSC arm) appeared to be based on non-specific changes in symptoms and/or PNH-related complications and were applied as fixed changes over the modelled duration.</w:t>
            </w:r>
            <w:r w:rsidRPr="00732139">
              <w:rPr>
                <w:iCs/>
              </w:rPr>
              <w:t xml:space="preserve"> The use of these values was inadequately justified in the resubmission and resulted in the eculizumab ‘on-treatment’ utility estimates exceeding that of the general population</w:t>
            </w:r>
            <w:r w:rsidR="00732139">
              <w:rPr>
                <w:iCs/>
              </w:rPr>
              <w:t xml:space="preserve">. </w:t>
            </w:r>
          </w:p>
          <w:p w:rsidR="006B2C00" w:rsidRPr="00732139" w:rsidRDefault="006B2C00" w:rsidP="009F63B0">
            <w:pPr>
              <w:pStyle w:val="TableText"/>
              <w:widowControl w:val="0"/>
              <w:rPr>
                <w:i/>
              </w:rPr>
            </w:pPr>
            <w:r w:rsidRPr="00732139">
              <w:t>The resubmission applied a utility cap to the ‘on-treatment’ utility value (baseline + non-specific disease-related utility gain or loss) to ensure that the utility estimates in the model meet face validity. The utility cap was triggered from Year 35+ in the model, where the utility value for eculizumab treated patients exceeded estimates for the age-matched general population.</w:t>
            </w:r>
            <w:r w:rsidR="005F606D" w:rsidRPr="00732139">
              <w:t xml:space="preserve"> </w:t>
            </w:r>
            <w:r w:rsidR="005F606D" w:rsidRPr="00732139">
              <w:rPr>
                <w:iCs/>
              </w:rPr>
              <w:t>The ESC previously considered that the need for a utility cap suggested the application of utility values in the model was inappropriate; noting that even with this forced cap, it is required to assume that eculizumab treated patients who still have PNH have the same quality of life as the general population. This assumption was inadequately justified given these patients have a life-threatening disease and may still experience lifelong disease-related symptoms. Eculizumab is not a curative treatment and patients are likely to receive life-long treatments for disease management in addition to IV infused eculizumab (e.g. blood transfusions) (para 6.74, ravulizumab PSD, July 2020 PBAC meeting).</w:t>
            </w:r>
            <w:r w:rsidR="00633FC6" w:rsidRPr="00732139">
              <w:rPr>
                <w:iCs/>
              </w:rPr>
              <w:t xml:space="preserve"> The ESC considered </w:t>
            </w:r>
            <w:r w:rsidR="00417994" w:rsidRPr="00732139">
              <w:rPr>
                <w:iCs/>
              </w:rPr>
              <w:t>its previous</w:t>
            </w:r>
            <w:r w:rsidR="00B54FBB" w:rsidRPr="00732139">
              <w:rPr>
                <w:iCs/>
              </w:rPr>
              <w:t xml:space="preserve"> concerns regarding the application of utility values in the model remain relevant to the resubmission.</w:t>
            </w:r>
            <w:r w:rsidR="00B54FBB" w:rsidRPr="00732139">
              <w:rPr>
                <w:i/>
                <w:iCs/>
              </w:rPr>
              <w:t xml:space="preserve"> </w:t>
            </w:r>
          </w:p>
        </w:tc>
        <w:tc>
          <w:tcPr>
            <w:tcW w:w="679" w:type="pct"/>
            <w:shd w:val="clear" w:color="auto" w:fill="auto"/>
            <w:vAlign w:val="center"/>
          </w:tcPr>
          <w:p w:rsidR="00D110BD" w:rsidRPr="00732139" w:rsidRDefault="00537182" w:rsidP="009F63B0">
            <w:pPr>
              <w:pStyle w:val="TableText"/>
              <w:widowControl w:val="0"/>
            </w:pPr>
            <w:r w:rsidRPr="00732139">
              <w:t xml:space="preserve">High, favours </w:t>
            </w:r>
            <w:r w:rsidR="00F21CDF" w:rsidRPr="00732139">
              <w:t>eculizumab</w:t>
            </w:r>
          </w:p>
        </w:tc>
      </w:tr>
    </w:tbl>
    <w:p w:rsidR="008943DA" w:rsidRPr="00732139" w:rsidRDefault="009D792E" w:rsidP="008943DA">
      <w:pPr>
        <w:pStyle w:val="TableFigureFooter"/>
      </w:pPr>
      <w:r w:rsidRPr="00732139">
        <w:t xml:space="preserve">Source: </w:t>
      </w:r>
      <w:r w:rsidR="00290EE7" w:rsidRPr="00732139">
        <w:t>constructed during the evaluation</w:t>
      </w:r>
    </w:p>
    <w:p w:rsidR="008943DA" w:rsidRPr="00732139" w:rsidRDefault="008943DA" w:rsidP="008943DA">
      <w:pPr>
        <w:pStyle w:val="Tableheadingrow"/>
        <w:rPr>
          <w:lang w:val="en-AU"/>
        </w:rPr>
      </w:pPr>
      <w:r w:rsidRPr="00732139">
        <w:rPr>
          <w:lang w:val="en-AU"/>
        </w:rPr>
        <w:lastRenderedPageBreak/>
        <w:t xml:space="preserve">Figure </w:t>
      </w:r>
      <w:r w:rsidR="000B387F" w:rsidRPr="00732139">
        <w:rPr>
          <w:lang w:val="en-AU"/>
        </w:rPr>
        <w:t>2</w:t>
      </w:r>
      <w:r w:rsidRPr="00732139">
        <w:rPr>
          <w:lang w:val="en-AU"/>
        </w:rPr>
        <w:t>: Transition probabilities to death in the eculizumab arm</w:t>
      </w:r>
    </w:p>
    <w:p w:rsidR="008943DA" w:rsidRPr="00732139" w:rsidRDefault="002902A4" w:rsidP="008943DA">
      <w:pPr>
        <w:rPr>
          <w:color w:val="3366FF"/>
        </w:rPr>
      </w:pPr>
      <w:r w:rsidRPr="00732139">
        <w:rPr>
          <w:rFonts w:ascii="Arial Narrow" w:hAnsi="Arial Narrow"/>
          <w:noProof/>
          <w:snapToGrid w:val="0"/>
          <w:sz w:val="18"/>
          <w:szCs w:val="22"/>
        </w:rPr>
        <w:drawing>
          <wp:anchor distT="0" distB="0" distL="114300" distR="114300" simplePos="0" relativeHeight="251655680" behindDoc="0" locked="0" layoutInCell="1" allowOverlap="1" wp14:anchorId="3433A8C0" wp14:editId="4D1880DD">
            <wp:simplePos x="0" y="0"/>
            <wp:positionH relativeFrom="column">
              <wp:posOffset>1556456</wp:posOffset>
            </wp:positionH>
            <wp:positionV relativeFrom="paragraph">
              <wp:posOffset>80646</wp:posOffset>
            </wp:positionV>
            <wp:extent cx="2668833" cy="1327150"/>
            <wp:effectExtent l="0" t="0" r="0" b="6350"/>
            <wp:wrapNone/>
            <wp:docPr id="22" name="Picture 22" title="Figure 2: Transition probabilities to death in the eculizumab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5297" cy="1330365"/>
                    </a:xfrm>
                    <a:prstGeom prst="rect">
                      <a:avLst/>
                    </a:prstGeom>
                    <a:noFill/>
                  </pic:spPr>
                </pic:pic>
              </a:graphicData>
            </a:graphic>
            <wp14:sizeRelH relativeFrom="margin">
              <wp14:pctWidth>0</wp14:pctWidth>
            </wp14:sizeRelH>
            <wp14:sizeRelV relativeFrom="margin">
              <wp14:pctHeight>0</wp14:pctHeight>
            </wp14:sizeRelV>
          </wp:anchor>
        </w:drawing>
      </w:r>
      <w:r w:rsidR="009C0ED8" w:rsidRPr="00732139">
        <w:rPr>
          <w:noProof/>
          <w:color w:val="3366FF"/>
        </w:rPr>
        <w:drawing>
          <wp:inline distT="0" distB="0" distL="0" distR="0" wp14:anchorId="46070B95" wp14:editId="6DA28600">
            <wp:extent cx="4406900" cy="3160272"/>
            <wp:effectExtent l="0" t="0" r="0" b="2540"/>
            <wp:docPr id="20" name="Picture 20" title="Figure 2: Transition probabilities to death in the eculizumab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3459" cy="3164976"/>
                    </a:xfrm>
                    <a:prstGeom prst="rect">
                      <a:avLst/>
                    </a:prstGeom>
                    <a:noFill/>
                  </pic:spPr>
                </pic:pic>
              </a:graphicData>
            </a:graphic>
          </wp:inline>
        </w:drawing>
      </w:r>
    </w:p>
    <w:p w:rsidR="008943DA" w:rsidRPr="00732139" w:rsidRDefault="008943DA" w:rsidP="008943DA">
      <w:pPr>
        <w:widowControl w:val="0"/>
        <w:spacing w:after="120"/>
        <w:contextualSpacing/>
        <w:rPr>
          <w:rFonts w:ascii="Arial Narrow" w:hAnsi="Arial Narrow"/>
          <w:snapToGrid w:val="0"/>
          <w:sz w:val="18"/>
          <w:szCs w:val="22"/>
          <w:lang w:eastAsia="en-US"/>
        </w:rPr>
      </w:pPr>
      <w:r w:rsidRPr="00732139">
        <w:rPr>
          <w:rFonts w:ascii="Arial Narrow" w:hAnsi="Arial Narrow"/>
          <w:snapToGrid w:val="0"/>
          <w:sz w:val="18"/>
          <w:szCs w:val="22"/>
          <w:lang w:eastAsia="en-US"/>
        </w:rPr>
        <w:t>Source: Constructed during the evaluation using Ecu Rav CUA economic model Excel workbook provided with the resubmission</w:t>
      </w:r>
    </w:p>
    <w:p w:rsidR="007A52A6" w:rsidRPr="00732139" w:rsidRDefault="007A52A6" w:rsidP="008943DA">
      <w:pPr>
        <w:widowControl w:val="0"/>
        <w:spacing w:after="120"/>
        <w:contextualSpacing/>
        <w:rPr>
          <w:rFonts w:ascii="Arial Narrow" w:hAnsi="Arial Narrow"/>
          <w:snapToGrid w:val="0"/>
          <w:sz w:val="18"/>
          <w:szCs w:val="22"/>
          <w:lang w:eastAsia="en-US"/>
        </w:rPr>
      </w:pPr>
    </w:p>
    <w:p w:rsidR="008943DA" w:rsidRPr="00732139" w:rsidRDefault="008943DA" w:rsidP="008943DA">
      <w:pPr>
        <w:pStyle w:val="Tableheadingrow"/>
        <w:rPr>
          <w:lang w:val="en-AU"/>
        </w:rPr>
      </w:pPr>
      <w:r w:rsidRPr="00732139">
        <w:rPr>
          <w:lang w:val="en-AU"/>
        </w:rPr>
        <w:t xml:space="preserve">Figure </w:t>
      </w:r>
      <w:r w:rsidR="000B387F" w:rsidRPr="00732139">
        <w:rPr>
          <w:lang w:val="en-AU"/>
        </w:rPr>
        <w:t>3</w:t>
      </w:r>
      <w:r w:rsidRPr="00732139">
        <w:rPr>
          <w:lang w:val="en-AU"/>
        </w:rPr>
        <w:t>: Transition probabilities to death in the BSC arm</w:t>
      </w:r>
    </w:p>
    <w:p w:rsidR="007C0461" w:rsidRPr="00732139" w:rsidRDefault="007C0461" w:rsidP="008943DA">
      <w:r w:rsidRPr="00732139">
        <w:rPr>
          <w:noProof/>
        </w:rPr>
        <w:drawing>
          <wp:anchor distT="0" distB="0" distL="114300" distR="114300" simplePos="0" relativeHeight="251658752" behindDoc="0" locked="0" layoutInCell="1" allowOverlap="1" wp14:anchorId="4D20EB24" wp14:editId="031CC660">
            <wp:simplePos x="0" y="0"/>
            <wp:positionH relativeFrom="column">
              <wp:posOffset>2044700</wp:posOffset>
            </wp:positionH>
            <wp:positionV relativeFrom="paragraph">
              <wp:posOffset>102870</wp:posOffset>
            </wp:positionV>
            <wp:extent cx="2457450" cy="1316371"/>
            <wp:effectExtent l="0" t="0" r="0" b="0"/>
            <wp:wrapNone/>
            <wp:docPr id="23" name="Picture 23" title="Figure 3: Transition probabilities to death in the BS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316371"/>
                    </a:xfrm>
                    <a:prstGeom prst="rect">
                      <a:avLst/>
                    </a:prstGeom>
                    <a:noFill/>
                  </pic:spPr>
                </pic:pic>
              </a:graphicData>
            </a:graphic>
            <wp14:sizeRelH relativeFrom="margin">
              <wp14:pctWidth>0</wp14:pctWidth>
            </wp14:sizeRelH>
            <wp14:sizeRelV relativeFrom="margin">
              <wp14:pctHeight>0</wp14:pctHeight>
            </wp14:sizeRelV>
          </wp:anchor>
        </w:drawing>
      </w:r>
      <w:r w:rsidR="008943DA" w:rsidRPr="00732139">
        <w:rPr>
          <w:noProof/>
        </w:rPr>
        <w:drawing>
          <wp:inline distT="0" distB="0" distL="0" distR="0" wp14:anchorId="616F07C2" wp14:editId="0FE85BEF">
            <wp:extent cx="4711497" cy="4035972"/>
            <wp:effectExtent l="0" t="0" r="0" b="3175"/>
            <wp:docPr id="44" name="Picture 44" title="Figure 3: Transition probabilities to death in the BS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1022" cy="4061263"/>
                    </a:xfrm>
                    <a:prstGeom prst="rect">
                      <a:avLst/>
                    </a:prstGeom>
                    <a:noFill/>
                  </pic:spPr>
                </pic:pic>
              </a:graphicData>
            </a:graphic>
          </wp:inline>
        </w:drawing>
      </w:r>
    </w:p>
    <w:p w:rsidR="008943DA" w:rsidRPr="00732139" w:rsidRDefault="008943DA" w:rsidP="00FE0DA4">
      <w:pPr>
        <w:widowControl w:val="0"/>
        <w:spacing w:after="120"/>
        <w:contextualSpacing/>
        <w:rPr>
          <w:rFonts w:ascii="Arial Narrow" w:hAnsi="Arial Narrow"/>
          <w:snapToGrid w:val="0"/>
          <w:sz w:val="18"/>
          <w:szCs w:val="22"/>
          <w:lang w:eastAsia="en-US"/>
        </w:rPr>
      </w:pPr>
      <w:r w:rsidRPr="00732139">
        <w:rPr>
          <w:rFonts w:ascii="Arial Narrow" w:hAnsi="Arial Narrow"/>
          <w:snapToGrid w:val="0"/>
          <w:sz w:val="18"/>
          <w:szCs w:val="22"/>
          <w:lang w:eastAsia="en-US"/>
        </w:rPr>
        <w:t>Source: Constructed during the evaluation using Ecu Rav CUA economic model Excel workbook provided with the resubmission</w:t>
      </w:r>
    </w:p>
    <w:p w:rsidR="006577C1" w:rsidRPr="00732139" w:rsidRDefault="009E245C" w:rsidP="00FE0DA4">
      <w:pPr>
        <w:widowControl w:val="0"/>
        <w:spacing w:after="120"/>
        <w:contextualSpacing/>
        <w:rPr>
          <w:rFonts w:ascii="Arial Narrow" w:hAnsi="Arial Narrow"/>
          <w:snapToGrid w:val="0"/>
          <w:sz w:val="18"/>
          <w:szCs w:val="22"/>
          <w:lang w:eastAsia="en-US"/>
        </w:rPr>
      </w:pPr>
      <w:r w:rsidRPr="00732139">
        <w:rPr>
          <w:rFonts w:ascii="Arial Narrow" w:hAnsi="Arial Narrow"/>
          <w:snapToGrid w:val="0"/>
          <w:sz w:val="18"/>
          <w:szCs w:val="22"/>
          <w:lang w:eastAsia="en-US"/>
        </w:rPr>
        <w:t xml:space="preserve">Note: Inset graphs represents the transition probabilities </w:t>
      </w:r>
      <w:r w:rsidR="0055665B" w:rsidRPr="00732139">
        <w:rPr>
          <w:rFonts w:ascii="Arial Narrow" w:hAnsi="Arial Narrow"/>
          <w:snapToGrid w:val="0"/>
          <w:sz w:val="18"/>
          <w:szCs w:val="22"/>
          <w:lang w:eastAsia="en-US"/>
        </w:rPr>
        <w:t>with Y-axis scale between 0 and 0.</w:t>
      </w:r>
      <w:r w:rsidR="009C4AC2" w:rsidRPr="00732139">
        <w:rPr>
          <w:rFonts w:ascii="Arial Narrow" w:hAnsi="Arial Narrow"/>
          <w:snapToGrid w:val="0"/>
          <w:sz w:val="18"/>
          <w:szCs w:val="22"/>
          <w:lang w:eastAsia="en-US"/>
        </w:rPr>
        <w:t>1</w:t>
      </w:r>
    </w:p>
    <w:p w:rsidR="008943DA" w:rsidRPr="00732139" w:rsidRDefault="00BC5382" w:rsidP="00BB732D">
      <w:pPr>
        <w:pStyle w:val="ExecSumBodyText"/>
      </w:pPr>
      <w:r w:rsidRPr="00732139">
        <w:lastRenderedPageBreak/>
        <w:t xml:space="preserve">In the base case, modelled hazards of death in the eculizumab arm declined over time and </w:t>
      </w:r>
      <w:r w:rsidR="00911D94" w:rsidRPr="00732139">
        <w:t xml:space="preserve">were </w:t>
      </w:r>
      <w:r w:rsidRPr="00732139">
        <w:t>less than general population mortality by Year 7.</w:t>
      </w:r>
      <w:r w:rsidR="000E432C" w:rsidRPr="00732139">
        <w:t xml:space="preserve"> Modelled hazards of death in the BSC arm </w:t>
      </w:r>
      <w:r w:rsidR="00AC6CA6" w:rsidRPr="00732139">
        <w:t xml:space="preserve">of the base case </w:t>
      </w:r>
      <w:r w:rsidR="000E432C" w:rsidRPr="00732139">
        <w:t xml:space="preserve">increased over time but </w:t>
      </w:r>
      <w:r w:rsidR="00911D94" w:rsidRPr="00732139">
        <w:t xml:space="preserve">were </w:t>
      </w:r>
      <w:r w:rsidR="000E432C" w:rsidRPr="00732139">
        <w:t>less than general population mortality by Year 37 in the model.</w:t>
      </w:r>
    </w:p>
    <w:p w:rsidR="000E432C" w:rsidRPr="00732139" w:rsidRDefault="000E432C" w:rsidP="00BB732D">
      <w:pPr>
        <w:pStyle w:val="ExecSumBodyText"/>
        <w:rPr>
          <w:iCs/>
        </w:rPr>
      </w:pPr>
      <w:r w:rsidRPr="00732139">
        <w:rPr>
          <w:iCs/>
        </w:rPr>
        <w:t xml:space="preserve">The modelled hazards </w:t>
      </w:r>
      <w:r w:rsidR="00AC6CA6" w:rsidRPr="00732139">
        <w:rPr>
          <w:iCs/>
        </w:rPr>
        <w:t xml:space="preserve">for the base case and </w:t>
      </w:r>
      <w:r w:rsidR="00BE4A95" w:rsidRPr="00732139">
        <w:rPr>
          <w:iCs/>
        </w:rPr>
        <w:t xml:space="preserve">clinical inputs used in sensitivity analyses (Kelly 2011, Loschi 2016 post-1985 and Kang 2020) </w:t>
      </w:r>
      <w:r w:rsidRPr="00732139">
        <w:rPr>
          <w:iCs/>
        </w:rPr>
        <w:t xml:space="preserve">appeared clinically implausible. </w:t>
      </w:r>
      <w:r w:rsidR="00CB4534" w:rsidRPr="00732139">
        <w:rPr>
          <w:iCs/>
        </w:rPr>
        <w:t>A mortality adjustment</w:t>
      </w:r>
      <w:r w:rsidRPr="00732139">
        <w:rPr>
          <w:iCs/>
        </w:rPr>
        <w:t xml:space="preserve"> was required to ensure the modelled hazards meet face validity</w:t>
      </w:r>
      <w:r w:rsidR="00CB4534" w:rsidRPr="00732139">
        <w:rPr>
          <w:iCs/>
        </w:rPr>
        <w:t xml:space="preserve"> (i.e. </w:t>
      </w:r>
      <w:r w:rsidR="00F56B4D" w:rsidRPr="00732139">
        <w:rPr>
          <w:iCs/>
        </w:rPr>
        <w:t>were at least that of the general population)</w:t>
      </w:r>
      <w:r w:rsidRPr="00732139">
        <w:rPr>
          <w:iCs/>
        </w:rPr>
        <w:t>.</w:t>
      </w:r>
      <w:r w:rsidR="000C660F" w:rsidRPr="00732139">
        <w:rPr>
          <w:iCs/>
        </w:rPr>
        <w:t xml:space="preserve"> The ESC previously considered the requirement for a survival cap suggests the model is not capturing survival appropriately (para 6.73, ravulizumab PSD, July 2020 PBAC meeting).</w:t>
      </w:r>
    </w:p>
    <w:p w:rsidR="00297149" w:rsidRPr="00732139" w:rsidRDefault="00297149" w:rsidP="00BB732D">
      <w:pPr>
        <w:pStyle w:val="ExecSumBodyText"/>
        <w:rPr>
          <w:iCs/>
        </w:rPr>
      </w:pPr>
      <w:r w:rsidRPr="00732139">
        <w:t>The resubmission estimated eculizumab drug costs based on the ex-manufacturer price, without mark-ups or dispensing fees.</w:t>
      </w:r>
      <w:r w:rsidRPr="00732139">
        <w:rPr>
          <w:iCs/>
        </w:rPr>
        <w:t xml:space="preserve"> </w:t>
      </w:r>
      <w:r w:rsidRPr="00732139">
        <w:t>The resubmission claimed that the use of ex-manufacturer pricing was appropriate as the majority of use would be in public hospitals (90%) and mark-ups for private hospital use would be negligible relative to the drug acquisition cost.</w:t>
      </w:r>
    </w:p>
    <w:p w:rsidR="001B6C4D" w:rsidRPr="00732139" w:rsidRDefault="001B6C4D" w:rsidP="00BB732D">
      <w:pPr>
        <w:pStyle w:val="ExecSumBodyText"/>
        <w:rPr>
          <w:iCs/>
        </w:rPr>
      </w:pPr>
      <w:r w:rsidRPr="00732139">
        <w:t>The resubmission assumed 100% adherence and persistence to eculizumab in the model.</w:t>
      </w:r>
      <w:r w:rsidRPr="00732139">
        <w:rPr>
          <w:iCs/>
        </w:rPr>
        <w:t xml:space="preserve"> This was inconsistent with trial data suggesting some discontinuations during the 26-week trial period due to patient and physician decision, lack of efficacy and pregnancy. Utilisation data from the LSDP review of eculizumab suggests an average treatment duration of </w:t>
      </w:r>
      <w:r w:rsidRPr="001C596E">
        <w:rPr>
          <w:iCs/>
        </w:rPr>
        <w:t xml:space="preserve">approximately </w:t>
      </w:r>
      <w:r w:rsidR="008661E6">
        <w:rPr>
          <w:iCs/>
          <w:noProof/>
          <w:color w:val="000000"/>
          <w:highlight w:val="black"/>
        </w:rPr>
        <w:t>''''''''''''</w:t>
      </w:r>
      <w:r w:rsidRPr="001C596E">
        <w:rPr>
          <w:iCs/>
        </w:rPr>
        <w:t xml:space="preserve"> years including treatment breaks (LSDP review). The report also stated that </w:t>
      </w:r>
      <w:r w:rsidR="008661E6">
        <w:rPr>
          <w:iCs/>
          <w:noProof/>
          <w:color w:val="000000"/>
          <w:highlight w:val="black"/>
        </w:rPr>
        <w:t>'''''</w:t>
      </w:r>
      <w:r w:rsidRPr="001C596E">
        <w:rPr>
          <w:iCs/>
        </w:rPr>
        <w:t xml:space="preserve"> of the </w:t>
      </w:r>
      <w:r w:rsidR="008661E6">
        <w:rPr>
          <w:iCs/>
          <w:noProof/>
          <w:color w:val="000000"/>
          <w:highlight w:val="black"/>
        </w:rPr>
        <w:t>'''''''</w:t>
      </w:r>
      <w:r w:rsidRPr="001C596E">
        <w:rPr>
          <w:iCs/>
        </w:rPr>
        <w:t xml:space="preserve"> patients (between 2011-2019) have stopped treatment, </w:t>
      </w:r>
      <w:r w:rsidR="00F56B4D" w:rsidRPr="001C596E">
        <w:rPr>
          <w:iCs/>
        </w:rPr>
        <w:t>with</w:t>
      </w:r>
      <w:r w:rsidRPr="001C596E">
        <w:rPr>
          <w:iCs/>
        </w:rPr>
        <w:t xml:space="preserve"> </w:t>
      </w:r>
      <w:r w:rsidR="008661E6">
        <w:rPr>
          <w:iCs/>
          <w:noProof/>
          <w:color w:val="000000"/>
          <w:highlight w:val="black"/>
        </w:rPr>
        <w:t>''''''</w:t>
      </w:r>
      <w:r w:rsidRPr="001C596E">
        <w:rPr>
          <w:iCs/>
        </w:rPr>
        <w:t xml:space="preserve"> of t</w:t>
      </w:r>
      <w:r w:rsidR="00F56B4D" w:rsidRPr="001C596E">
        <w:rPr>
          <w:iCs/>
        </w:rPr>
        <w:t>he</w:t>
      </w:r>
      <w:r w:rsidRPr="001C596E">
        <w:rPr>
          <w:iCs/>
        </w:rPr>
        <w:t xml:space="preserve"> </w:t>
      </w:r>
      <w:r w:rsidR="008661E6">
        <w:rPr>
          <w:iCs/>
          <w:noProof/>
          <w:color w:val="000000"/>
          <w:highlight w:val="black"/>
        </w:rPr>
        <w:t>''''''</w:t>
      </w:r>
      <w:r w:rsidRPr="001C596E">
        <w:rPr>
          <w:iCs/>
        </w:rPr>
        <w:t xml:space="preserve"> known to be deceased. It was assumed that the remaining </w:t>
      </w:r>
      <w:r w:rsidR="008661E6">
        <w:rPr>
          <w:iCs/>
          <w:noProof/>
          <w:color w:val="000000"/>
          <w:highlight w:val="black"/>
        </w:rPr>
        <w:t>'''''</w:t>
      </w:r>
      <w:r w:rsidRPr="001C596E">
        <w:rPr>
          <w:iCs/>
        </w:rPr>
        <w:t xml:space="preserve"> patients</w:t>
      </w:r>
      <w:r w:rsidRPr="00732139">
        <w:rPr>
          <w:iCs/>
        </w:rPr>
        <w:t xml:space="preserve"> are alive but not treated with eculizumab on the LSDP. However, the report noted gaps in the AIHW cause of death data linkage therefore it is possible that more patients are deceased (LSDP report). The reasons for treatment discontinuation were unknown due to limited documentation in the LSDP dataset, however, it is likely that a number of these patients left the LSDP to participate in clinical trials (estimated as </w:t>
      </w:r>
      <w:r w:rsidR="009B2214">
        <w:rPr>
          <w:iCs/>
        </w:rPr>
        <w:t>&lt; 500</w:t>
      </w:r>
      <w:r w:rsidR="009B2214" w:rsidRPr="00732139">
        <w:rPr>
          <w:iCs/>
        </w:rPr>
        <w:t xml:space="preserve"> </w:t>
      </w:r>
      <w:r w:rsidRPr="00732139">
        <w:rPr>
          <w:iCs/>
        </w:rPr>
        <w:t>patients from 2017 in the resubmission).</w:t>
      </w:r>
    </w:p>
    <w:p w:rsidR="00297149" w:rsidRPr="00732139" w:rsidRDefault="00297149" w:rsidP="00BB732D">
      <w:pPr>
        <w:pStyle w:val="ExecSumBodyText"/>
        <w:rPr>
          <w:iCs/>
        </w:rPr>
      </w:pPr>
      <w:r w:rsidRPr="00732139">
        <w:rPr>
          <w:iCs/>
        </w:rPr>
        <w:t>While there were concerns with the data source and/or derivation of a number of the other cost inputs, the incremental costs were primarily driven by eculizumab drug costs.</w:t>
      </w:r>
    </w:p>
    <w:p w:rsidR="00F612E8" w:rsidRPr="00732139" w:rsidRDefault="00297149" w:rsidP="00BB732D">
      <w:pPr>
        <w:pStyle w:val="ExecSumBodyText"/>
        <w:rPr>
          <w:iCs/>
        </w:rPr>
      </w:pPr>
      <w:r w:rsidRPr="00732139">
        <w:rPr>
          <w:iCs/>
        </w:rPr>
        <w:t>There were no costs or consequences attributed to the increased risk of serious infections and infusion reactions associated with eculizumab treatment. This approach was inconsistent with the clinical claim of inferior safety versus BSC.</w:t>
      </w:r>
    </w:p>
    <w:p w:rsidR="005A373D" w:rsidRPr="00732139" w:rsidRDefault="000877A9" w:rsidP="00BB732D">
      <w:pPr>
        <w:pStyle w:val="ExecSumBodyText"/>
      </w:pPr>
      <w:r w:rsidRPr="00732139">
        <w:t xml:space="preserve">The </w:t>
      </w:r>
      <w:r w:rsidR="00A1642C" w:rsidRPr="00732139">
        <w:t>results of the modelled economic evaluation are summarised below.</w:t>
      </w:r>
    </w:p>
    <w:p w:rsidR="00A1642C" w:rsidRPr="00732139" w:rsidRDefault="00A1642C" w:rsidP="001D54A6">
      <w:pPr>
        <w:pStyle w:val="TableFigureCaption"/>
        <w:keepLines/>
      </w:pPr>
      <w:r w:rsidRPr="00732139">
        <w:lastRenderedPageBreak/>
        <w:t xml:space="preserve">Table </w:t>
      </w:r>
      <w:r w:rsidR="00CB1C60">
        <w:t>13</w:t>
      </w:r>
      <w:r w:rsidRPr="00732139">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A1642C" w:rsidRPr="00732139" w:rsidTr="00531FF1">
        <w:trPr>
          <w:tblHeader/>
        </w:trPr>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headingrow"/>
              <w:keepLines/>
              <w:rPr>
                <w:szCs w:val="20"/>
                <w:lang w:val="en-AU"/>
              </w:rPr>
            </w:pPr>
            <w:r w:rsidRPr="00732139">
              <w:rPr>
                <w:szCs w:val="20"/>
                <w:lang w:val="en-AU"/>
              </w:rPr>
              <w:t>Step and component</w:t>
            </w:r>
          </w:p>
        </w:tc>
        <w:tc>
          <w:tcPr>
            <w:tcW w:w="135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headingrow"/>
              <w:keepLines/>
              <w:jc w:val="center"/>
              <w:rPr>
                <w:szCs w:val="20"/>
                <w:lang w:val="en-AU"/>
              </w:rPr>
            </w:pPr>
            <w:r w:rsidRPr="00732139">
              <w:rPr>
                <w:szCs w:val="20"/>
                <w:lang w:val="en-AU"/>
              </w:rPr>
              <w:t>Eculizumab</w:t>
            </w:r>
          </w:p>
        </w:tc>
        <w:tc>
          <w:tcPr>
            <w:tcW w:w="1274"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headingrow"/>
              <w:keepLines/>
              <w:jc w:val="center"/>
              <w:rPr>
                <w:szCs w:val="20"/>
                <w:lang w:val="en-AU"/>
              </w:rPr>
            </w:pPr>
            <w:r w:rsidRPr="00732139">
              <w:rPr>
                <w:szCs w:val="20"/>
                <w:lang w:val="en-AU"/>
              </w:rPr>
              <w:t>BSC</w:t>
            </w:r>
          </w:p>
        </w:tc>
        <w:tc>
          <w:tcPr>
            <w:tcW w:w="838"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headingrow"/>
              <w:keepLines/>
              <w:jc w:val="center"/>
              <w:rPr>
                <w:szCs w:val="20"/>
                <w:lang w:val="en-AU"/>
              </w:rPr>
            </w:pPr>
            <w:r w:rsidRPr="00732139">
              <w:rPr>
                <w:szCs w:val="20"/>
                <w:lang w:val="en-AU"/>
              </w:rPr>
              <w:t>Increment</w:t>
            </w:r>
          </w:p>
        </w:tc>
      </w:tr>
      <w:tr w:rsidR="00A1642C" w:rsidRPr="00732139" w:rsidTr="00531FF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headingrow"/>
              <w:keepLines/>
              <w:rPr>
                <w:szCs w:val="20"/>
                <w:vertAlign w:val="superscript"/>
                <w:lang w:val="en-AU"/>
              </w:rPr>
            </w:pPr>
            <w:r w:rsidRPr="00732139">
              <w:rPr>
                <w:szCs w:val="20"/>
                <w:lang w:val="en-AU"/>
              </w:rPr>
              <w:t>Step 1a: Overall survival based on Kaplan-Meier survival curves for eculizumab versus BSC (Australian ever treated versus international never treated) from adjusted-with LDH PNH registry analysis), 6-year time horizon, drug and administration costs only</w:t>
            </w:r>
            <w:r w:rsidR="00CD4FBF" w:rsidRPr="00732139">
              <w:rPr>
                <w:szCs w:val="20"/>
                <w:vertAlign w:val="superscript"/>
                <w:lang w:val="en-AU"/>
              </w:rPr>
              <w:t>a</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F415F7" w:rsidRDefault="00A1642C" w:rsidP="00F415F7">
            <w:pPr>
              <w:pStyle w:val="TableText"/>
              <w:keepLines/>
              <w:rPr>
                <w:szCs w:val="20"/>
                <w:vertAlign w:val="superscript"/>
              </w:rPr>
            </w:pPr>
            <w:r w:rsidRPr="00732139">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$0</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8661E6" w:rsidRDefault="00A1642C" w:rsidP="001D54A6">
            <w:pPr>
              <w:pStyle w:val="TableText"/>
              <w:keepLines/>
              <w:jc w:val="center"/>
              <w:rPr>
                <w:szCs w:val="20"/>
              </w:rPr>
            </w:pPr>
            <w:r w:rsidRPr="00571D7E">
              <w:rPr>
                <w:szCs w:val="20"/>
              </w:rPr>
              <w:t>$</w:t>
            </w:r>
            <w:r w:rsidR="008661E6">
              <w:rPr>
                <w:noProof/>
                <w:color w:val="000000"/>
                <w:szCs w:val="20"/>
                <w:highlight w:val="black"/>
              </w:rPr>
              <w:t>''''''''''''''''''''''''''</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LYs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5.92</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5.58</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0.34</w:t>
            </w:r>
          </w:p>
        </w:tc>
      </w:tr>
      <w:tr w:rsidR="00A1642C" w:rsidRPr="00732139" w:rsidTr="00531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b/>
                <w:szCs w:val="20"/>
              </w:rPr>
            </w:pPr>
            <w:r w:rsidRPr="00732139">
              <w:rPr>
                <w:b/>
                <w:szCs w:val="20"/>
              </w:rPr>
              <w:t>Incremental cost/LY gained</w:t>
            </w:r>
          </w:p>
        </w:tc>
        <w:tc>
          <w:tcPr>
            <w:tcW w:w="838"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b/>
                <w:szCs w:val="20"/>
              </w:rPr>
              <w:t>$</w:t>
            </w:r>
            <w:r w:rsidR="008661E6">
              <w:rPr>
                <w:b/>
                <w:noProof/>
                <w:color w:val="000000"/>
                <w:szCs w:val="20"/>
                <w:highlight w:val="black"/>
              </w:rPr>
              <w:t>'''''''''''''''''''</w:t>
            </w:r>
            <w:r w:rsidR="00F415F7">
              <w:rPr>
                <w:szCs w:val="20"/>
                <w:vertAlign w:val="superscript"/>
              </w:rPr>
              <w:t>1</w:t>
            </w:r>
          </w:p>
        </w:tc>
      </w:tr>
      <w:tr w:rsidR="00A1642C" w:rsidRPr="00732139" w:rsidTr="00531FF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headingrow"/>
              <w:keepLines/>
              <w:rPr>
                <w:szCs w:val="20"/>
                <w:vertAlign w:val="superscript"/>
                <w:lang w:val="en-AU"/>
              </w:rPr>
            </w:pPr>
            <w:r w:rsidRPr="00732139">
              <w:rPr>
                <w:szCs w:val="20"/>
                <w:lang w:val="en-AU"/>
              </w:rPr>
              <w:t>Step 1b: Modelled efficacy (log-normal survival curve for eculizumab; Weibull survival curve for BSC), 6-year time horizon, drug and administration costs only</w:t>
            </w:r>
            <w:r w:rsidR="00CD4FBF" w:rsidRPr="00732139">
              <w:rPr>
                <w:szCs w:val="20"/>
                <w:vertAlign w:val="superscript"/>
                <w:lang w:val="en-AU"/>
              </w:rPr>
              <w:t>a</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$0</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LYs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5.93</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5.59</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0.34</w:t>
            </w:r>
          </w:p>
        </w:tc>
      </w:tr>
      <w:tr w:rsidR="00A1642C" w:rsidRPr="00732139" w:rsidTr="00531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b/>
                <w:szCs w:val="20"/>
              </w:rPr>
            </w:pPr>
            <w:r w:rsidRPr="00732139">
              <w:rPr>
                <w:b/>
                <w:szCs w:val="20"/>
              </w:rPr>
              <w:t>Incremental cost/LY gained</w:t>
            </w:r>
          </w:p>
        </w:tc>
        <w:tc>
          <w:tcPr>
            <w:tcW w:w="838"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b/>
                <w:szCs w:val="20"/>
              </w:rPr>
              <w:t>$</w:t>
            </w:r>
            <w:r w:rsidR="008661E6">
              <w:rPr>
                <w:b/>
                <w:noProof/>
                <w:color w:val="000000"/>
                <w:szCs w:val="20"/>
                <w:highlight w:val="black"/>
              </w:rPr>
              <w:t>'''''''''''''''''''</w:t>
            </w:r>
            <w:r w:rsidR="00F415F7">
              <w:rPr>
                <w:szCs w:val="20"/>
                <w:vertAlign w:val="superscript"/>
              </w:rPr>
              <w:t>1</w:t>
            </w:r>
          </w:p>
        </w:tc>
      </w:tr>
      <w:tr w:rsidR="00A1642C" w:rsidRPr="00732139" w:rsidTr="00531FF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headingrow"/>
              <w:keepLines/>
              <w:rPr>
                <w:szCs w:val="20"/>
                <w:vertAlign w:val="superscript"/>
                <w:lang w:val="en-AU"/>
              </w:rPr>
            </w:pPr>
            <w:r w:rsidRPr="00732139">
              <w:rPr>
                <w:szCs w:val="20"/>
                <w:lang w:val="en-AU"/>
              </w:rPr>
              <w:t>Step 2: Extrapolate to 60-year time horizon</w:t>
            </w:r>
            <w:r w:rsidR="00CD4FBF" w:rsidRPr="00732139">
              <w:rPr>
                <w:szCs w:val="20"/>
                <w:vertAlign w:val="superscript"/>
                <w:lang w:val="en-AU"/>
              </w:rPr>
              <w:t>a</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$0</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LYs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57.46</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28.22</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29.24</w:t>
            </w:r>
          </w:p>
        </w:tc>
      </w:tr>
      <w:tr w:rsidR="00A1642C" w:rsidRPr="00732139" w:rsidTr="00531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b/>
                <w:szCs w:val="20"/>
              </w:rPr>
            </w:pPr>
            <w:r w:rsidRPr="00732139">
              <w:rPr>
                <w:b/>
                <w:szCs w:val="20"/>
              </w:rPr>
              <w:t>Incremental cost/LY gained</w:t>
            </w:r>
          </w:p>
        </w:tc>
        <w:tc>
          <w:tcPr>
            <w:tcW w:w="838"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b/>
                <w:szCs w:val="20"/>
              </w:rPr>
              <w:t>$</w:t>
            </w:r>
            <w:r w:rsidR="008661E6">
              <w:rPr>
                <w:b/>
                <w:noProof/>
                <w:color w:val="000000"/>
                <w:szCs w:val="20"/>
                <w:highlight w:val="black"/>
              </w:rPr>
              <w:t>'''''''''''''''''</w:t>
            </w:r>
            <w:r w:rsidR="00F415F7">
              <w:rPr>
                <w:szCs w:val="20"/>
                <w:vertAlign w:val="superscript"/>
              </w:rPr>
              <w:t>2</w:t>
            </w:r>
          </w:p>
        </w:tc>
      </w:tr>
      <w:tr w:rsidR="00A1642C" w:rsidRPr="00732139" w:rsidTr="00531FF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b/>
                <w:szCs w:val="20"/>
                <w:vertAlign w:val="superscript"/>
              </w:rPr>
            </w:pPr>
            <w:r w:rsidRPr="00732139">
              <w:rPr>
                <w:b/>
                <w:szCs w:val="20"/>
              </w:rPr>
              <w:t>Step 3: Incorporate age-adjusted survival cap (i.e. proportion remaining alive does not exceed general population survival estimates)</w:t>
            </w:r>
            <w:r w:rsidR="00CD4FBF" w:rsidRPr="00732139">
              <w:rPr>
                <w:b/>
                <w:szCs w:val="20"/>
                <w:vertAlign w:val="superscript"/>
              </w:rPr>
              <w:t>a</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b/>
                <w:szCs w:val="20"/>
              </w:rPr>
            </w:pPr>
            <w:r w:rsidRPr="00732139">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szCs w:val="20"/>
              </w:rPr>
              <w:t>$</w:t>
            </w:r>
            <w:r w:rsidR="008661E6">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szCs w:val="20"/>
              </w:rPr>
              <w:t>$0</w:t>
            </w:r>
          </w:p>
        </w:tc>
        <w:tc>
          <w:tcPr>
            <w:tcW w:w="838"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szCs w:val="20"/>
              </w:rPr>
              <w:t>$</w:t>
            </w:r>
            <w:r w:rsidR="008661E6">
              <w:rPr>
                <w:noProof/>
                <w:color w:val="000000"/>
                <w:szCs w:val="20"/>
                <w:highlight w:val="black"/>
              </w:rPr>
              <w:t>'''''''''''''''''''''''</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b/>
                <w:szCs w:val="20"/>
              </w:rPr>
            </w:pPr>
            <w:r w:rsidRPr="00732139">
              <w:rPr>
                <w:szCs w:val="20"/>
              </w:rPr>
              <w:t>LYs</w:t>
            </w:r>
          </w:p>
        </w:tc>
        <w:tc>
          <w:tcPr>
            <w:tcW w:w="135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szCs w:val="20"/>
              </w:rPr>
              <w:t>41.53</w:t>
            </w:r>
          </w:p>
        </w:tc>
        <w:tc>
          <w:tcPr>
            <w:tcW w:w="1274"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szCs w:val="20"/>
              </w:rPr>
              <w:t>26.47</w:t>
            </w:r>
          </w:p>
        </w:tc>
        <w:tc>
          <w:tcPr>
            <w:tcW w:w="838"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szCs w:val="20"/>
              </w:rPr>
              <w:t>15.06</w:t>
            </w:r>
          </w:p>
        </w:tc>
      </w:tr>
      <w:tr w:rsidR="00A1642C" w:rsidRPr="00732139" w:rsidTr="00531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b/>
                <w:szCs w:val="20"/>
              </w:rPr>
            </w:pPr>
            <w:r w:rsidRPr="00732139">
              <w:rPr>
                <w:b/>
                <w:szCs w:val="20"/>
              </w:rPr>
              <w:t>Incremental cost/LY gained</w:t>
            </w:r>
          </w:p>
        </w:tc>
        <w:tc>
          <w:tcPr>
            <w:tcW w:w="838"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b/>
                <w:szCs w:val="20"/>
              </w:rPr>
              <w:t>$</w:t>
            </w:r>
            <w:r w:rsidR="008661E6">
              <w:rPr>
                <w:b/>
                <w:noProof/>
                <w:color w:val="000000"/>
                <w:szCs w:val="20"/>
                <w:highlight w:val="black"/>
              </w:rPr>
              <w:t>'''''''''''''''''''''</w:t>
            </w:r>
            <w:r w:rsidR="00F415F7">
              <w:rPr>
                <w:szCs w:val="20"/>
                <w:vertAlign w:val="superscript"/>
              </w:rPr>
              <w:t>1</w:t>
            </w:r>
          </w:p>
        </w:tc>
      </w:tr>
      <w:tr w:rsidR="00A1642C" w:rsidRPr="00732139" w:rsidTr="00531FF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headingrow"/>
              <w:keepLines/>
              <w:rPr>
                <w:szCs w:val="20"/>
                <w:vertAlign w:val="superscript"/>
                <w:lang w:val="en-AU"/>
              </w:rPr>
            </w:pPr>
            <w:r w:rsidRPr="00732139">
              <w:rPr>
                <w:szCs w:val="20"/>
                <w:lang w:val="en-AU"/>
              </w:rPr>
              <w:t>Step 4: Include anticoagulation drug costs, blood transfusion costs, thromboembolic event costs, specialist visit costs and meningococcal vaccine costs</w:t>
            </w:r>
            <w:r w:rsidR="00CD4FBF" w:rsidRPr="00732139">
              <w:rPr>
                <w:szCs w:val="20"/>
                <w:vertAlign w:val="superscript"/>
                <w:lang w:val="en-AU"/>
              </w:rPr>
              <w:t>a</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$87,548</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LYs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41.53</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26.47</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15.06</w:t>
            </w:r>
          </w:p>
        </w:tc>
      </w:tr>
      <w:tr w:rsidR="00A1642C" w:rsidRPr="00732139" w:rsidTr="00531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b/>
                <w:szCs w:val="20"/>
              </w:rPr>
            </w:pPr>
            <w:r w:rsidRPr="00732139">
              <w:rPr>
                <w:b/>
                <w:szCs w:val="20"/>
              </w:rPr>
              <w:t>Incremental cost/LY gained</w:t>
            </w:r>
          </w:p>
        </w:tc>
        <w:tc>
          <w:tcPr>
            <w:tcW w:w="838"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b/>
                <w:szCs w:val="20"/>
              </w:rPr>
              <w:t>$</w:t>
            </w:r>
            <w:r w:rsidR="008661E6">
              <w:rPr>
                <w:b/>
                <w:noProof/>
                <w:color w:val="000000"/>
                <w:szCs w:val="20"/>
                <w:highlight w:val="black"/>
              </w:rPr>
              <w:t>'''''''''''''''''''</w:t>
            </w:r>
            <w:r w:rsidR="00F415F7">
              <w:rPr>
                <w:szCs w:val="20"/>
                <w:vertAlign w:val="superscript"/>
              </w:rPr>
              <w:t>1</w:t>
            </w:r>
          </w:p>
        </w:tc>
      </w:tr>
      <w:tr w:rsidR="00A1642C" w:rsidRPr="00732139" w:rsidTr="00531FF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headingrow"/>
              <w:keepLines/>
              <w:rPr>
                <w:szCs w:val="20"/>
                <w:lang w:val="en-AU"/>
              </w:rPr>
            </w:pPr>
            <w:r w:rsidRPr="00732139">
              <w:rPr>
                <w:szCs w:val="20"/>
                <w:lang w:val="en-AU"/>
              </w:rPr>
              <w:t>Step 5: Include baseline utilities</w:t>
            </w:r>
            <w:r w:rsidR="00CD4FBF" w:rsidRPr="00732139">
              <w:rPr>
                <w:szCs w:val="20"/>
                <w:vertAlign w:val="superscript"/>
                <w:lang w:val="en-AU"/>
              </w:rPr>
              <w:t>a</w:t>
            </w:r>
            <w:r w:rsidRPr="00732139">
              <w:rPr>
                <w:szCs w:val="20"/>
                <w:lang w:val="en-AU"/>
              </w:rPr>
              <w:t xml:space="preserve"> </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$87,548</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QALYs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31.40</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20.01</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11.39</w:t>
            </w:r>
          </w:p>
        </w:tc>
      </w:tr>
      <w:tr w:rsidR="00A1642C" w:rsidRPr="00732139" w:rsidTr="00531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b/>
                <w:szCs w:val="20"/>
              </w:rPr>
              <w:t>Incremental cost/QALY gained</w:t>
            </w:r>
          </w:p>
        </w:tc>
        <w:tc>
          <w:tcPr>
            <w:tcW w:w="838"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b/>
                <w:szCs w:val="20"/>
              </w:rPr>
              <w:t>$</w:t>
            </w:r>
            <w:r w:rsidR="008661E6">
              <w:rPr>
                <w:b/>
                <w:noProof/>
                <w:color w:val="000000"/>
                <w:szCs w:val="20"/>
                <w:highlight w:val="black"/>
              </w:rPr>
              <w:t>''''''''''''''''''''</w:t>
            </w:r>
            <w:r w:rsidR="00F415F7">
              <w:rPr>
                <w:szCs w:val="20"/>
                <w:vertAlign w:val="superscript"/>
              </w:rPr>
              <w:t>1</w:t>
            </w:r>
          </w:p>
        </w:tc>
      </w:tr>
      <w:tr w:rsidR="00A1642C" w:rsidRPr="00732139" w:rsidTr="00531FF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b/>
                <w:szCs w:val="20"/>
              </w:rPr>
              <w:t>Step 6: Include disutility for thromboembolic events</w:t>
            </w:r>
            <w:r w:rsidR="00CD4FBF" w:rsidRPr="00732139">
              <w:rPr>
                <w:b/>
                <w:szCs w:val="20"/>
                <w:vertAlign w:val="superscript"/>
              </w:rPr>
              <w:t>a</w:t>
            </w:r>
            <w:r w:rsidRPr="00732139">
              <w:rPr>
                <w:b/>
                <w:szCs w:val="20"/>
              </w:rPr>
              <w:t xml:space="preserve"> </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8661E6" w:rsidRDefault="00A1642C" w:rsidP="001D54A6">
            <w:pPr>
              <w:pStyle w:val="TableText"/>
              <w:keepLines/>
              <w:jc w:val="center"/>
              <w:rPr>
                <w:szCs w:val="20"/>
              </w:rPr>
            </w:pPr>
            <w:r w:rsidRPr="00571D7E">
              <w:rPr>
                <w:szCs w:val="20"/>
              </w:rPr>
              <w:t>$</w:t>
            </w:r>
            <w:r w:rsidR="008661E6">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$87,548</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QALYs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31.37</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19.90</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11.47</w:t>
            </w:r>
          </w:p>
        </w:tc>
      </w:tr>
      <w:tr w:rsidR="00A1642C" w:rsidRPr="00732139" w:rsidTr="00531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b/>
                <w:szCs w:val="20"/>
              </w:rPr>
              <w:t>Incremental cost/QALY gained</w:t>
            </w:r>
          </w:p>
        </w:tc>
        <w:tc>
          <w:tcPr>
            <w:tcW w:w="838"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b/>
                <w:szCs w:val="20"/>
              </w:rPr>
              <w:t>$</w:t>
            </w:r>
            <w:r w:rsidR="008661E6">
              <w:rPr>
                <w:b/>
                <w:noProof/>
                <w:color w:val="000000"/>
                <w:szCs w:val="20"/>
                <w:highlight w:val="black"/>
              </w:rPr>
              <w:t>''''''''''''''''''</w:t>
            </w:r>
            <w:r w:rsidR="00F415F7">
              <w:rPr>
                <w:szCs w:val="20"/>
                <w:vertAlign w:val="superscript"/>
              </w:rPr>
              <w:t>1</w:t>
            </w:r>
          </w:p>
        </w:tc>
      </w:tr>
      <w:tr w:rsidR="00A1642C" w:rsidRPr="00732139" w:rsidTr="00531FF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vertAlign w:val="superscript"/>
              </w:rPr>
            </w:pPr>
            <w:r w:rsidRPr="00732139">
              <w:rPr>
                <w:b/>
                <w:szCs w:val="20"/>
              </w:rPr>
              <w:t>Step 7: Include non-specific disease-related utility gain (applied to eculizumab arm) and a non-specific disease-related disutility (applied to BSC arm)</w:t>
            </w:r>
            <w:r w:rsidR="00CD4FBF" w:rsidRPr="00732139">
              <w:rPr>
                <w:b/>
                <w:szCs w:val="20"/>
                <w:vertAlign w:val="superscript"/>
              </w:rPr>
              <w:t>a</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$87,548</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QALYs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35.18</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18.32</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16.86</w:t>
            </w:r>
          </w:p>
        </w:tc>
      </w:tr>
      <w:tr w:rsidR="00A1642C" w:rsidRPr="00732139" w:rsidTr="00531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b/>
                <w:szCs w:val="20"/>
              </w:rPr>
            </w:pPr>
            <w:r w:rsidRPr="00732139">
              <w:rPr>
                <w:b/>
                <w:szCs w:val="20"/>
              </w:rPr>
              <w:t>Incremental cost/QALY gained</w:t>
            </w:r>
          </w:p>
        </w:tc>
        <w:tc>
          <w:tcPr>
            <w:tcW w:w="838"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szCs w:val="20"/>
              </w:rPr>
            </w:pPr>
            <w:r w:rsidRPr="00732139">
              <w:rPr>
                <w:b/>
                <w:szCs w:val="20"/>
              </w:rPr>
              <w:t>$</w:t>
            </w:r>
            <w:r w:rsidR="008661E6">
              <w:rPr>
                <w:b/>
                <w:noProof/>
                <w:color w:val="000000"/>
                <w:szCs w:val="20"/>
                <w:highlight w:val="black"/>
              </w:rPr>
              <w:t>''''''''''''''''''</w:t>
            </w:r>
            <w:r w:rsidR="00F415F7">
              <w:rPr>
                <w:szCs w:val="20"/>
                <w:vertAlign w:val="superscript"/>
              </w:rPr>
              <w:t>3</w:t>
            </w:r>
          </w:p>
        </w:tc>
      </w:tr>
      <w:tr w:rsidR="00A1642C" w:rsidRPr="00732139" w:rsidTr="00531FF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headingrow"/>
              <w:keepLines/>
              <w:rPr>
                <w:szCs w:val="20"/>
                <w:vertAlign w:val="superscript"/>
                <w:lang w:val="en-AU"/>
              </w:rPr>
            </w:pPr>
            <w:r w:rsidRPr="00732139">
              <w:rPr>
                <w:szCs w:val="20"/>
                <w:lang w:val="en-AU"/>
              </w:rPr>
              <w:t>Step 8: Incorporate age-adjusted general population utility cap</w:t>
            </w:r>
            <w:r w:rsidR="00CD4FBF" w:rsidRPr="00732139">
              <w:rPr>
                <w:szCs w:val="20"/>
                <w:vertAlign w:val="superscript"/>
                <w:lang w:val="en-AU"/>
              </w:rPr>
              <w:t>a</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$87,548</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w:t>
            </w:r>
            <w:r w:rsidR="008661E6">
              <w:rPr>
                <w:noProof/>
                <w:color w:val="000000"/>
                <w:szCs w:val="20"/>
                <w:highlight w:val="black"/>
              </w:rPr>
              <w:t>''''''''''''''''''''''''''</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QALYs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35.00</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18.32</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szCs w:val="20"/>
              </w:rPr>
            </w:pPr>
            <w:r w:rsidRPr="00732139">
              <w:rPr>
                <w:szCs w:val="20"/>
              </w:rPr>
              <w:t>16.69</w:t>
            </w:r>
          </w:p>
        </w:tc>
      </w:tr>
      <w:tr w:rsidR="00A1642C" w:rsidRPr="00732139" w:rsidTr="00531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b/>
                <w:szCs w:val="20"/>
              </w:rPr>
            </w:pPr>
            <w:r w:rsidRPr="00732139">
              <w:rPr>
                <w:b/>
                <w:szCs w:val="20"/>
              </w:rPr>
              <w:t>Incremental cost/QALY gained</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b/>
                <w:szCs w:val="20"/>
              </w:rPr>
            </w:pPr>
            <w:r w:rsidRPr="00732139">
              <w:rPr>
                <w:b/>
                <w:szCs w:val="20"/>
              </w:rPr>
              <w:t>$</w:t>
            </w:r>
            <w:r w:rsidR="008661E6">
              <w:rPr>
                <w:b/>
                <w:noProof/>
                <w:color w:val="000000"/>
                <w:szCs w:val="20"/>
                <w:highlight w:val="black"/>
              </w:rPr>
              <w:t>''''''''''''''</w:t>
            </w:r>
            <w:r w:rsidR="00F415F7">
              <w:rPr>
                <w:szCs w:val="20"/>
                <w:vertAlign w:val="superscript"/>
              </w:rPr>
              <w:t>3</w:t>
            </w:r>
          </w:p>
        </w:tc>
      </w:tr>
      <w:tr w:rsidR="00A1642C" w:rsidRPr="00732139" w:rsidTr="00531FF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headingrow"/>
              <w:keepLines/>
              <w:rPr>
                <w:szCs w:val="20"/>
                <w:lang w:val="en-AU"/>
              </w:rPr>
            </w:pPr>
            <w:r w:rsidRPr="00732139">
              <w:rPr>
                <w:szCs w:val="20"/>
                <w:lang w:val="en-AU"/>
              </w:rPr>
              <w:t xml:space="preserve">Step 9: Apply 5% discount rate to costs and consequences </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iCs/>
                <w:szCs w:val="20"/>
              </w:rPr>
            </w:pPr>
            <w:r w:rsidRPr="00732139">
              <w:rPr>
                <w:iCs/>
                <w:szCs w:val="20"/>
              </w:rPr>
              <w:t>$</w:t>
            </w:r>
            <w:r w:rsidR="008661E6">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iCs/>
                <w:szCs w:val="20"/>
              </w:rPr>
            </w:pPr>
            <w:r w:rsidRPr="00732139">
              <w:rPr>
                <w:iCs/>
                <w:szCs w:val="20"/>
              </w:rPr>
              <w:t>$42,154</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iCs/>
                <w:szCs w:val="20"/>
              </w:rPr>
            </w:pPr>
            <w:r w:rsidRPr="00732139">
              <w:rPr>
                <w:iCs/>
                <w:szCs w:val="20"/>
              </w:rPr>
              <w:t>$</w:t>
            </w:r>
            <w:r w:rsidR="008661E6">
              <w:rPr>
                <w:noProof/>
                <w:color w:val="000000"/>
                <w:szCs w:val="20"/>
                <w:highlight w:val="black"/>
              </w:rPr>
              <w:t>''''''''''''''''''''''''</w:t>
            </w:r>
          </w:p>
        </w:tc>
      </w:tr>
      <w:tr w:rsidR="00A1642C" w:rsidRPr="00732139" w:rsidTr="00531FF1">
        <w:tc>
          <w:tcPr>
            <w:tcW w:w="1529"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szCs w:val="20"/>
              </w:rPr>
            </w:pPr>
            <w:r w:rsidRPr="00732139">
              <w:rPr>
                <w:szCs w:val="20"/>
              </w:rPr>
              <w:t>QALYs</w:t>
            </w:r>
          </w:p>
        </w:tc>
        <w:tc>
          <w:tcPr>
            <w:tcW w:w="1359"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iCs/>
                <w:szCs w:val="20"/>
              </w:rPr>
            </w:pPr>
            <w:r w:rsidRPr="00732139">
              <w:rPr>
                <w:iCs/>
                <w:szCs w:val="20"/>
              </w:rPr>
              <w:t>14.45</w:t>
            </w:r>
          </w:p>
        </w:tc>
        <w:tc>
          <w:tcPr>
            <w:tcW w:w="1274"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iCs/>
                <w:szCs w:val="20"/>
              </w:rPr>
            </w:pPr>
            <w:r w:rsidRPr="00732139">
              <w:rPr>
                <w:iCs/>
                <w:szCs w:val="20"/>
              </w:rPr>
              <w:t>8.84</w:t>
            </w:r>
          </w:p>
        </w:tc>
        <w:tc>
          <w:tcPr>
            <w:tcW w:w="838" w:type="pct"/>
            <w:tcBorders>
              <w:top w:val="single" w:sz="4" w:space="0" w:color="auto"/>
              <w:left w:val="single" w:sz="4" w:space="0" w:color="auto"/>
              <w:bottom w:val="single" w:sz="4" w:space="0" w:color="auto"/>
              <w:right w:val="single" w:sz="4" w:space="0" w:color="auto"/>
            </w:tcBorders>
            <w:vAlign w:val="center"/>
          </w:tcPr>
          <w:p w:rsidR="00A1642C" w:rsidRPr="00732139" w:rsidRDefault="00A1642C" w:rsidP="001D54A6">
            <w:pPr>
              <w:pStyle w:val="TableText"/>
              <w:keepLines/>
              <w:jc w:val="center"/>
              <w:rPr>
                <w:iCs/>
                <w:szCs w:val="20"/>
              </w:rPr>
            </w:pPr>
            <w:r w:rsidRPr="00732139">
              <w:rPr>
                <w:iCs/>
                <w:szCs w:val="20"/>
              </w:rPr>
              <w:t>5.62</w:t>
            </w:r>
          </w:p>
        </w:tc>
      </w:tr>
      <w:tr w:rsidR="00A1642C" w:rsidRPr="00732139" w:rsidTr="00531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rPr>
                <w:b/>
                <w:szCs w:val="20"/>
              </w:rPr>
            </w:pPr>
            <w:r w:rsidRPr="00732139">
              <w:rPr>
                <w:b/>
                <w:szCs w:val="20"/>
              </w:rPr>
              <w:t>Incremental cost/QALY gained (base case)</w:t>
            </w:r>
          </w:p>
        </w:tc>
        <w:tc>
          <w:tcPr>
            <w:tcW w:w="838" w:type="pct"/>
            <w:tcBorders>
              <w:top w:val="single" w:sz="4" w:space="0" w:color="auto"/>
              <w:left w:val="single" w:sz="4" w:space="0" w:color="auto"/>
              <w:bottom w:val="single" w:sz="4" w:space="0" w:color="auto"/>
              <w:right w:val="single" w:sz="4" w:space="0" w:color="auto"/>
            </w:tcBorders>
            <w:vAlign w:val="center"/>
            <w:hideMark/>
          </w:tcPr>
          <w:p w:rsidR="00A1642C" w:rsidRPr="00732139" w:rsidRDefault="00A1642C" w:rsidP="001D54A6">
            <w:pPr>
              <w:pStyle w:val="TableText"/>
              <w:keepLines/>
              <w:jc w:val="center"/>
              <w:rPr>
                <w:b/>
                <w:iCs/>
                <w:szCs w:val="20"/>
              </w:rPr>
            </w:pPr>
            <w:r w:rsidRPr="00732139">
              <w:rPr>
                <w:b/>
                <w:iCs/>
                <w:szCs w:val="20"/>
              </w:rPr>
              <w:t>$</w:t>
            </w:r>
            <w:r w:rsidR="008661E6">
              <w:rPr>
                <w:b/>
                <w:noProof/>
                <w:color w:val="000000"/>
                <w:szCs w:val="20"/>
                <w:highlight w:val="black"/>
              </w:rPr>
              <w:t>'''''''''''''''''''</w:t>
            </w:r>
            <w:r w:rsidR="00F415F7">
              <w:rPr>
                <w:szCs w:val="20"/>
                <w:vertAlign w:val="superscript"/>
              </w:rPr>
              <w:t>1</w:t>
            </w:r>
          </w:p>
        </w:tc>
      </w:tr>
    </w:tbl>
    <w:p w:rsidR="00A1642C" w:rsidRPr="00732139" w:rsidRDefault="00A1642C" w:rsidP="001D54A6">
      <w:pPr>
        <w:pStyle w:val="TableFooter"/>
        <w:keepNext/>
        <w:keepLines/>
      </w:pPr>
      <w:r w:rsidRPr="00732139">
        <w:t>Source: constructed during the evaluation using the ‘Ecu Rav CUA economic model workbook’ of the resubmission</w:t>
      </w:r>
    </w:p>
    <w:p w:rsidR="00A1642C" w:rsidRPr="00732139" w:rsidRDefault="00A1642C" w:rsidP="001D54A6">
      <w:pPr>
        <w:pStyle w:val="TableFigureFooter"/>
        <w:keepNext/>
        <w:keepLines/>
      </w:pPr>
      <w:r w:rsidRPr="00732139">
        <w:t>Abbreviations: LY, life years; QALY, quality adjusted life years</w:t>
      </w:r>
    </w:p>
    <w:p w:rsidR="00E94947" w:rsidRDefault="00CD4FBF" w:rsidP="001D54A6">
      <w:pPr>
        <w:pStyle w:val="TableFigureFooter"/>
        <w:keepNext/>
        <w:keepLines/>
        <w:rPr>
          <w:iCs/>
        </w:rPr>
      </w:pPr>
      <w:r w:rsidRPr="00732139">
        <w:rPr>
          <w:iCs/>
          <w:vertAlign w:val="superscript"/>
        </w:rPr>
        <w:t xml:space="preserve">a </w:t>
      </w:r>
      <w:r w:rsidRPr="00732139">
        <w:rPr>
          <w:iCs/>
        </w:rPr>
        <w:t>E</w:t>
      </w:r>
      <w:r w:rsidR="00E94947" w:rsidRPr="00732139">
        <w:rPr>
          <w:iCs/>
        </w:rPr>
        <w:t>stimates were</w:t>
      </w:r>
      <w:r w:rsidR="00E052B2" w:rsidRPr="00732139">
        <w:rPr>
          <w:iCs/>
        </w:rPr>
        <w:t xml:space="preserve"> calculated during the evaluation</w:t>
      </w:r>
    </w:p>
    <w:p w:rsidR="00571D7E" w:rsidRDefault="00571D7E" w:rsidP="00571D7E">
      <w:pPr>
        <w:pStyle w:val="TableFigureFooter"/>
        <w:spacing w:after="0"/>
        <w:contextualSpacing w:val="0"/>
        <w:rPr>
          <w:i/>
        </w:rPr>
      </w:pPr>
      <w:r w:rsidRPr="009868C4">
        <w:rPr>
          <w:i/>
        </w:rPr>
        <w:t>The redacted values correspond to the following ranges</w:t>
      </w:r>
      <w:r>
        <w:rPr>
          <w:i/>
        </w:rPr>
        <w:t xml:space="preserve">: </w:t>
      </w:r>
    </w:p>
    <w:p w:rsidR="00571D7E" w:rsidRPr="00870C5D" w:rsidRDefault="00571D7E" w:rsidP="00571D7E">
      <w:pPr>
        <w:pStyle w:val="TableFigureFooter"/>
        <w:spacing w:after="0"/>
        <w:contextualSpacing w:val="0"/>
      </w:pPr>
      <w:r>
        <w:rPr>
          <w:i/>
          <w:vertAlign w:val="superscript"/>
        </w:rPr>
        <w:t>1</w:t>
      </w:r>
      <w:r>
        <w:rPr>
          <w:i/>
        </w:rPr>
        <w:t xml:space="preserve"> </w:t>
      </w:r>
      <w:r w:rsidR="00F415F7" w:rsidRPr="00F415F7">
        <w:rPr>
          <w:i/>
        </w:rPr>
        <w:t>&gt; $1,055,000</w:t>
      </w:r>
    </w:p>
    <w:p w:rsidR="00571D7E" w:rsidRPr="00870C5D" w:rsidRDefault="00571D7E" w:rsidP="00571D7E">
      <w:pPr>
        <w:pStyle w:val="TableFigureFooter"/>
        <w:spacing w:after="0"/>
        <w:contextualSpacing w:val="0"/>
      </w:pPr>
      <w:r>
        <w:rPr>
          <w:i/>
          <w:vertAlign w:val="superscript"/>
        </w:rPr>
        <w:t>2</w:t>
      </w:r>
      <w:r>
        <w:rPr>
          <w:i/>
        </w:rPr>
        <w:t xml:space="preserve"> </w:t>
      </w:r>
      <w:r w:rsidR="00F415F7" w:rsidRPr="00F415F7">
        <w:rPr>
          <w:i/>
        </w:rPr>
        <w:t>$755,000 to &lt; $855,000</w:t>
      </w:r>
    </w:p>
    <w:p w:rsidR="00571D7E" w:rsidRPr="00870C5D" w:rsidRDefault="00571D7E" w:rsidP="00571D7E">
      <w:pPr>
        <w:pStyle w:val="TableFigureFooter"/>
        <w:spacing w:after="0"/>
        <w:contextualSpacing w:val="0"/>
      </w:pPr>
      <w:r>
        <w:rPr>
          <w:i/>
          <w:vertAlign w:val="superscript"/>
        </w:rPr>
        <w:lastRenderedPageBreak/>
        <w:t>3</w:t>
      </w:r>
      <w:r>
        <w:rPr>
          <w:i/>
        </w:rPr>
        <w:t xml:space="preserve"> </w:t>
      </w:r>
      <w:r w:rsidR="00F415F7" w:rsidRPr="00F415F7">
        <w:rPr>
          <w:i/>
        </w:rPr>
        <w:t>$955,000 to &lt; $1,055,000</w:t>
      </w:r>
    </w:p>
    <w:p w:rsidR="00571D7E" w:rsidRPr="00732139" w:rsidRDefault="00571D7E" w:rsidP="001D54A6">
      <w:pPr>
        <w:pStyle w:val="TableFigureFooter"/>
        <w:keepNext/>
        <w:keepLines/>
        <w:rPr>
          <w:iCs/>
        </w:rPr>
      </w:pPr>
    </w:p>
    <w:p w:rsidR="00A86E8B" w:rsidRPr="00732139" w:rsidRDefault="009D4AEF" w:rsidP="00BB732D">
      <w:pPr>
        <w:pStyle w:val="ExecSumBodyText"/>
      </w:pPr>
      <w:r w:rsidRPr="00732139">
        <w:rPr>
          <w:iCs/>
        </w:rPr>
        <w:t>The extrapolation to 60 years, incorporation of the age-adjusted survival cap, inclusion of non-specific disease-related utility differences and discounting had the largest impacts on the stepped economic evaluation</w:t>
      </w:r>
      <w:r w:rsidRPr="00732139">
        <w:t>.</w:t>
      </w:r>
    </w:p>
    <w:p w:rsidR="009D4AEF" w:rsidRPr="00732139" w:rsidRDefault="009D4AEF" w:rsidP="00F415F7">
      <w:pPr>
        <w:pStyle w:val="ExecSumBodyText"/>
      </w:pPr>
      <w:r w:rsidRPr="00732139">
        <w:t xml:space="preserve">Based on the economic model, treatment with eculizumab versus BSC in adult patients with PNH (who are eligible for treatment on the LSDP) was associated with a cost per QALY gained of </w:t>
      </w:r>
      <w:r w:rsidR="00F415F7" w:rsidRPr="00F415F7">
        <w:t>&gt; $1,055,000</w:t>
      </w:r>
      <w:r w:rsidRPr="00732139">
        <w:t xml:space="preserve">. </w:t>
      </w:r>
      <w:r w:rsidRPr="00732139">
        <w:rPr>
          <w:iCs/>
        </w:rPr>
        <w:t xml:space="preserve">The cost-effectiveness estimate </w:t>
      </w:r>
      <w:r w:rsidR="00C63FF1" w:rsidRPr="00732139">
        <w:rPr>
          <w:iCs/>
        </w:rPr>
        <w:t xml:space="preserve">was </w:t>
      </w:r>
      <w:r w:rsidR="00700A8C" w:rsidRPr="00732139">
        <w:rPr>
          <w:iCs/>
        </w:rPr>
        <w:t>uncertain</w:t>
      </w:r>
      <w:r w:rsidRPr="00732139">
        <w:rPr>
          <w:iCs/>
        </w:rPr>
        <w:t xml:space="preserve"> due to concerns with the robustness and generalisability of the survival data, and extrapolation methods that generated clinically implausible survival estimates.</w:t>
      </w:r>
      <w:r w:rsidR="00700A8C" w:rsidRPr="00732139">
        <w:rPr>
          <w:iCs/>
        </w:rPr>
        <w:t xml:space="preserve"> These issues are unlikely to be resolved with the available data.</w:t>
      </w:r>
    </w:p>
    <w:p w:rsidR="009D4AEF" w:rsidRPr="00732139" w:rsidRDefault="00D95C63" w:rsidP="00BB732D">
      <w:pPr>
        <w:pStyle w:val="ExecSumBodyText"/>
      </w:pPr>
      <w:r w:rsidRPr="00732139">
        <w:t>The figure below illustrates overall survival between treatment arms (with and without background mortality adjustment) over the model duration.</w:t>
      </w:r>
    </w:p>
    <w:p w:rsidR="00D95C63" w:rsidRPr="00732139" w:rsidRDefault="00D95C63" w:rsidP="00D95C63">
      <w:pPr>
        <w:pStyle w:val="Tableheadingrow"/>
        <w:rPr>
          <w:lang w:val="en-AU"/>
        </w:rPr>
      </w:pPr>
      <w:r w:rsidRPr="00732139">
        <w:rPr>
          <w:lang w:val="en-AU"/>
        </w:rPr>
        <w:t xml:space="preserve">Figure </w:t>
      </w:r>
      <w:r w:rsidR="000B387F" w:rsidRPr="00732139">
        <w:rPr>
          <w:lang w:val="en-AU"/>
        </w:rPr>
        <w:t>4</w:t>
      </w:r>
      <w:r w:rsidRPr="00732139">
        <w:rPr>
          <w:lang w:val="en-AU"/>
        </w:rPr>
        <w:t>: Overall survival in the base case of the economic model</w:t>
      </w:r>
    </w:p>
    <w:p w:rsidR="00D95C63" w:rsidRPr="00732139" w:rsidRDefault="00D95C63" w:rsidP="00D95C63">
      <w:r w:rsidRPr="00732139">
        <w:rPr>
          <w:noProof/>
        </w:rPr>
        <w:drawing>
          <wp:inline distT="0" distB="0" distL="0" distR="0" wp14:anchorId="26DE5224" wp14:editId="3A01EC85">
            <wp:extent cx="4719125" cy="3111500"/>
            <wp:effectExtent l="0" t="0" r="5715" b="0"/>
            <wp:docPr id="45" name="Picture 45" title="Figure 4: Overall survival in the base cas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0796" cy="3125789"/>
                    </a:xfrm>
                    <a:prstGeom prst="rect">
                      <a:avLst/>
                    </a:prstGeom>
                    <a:noFill/>
                  </pic:spPr>
                </pic:pic>
              </a:graphicData>
            </a:graphic>
          </wp:inline>
        </w:drawing>
      </w:r>
    </w:p>
    <w:p w:rsidR="00D95C63" w:rsidRPr="00732139" w:rsidRDefault="00D95C63" w:rsidP="00D95C63">
      <w:pPr>
        <w:widowControl w:val="0"/>
        <w:spacing w:after="120"/>
        <w:contextualSpacing/>
        <w:rPr>
          <w:rFonts w:ascii="Arial Narrow" w:hAnsi="Arial Narrow"/>
          <w:snapToGrid w:val="0"/>
          <w:sz w:val="18"/>
          <w:szCs w:val="22"/>
          <w:lang w:eastAsia="en-US"/>
        </w:rPr>
      </w:pPr>
      <w:r w:rsidRPr="00732139">
        <w:rPr>
          <w:rFonts w:ascii="Arial Narrow" w:hAnsi="Arial Narrow"/>
          <w:snapToGrid w:val="0"/>
          <w:sz w:val="18"/>
          <w:szCs w:val="22"/>
          <w:lang w:eastAsia="en-US"/>
        </w:rPr>
        <w:t>Source: Constructed during the evaluation using Ecu Rav CUA economic model Excel workbook provided with the resubmission</w:t>
      </w:r>
    </w:p>
    <w:p w:rsidR="00D95C63" w:rsidRPr="00732139" w:rsidRDefault="00584975" w:rsidP="00BB732D">
      <w:pPr>
        <w:pStyle w:val="ExecSumBodyText"/>
      </w:pPr>
      <w:r w:rsidRPr="00732139">
        <w:t>The survival curves rapidly separate from the start of the model to approximately 30 years in the model, after which the curves begin to converge. Beyond 7 years in the model, patients in the eculizumab arm can only die due to age-adjusted mortality. In the BSC arm, patients are at an increased risk of mortality until 38 years, after which they can only die due to age-adjusted mortality.</w:t>
      </w:r>
      <w:r w:rsidR="00D6348E" w:rsidRPr="00732139">
        <w:t xml:space="preserve"> The ESC considered that it was clinically unreasonable to assume that people with PNH </w:t>
      </w:r>
      <w:r w:rsidR="00FD07BD" w:rsidRPr="00732139">
        <w:t>would</w:t>
      </w:r>
      <w:r w:rsidR="00D6348E" w:rsidRPr="00732139">
        <w:t xml:space="preserve"> have the same mortality as the general population after 7 years of treatment.</w:t>
      </w:r>
    </w:p>
    <w:p w:rsidR="00584975" w:rsidRPr="00732139" w:rsidRDefault="00A54393" w:rsidP="00BB732D">
      <w:pPr>
        <w:pStyle w:val="ExecSumBodyText"/>
        <w:rPr>
          <w:i/>
        </w:rPr>
      </w:pPr>
      <w:r w:rsidRPr="00732139">
        <w:rPr>
          <w:iCs/>
        </w:rPr>
        <w:t>The resubmission did not present other validation or discussions regarding the face validity of modelled survival which required a survival cap based on age-adjusted general population mortality.</w:t>
      </w:r>
      <w:r w:rsidR="00D6348E" w:rsidRPr="00732139">
        <w:rPr>
          <w:iCs/>
        </w:rPr>
        <w:t xml:space="preserve"> The PSCR stated that </w:t>
      </w:r>
      <w:r w:rsidR="00D6348E" w:rsidRPr="00732139">
        <w:t xml:space="preserve">survival capping was a necessary </w:t>
      </w:r>
      <w:r w:rsidR="00D6348E" w:rsidRPr="00732139">
        <w:lastRenderedPageBreak/>
        <w:t xml:space="preserve">step of survival extrapolation using parametric functions. The ESC considered </w:t>
      </w:r>
      <w:r w:rsidR="00556D78" w:rsidRPr="00732139">
        <w:t xml:space="preserve">this </w:t>
      </w:r>
      <w:r w:rsidR="00D6348E" w:rsidRPr="00732139">
        <w:t xml:space="preserve">claim was inadequately justified as the face validity of survival estimates (as model outputs) should be considered when choosing input data and methods of extrapolation (i.e. choice of survival function) based on the nature of the disease and associated hazards of death. The ESC noted that based on Figure 4, even with the application of a survival cap, approximately 25 % of people with PNH who receive eculizumab are still alive at age 90 (model duration 50 years) and approximately 12 % in the BSC arm. The ESC considered </w:t>
      </w:r>
      <w:r w:rsidR="00652EF5" w:rsidRPr="00732139">
        <w:t>these findings further indicate</w:t>
      </w:r>
      <w:r w:rsidR="00556D78" w:rsidRPr="00732139">
        <w:t>d</w:t>
      </w:r>
      <w:r w:rsidR="00652EF5" w:rsidRPr="00732139">
        <w:t xml:space="preserve"> the model lacked face validity</w:t>
      </w:r>
      <w:r w:rsidR="00732139">
        <w:t xml:space="preserve">. </w:t>
      </w:r>
      <w:r w:rsidR="00D6348E" w:rsidRPr="00732139">
        <w:rPr>
          <w:i/>
        </w:rPr>
        <w:t xml:space="preserve">   </w:t>
      </w:r>
    </w:p>
    <w:p w:rsidR="00A54393" w:rsidRPr="00732139" w:rsidRDefault="00291F44" w:rsidP="00BB732D">
      <w:pPr>
        <w:pStyle w:val="ExecSumBodyText"/>
      </w:pPr>
      <w:r w:rsidRPr="00732139">
        <w:rPr>
          <w:iCs/>
        </w:rPr>
        <w:t>Sensitivity analyses for the eculizumab versus BSC comparison were conducted during the evaluation and presented in</w:t>
      </w:r>
      <w:r w:rsidR="00F56B4D" w:rsidRPr="00732139">
        <w:rPr>
          <w:iCs/>
        </w:rPr>
        <w:t xml:space="preserve"> the</w:t>
      </w:r>
      <w:r w:rsidRPr="00732139">
        <w:rPr>
          <w:iCs/>
        </w:rPr>
        <w:t xml:space="preserve"> table below.</w:t>
      </w:r>
    </w:p>
    <w:p w:rsidR="00291F44" w:rsidRPr="00732139" w:rsidRDefault="00291F44" w:rsidP="00652EF5">
      <w:pPr>
        <w:pStyle w:val="TableFigureCaption"/>
        <w:keepLines/>
      </w:pPr>
      <w:r w:rsidRPr="00732139">
        <w:t xml:space="preserve">Table </w:t>
      </w:r>
      <w:r w:rsidR="00CB1C60">
        <w:t>14</w:t>
      </w:r>
      <w:r w:rsidRPr="00732139">
        <w:t>: Results of sensitivity analyses</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559"/>
        <w:gridCol w:w="1701"/>
        <w:gridCol w:w="1502"/>
      </w:tblGrid>
      <w:tr w:rsidR="00291F44" w:rsidRPr="00732139" w:rsidTr="00531FF1">
        <w:trPr>
          <w:tblHeader/>
        </w:trPr>
        <w:tc>
          <w:tcPr>
            <w:tcW w:w="4248"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652EF5">
            <w:pPr>
              <w:pStyle w:val="Tableheadingrow"/>
              <w:keepLines/>
              <w:rPr>
                <w:lang w:val="en-AU"/>
              </w:rPr>
            </w:pPr>
            <w:r w:rsidRPr="00732139">
              <w:rPr>
                <w:lang w:val="en-AU"/>
              </w:rPr>
              <w:t>Analyses</w:t>
            </w:r>
          </w:p>
        </w:tc>
        <w:tc>
          <w:tcPr>
            <w:tcW w:w="1559"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652EF5">
            <w:pPr>
              <w:pStyle w:val="Tableheadingrow"/>
              <w:keepLines/>
              <w:jc w:val="center"/>
              <w:rPr>
                <w:lang w:val="en-AU"/>
              </w:rPr>
            </w:pPr>
            <w:r w:rsidRPr="00732139">
              <w:rPr>
                <w:lang w:val="en-AU"/>
              </w:rPr>
              <w:t>Incremental cost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652EF5">
            <w:pPr>
              <w:pStyle w:val="Tableheadingrow"/>
              <w:keepLines/>
              <w:jc w:val="center"/>
              <w:rPr>
                <w:lang w:val="en-AU"/>
              </w:rPr>
            </w:pPr>
            <w:r w:rsidRPr="00732139">
              <w:rPr>
                <w:lang w:val="en-AU"/>
              </w:rPr>
              <w:t>Incremental QALY</w:t>
            </w:r>
          </w:p>
        </w:tc>
        <w:tc>
          <w:tcPr>
            <w:tcW w:w="1502"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652EF5">
            <w:pPr>
              <w:pStyle w:val="Tableheadingrow"/>
              <w:keepLines/>
              <w:jc w:val="center"/>
              <w:rPr>
                <w:lang w:val="en-AU"/>
              </w:rPr>
            </w:pPr>
            <w:r w:rsidRPr="00732139">
              <w:rPr>
                <w:lang w:val="en-AU"/>
              </w:rPr>
              <w:t>ICER</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652EF5">
            <w:pPr>
              <w:pStyle w:val="TableText"/>
              <w:keepLines/>
              <w:rPr>
                <w:b/>
              </w:rPr>
            </w:pPr>
            <w:r w:rsidRPr="00732139">
              <w:rPr>
                <w:b/>
              </w:rPr>
              <w:t>Base case</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652EF5">
            <w:pPr>
              <w:pStyle w:val="TableText"/>
              <w:keepLines/>
              <w:jc w:val="center"/>
              <w:rPr>
                <w:b/>
                <w:bCs w:val="0"/>
                <w:iCs/>
              </w:rPr>
            </w:pPr>
            <w:r w:rsidRPr="00732139">
              <w:rPr>
                <w:b/>
                <w:bCs w:val="0"/>
                <w:iCs/>
                <w:szCs w:val="20"/>
              </w:rPr>
              <w:t>$</w:t>
            </w:r>
            <w:r w:rsidR="008661E6">
              <w:rPr>
                <w:b/>
                <w:bCs w:val="0"/>
                <w:iCs/>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652EF5">
            <w:pPr>
              <w:pStyle w:val="TableText"/>
              <w:keepLines/>
              <w:jc w:val="center"/>
              <w:rPr>
                <w:b/>
                <w:bCs w:val="0"/>
                <w:iCs/>
              </w:rPr>
            </w:pPr>
            <w:r w:rsidRPr="00732139">
              <w:rPr>
                <w:b/>
                <w:bCs w:val="0"/>
                <w:iCs/>
                <w:szCs w:val="20"/>
              </w:rPr>
              <w:t>5.62</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652EF5">
            <w:pPr>
              <w:pStyle w:val="TableText"/>
              <w:keepLines/>
              <w:jc w:val="center"/>
              <w:rPr>
                <w:b/>
                <w:iCs/>
              </w:rPr>
            </w:pPr>
            <w:r w:rsidRPr="00732139">
              <w:rPr>
                <w:b/>
                <w:iCs/>
                <w:szCs w:val="20"/>
              </w:rPr>
              <w:t>$</w:t>
            </w:r>
            <w:r w:rsidR="008661E6">
              <w:rPr>
                <w:b/>
                <w:iCs/>
                <w:noProof/>
                <w:color w:val="000000"/>
                <w:szCs w:val="20"/>
                <w:highlight w:val="black"/>
              </w:rPr>
              <w:t>''''''''''''''''''''</w:t>
            </w:r>
            <w:r w:rsidR="00F415F7">
              <w:rPr>
                <w:iCs/>
                <w:vertAlign w:val="superscript"/>
              </w:rPr>
              <w:t>1</w:t>
            </w:r>
          </w:p>
        </w:tc>
      </w:tr>
      <w:tr w:rsidR="00291F44" w:rsidRPr="00732139" w:rsidTr="00531FF1">
        <w:tc>
          <w:tcPr>
            <w:tcW w:w="9010" w:type="dxa"/>
            <w:gridSpan w:val="4"/>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652EF5">
            <w:pPr>
              <w:pStyle w:val="TableText"/>
              <w:keepLines/>
            </w:pPr>
            <w:r w:rsidRPr="00732139">
              <w:rPr>
                <w:b/>
              </w:rPr>
              <w:t>Baseline age (base case: 40 years)</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hideMark/>
          </w:tcPr>
          <w:p w:rsidR="00291F44" w:rsidRPr="00F415F7" w:rsidRDefault="00291F44" w:rsidP="00F415F7">
            <w:pPr>
              <w:pStyle w:val="TableText"/>
              <w:keepLines/>
              <w:rPr>
                <w:iCs/>
                <w:vertAlign w:val="superscript"/>
              </w:rPr>
            </w:pPr>
            <w:r w:rsidRPr="00732139">
              <w:rPr>
                <w:iCs/>
              </w:rPr>
              <w:t>12 years</w:t>
            </w:r>
          </w:p>
        </w:tc>
        <w:tc>
          <w:tcPr>
            <w:tcW w:w="1559" w:type="dxa"/>
            <w:tcBorders>
              <w:top w:val="single" w:sz="4" w:space="0" w:color="auto"/>
              <w:left w:val="nil"/>
              <w:bottom w:val="single" w:sz="4" w:space="0" w:color="auto"/>
              <w:right w:val="single" w:sz="4" w:space="0" w:color="auto"/>
            </w:tcBorders>
            <w:vAlign w:val="center"/>
          </w:tcPr>
          <w:p w:rsidR="00291F44" w:rsidRPr="00732139" w:rsidRDefault="00291F44" w:rsidP="00652EF5">
            <w:pPr>
              <w:pStyle w:val="TableText"/>
              <w:keepLines/>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652EF5">
            <w:pPr>
              <w:pStyle w:val="TableText"/>
              <w:keepLines/>
              <w:jc w:val="center"/>
              <w:rPr>
                <w:iCs/>
              </w:rPr>
            </w:pPr>
            <w:r w:rsidRPr="00732139">
              <w:rPr>
                <w:iCs/>
              </w:rPr>
              <w:t>6.89</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652EF5">
            <w:pPr>
              <w:pStyle w:val="TableText"/>
              <w:keepLines/>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652EF5">
            <w:pPr>
              <w:pStyle w:val="TableText"/>
              <w:keepLines/>
              <w:rPr>
                <w:iCs/>
              </w:rPr>
            </w:pPr>
            <w:r w:rsidRPr="00732139">
              <w:rPr>
                <w:iCs/>
              </w:rPr>
              <w:t>32 years</w:t>
            </w:r>
          </w:p>
        </w:tc>
        <w:tc>
          <w:tcPr>
            <w:tcW w:w="1559" w:type="dxa"/>
            <w:tcBorders>
              <w:top w:val="single" w:sz="4" w:space="0" w:color="auto"/>
              <w:left w:val="nil"/>
              <w:bottom w:val="single" w:sz="4" w:space="0" w:color="auto"/>
              <w:right w:val="single" w:sz="4" w:space="0" w:color="auto"/>
            </w:tcBorders>
            <w:vAlign w:val="center"/>
          </w:tcPr>
          <w:p w:rsidR="00291F44" w:rsidRPr="00732139" w:rsidRDefault="00291F44" w:rsidP="00652EF5">
            <w:pPr>
              <w:pStyle w:val="TableText"/>
              <w:keepLines/>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652EF5">
            <w:pPr>
              <w:pStyle w:val="TableText"/>
              <w:keepLines/>
              <w:jc w:val="center"/>
              <w:rPr>
                <w:iCs/>
              </w:rPr>
            </w:pPr>
            <w:r w:rsidRPr="00732139">
              <w:rPr>
                <w:iCs/>
              </w:rPr>
              <w:t>6.24</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652EF5">
            <w:pPr>
              <w:pStyle w:val="TableText"/>
              <w:keepLines/>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652EF5">
            <w:pPr>
              <w:pStyle w:val="TableText"/>
              <w:keepLines/>
              <w:rPr>
                <w:iCs/>
              </w:rPr>
            </w:pPr>
            <w:r w:rsidRPr="00732139">
              <w:rPr>
                <w:iCs/>
              </w:rPr>
              <w:t>45 years (age at treatment enrolment, LSDP review)</w:t>
            </w:r>
          </w:p>
        </w:tc>
        <w:tc>
          <w:tcPr>
            <w:tcW w:w="1559" w:type="dxa"/>
            <w:tcBorders>
              <w:top w:val="single" w:sz="4" w:space="0" w:color="auto"/>
              <w:left w:val="nil"/>
              <w:bottom w:val="single" w:sz="4" w:space="0" w:color="auto"/>
              <w:right w:val="single" w:sz="4" w:space="0" w:color="auto"/>
            </w:tcBorders>
            <w:vAlign w:val="center"/>
          </w:tcPr>
          <w:p w:rsidR="00291F44" w:rsidRPr="00732139" w:rsidRDefault="00291F44" w:rsidP="00652EF5">
            <w:pPr>
              <w:pStyle w:val="TableText"/>
              <w:keepLines/>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652EF5">
            <w:pPr>
              <w:pStyle w:val="TableText"/>
              <w:keepLines/>
              <w:jc w:val="center"/>
              <w:rPr>
                <w:iCs/>
              </w:rPr>
            </w:pPr>
            <w:r w:rsidRPr="00732139">
              <w:rPr>
                <w:iCs/>
              </w:rPr>
              <w:t>5.11</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652EF5">
            <w:pPr>
              <w:pStyle w:val="TableText"/>
              <w:keepLines/>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652EF5">
            <w:pPr>
              <w:pStyle w:val="TableText"/>
              <w:keepLines/>
              <w:rPr>
                <w:iCs/>
              </w:rPr>
            </w:pPr>
            <w:r w:rsidRPr="00732139">
              <w:rPr>
                <w:iCs/>
              </w:rPr>
              <w:t>49 years (current age as of 2019, LSDP review)</w:t>
            </w:r>
          </w:p>
        </w:tc>
        <w:tc>
          <w:tcPr>
            <w:tcW w:w="1559" w:type="dxa"/>
            <w:tcBorders>
              <w:top w:val="single" w:sz="4" w:space="0" w:color="auto"/>
              <w:left w:val="nil"/>
              <w:bottom w:val="single" w:sz="4" w:space="0" w:color="auto"/>
              <w:right w:val="single" w:sz="4" w:space="0" w:color="auto"/>
            </w:tcBorders>
            <w:vAlign w:val="center"/>
          </w:tcPr>
          <w:p w:rsidR="00291F44" w:rsidRPr="00732139" w:rsidRDefault="00291F44" w:rsidP="00652EF5">
            <w:pPr>
              <w:pStyle w:val="TableText"/>
              <w:keepLines/>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652EF5">
            <w:pPr>
              <w:pStyle w:val="TableText"/>
              <w:keepLines/>
              <w:jc w:val="center"/>
              <w:rPr>
                <w:iCs/>
              </w:rPr>
            </w:pPr>
            <w:r w:rsidRPr="00732139">
              <w:rPr>
                <w:iCs/>
              </w:rPr>
              <w:t>4.63</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652EF5">
            <w:pPr>
              <w:pStyle w:val="TableText"/>
              <w:keepLines/>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9010" w:type="dxa"/>
            <w:gridSpan w:val="4"/>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531FF1">
            <w:pPr>
              <w:pStyle w:val="TableText"/>
              <w:keepNext w:val="0"/>
            </w:pPr>
            <w:r w:rsidRPr="00732139">
              <w:rPr>
                <w:b/>
              </w:rPr>
              <w:t>Time horizon (base case: 60 years)</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531FF1">
            <w:pPr>
              <w:pStyle w:val="TableText"/>
              <w:keepNext w:val="0"/>
              <w:rPr>
                <w:iCs/>
              </w:rPr>
            </w:pPr>
            <w:r w:rsidRPr="00732139">
              <w:rPr>
                <w:iCs/>
              </w:rPr>
              <w:t>6 years</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0.92</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531FF1">
            <w:pPr>
              <w:pStyle w:val="TableText"/>
              <w:keepNext w:val="0"/>
              <w:rPr>
                <w:iCs/>
              </w:rPr>
            </w:pPr>
            <w:r w:rsidRPr="00732139">
              <w:rPr>
                <w:iCs/>
              </w:rPr>
              <w:t>10 years</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1.64</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rPr>
                <w:iCs/>
              </w:rPr>
            </w:pPr>
            <w:r w:rsidRPr="00732139">
              <w:rPr>
                <w:iCs/>
              </w:rPr>
              <w:t>20 years</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3.33</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531FF1">
            <w:pPr>
              <w:pStyle w:val="TableText"/>
              <w:keepNext w:val="0"/>
              <w:rPr>
                <w:iCs/>
              </w:rPr>
            </w:pPr>
            <w:r w:rsidRPr="00732139">
              <w:rPr>
                <w:iCs/>
              </w:rPr>
              <w:t>40 years</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5.30</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9010" w:type="dxa"/>
            <w:gridSpan w:val="4"/>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rPr>
                <w:b/>
                <w:bCs w:val="0"/>
              </w:rPr>
            </w:pPr>
            <w:r w:rsidRPr="00732139">
              <w:rPr>
                <w:b/>
                <w:bCs w:val="0"/>
              </w:rPr>
              <w:t>Survival cap (base case: age- and gender-adjusted Australian general population mortality)</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rPr>
                <w:iCs/>
              </w:rPr>
            </w:pPr>
            <w:r w:rsidRPr="00732139">
              <w:rPr>
                <w:iCs/>
              </w:rPr>
              <w:t>No survival cap</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6.93</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9010" w:type="dxa"/>
            <w:gridSpan w:val="4"/>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531FF1">
            <w:pPr>
              <w:pStyle w:val="TableText"/>
              <w:keepNext w:val="0"/>
              <w:rPr>
                <w:b/>
              </w:rPr>
            </w:pPr>
            <w:r w:rsidRPr="00732139">
              <w:rPr>
                <w:b/>
              </w:rPr>
              <w:t xml:space="preserve">Modelled survival with survival cap (base case eculizumab: PNH registry, Australian ever-treated; BSC: PNH registry, international never-treated) </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rPr>
                <w:iCs/>
              </w:rPr>
            </w:pPr>
            <w:r w:rsidRPr="00732139">
              <w:rPr>
                <w:iCs/>
              </w:rPr>
              <w:t>Eculizumab: PNH registry, international ever-treated; BSC: PNH registry, international never-treated</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4.83</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rPr>
                <w:iCs/>
              </w:rPr>
            </w:pPr>
            <w:r w:rsidRPr="00732139">
              <w:rPr>
                <w:iCs/>
              </w:rPr>
              <w:t>Eculizumab: Kelly 2011; BSC: Kelly 2011</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7.82</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2</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rPr>
                <w:iCs/>
              </w:rPr>
            </w:pPr>
            <w:r w:rsidRPr="00732139">
              <w:rPr>
                <w:iCs/>
              </w:rPr>
              <w:t>Eculizumab: PNH registry, Australian ever-treated; BSC: Loschi 2016 (post-1985 subgroup)</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6.98</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3</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rPr>
                <w:iCs/>
              </w:rPr>
            </w:pPr>
            <w:r w:rsidRPr="00732139">
              <w:rPr>
                <w:iCs/>
              </w:rPr>
              <w:t>Eculizumab: PNH registry, Australian ever-treated; BSC: Kang 2020</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6.55</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3</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rPr>
                <w:iCs/>
              </w:rPr>
            </w:pPr>
            <w:r w:rsidRPr="00732139">
              <w:rPr>
                <w:iCs/>
              </w:rPr>
              <w:t>Eculizumab: PNH registry, Australian ever-treated; BSC: HR derived using Loschi post-1985 (HR: 2.63)</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3.89</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rPr>
                <w:iCs/>
              </w:rPr>
            </w:pPr>
            <w:r w:rsidRPr="00732139">
              <w:rPr>
                <w:iCs/>
              </w:rPr>
              <w:t>Eculizumab: PNH registry, Australian ever-treated; BSC: HR derived using Kang 2020 (HR: 9.09)</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6.52</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3</w:t>
            </w:r>
          </w:p>
        </w:tc>
      </w:tr>
      <w:tr w:rsidR="00291F44" w:rsidRPr="00732139" w:rsidTr="00531FF1">
        <w:tc>
          <w:tcPr>
            <w:tcW w:w="9010" w:type="dxa"/>
            <w:gridSpan w:val="4"/>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531FF1">
            <w:pPr>
              <w:pStyle w:val="TableText"/>
              <w:keepNext w:val="0"/>
              <w:rPr>
                <w:b/>
              </w:rPr>
            </w:pPr>
            <w:r w:rsidRPr="00732139">
              <w:rPr>
                <w:b/>
              </w:rPr>
              <w:t>Non-specific disease-related utility change (base case ravulizumab: 0.093, BSC: -0.061 applied every year)</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531FF1">
            <w:pPr>
              <w:pStyle w:val="TableText"/>
              <w:keepNext w:val="0"/>
            </w:pPr>
            <w:r w:rsidRPr="00732139">
              <w:t>No utility change in BSC arm</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4.87</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531FF1">
            <w:pPr>
              <w:pStyle w:val="TableText"/>
              <w:keepNext w:val="0"/>
            </w:pPr>
            <w:r w:rsidRPr="00732139">
              <w:t>No utility change in eculizumab arm</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4.10</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531FF1">
            <w:pPr>
              <w:pStyle w:val="TableText"/>
              <w:keepNext w:val="0"/>
            </w:pPr>
            <w:r w:rsidRPr="00732139">
              <w:t>No utility change in both arms</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3.35</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531FF1">
            <w:pPr>
              <w:pStyle w:val="TableText"/>
              <w:keepNext w:val="0"/>
            </w:pPr>
            <w:r w:rsidRPr="00732139">
              <w:t>BSC arm disutility only, applied in the first 2 years</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3.46</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531FF1">
            <w:pPr>
              <w:pStyle w:val="TableText"/>
              <w:keepNext w:val="0"/>
            </w:pPr>
            <w:r w:rsidRPr="00732139">
              <w:t xml:space="preserve">Eculizumab utility gain only, applied in the first 2 years  </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3.52</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rPr>
                <w:iCs/>
              </w:rPr>
            </w:pPr>
            <w:r w:rsidRPr="00732139">
              <w:rPr>
                <w:iCs/>
              </w:rPr>
              <w:t>$</w:t>
            </w:r>
            <w:r w:rsidR="008661E6">
              <w:rPr>
                <w:iCs/>
                <w:noProof/>
                <w:color w:val="000000"/>
                <w:highlight w:val="black"/>
              </w:rPr>
              <w:t>'''''''''''''''''''''''</w:t>
            </w:r>
            <w:r w:rsidR="00F415F7">
              <w:rPr>
                <w:iCs/>
                <w:vertAlign w:val="superscript"/>
              </w:rPr>
              <w:t>1</w:t>
            </w:r>
          </w:p>
        </w:tc>
      </w:tr>
      <w:tr w:rsidR="00291F44" w:rsidRPr="00732139" w:rsidTr="00531FF1">
        <w:tc>
          <w:tcPr>
            <w:tcW w:w="4248" w:type="dxa"/>
            <w:tcBorders>
              <w:top w:val="single" w:sz="4" w:space="0" w:color="auto"/>
              <w:left w:val="single" w:sz="4" w:space="0" w:color="auto"/>
              <w:bottom w:val="single" w:sz="4" w:space="0" w:color="auto"/>
              <w:right w:val="single" w:sz="4" w:space="0" w:color="auto"/>
            </w:tcBorders>
            <w:vAlign w:val="center"/>
            <w:hideMark/>
          </w:tcPr>
          <w:p w:rsidR="00291F44" w:rsidRPr="00732139" w:rsidRDefault="00291F44" w:rsidP="00531FF1">
            <w:pPr>
              <w:pStyle w:val="TableText"/>
              <w:keepNext w:val="0"/>
            </w:pPr>
            <w:r w:rsidRPr="00732139">
              <w:t>Eculizumab: 0.208, BSC: -0.155 (McKenzie 2009 mapping algorithm)</w:t>
            </w:r>
          </w:p>
        </w:tc>
        <w:tc>
          <w:tcPr>
            <w:tcW w:w="1559"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pPr>
            <w:r w:rsidRPr="00732139">
              <w:rPr>
                <w:iCs/>
              </w:rPr>
              <w:t>$</w:t>
            </w:r>
            <w:r w:rsidR="008661E6">
              <w:rPr>
                <w:iCs/>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pPr>
            <w:r w:rsidRPr="00732139">
              <w:t>7.48</w:t>
            </w:r>
          </w:p>
        </w:tc>
        <w:tc>
          <w:tcPr>
            <w:tcW w:w="1502" w:type="dxa"/>
            <w:tcBorders>
              <w:top w:val="single" w:sz="4" w:space="0" w:color="auto"/>
              <w:left w:val="single" w:sz="4" w:space="0" w:color="auto"/>
              <w:bottom w:val="single" w:sz="4" w:space="0" w:color="auto"/>
              <w:right w:val="single" w:sz="4" w:space="0" w:color="auto"/>
            </w:tcBorders>
            <w:vAlign w:val="center"/>
          </w:tcPr>
          <w:p w:rsidR="00291F44" w:rsidRPr="00732139" w:rsidRDefault="00291F44" w:rsidP="00531FF1">
            <w:pPr>
              <w:pStyle w:val="TableText"/>
              <w:keepNext w:val="0"/>
              <w:jc w:val="center"/>
            </w:pPr>
            <w:r w:rsidRPr="00732139">
              <w:t>$</w:t>
            </w:r>
            <w:r w:rsidR="008661E6">
              <w:rPr>
                <w:iCs/>
                <w:noProof/>
                <w:color w:val="000000"/>
                <w:highlight w:val="black"/>
              </w:rPr>
              <w:t>'''''''''''''''''''''</w:t>
            </w:r>
            <w:r w:rsidR="00F415F7">
              <w:rPr>
                <w:iCs/>
                <w:vertAlign w:val="superscript"/>
              </w:rPr>
              <w:t>4</w:t>
            </w:r>
          </w:p>
        </w:tc>
      </w:tr>
    </w:tbl>
    <w:p w:rsidR="00291F44" w:rsidRPr="00732139" w:rsidRDefault="00291F44" w:rsidP="00291F44">
      <w:pPr>
        <w:pStyle w:val="TableFooter"/>
      </w:pPr>
      <w:r w:rsidRPr="00732139">
        <w:t>Source: constructed during the evaluation using the ‘Ecu Rav CUA economic model workbook’ of the resubmission</w:t>
      </w:r>
    </w:p>
    <w:p w:rsidR="00291F44" w:rsidRDefault="00291F44" w:rsidP="002B34BF">
      <w:pPr>
        <w:pStyle w:val="TableFigureFooter"/>
      </w:pPr>
      <w:r w:rsidRPr="00732139">
        <w:t>Abbreviations: EQ-5D-3L, EuroQol 5-dimension 3-level quality of life questionnaire; EQ-5D-5L, EuroQol 5-dimension 5-level quality of life questionnaire</w:t>
      </w:r>
    </w:p>
    <w:p w:rsidR="00F415F7" w:rsidRDefault="00F415F7" w:rsidP="00F415F7">
      <w:pPr>
        <w:pStyle w:val="TableFigureFooter"/>
        <w:spacing w:after="0"/>
        <w:contextualSpacing w:val="0"/>
        <w:rPr>
          <w:i/>
        </w:rPr>
      </w:pPr>
      <w:r w:rsidRPr="009868C4">
        <w:rPr>
          <w:i/>
        </w:rPr>
        <w:lastRenderedPageBreak/>
        <w:t>The redacted values correspond to the following ranges</w:t>
      </w:r>
      <w:r>
        <w:rPr>
          <w:i/>
        </w:rPr>
        <w:t xml:space="preserve">: </w:t>
      </w:r>
    </w:p>
    <w:p w:rsidR="00F415F7" w:rsidRPr="00870C5D" w:rsidRDefault="00F415F7" w:rsidP="00F415F7">
      <w:pPr>
        <w:pStyle w:val="TableFigureFooter"/>
        <w:spacing w:after="0"/>
        <w:contextualSpacing w:val="0"/>
      </w:pPr>
      <w:r>
        <w:rPr>
          <w:i/>
          <w:vertAlign w:val="superscript"/>
        </w:rPr>
        <w:t>1</w:t>
      </w:r>
      <w:r>
        <w:rPr>
          <w:i/>
        </w:rPr>
        <w:t xml:space="preserve"> </w:t>
      </w:r>
      <w:r w:rsidRPr="00F415F7">
        <w:rPr>
          <w:i/>
        </w:rPr>
        <w:t>&gt; $1,055,000</w:t>
      </w:r>
    </w:p>
    <w:p w:rsidR="00F415F7" w:rsidRPr="00870C5D" w:rsidRDefault="00F415F7" w:rsidP="00F415F7">
      <w:pPr>
        <w:pStyle w:val="TableFigureFooter"/>
        <w:spacing w:after="0"/>
        <w:contextualSpacing w:val="0"/>
      </w:pPr>
      <w:r>
        <w:rPr>
          <w:i/>
          <w:vertAlign w:val="superscript"/>
        </w:rPr>
        <w:t>2</w:t>
      </w:r>
      <w:r>
        <w:rPr>
          <w:i/>
        </w:rPr>
        <w:t xml:space="preserve"> </w:t>
      </w:r>
      <w:r w:rsidRPr="00F415F7">
        <w:rPr>
          <w:i/>
        </w:rPr>
        <w:t>$755,000 to &lt; $855,000</w:t>
      </w:r>
    </w:p>
    <w:p w:rsidR="00F415F7" w:rsidRPr="00870C5D" w:rsidRDefault="00F415F7" w:rsidP="00F415F7">
      <w:pPr>
        <w:pStyle w:val="TableFigureFooter"/>
        <w:spacing w:after="0"/>
        <w:contextualSpacing w:val="0"/>
      </w:pPr>
      <w:r>
        <w:rPr>
          <w:i/>
          <w:vertAlign w:val="superscript"/>
        </w:rPr>
        <w:t>3</w:t>
      </w:r>
      <w:r>
        <w:rPr>
          <w:i/>
        </w:rPr>
        <w:t xml:space="preserve"> </w:t>
      </w:r>
      <w:r w:rsidRPr="00F415F7">
        <w:rPr>
          <w:i/>
        </w:rPr>
        <w:t>$955,000 to &lt; $1,055,000</w:t>
      </w:r>
    </w:p>
    <w:p w:rsidR="00F415F7" w:rsidRPr="00870C5D" w:rsidRDefault="00F415F7" w:rsidP="00F415F7">
      <w:pPr>
        <w:pStyle w:val="TableFigureFooter"/>
        <w:spacing w:after="0"/>
        <w:contextualSpacing w:val="0"/>
      </w:pPr>
      <w:r>
        <w:rPr>
          <w:i/>
          <w:vertAlign w:val="superscript"/>
        </w:rPr>
        <w:t>4</w:t>
      </w:r>
      <w:r>
        <w:rPr>
          <w:i/>
        </w:rPr>
        <w:t xml:space="preserve"> </w:t>
      </w:r>
      <w:r w:rsidRPr="00F415F7">
        <w:rPr>
          <w:i/>
        </w:rPr>
        <w:t>$855,000 to &lt; $955,000</w:t>
      </w:r>
    </w:p>
    <w:p w:rsidR="00F415F7" w:rsidRPr="00732139" w:rsidRDefault="00F415F7" w:rsidP="002B34BF">
      <w:pPr>
        <w:pStyle w:val="TableFigureFooter"/>
      </w:pPr>
    </w:p>
    <w:p w:rsidR="001E2F24" w:rsidRPr="00732139" w:rsidRDefault="00437C22" w:rsidP="001E2F24">
      <w:pPr>
        <w:pStyle w:val="ExecSumBodyText"/>
      </w:pPr>
      <w:r w:rsidRPr="00732139">
        <w:t>The results were most sensitive to time horizon, non-specific disease-related utility changes and modelled survival data.</w:t>
      </w:r>
    </w:p>
    <w:p w:rsidR="00D93D0C" w:rsidRPr="00732139" w:rsidRDefault="00D93D0C" w:rsidP="001E2F24">
      <w:pPr>
        <w:pStyle w:val="ExecSumBodyText"/>
      </w:pPr>
      <w:r w:rsidRPr="00732139">
        <w:t>Changing the parametric survival function for extrapolation (with or without the survival cap) in the base case had relatively minimal impact on the ICER. This is because the predicted hazards of death for the eculizumab arm is informed by general population mortality for the majority of the modelled duration.</w:t>
      </w:r>
    </w:p>
    <w:p w:rsidR="00437C22" w:rsidRPr="00732139" w:rsidRDefault="00437C22" w:rsidP="001E2F24">
      <w:pPr>
        <w:pStyle w:val="ExecSumBodyText"/>
      </w:pPr>
      <w:r w:rsidRPr="00732139">
        <w:rPr>
          <w:iCs/>
        </w:rPr>
        <w:t>The resubmission included an exploratory analysis using a baseline age of 12 years to represent the cost-effectiveness of eculizumab versus BSC in the paediatric population.</w:t>
      </w:r>
      <w:r w:rsidRPr="00732139">
        <w:t xml:space="preserve"> The analysis assumed that the treatment effect of eculizumab and all other inputs used for the adult population were generalisable to the paediatric population. No data were provided in support of this assumption.</w:t>
      </w:r>
    </w:p>
    <w:p w:rsidR="00BD6260" w:rsidRPr="00732139" w:rsidRDefault="00BD6260" w:rsidP="001E2F24">
      <w:pPr>
        <w:pStyle w:val="ExecSumBodyText"/>
      </w:pPr>
      <w:r w:rsidRPr="00732139">
        <w:t>During the evaluation, threshold analyses were conducted to determine the price reduction required for eculizumab to be cost-effective</w:t>
      </w:r>
      <w:r w:rsidR="004B0A3D" w:rsidRPr="00732139">
        <w:t>.</w:t>
      </w:r>
      <w:r w:rsidRPr="00732139">
        <w:t xml:space="preserve"> </w:t>
      </w:r>
      <w:r w:rsidR="004B0A3D" w:rsidRPr="00732139">
        <w:t>A</w:t>
      </w:r>
      <w:r w:rsidRPr="00732139">
        <w:t>t high thresholds of $100,000, $200,000 and $300,000 per life year gained and QALY gaine</w:t>
      </w:r>
      <w:r w:rsidR="004B0A3D" w:rsidRPr="00732139">
        <w:t>d</w:t>
      </w:r>
      <w:r w:rsidR="00FB53BE" w:rsidRPr="00732139">
        <w:t>, p</w:t>
      </w:r>
      <w:r w:rsidRPr="00732139">
        <w:t xml:space="preserve">rice reductions required would be </w:t>
      </w:r>
      <w:r w:rsidR="008661E6">
        <w:rPr>
          <w:noProof/>
          <w:color w:val="000000"/>
          <w:highlight w:val="black"/>
        </w:rPr>
        <w:t>''''''</w:t>
      </w:r>
      <w:r w:rsidR="00652EF5" w:rsidRPr="00732139">
        <w:t xml:space="preserve">%, </w:t>
      </w:r>
      <w:r w:rsidR="008661E6">
        <w:rPr>
          <w:noProof/>
          <w:color w:val="000000"/>
          <w:highlight w:val="black"/>
        </w:rPr>
        <w:t>'''''</w:t>
      </w:r>
      <w:r w:rsidR="00652EF5" w:rsidRPr="00732139">
        <w:t xml:space="preserve">% and </w:t>
      </w:r>
      <w:r w:rsidR="008661E6">
        <w:rPr>
          <w:noProof/>
          <w:color w:val="000000"/>
          <w:highlight w:val="black"/>
        </w:rPr>
        <w:t>'''''</w:t>
      </w:r>
      <w:r w:rsidRPr="00732139">
        <w:t xml:space="preserve">% for ICER per life year gained, and </w:t>
      </w:r>
      <w:r w:rsidR="008661E6">
        <w:rPr>
          <w:noProof/>
          <w:color w:val="000000"/>
          <w:highlight w:val="black"/>
        </w:rPr>
        <w:t>''''''</w:t>
      </w:r>
      <w:r w:rsidR="00652EF5" w:rsidRPr="00732139">
        <w:t xml:space="preserve">%, </w:t>
      </w:r>
      <w:r w:rsidR="008661E6">
        <w:rPr>
          <w:noProof/>
          <w:color w:val="000000"/>
          <w:highlight w:val="black"/>
        </w:rPr>
        <w:t>'''''</w:t>
      </w:r>
      <w:r w:rsidR="00652EF5" w:rsidRPr="00732139">
        <w:t xml:space="preserve">% and </w:t>
      </w:r>
      <w:r w:rsidR="008661E6">
        <w:rPr>
          <w:noProof/>
          <w:color w:val="000000"/>
          <w:highlight w:val="black"/>
        </w:rPr>
        <w:t>'''''</w:t>
      </w:r>
      <w:r w:rsidRPr="00732139">
        <w:t>% for ICER per QALY gained.</w:t>
      </w:r>
      <w:r w:rsidR="00C63FF1" w:rsidRPr="00732139">
        <w:t xml:space="preserve"> The PBAC noted these </w:t>
      </w:r>
      <w:r w:rsidR="008D61AF" w:rsidRPr="00732139">
        <w:t>threshold analyses were not based on a robust model.</w:t>
      </w:r>
    </w:p>
    <w:p w:rsidR="00FE0DA4" w:rsidRPr="00732139" w:rsidRDefault="00FE0DA4" w:rsidP="00FE0DA4">
      <w:pPr>
        <w:pStyle w:val="4-SubsectSubhead"/>
        <w:rPr>
          <w:sz w:val="24"/>
          <w:szCs w:val="24"/>
        </w:rPr>
      </w:pPr>
      <w:r w:rsidRPr="00732139">
        <w:rPr>
          <w:sz w:val="24"/>
          <w:szCs w:val="24"/>
        </w:rPr>
        <w:t>Cost-utility analysis of ravulizumab versus best supportive care</w:t>
      </w:r>
    </w:p>
    <w:p w:rsidR="00FE0DA4" w:rsidRPr="00732139" w:rsidRDefault="00370219" w:rsidP="000D0E1C">
      <w:pPr>
        <w:pStyle w:val="ExecSumBodyText"/>
      </w:pPr>
      <w:r w:rsidRPr="00732139">
        <w:t>The model structure and inputs for the ravulizumab versus BSC comparison were largely the same as for the eculizumab versus BSC comparison, except for a relatively small difference in treatment costs.</w:t>
      </w:r>
      <w:r w:rsidR="00991D09" w:rsidRPr="00732139">
        <w:t xml:space="preserve"> As outlined in paragraph </w:t>
      </w:r>
      <w:r w:rsidR="00991D09" w:rsidRPr="00CB1C60">
        <w:t>6.74,</w:t>
      </w:r>
      <w:r w:rsidR="00641A7B" w:rsidRPr="00732139">
        <w:t xml:space="preserve"> </w:t>
      </w:r>
      <w:r w:rsidR="000D0E1C" w:rsidRPr="00732139">
        <w:t>t</w:t>
      </w:r>
      <w:r w:rsidR="00641A7B" w:rsidRPr="00732139">
        <w:t xml:space="preserve">he ESC </w:t>
      </w:r>
      <w:r w:rsidR="000D0E1C" w:rsidRPr="00732139">
        <w:t>considered the</w:t>
      </w:r>
      <w:r w:rsidR="00641A7B" w:rsidRPr="00732139">
        <w:t xml:space="preserve"> model structure lacked face validity and was unlikely to be </w:t>
      </w:r>
      <w:r w:rsidR="00417994" w:rsidRPr="00732139">
        <w:t xml:space="preserve">reliable </w:t>
      </w:r>
      <w:r w:rsidR="00641A7B" w:rsidRPr="00732139">
        <w:t>for decision making.</w:t>
      </w:r>
    </w:p>
    <w:p w:rsidR="00416E5D" w:rsidRPr="00732139" w:rsidRDefault="00416E5D" w:rsidP="001E2F24">
      <w:pPr>
        <w:pStyle w:val="ExecSumBodyText"/>
      </w:pPr>
      <w:r w:rsidRPr="00732139">
        <w:rPr>
          <w:iCs/>
        </w:rPr>
        <w:t>Ravulizumab drug costs were estimated assuming no wastage with use of the requested formulations of the higher strength ravulizumab based on the most efficient vial combinations for each weight band (40 to &lt;60 kg, 60 to &lt;100 kg and 100 kg or more).</w:t>
      </w:r>
      <w:r w:rsidRPr="00732139">
        <w:t xml:space="preserve"> It was unclear how the most efficient vial combination would be ob</w:t>
      </w:r>
      <w:r w:rsidR="007330A9" w:rsidRPr="00732139">
        <w:t>tained under the Section 100 Highly Specialised Drugs</w:t>
      </w:r>
      <w:r w:rsidRPr="00732139">
        <w:t xml:space="preserve"> Program. There is potential for wastage should prescribers request vial combinations other than proposed in the resubmission.</w:t>
      </w:r>
    </w:p>
    <w:p w:rsidR="001F53E5" w:rsidRPr="00732139" w:rsidRDefault="001F53E5" w:rsidP="001E2F24">
      <w:pPr>
        <w:pStyle w:val="ExecSumBodyText"/>
      </w:pPr>
      <w:r w:rsidRPr="00732139">
        <w:rPr>
          <w:iCs/>
        </w:rPr>
        <w:t xml:space="preserve">The resubmission assumed 100% treatment adherence and persistence. </w:t>
      </w:r>
      <w:r w:rsidRPr="00732139">
        <w:t xml:space="preserve">No justification was provided for this assumption, which was inconsistent with trial discontinuation data and utilisation data provided in the LSDP report. </w:t>
      </w:r>
    </w:p>
    <w:p w:rsidR="00370219" w:rsidRPr="00732139" w:rsidRDefault="00370219" w:rsidP="001E2F24">
      <w:pPr>
        <w:pStyle w:val="ExecSumBodyText"/>
        <w:rPr>
          <w:iCs/>
        </w:rPr>
      </w:pPr>
      <w:r w:rsidRPr="00732139">
        <w:rPr>
          <w:iCs/>
        </w:rPr>
        <w:t>The total drug and administration cost for ravulizumab in the initial year ($</w:t>
      </w:r>
      <w:r w:rsidR="008661E6">
        <w:rPr>
          <w:iCs/>
          <w:noProof/>
          <w:color w:val="000000"/>
          <w:highlight w:val="black"/>
        </w:rPr>
        <w:t>'''''''''''''''</w:t>
      </w:r>
      <w:r w:rsidRPr="00732139">
        <w:rPr>
          <w:iCs/>
        </w:rPr>
        <w:t>) was higher compared to eculizumab ($</w:t>
      </w:r>
      <w:r w:rsidR="008661E6">
        <w:rPr>
          <w:iCs/>
          <w:noProof/>
          <w:color w:val="000000"/>
          <w:highlight w:val="black"/>
        </w:rPr>
        <w:t>''''''''''''''''</w:t>
      </w:r>
      <w:r w:rsidRPr="00732139">
        <w:rPr>
          <w:iCs/>
        </w:rPr>
        <w:t xml:space="preserve">) despite a lower total dose for </w:t>
      </w:r>
      <w:r w:rsidRPr="00732139">
        <w:rPr>
          <w:iCs/>
        </w:rPr>
        <w:lastRenderedPageBreak/>
        <w:t>ravulizumab (23,241 mg) compared to eculizumab (24,000 mg)</w:t>
      </w:r>
      <w:r w:rsidR="00732139">
        <w:rPr>
          <w:iCs/>
        </w:rPr>
        <w:t xml:space="preserve">. </w:t>
      </w:r>
      <w:r w:rsidRPr="00732139">
        <w:rPr>
          <w:iCs/>
        </w:rPr>
        <w:t>The increased cost was primarily due to the higher cost per mg for ravulizumab ($</w:t>
      </w:r>
      <w:r w:rsidR="008661E6">
        <w:rPr>
          <w:iCs/>
          <w:noProof/>
          <w:color w:val="000000"/>
          <w:highlight w:val="black"/>
        </w:rPr>
        <w:t>''''''''''</w:t>
      </w:r>
      <w:r w:rsidRPr="00732139">
        <w:rPr>
          <w:iCs/>
        </w:rPr>
        <w:t>) versus eculizumab ($</w:t>
      </w:r>
      <w:r w:rsidR="008661E6">
        <w:rPr>
          <w:iCs/>
          <w:noProof/>
          <w:color w:val="000000"/>
          <w:highlight w:val="black"/>
        </w:rPr>
        <w:t>'''''''''''</w:t>
      </w:r>
      <w:r w:rsidRPr="00732139">
        <w:rPr>
          <w:iCs/>
        </w:rPr>
        <w:t>) based on the cost-minimisation analysis. Treatment costs for ravulizumab ($</w:t>
      </w:r>
      <w:r w:rsidR="008661E6">
        <w:rPr>
          <w:iCs/>
          <w:noProof/>
          <w:color w:val="000000"/>
          <w:highlight w:val="black"/>
        </w:rPr>
        <w:t>''''''''''''''</w:t>
      </w:r>
      <w:r w:rsidRPr="00732139">
        <w:rPr>
          <w:iCs/>
        </w:rPr>
        <w:t>) and eculizumab ($</w:t>
      </w:r>
      <w:r w:rsidR="008661E6">
        <w:rPr>
          <w:iCs/>
          <w:noProof/>
          <w:color w:val="000000"/>
          <w:highlight w:val="black"/>
        </w:rPr>
        <w:t>'''''''''''''''</w:t>
      </w:r>
      <w:r w:rsidRPr="00732139">
        <w:rPr>
          <w:iCs/>
        </w:rPr>
        <w:t>) were similar in subsequent years.</w:t>
      </w:r>
    </w:p>
    <w:p w:rsidR="00A525C6" w:rsidRPr="00732139" w:rsidRDefault="00A525C6" w:rsidP="001E2F24">
      <w:pPr>
        <w:pStyle w:val="ExecSumBodyText"/>
        <w:rPr>
          <w:iCs/>
        </w:rPr>
      </w:pPr>
      <w:r w:rsidRPr="00732139">
        <w:rPr>
          <w:iCs/>
        </w:rPr>
        <w:t>The results of the economic evaluation are presented in the table below.</w:t>
      </w:r>
    </w:p>
    <w:p w:rsidR="00916E21" w:rsidRPr="00732139" w:rsidRDefault="00916E21" w:rsidP="00916E21">
      <w:pPr>
        <w:pStyle w:val="TableFigureCaption"/>
      </w:pPr>
      <w:r w:rsidRPr="00732139">
        <w:t xml:space="preserve">Table </w:t>
      </w:r>
      <w:r w:rsidR="00CB1C60">
        <w:t>15</w:t>
      </w:r>
      <w:r w:rsidRPr="00732139">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8"/>
        <w:gridCol w:w="2451"/>
        <w:gridCol w:w="2290"/>
        <w:gridCol w:w="7"/>
        <w:gridCol w:w="1511"/>
      </w:tblGrid>
      <w:tr w:rsidR="00916E21" w:rsidRPr="00732139" w:rsidTr="00531FF1">
        <w:trPr>
          <w:tblHeader/>
        </w:trPr>
        <w:tc>
          <w:tcPr>
            <w:tcW w:w="1529" w:type="pct"/>
            <w:vAlign w:val="center"/>
          </w:tcPr>
          <w:p w:rsidR="00916E21" w:rsidRPr="00732139" w:rsidRDefault="00916E21" w:rsidP="00531FF1">
            <w:pPr>
              <w:pStyle w:val="Tableheadingrow"/>
              <w:rPr>
                <w:lang w:val="en-AU"/>
              </w:rPr>
            </w:pPr>
            <w:r w:rsidRPr="00732139">
              <w:rPr>
                <w:lang w:val="en-AU"/>
              </w:rPr>
              <w:t>Component</w:t>
            </w:r>
          </w:p>
        </w:tc>
        <w:tc>
          <w:tcPr>
            <w:tcW w:w="1359" w:type="pct"/>
            <w:vAlign w:val="center"/>
          </w:tcPr>
          <w:p w:rsidR="00916E21" w:rsidRPr="00732139" w:rsidRDefault="00916E21" w:rsidP="00531FF1">
            <w:pPr>
              <w:pStyle w:val="Tableheadingrow"/>
              <w:jc w:val="center"/>
              <w:rPr>
                <w:lang w:val="en-AU"/>
              </w:rPr>
            </w:pPr>
            <w:r w:rsidRPr="00732139">
              <w:rPr>
                <w:lang w:val="en-AU"/>
              </w:rPr>
              <w:t>Ravulizumab</w:t>
            </w:r>
          </w:p>
        </w:tc>
        <w:tc>
          <w:tcPr>
            <w:tcW w:w="1274" w:type="pct"/>
            <w:gridSpan w:val="2"/>
            <w:vAlign w:val="center"/>
          </w:tcPr>
          <w:p w:rsidR="00916E21" w:rsidRPr="00732139" w:rsidRDefault="00916E21" w:rsidP="00531FF1">
            <w:pPr>
              <w:pStyle w:val="Tableheadingrow"/>
              <w:jc w:val="center"/>
              <w:rPr>
                <w:lang w:val="en-AU"/>
              </w:rPr>
            </w:pPr>
            <w:r w:rsidRPr="00732139">
              <w:rPr>
                <w:lang w:val="en-AU"/>
              </w:rPr>
              <w:t>BSC</w:t>
            </w:r>
          </w:p>
        </w:tc>
        <w:tc>
          <w:tcPr>
            <w:tcW w:w="838" w:type="pct"/>
            <w:vAlign w:val="center"/>
          </w:tcPr>
          <w:p w:rsidR="00916E21" w:rsidRPr="00732139" w:rsidRDefault="00916E21" w:rsidP="00531FF1">
            <w:pPr>
              <w:pStyle w:val="Tableheadingrow"/>
              <w:jc w:val="center"/>
              <w:rPr>
                <w:lang w:val="en-AU"/>
              </w:rPr>
            </w:pPr>
            <w:r w:rsidRPr="00732139">
              <w:rPr>
                <w:lang w:val="en-AU"/>
              </w:rPr>
              <w:t>Increment</w:t>
            </w:r>
          </w:p>
        </w:tc>
      </w:tr>
      <w:tr w:rsidR="00916E21" w:rsidRPr="00732139" w:rsidTr="00531FF1">
        <w:tc>
          <w:tcPr>
            <w:tcW w:w="1529" w:type="pct"/>
            <w:vAlign w:val="center"/>
          </w:tcPr>
          <w:p w:rsidR="00916E21" w:rsidRPr="00732139" w:rsidRDefault="00916E21" w:rsidP="00531FF1">
            <w:pPr>
              <w:pStyle w:val="TableText"/>
              <w:rPr>
                <w:rFonts w:ascii="Times" w:hAnsi="Times"/>
              </w:rPr>
            </w:pPr>
            <w:r w:rsidRPr="00732139">
              <w:t>Costs</w:t>
            </w:r>
          </w:p>
        </w:tc>
        <w:tc>
          <w:tcPr>
            <w:tcW w:w="1359" w:type="pct"/>
            <w:vAlign w:val="center"/>
          </w:tcPr>
          <w:p w:rsidR="00916E21" w:rsidRPr="00732139" w:rsidRDefault="00916E21" w:rsidP="00531FF1">
            <w:pPr>
              <w:pStyle w:val="TableText"/>
              <w:jc w:val="center"/>
            </w:pPr>
            <w:r w:rsidRPr="00732139">
              <w:t>$</w:t>
            </w:r>
            <w:r w:rsidR="008661E6">
              <w:rPr>
                <w:noProof/>
                <w:color w:val="000000"/>
                <w:highlight w:val="black"/>
              </w:rPr>
              <w:t>''''''''''''''''''''''''''</w:t>
            </w:r>
          </w:p>
        </w:tc>
        <w:tc>
          <w:tcPr>
            <w:tcW w:w="1274" w:type="pct"/>
            <w:gridSpan w:val="2"/>
            <w:vAlign w:val="center"/>
          </w:tcPr>
          <w:p w:rsidR="00916E21" w:rsidRPr="00732139" w:rsidRDefault="00916E21" w:rsidP="00531FF1">
            <w:pPr>
              <w:pStyle w:val="TableText"/>
              <w:jc w:val="center"/>
            </w:pPr>
            <w:r w:rsidRPr="00732139">
              <w:t>$42,154</w:t>
            </w:r>
          </w:p>
        </w:tc>
        <w:tc>
          <w:tcPr>
            <w:tcW w:w="838" w:type="pct"/>
            <w:vAlign w:val="center"/>
          </w:tcPr>
          <w:p w:rsidR="00916E21" w:rsidRPr="00732139" w:rsidRDefault="00916E21" w:rsidP="00531FF1">
            <w:pPr>
              <w:pStyle w:val="TableText"/>
              <w:jc w:val="center"/>
            </w:pPr>
            <w:r w:rsidRPr="00732139">
              <w:t>$</w:t>
            </w:r>
            <w:r w:rsidR="008661E6">
              <w:rPr>
                <w:noProof/>
                <w:color w:val="000000"/>
                <w:highlight w:val="black"/>
              </w:rPr>
              <w:t>''''''''''''''''''''''</w:t>
            </w:r>
          </w:p>
        </w:tc>
      </w:tr>
      <w:tr w:rsidR="00916E21" w:rsidRPr="00732139" w:rsidTr="00531FF1">
        <w:tc>
          <w:tcPr>
            <w:tcW w:w="1529" w:type="pct"/>
            <w:vAlign w:val="center"/>
          </w:tcPr>
          <w:p w:rsidR="00916E21" w:rsidRPr="007E2453" w:rsidRDefault="00916E21" w:rsidP="007E2453">
            <w:pPr>
              <w:pStyle w:val="TableText"/>
              <w:rPr>
                <w:rFonts w:ascii="Times" w:hAnsi="Times"/>
                <w:vertAlign w:val="superscript"/>
              </w:rPr>
            </w:pPr>
            <w:r w:rsidRPr="00732139">
              <w:t>QALYs</w:t>
            </w:r>
          </w:p>
        </w:tc>
        <w:tc>
          <w:tcPr>
            <w:tcW w:w="1359" w:type="pct"/>
            <w:vAlign w:val="center"/>
          </w:tcPr>
          <w:p w:rsidR="00916E21" w:rsidRPr="00732139" w:rsidRDefault="00916E21" w:rsidP="00531FF1">
            <w:pPr>
              <w:pStyle w:val="TableText"/>
              <w:jc w:val="center"/>
            </w:pPr>
            <w:r w:rsidRPr="00732139">
              <w:t>14.45</w:t>
            </w:r>
          </w:p>
        </w:tc>
        <w:tc>
          <w:tcPr>
            <w:tcW w:w="1274" w:type="pct"/>
            <w:gridSpan w:val="2"/>
            <w:vAlign w:val="center"/>
          </w:tcPr>
          <w:p w:rsidR="00916E21" w:rsidRPr="00732139" w:rsidRDefault="00916E21" w:rsidP="00531FF1">
            <w:pPr>
              <w:pStyle w:val="TableText"/>
              <w:jc w:val="center"/>
            </w:pPr>
            <w:r w:rsidRPr="00732139">
              <w:t>8.84</w:t>
            </w:r>
          </w:p>
        </w:tc>
        <w:tc>
          <w:tcPr>
            <w:tcW w:w="838" w:type="pct"/>
            <w:vAlign w:val="center"/>
          </w:tcPr>
          <w:p w:rsidR="00916E21" w:rsidRPr="00732139" w:rsidRDefault="00916E21" w:rsidP="00531FF1">
            <w:pPr>
              <w:pStyle w:val="TableText"/>
              <w:jc w:val="center"/>
            </w:pPr>
            <w:r w:rsidRPr="00732139">
              <w:t>5.62</w:t>
            </w:r>
          </w:p>
        </w:tc>
      </w:tr>
      <w:tr w:rsidR="00916E21" w:rsidRPr="00732139" w:rsidTr="00531FF1">
        <w:tc>
          <w:tcPr>
            <w:tcW w:w="4162" w:type="pct"/>
            <w:gridSpan w:val="4"/>
            <w:vAlign w:val="center"/>
          </w:tcPr>
          <w:p w:rsidR="00916E21" w:rsidRPr="00732139" w:rsidRDefault="00916E21" w:rsidP="00531FF1">
            <w:pPr>
              <w:pStyle w:val="TableText"/>
              <w:rPr>
                <w:rFonts w:ascii="Times" w:hAnsi="Times"/>
                <w:b/>
              </w:rPr>
            </w:pPr>
            <w:r w:rsidRPr="00732139">
              <w:rPr>
                <w:b/>
              </w:rPr>
              <w:t>Incremental cost/QALY gained</w:t>
            </w:r>
          </w:p>
        </w:tc>
        <w:tc>
          <w:tcPr>
            <w:tcW w:w="838" w:type="pct"/>
            <w:vAlign w:val="center"/>
          </w:tcPr>
          <w:p w:rsidR="00916E21" w:rsidRPr="00732139" w:rsidRDefault="00916E21" w:rsidP="00531FF1">
            <w:pPr>
              <w:pStyle w:val="TableText"/>
              <w:jc w:val="center"/>
              <w:rPr>
                <w:rFonts w:ascii="Times" w:hAnsi="Times"/>
                <w:b/>
              </w:rPr>
            </w:pPr>
            <w:r w:rsidRPr="00732139">
              <w:rPr>
                <w:b/>
              </w:rPr>
              <w:t>$</w:t>
            </w:r>
            <w:r w:rsidR="008661E6">
              <w:rPr>
                <w:b/>
                <w:noProof/>
                <w:color w:val="000000"/>
                <w:highlight w:val="black"/>
              </w:rPr>
              <w:t>''''''''''''''''''</w:t>
            </w:r>
            <w:r w:rsidR="007E2453">
              <w:rPr>
                <w:vertAlign w:val="superscript"/>
              </w:rPr>
              <w:t>1</w:t>
            </w:r>
          </w:p>
        </w:tc>
      </w:tr>
      <w:tr w:rsidR="00916E21" w:rsidRPr="00732139" w:rsidTr="00F56B4D">
        <w:tblPrEx>
          <w:shd w:val="clear" w:color="auto" w:fill="FFFFFF"/>
          <w:tblCellMar>
            <w:left w:w="108" w:type="dxa"/>
            <w:right w:w="108" w:type="dxa"/>
          </w:tblCellMar>
          <w:tblLook w:val="04A0" w:firstRow="1" w:lastRow="0" w:firstColumn="1" w:lastColumn="0" w:noHBand="0" w:noVBand="1"/>
        </w:tblPrEx>
        <w:trPr>
          <w:cantSplit/>
        </w:trPr>
        <w:tc>
          <w:tcPr>
            <w:tcW w:w="5000" w:type="pct"/>
            <w:gridSpan w:val="5"/>
            <w:shd w:val="clear" w:color="auto" w:fill="D9D9D9" w:themeFill="background1" w:themeFillShade="D9"/>
            <w:vAlign w:val="center"/>
          </w:tcPr>
          <w:p w:rsidR="00916E21" w:rsidRPr="00732139" w:rsidRDefault="00916E21" w:rsidP="00531FF1">
            <w:pPr>
              <w:keepNext/>
              <w:keepLines/>
              <w:jc w:val="left"/>
              <w:rPr>
                <w:rFonts w:ascii="Arial Narrow" w:eastAsia="Calibri" w:hAnsi="Arial Narrow"/>
                <w:b/>
                <w:sz w:val="20"/>
                <w:szCs w:val="20"/>
              </w:rPr>
            </w:pPr>
            <w:r w:rsidRPr="00732139">
              <w:rPr>
                <w:rFonts w:ascii="Arial Narrow" w:eastAsia="Calibri" w:hAnsi="Arial Narrow"/>
                <w:b/>
                <w:sz w:val="20"/>
                <w:szCs w:val="20"/>
              </w:rPr>
              <w:t>July 2020 consideration</w:t>
            </w:r>
          </w:p>
        </w:tc>
      </w:tr>
      <w:tr w:rsidR="00916E21" w:rsidRPr="00732139" w:rsidTr="00F56B4D">
        <w:tblPrEx>
          <w:shd w:val="clear" w:color="auto" w:fill="FFFFFF"/>
          <w:tblCellMar>
            <w:left w:w="108" w:type="dxa"/>
            <w:right w:w="108" w:type="dxa"/>
          </w:tblCellMar>
          <w:tblLook w:val="04A0" w:firstRow="1" w:lastRow="0" w:firstColumn="1" w:lastColumn="0" w:noHBand="0" w:noVBand="1"/>
        </w:tblPrEx>
        <w:trPr>
          <w:cantSplit/>
        </w:trPr>
        <w:tc>
          <w:tcPr>
            <w:tcW w:w="4158" w:type="pct"/>
            <w:gridSpan w:val="3"/>
            <w:tcBorders>
              <w:right w:val="single" w:sz="4" w:space="0" w:color="000000"/>
            </w:tcBorders>
            <w:shd w:val="clear" w:color="auto" w:fill="D9D9D9" w:themeFill="background1" w:themeFillShade="D9"/>
          </w:tcPr>
          <w:p w:rsidR="00916E21" w:rsidRPr="00732139" w:rsidRDefault="00916E21" w:rsidP="00531FF1">
            <w:pPr>
              <w:pStyle w:val="Tableheadingrow"/>
              <w:rPr>
                <w:b w:val="0"/>
                <w:lang w:val="en-AU"/>
              </w:rPr>
            </w:pPr>
            <w:r w:rsidRPr="00732139">
              <w:rPr>
                <w:b w:val="0"/>
                <w:lang w:val="en-AU"/>
              </w:rPr>
              <w:t>Incremental cost per QALY gained (revised base case)</w:t>
            </w:r>
          </w:p>
        </w:tc>
        <w:tc>
          <w:tcPr>
            <w:tcW w:w="842" w:type="pct"/>
            <w:gridSpan w:val="2"/>
            <w:tcBorders>
              <w:left w:val="single" w:sz="4" w:space="0" w:color="000000"/>
            </w:tcBorders>
            <w:shd w:val="clear" w:color="auto" w:fill="D9D9D9" w:themeFill="background1" w:themeFillShade="D9"/>
          </w:tcPr>
          <w:p w:rsidR="00916E21" w:rsidRPr="00732139" w:rsidRDefault="00916E21" w:rsidP="00531FF1">
            <w:pPr>
              <w:keepNext/>
              <w:keepLines/>
              <w:jc w:val="center"/>
              <w:rPr>
                <w:rFonts w:ascii="Arial Narrow" w:eastAsia="Calibri" w:hAnsi="Arial Narrow"/>
                <w:sz w:val="20"/>
                <w:szCs w:val="20"/>
              </w:rPr>
            </w:pPr>
            <w:r w:rsidRPr="00732139">
              <w:rPr>
                <w:rFonts w:ascii="Arial Narrow" w:eastAsia="Calibri" w:hAnsi="Arial Narrow"/>
                <w:sz w:val="20"/>
                <w:szCs w:val="20"/>
              </w:rPr>
              <w:t>$</w:t>
            </w:r>
            <w:r w:rsidR="008661E6">
              <w:rPr>
                <w:rFonts w:ascii="Arial Narrow" w:eastAsia="Calibri" w:hAnsi="Arial Narrow"/>
                <w:noProof/>
                <w:color w:val="000000"/>
                <w:sz w:val="20"/>
                <w:szCs w:val="20"/>
                <w:highlight w:val="black"/>
              </w:rPr>
              <w:t>'''''''''''''''''</w:t>
            </w:r>
            <w:r w:rsidR="007E2453">
              <w:rPr>
                <w:vertAlign w:val="superscript"/>
              </w:rPr>
              <w:t>2</w:t>
            </w:r>
          </w:p>
        </w:tc>
      </w:tr>
    </w:tbl>
    <w:p w:rsidR="00916E21" w:rsidRPr="00732139" w:rsidRDefault="00916E21" w:rsidP="00916E21">
      <w:pPr>
        <w:pStyle w:val="TableFigureFooter"/>
      </w:pPr>
      <w:r w:rsidRPr="00732139">
        <w:t>Source: Table 3.34, p272 and Table 3.37, p275 of the resubmission</w:t>
      </w:r>
    </w:p>
    <w:p w:rsidR="00916E21" w:rsidRDefault="00916E21" w:rsidP="00916E21">
      <w:pPr>
        <w:pStyle w:val="TableFigureFooter"/>
      </w:pPr>
      <w:r w:rsidRPr="00732139">
        <w:t>Abbreviation: QALY, quality-adjusted life year</w:t>
      </w:r>
    </w:p>
    <w:p w:rsidR="007E2453" w:rsidRDefault="007E2453" w:rsidP="007E2453">
      <w:pPr>
        <w:pStyle w:val="TableFigureFooter"/>
        <w:spacing w:after="0"/>
        <w:contextualSpacing w:val="0"/>
        <w:rPr>
          <w:i/>
        </w:rPr>
      </w:pPr>
      <w:r w:rsidRPr="009868C4">
        <w:rPr>
          <w:i/>
        </w:rPr>
        <w:t>The redacted values correspond to the following ranges</w:t>
      </w:r>
      <w:r>
        <w:rPr>
          <w:i/>
        </w:rPr>
        <w:t xml:space="preserve">: </w:t>
      </w:r>
    </w:p>
    <w:p w:rsidR="007E2453" w:rsidRPr="00870C5D" w:rsidRDefault="007E2453" w:rsidP="007E2453">
      <w:pPr>
        <w:pStyle w:val="TableFigureFooter"/>
        <w:spacing w:after="0"/>
        <w:contextualSpacing w:val="0"/>
      </w:pPr>
      <w:r>
        <w:rPr>
          <w:i/>
          <w:vertAlign w:val="superscript"/>
        </w:rPr>
        <w:t>1</w:t>
      </w:r>
      <w:r>
        <w:rPr>
          <w:i/>
        </w:rPr>
        <w:t xml:space="preserve"> </w:t>
      </w:r>
      <w:r w:rsidRPr="00F415F7">
        <w:rPr>
          <w:i/>
        </w:rPr>
        <w:t>&gt; $1,055,000</w:t>
      </w:r>
    </w:p>
    <w:p w:rsidR="007E2453" w:rsidRPr="00870C5D" w:rsidRDefault="007E2453" w:rsidP="007E2453">
      <w:pPr>
        <w:pStyle w:val="TableFigureFooter"/>
        <w:spacing w:after="0"/>
        <w:contextualSpacing w:val="0"/>
      </w:pPr>
      <w:r>
        <w:rPr>
          <w:i/>
          <w:vertAlign w:val="superscript"/>
        </w:rPr>
        <w:t>2</w:t>
      </w:r>
      <w:r>
        <w:rPr>
          <w:i/>
        </w:rPr>
        <w:t xml:space="preserve"> </w:t>
      </w:r>
      <w:r w:rsidRPr="007E2453">
        <w:rPr>
          <w:i/>
        </w:rPr>
        <w:t>$655,000 to &lt; $755,000</w:t>
      </w:r>
    </w:p>
    <w:p w:rsidR="007E2453" w:rsidRPr="00732139" w:rsidRDefault="007E2453" w:rsidP="00916E21">
      <w:pPr>
        <w:pStyle w:val="TableFigureFooter"/>
        <w:rPr>
          <w:sz w:val="20"/>
        </w:rPr>
      </w:pPr>
    </w:p>
    <w:p w:rsidR="00A525C6" w:rsidRPr="00732139" w:rsidRDefault="00A525C6" w:rsidP="00A525C6">
      <w:pPr>
        <w:pStyle w:val="ExecSumBodyText"/>
        <w:rPr>
          <w:iCs/>
        </w:rPr>
      </w:pPr>
      <w:r w:rsidRPr="00732139">
        <w:rPr>
          <w:iCs/>
        </w:rPr>
        <w:t>In the model, 69.9% of the incremental costs; 93.7% of the incremental life years; 83.6% of the incremental QALYs are accrued in the extrapolated period (beyond 6 years).</w:t>
      </w:r>
    </w:p>
    <w:p w:rsidR="00021835" w:rsidRPr="00732139" w:rsidRDefault="004F73F7" w:rsidP="007E2453">
      <w:pPr>
        <w:pStyle w:val="ExecSumBodyText"/>
      </w:pPr>
      <w:r w:rsidRPr="00732139">
        <w:t xml:space="preserve">Based on the economic model, treatment with ravulizumab versus BSC in adult patients with PNH (who are eligible for treatment on the LSDP) was associated with a cost per QALY gained of </w:t>
      </w:r>
      <w:r w:rsidR="007E2453" w:rsidRPr="007E2453">
        <w:rPr>
          <w:iCs/>
        </w:rPr>
        <w:t>&gt; $1,055,000</w:t>
      </w:r>
      <w:r w:rsidRPr="00732139">
        <w:t>.</w:t>
      </w:r>
      <w:r w:rsidRPr="00732139">
        <w:rPr>
          <w:i/>
        </w:rPr>
        <w:t xml:space="preserve"> </w:t>
      </w:r>
      <w:r w:rsidRPr="00732139">
        <w:t xml:space="preserve">The results were similar to the comparison of eculizumab versus BSC (cost per QALY gained of </w:t>
      </w:r>
      <w:r w:rsidR="007E2453" w:rsidRPr="007E2453">
        <w:t>&gt; $1,055,000</w:t>
      </w:r>
      <w:r w:rsidRPr="00732139">
        <w:t>), with a small difference primarily due to higher treatment costs in the initial year.</w:t>
      </w:r>
      <w:r w:rsidR="00B00A18" w:rsidRPr="00732139">
        <w:t xml:space="preserve"> </w:t>
      </w:r>
      <w:r w:rsidR="00C65032" w:rsidRPr="00732139">
        <w:t>The cost per QALY gained was higher c</w:t>
      </w:r>
      <w:r w:rsidR="00B00A18" w:rsidRPr="00732139">
        <w:t>ompared to the July 2020 ravulizumab submission</w:t>
      </w:r>
      <w:r w:rsidR="005E003C" w:rsidRPr="00732139">
        <w:t>,</w:t>
      </w:r>
      <w:r w:rsidR="00C65032" w:rsidRPr="00732139">
        <w:t xml:space="preserve"> </w:t>
      </w:r>
      <w:r w:rsidR="0083228F" w:rsidRPr="00732139">
        <w:t xml:space="preserve">primarily </w:t>
      </w:r>
      <w:r w:rsidR="00C65032" w:rsidRPr="00732139">
        <w:t>due to changes to the survival data and extrapolation</w:t>
      </w:r>
      <w:r w:rsidR="0024094F" w:rsidRPr="00732139">
        <w:t xml:space="preserve"> and removal of transitions to spontaneous remission</w:t>
      </w:r>
      <w:r w:rsidR="00732139">
        <w:t xml:space="preserve">. </w:t>
      </w:r>
    </w:p>
    <w:p w:rsidR="00C25D9C" w:rsidRPr="00732139" w:rsidRDefault="00C25D9C" w:rsidP="00BB732D">
      <w:pPr>
        <w:pStyle w:val="3-SubsectionHeading"/>
      </w:pPr>
      <w:bookmarkStart w:id="26" w:name="_Toc22897646"/>
      <w:bookmarkStart w:id="27" w:name="_Toc72331259"/>
      <w:r w:rsidRPr="00732139">
        <w:t>Drug cost/patient/year</w:t>
      </w:r>
      <w:bookmarkEnd w:id="26"/>
      <w:bookmarkEnd w:id="27"/>
    </w:p>
    <w:p w:rsidR="00494207" w:rsidRPr="00732139" w:rsidRDefault="00DD1302" w:rsidP="002B05A1">
      <w:pPr>
        <w:pStyle w:val="ExecSumBodyText"/>
        <w:rPr>
          <w:snapToGrid/>
        </w:rPr>
      </w:pPr>
      <w:r w:rsidRPr="00732139">
        <w:rPr>
          <w:snapToGrid/>
        </w:rPr>
        <w:t>The estimated drug cost for eculizumab per patient per year, based on the proposed effective AEMP of $</w:t>
      </w:r>
      <w:r w:rsidR="008661E6">
        <w:rPr>
          <w:noProof/>
          <w:snapToGrid/>
          <w:color w:val="000000"/>
          <w:highlight w:val="black"/>
        </w:rPr>
        <w:t>'''''''''''</w:t>
      </w:r>
      <w:r w:rsidRPr="00732139">
        <w:rPr>
          <w:snapToGrid/>
        </w:rPr>
        <w:t xml:space="preserve"> per 300 mg vial, was $</w:t>
      </w:r>
      <w:r w:rsidR="008661E6">
        <w:rPr>
          <w:noProof/>
          <w:snapToGrid/>
          <w:color w:val="000000"/>
          <w:highlight w:val="black"/>
        </w:rPr>
        <w:t>''''''''''''''</w:t>
      </w:r>
      <w:r w:rsidRPr="00732139">
        <w:rPr>
          <w:snapToGrid/>
        </w:rPr>
        <w:t xml:space="preserve"> in the initial year (80 vials for loading and maintenance doses) and $</w:t>
      </w:r>
      <w:r w:rsidR="008661E6">
        <w:rPr>
          <w:noProof/>
          <w:snapToGrid/>
          <w:color w:val="000000"/>
          <w:highlight w:val="black"/>
        </w:rPr>
        <w:t>'''''''''''''''''</w:t>
      </w:r>
      <w:r w:rsidRPr="00732139">
        <w:rPr>
          <w:snapToGrid/>
        </w:rPr>
        <w:t xml:space="preserve"> in subsequent years (78 vials for maintenance doses only).</w:t>
      </w:r>
    </w:p>
    <w:p w:rsidR="00174436" w:rsidRPr="00732139" w:rsidRDefault="00DD1302" w:rsidP="00DD1302">
      <w:pPr>
        <w:pStyle w:val="ExecSumBodyText"/>
        <w:rPr>
          <w:snapToGrid/>
        </w:rPr>
      </w:pPr>
      <w:r w:rsidRPr="00732139">
        <w:rPr>
          <w:snapToGrid/>
        </w:rPr>
        <w:t xml:space="preserve">The estimated drug cost for ravulizumab per patient per </w:t>
      </w:r>
      <w:r w:rsidR="00B13224" w:rsidRPr="00732139">
        <w:rPr>
          <w:snapToGrid/>
        </w:rPr>
        <w:t xml:space="preserve">initial </w:t>
      </w:r>
      <w:r w:rsidR="00EA7938" w:rsidRPr="00732139">
        <w:rPr>
          <w:snapToGrid/>
        </w:rPr>
        <w:t>y</w:t>
      </w:r>
      <w:r w:rsidR="00B13224" w:rsidRPr="00732139">
        <w:rPr>
          <w:snapToGrid/>
        </w:rPr>
        <w:t xml:space="preserve">ear and subsequent </w:t>
      </w:r>
      <w:r w:rsidRPr="00732139">
        <w:rPr>
          <w:snapToGrid/>
        </w:rPr>
        <w:t>year</w:t>
      </w:r>
      <w:r w:rsidR="00B13224" w:rsidRPr="00732139">
        <w:rPr>
          <w:snapToGrid/>
        </w:rPr>
        <w:t>s</w:t>
      </w:r>
      <w:r w:rsidR="00703A9F" w:rsidRPr="00732139">
        <w:rPr>
          <w:snapToGrid/>
        </w:rPr>
        <w:t xml:space="preserve"> was calculated </w:t>
      </w:r>
      <w:r w:rsidR="006F07C9" w:rsidRPr="00732139">
        <w:rPr>
          <w:snapToGrid/>
        </w:rPr>
        <w:t xml:space="preserve">based on </w:t>
      </w:r>
      <w:r w:rsidR="00174436" w:rsidRPr="00732139">
        <w:rPr>
          <w:snapToGrid/>
        </w:rPr>
        <w:t xml:space="preserve">the proposed effective AEMP of </w:t>
      </w:r>
      <w:r w:rsidR="00B13224" w:rsidRPr="00732139">
        <w:rPr>
          <w:snapToGrid/>
        </w:rPr>
        <w:t>$</w:t>
      </w:r>
      <w:r w:rsidR="008661E6">
        <w:rPr>
          <w:noProof/>
          <w:snapToGrid/>
          <w:color w:val="000000"/>
          <w:highlight w:val="black"/>
        </w:rPr>
        <w:t>'''''''''''''''''</w:t>
      </w:r>
      <w:r w:rsidR="00B13224" w:rsidRPr="00732139">
        <w:rPr>
          <w:snapToGrid/>
        </w:rPr>
        <w:t xml:space="preserve"> per 300 mg vial and $</w:t>
      </w:r>
      <w:r w:rsidR="008661E6">
        <w:rPr>
          <w:noProof/>
          <w:snapToGrid/>
          <w:color w:val="000000"/>
          <w:highlight w:val="black"/>
        </w:rPr>
        <w:t>''''''''''''''''''''</w:t>
      </w:r>
      <w:r w:rsidR="00B13224" w:rsidRPr="00732139">
        <w:rPr>
          <w:snapToGrid/>
        </w:rPr>
        <w:t xml:space="preserve"> per 1,100 mg vial for </w:t>
      </w:r>
      <w:r w:rsidR="007D1FF6">
        <w:rPr>
          <w:snapToGrid/>
        </w:rPr>
        <w:t>all</w:t>
      </w:r>
      <w:r w:rsidR="007D1FF6" w:rsidRPr="00732139">
        <w:rPr>
          <w:snapToGrid/>
        </w:rPr>
        <w:t xml:space="preserve"> </w:t>
      </w:r>
      <w:r w:rsidR="00B13224" w:rsidRPr="00732139">
        <w:rPr>
          <w:snapToGrid/>
        </w:rPr>
        <w:t>weight band</w:t>
      </w:r>
      <w:r w:rsidR="007D1FF6">
        <w:rPr>
          <w:snapToGrid/>
        </w:rPr>
        <w:t>s</w:t>
      </w:r>
      <w:r w:rsidR="00B13224" w:rsidRPr="00732139">
        <w:rPr>
          <w:snapToGrid/>
        </w:rPr>
        <w:t>, summarised in the table below.</w:t>
      </w:r>
    </w:p>
    <w:p w:rsidR="006D14A9" w:rsidRPr="00732139" w:rsidRDefault="006D14A9" w:rsidP="006D14A9">
      <w:pPr>
        <w:pStyle w:val="Tableheadingrow"/>
        <w:rPr>
          <w:lang w:val="en-AU"/>
        </w:rPr>
      </w:pPr>
      <w:r w:rsidRPr="00732139">
        <w:rPr>
          <w:lang w:val="en-AU"/>
        </w:rPr>
        <w:lastRenderedPageBreak/>
        <w:t xml:space="preserve">Table </w:t>
      </w:r>
      <w:r w:rsidR="00CB1C60">
        <w:rPr>
          <w:lang w:val="en-AU"/>
        </w:rPr>
        <w:t>16</w:t>
      </w:r>
      <w:r w:rsidR="00B13224" w:rsidRPr="00732139">
        <w:rPr>
          <w:lang w:val="en-AU"/>
        </w:rPr>
        <w:t>: Ravulizumab drug cost per patient per year</w:t>
      </w:r>
    </w:p>
    <w:tbl>
      <w:tblPr>
        <w:tblStyle w:val="TableGrid"/>
        <w:tblW w:w="0" w:type="auto"/>
        <w:tblLook w:val="04A0" w:firstRow="1" w:lastRow="0" w:firstColumn="1" w:lastColumn="0" w:noHBand="0" w:noVBand="1"/>
        <w:tblCaption w:val="Table 16: Ravulizumab drug cost per patient per year"/>
      </w:tblPr>
      <w:tblGrid>
        <w:gridCol w:w="1535"/>
        <w:gridCol w:w="1339"/>
        <w:gridCol w:w="1339"/>
        <w:gridCol w:w="1137"/>
        <w:gridCol w:w="1264"/>
        <w:gridCol w:w="1266"/>
        <w:gridCol w:w="1137"/>
      </w:tblGrid>
      <w:tr w:rsidR="002E07EE" w:rsidRPr="00732139" w:rsidTr="00C704DD">
        <w:trPr>
          <w:tblHeader/>
        </w:trPr>
        <w:tc>
          <w:tcPr>
            <w:tcW w:w="1535" w:type="dxa"/>
            <w:vMerge w:val="restart"/>
            <w:vAlign w:val="center"/>
          </w:tcPr>
          <w:p w:rsidR="002E07EE" w:rsidRPr="00732139" w:rsidRDefault="002E07EE" w:rsidP="002E07EE">
            <w:pPr>
              <w:pStyle w:val="TableText"/>
              <w:rPr>
                <w:b/>
                <w:bCs w:val="0"/>
              </w:rPr>
            </w:pPr>
            <w:r w:rsidRPr="00732139">
              <w:rPr>
                <w:b/>
                <w:bCs w:val="0"/>
              </w:rPr>
              <w:t>Body weight</w:t>
            </w:r>
          </w:p>
        </w:tc>
        <w:tc>
          <w:tcPr>
            <w:tcW w:w="2678" w:type="dxa"/>
            <w:gridSpan w:val="2"/>
            <w:vAlign w:val="center"/>
          </w:tcPr>
          <w:p w:rsidR="002E07EE" w:rsidRPr="00732139" w:rsidRDefault="002E07EE" w:rsidP="002E07EE">
            <w:pPr>
              <w:pStyle w:val="TableText"/>
              <w:jc w:val="center"/>
              <w:rPr>
                <w:b/>
                <w:bCs w:val="0"/>
              </w:rPr>
            </w:pPr>
            <w:r w:rsidRPr="00732139">
              <w:rPr>
                <w:b/>
                <w:bCs w:val="0"/>
              </w:rPr>
              <w:t>Initiation year (Loading dose plus 6.25 maintenance doses)</w:t>
            </w:r>
          </w:p>
        </w:tc>
        <w:tc>
          <w:tcPr>
            <w:tcW w:w="1137" w:type="dxa"/>
            <w:vMerge w:val="restart"/>
            <w:vAlign w:val="center"/>
          </w:tcPr>
          <w:p w:rsidR="002E07EE" w:rsidRPr="00732139" w:rsidRDefault="002E07EE" w:rsidP="002E07EE">
            <w:pPr>
              <w:pStyle w:val="TableText"/>
              <w:jc w:val="center"/>
              <w:rPr>
                <w:b/>
                <w:bCs w:val="0"/>
              </w:rPr>
            </w:pPr>
            <w:r w:rsidRPr="00732139">
              <w:rPr>
                <w:b/>
                <w:bCs w:val="0"/>
              </w:rPr>
              <w:t>Drug cost/</w:t>
            </w:r>
          </w:p>
          <w:p w:rsidR="002E07EE" w:rsidRPr="00732139" w:rsidRDefault="002E07EE" w:rsidP="002E07EE">
            <w:pPr>
              <w:pStyle w:val="TableText"/>
              <w:jc w:val="center"/>
              <w:rPr>
                <w:b/>
                <w:bCs w:val="0"/>
              </w:rPr>
            </w:pPr>
            <w:r w:rsidRPr="00732139">
              <w:rPr>
                <w:b/>
                <w:bCs w:val="0"/>
              </w:rPr>
              <w:t>patient/year</w:t>
            </w:r>
          </w:p>
        </w:tc>
        <w:tc>
          <w:tcPr>
            <w:tcW w:w="2530" w:type="dxa"/>
            <w:gridSpan w:val="2"/>
            <w:vAlign w:val="center"/>
          </w:tcPr>
          <w:p w:rsidR="002E07EE" w:rsidRPr="00732139" w:rsidRDefault="002E07EE" w:rsidP="002E07EE">
            <w:pPr>
              <w:pStyle w:val="TableText"/>
              <w:jc w:val="center"/>
              <w:rPr>
                <w:b/>
                <w:bCs w:val="0"/>
              </w:rPr>
            </w:pPr>
            <w:r w:rsidRPr="00732139">
              <w:rPr>
                <w:b/>
                <w:bCs w:val="0"/>
              </w:rPr>
              <w:t>Maintenance year (6.5 maintenance doses)</w:t>
            </w:r>
          </w:p>
        </w:tc>
        <w:tc>
          <w:tcPr>
            <w:tcW w:w="1137" w:type="dxa"/>
            <w:vMerge w:val="restart"/>
            <w:vAlign w:val="center"/>
          </w:tcPr>
          <w:p w:rsidR="002E07EE" w:rsidRPr="00732139" w:rsidRDefault="002E07EE" w:rsidP="002E07EE">
            <w:pPr>
              <w:pStyle w:val="TableText"/>
              <w:jc w:val="center"/>
              <w:rPr>
                <w:b/>
                <w:bCs w:val="0"/>
              </w:rPr>
            </w:pPr>
            <w:r w:rsidRPr="00732139">
              <w:rPr>
                <w:b/>
                <w:bCs w:val="0"/>
              </w:rPr>
              <w:t>Drug cost/</w:t>
            </w:r>
          </w:p>
          <w:p w:rsidR="002E07EE" w:rsidRPr="00732139" w:rsidRDefault="002E07EE" w:rsidP="002E07EE">
            <w:pPr>
              <w:pStyle w:val="TableText"/>
              <w:jc w:val="center"/>
              <w:rPr>
                <w:b/>
                <w:bCs w:val="0"/>
              </w:rPr>
            </w:pPr>
            <w:r w:rsidRPr="00732139">
              <w:rPr>
                <w:b/>
                <w:bCs w:val="0"/>
              </w:rPr>
              <w:t>patient/year</w:t>
            </w:r>
          </w:p>
        </w:tc>
      </w:tr>
      <w:tr w:rsidR="002E07EE" w:rsidRPr="00732139" w:rsidTr="00C704DD">
        <w:trPr>
          <w:tblHeader/>
        </w:trPr>
        <w:tc>
          <w:tcPr>
            <w:tcW w:w="1535" w:type="dxa"/>
            <w:vMerge/>
            <w:vAlign w:val="center"/>
          </w:tcPr>
          <w:p w:rsidR="002E07EE" w:rsidRPr="00732139" w:rsidRDefault="002E07EE" w:rsidP="002E07EE">
            <w:pPr>
              <w:pStyle w:val="TableText"/>
            </w:pPr>
          </w:p>
        </w:tc>
        <w:tc>
          <w:tcPr>
            <w:tcW w:w="1339" w:type="dxa"/>
            <w:vAlign w:val="center"/>
          </w:tcPr>
          <w:p w:rsidR="002E07EE" w:rsidRPr="00732139" w:rsidRDefault="002E07EE" w:rsidP="002E07EE">
            <w:pPr>
              <w:pStyle w:val="TableText"/>
              <w:jc w:val="center"/>
              <w:rPr>
                <w:b/>
                <w:bCs w:val="0"/>
              </w:rPr>
            </w:pPr>
            <w:r w:rsidRPr="00732139">
              <w:rPr>
                <w:b/>
                <w:bCs w:val="0"/>
              </w:rPr>
              <w:t>300 mg vial</w:t>
            </w:r>
          </w:p>
        </w:tc>
        <w:tc>
          <w:tcPr>
            <w:tcW w:w="1339" w:type="dxa"/>
            <w:vAlign w:val="center"/>
          </w:tcPr>
          <w:p w:rsidR="002E07EE" w:rsidRPr="00732139" w:rsidRDefault="002E07EE" w:rsidP="002E07EE">
            <w:pPr>
              <w:pStyle w:val="TableText"/>
              <w:jc w:val="center"/>
              <w:rPr>
                <w:b/>
                <w:bCs w:val="0"/>
              </w:rPr>
            </w:pPr>
            <w:r w:rsidRPr="00732139">
              <w:rPr>
                <w:b/>
                <w:bCs w:val="0"/>
              </w:rPr>
              <w:t>1,100 mg vial</w:t>
            </w:r>
          </w:p>
        </w:tc>
        <w:tc>
          <w:tcPr>
            <w:tcW w:w="1137" w:type="dxa"/>
            <w:vMerge/>
            <w:vAlign w:val="center"/>
          </w:tcPr>
          <w:p w:rsidR="002E07EE" w:rsidRPr="00732139" w:rsidRDefault="002E07EE" w:rsidP="002E07EE">
            <w:pPr>
              <w:pStyle w:val="TableText"/>
              <w:jc w:val="center"/>
            </w:pPr>
          </w:p>
        </w:tc>
        <w:tc>
          <w:tcPr>
            <w:tcW w:w="1264" w:type="dxa"/>
            <w:vAlign w:val="center"/>
          </w:tcPr>
          <w:p w:rsidR="002E07EE" w:rsidRPr="00732139" w:rsidRDefault="002E07EE" w:rsidP="002E07EE">
            <w:pPr>
              <w:pStyle w:val="TableText"/>
              <w:jc w:val="center"/>
              <w:rPr>
                <w:b/>
                <w:bCs w:val="0"/>
              </w:rPr>
            </w:pPr>
            <w:r w:rsidRPr="00732139">
              <w:rPr>
                <w:b/>
                <w:bCs w:val="0"/>
              </w:rPr>
              <w:t>300 mg vial</w:t>
            </w:r>
          </w:p>
        </w:tc>
        <w:tc>
          <w:tcPr>
            <w:tcW w:w="1266" w:type="dxa"/>
            <w:vAlign w:val="center"/>
          </w:tcPr>
          <w:p w:rsidR="002E07EE" w:rsidRPr="00732139" w:rsidRDefault="002E07EE" w:rsidP="002E07EE">
            <w:pPr>
              <w:pStyle w:val="TableText"/>
              <w:jc w:val="center"/>
              <w:rPr>
                <w:b/>
                <w:bCs w:val="0"/>
              </w:rPr>
            </w:pPr>
            <w:r w:rsidRPr="00732139">
              <w:rPr>
                <w:b/>
                <w:bCs w:val="0"/>
              </w:rPr>
              <w:t>1,100 mg vial</w:t>
            </w:r>
          </w:p>
        </w:tc>
        <w:tc>
          <w:tcPr>
            <w:tcW w:w="1137" w:type="dxa"/>
            <w:vMerge/>
            <w:vAlign w:val="center"/>
          </w:tcPr>
          <w:p w:rsidR="002E07EE" w:rsidRPr="00732139" w:rsidRDefault="002E07EE" w:rsidP="002E07EE">
            <w:pPr>
              <w:pStyle w:val="TableText"/>
              <w:jc w:val="center"/>
            </w:pPr>
          </w:p>
        </w:tc>
      </w:tr>
      <w:tr w:rsidR="002E07EE" w:rsidRPr="00732139" w:rsidTr="002E07EE">
        <w:tc>
          <w:tcPr>
            <w:tcW w:w="1535" w:type="dxa"/>
            <w:vAlign w:val="center"/>
          </w:tcPr>
          <w:p w:rsidR="006527CF" w:rsidRPr="00732139" w:rsidRDefault="006527CF" w:rsidP="002E07EE">
            <w:pPr>
              <w:pStyle w:val="TableText"/>
            </w:pPr>
            <w:r w:rsidRPr="00732139">
              <w:t>≥ 40 to &lt; 60 kg</w:t>
            </w:r>
          </w:p>
        </w:tc>
        <w:tc>
          <w:tcPr>
            <w:tcW w:w="1339" w:type="dxa"/>
            <w:vAlign w:val="center"/>
          </w:tcPr>
          <w:p w:rsidR="006527CF" w:rsidRPr="001C596E" w:rsidRDefault="006527CF" w:rsidP="002E07EE">
            <w:pPr>
              <w:pStyle w:val="TableText"/>
              <w:jc w:val="center"/>
            </w:pPr>
            <w:r w:rsidRPr="001C596E">
              <w:t>70.5</w:t>
            </w:r>
          </w:p>
        </w:tc>
        <w:tc>
          <w:tcPr>
            <w:tcW w:w="1339" w:type="dxa"/>
            <w:vAlign w:val="center"/>
          </w:tcPr>
          <w:p w:rsidR="006527CF" w:rsidRPr="001C596E" w:rsidRDefault="006527CF" w:rsidP="002E07EE">
            <w:pPr>
              <w:pStyle w:val="TableText"/>
              <w:jc w:val="center"/>
            </w:pPr>
            <w:r w:rsidRPr="001C596E">
              <w:t>0</w:t>
            </w:r>
          </w:p>
        </w:tc>
        <w:tc>
          <w:tcPr>
            <w:tcW w:w="1137" w:type="dxa"/>
            <w:vAlign w:val="center"/>
          </w:tcPr>
          <w:p w:rsidR="006527CF" w:rsidRPr="00732139" w:rsidRDefault="0098785D" w:rsidP="002E07EE">
            <w:pPr>
              <w:pStyle w:val="TableText"/>
              <w:jc w:val="center"/>
            </w:pPr>
            <w:r w:rsidRPr="00732139">
              <w:t>$</w:t>
            </w:r>
            <w:r w:rsidR="008661E6">
              <w:rPr>
                <w:noProof/>
                <w:color w:val="000000"/>
                <w:highlight w:val="black"/>
              </w:rPr>
              <w:t>'''''''''''''''''''</w:t>
            </w:r>
          </w:p>
        </w:tc>
        <w:tc>
          <w:tcPr>
            <w:tcW w:w="1264" w:type="dxa"/>
            <w:vAlign w:val="center"/>
          </w:tcPr>
          <w:p w:rsidR="006527CF" w:rsidRPr="001C596E" w:rsidRDefault="006527CF" w:rsidP="002E07EE">
            <w:pPr>
              <w:pStyle w:val="TableText"/>
              <w:jc w:val="center"/>
            </w:pPr>
            <w:r w:rsidRPr="001C596E">
              <w:t>65.0</w:t>
            </w:r>
          </w:p>
        </w:tc>
        <w:tc>
          <w:tcPr>
            <w:tcW w:w="1266" w:type="dxa"/>
            <w:vAlign w:val="center"/>
          </w:tcPr>
          <w:p w:rsidR="006527CF" w:rsidRPr="001C596E" w:rsidRDefault="006527CF" w:rsidP="002E07EE">
            <w:pPr>
              <w:pStyle w:val="TableText"/>
              <w:jc w:val="center"/>
            </w:pPr>
            <w:r w:rsidRPr="001C596E">
              <w:t>0</w:t>
            </w:r>
          </w:p>
        </w:tc>
        <w:tc>
          <w:tcPr>
            <w:tcW w:w="1137" w:type="dxa"/>
            <w:vAlign w:val="center"/>
          </w:tcPr>
          <w:p w:rsidR="006527CF" w:rsidRPr="00732139" w:rsidRDefault="00362351" w:rsidP="002E07EE">
            <w:pPr>
              <w:pStyle w:val="TableText"/>
              <w:jc w:val="center"/>
            </w:pPr>
            <w:r w:rsidRPr="00732139">
              <w:t>$</w:t>
            </w:r>
            <w:r w:rsidR="008661E6">
              <w:rPr>
                <w:noProof/>
                <w:color w:val="000000"/>
                <w:highlight w:val="black"/>
              </w:rPr>
              <w:t>''''''''''''''''''''</w:t>
            </w:r>
          </w:p>
        </w:tc>
      </w:tr>
      <w:tr w:rsidR="002E07EE" w:rsidRPr="00732139" w:rsidTr="002E07EE">
        <w:tc>
          <w:tcPr>
            <w:tcW w:w="1535" w:type="dxa"/>
            <w:vAlign w:val="center"/>
          </w:tcPr>
          <w:p w:rsidR="006527CF" w:rsidRPr="00732139" w:rsidRDefault="006527CF" w:rsidP="002E07EE">
            <w:pPr>
              <w:pStyle w:val="TableText"/>
            </w:pPr>
            <w:r w:rsidRPr="00732139">
              <w:t>≥ 60 to &lt; 100 kg</w:t>
            </w:r>
          </w:p>
        </w:tc>
        <w:tc>
          <w:tcPr>
            <w:tcW w:w="1339" w:type="dxa"/>
            <w:vAlign w:val="center"/>
          </w:tcPr>
          <w:p w:rsidR="006527CF" w:rsidRPr="001C596E" w:rsidRDefault="006527CF" w:rsidP="002E07EE">
            <w:pPr>
              <w:pStyle w:val="TableText"/>
              <w:jc w:val="center"/>
            </w:pPr>
            <w:r w:rsidRPr="001C596E">
              <w:t>9</w:t>
            </w:r>
          </w:p>
        </w:tc>
        <w:tc>
          <w:tcPr>
            <w:tcW w:w="1339" w:type="dxa"/>
            <w:vAlign w:val="center"/>
          </w:tcPr>
          <w:p w:rsidR="006527CF" w:rsidRPr="001C596E" w:rsidRDefault="006527CF" w:rsidP="002E07EE">
            <w:pPr>
              <w:pStyle w:val="TableText"/>
              <w:jc w:val="center"/>
            </w:pPr>
            <w:r w:rsidRPr="001C596E">
              <w:t>18.75</w:t>
            </w:r>
          </w:p>
        </w:tc>
        <w:tc>
          <w:tcPr>
            <w:tcW w:w="1137" w:type="dxa"/>
            <w:vAlign w:val="center"/>
          </w:tcPr>
          <w:p w:rsidR="006527CF" w:rsidRPr="00732139" w:rsidRDefault="00B13224" w:rsidP="002E07EE">
            <w:pPr>
              <w:pStyle w:val="TableText"/>
              <w:jc w:val="center"/>
            </w:pPr>
            <w:r w:rsidRPr="00732139">
              <w:t>$</w:t>
            </w:r>
            <w:r w:rsidR="008661E6">
              <w:rPr>
                <w:noProof/>
                <w:color w:val="000000"/>
                <w:highlight w:val="black"/>
              </w:rPr>
              <w:t>'''''''''''''''''</w:t>
            </w:r>
          </w:p>
        </w:tc>
        <w:tc>
          <w:tcPr>
            <w:tcW w:w="1264" w:type="dxa"/>
            <w:vAlign w:val="center"/>
          </w:tcPr>
          <w:p w:rsidR="006527CF" w:rsidRPr="001C596E" w:rsidRDefault="006527CF" w:rsidP="002E07EE">
            <w:pPr>
              <w:pStyle w:val="TableText"/>
              <w:jc w:val="center"/>
            </w:pPr>
            <w:r w:rsidRPr="001C596E">
              <w:t>0</w:t>
            </w:r>
          </w:p>
        </w:tc>
        <w:tc>
          <w:tcPr>
            <w:tcW w:w="1266" w:type="dxa"/>
            <w:vAlign w:val="center"/>
          </w:tcPr>
          <w:p w:rsidR="006527CF" w:rsidRPr="001C596E" w:rsidRDefault="006527CF" w:rsidP="002E07EE">
            <w:pPr>
              <w:pStyle w:val="TableText"/>
              <w:jc w:val="center"/>
            </w:pPr>
            <w:r w:rsidRPr="001C596E">
              <w:t>19.5</w:t>
            </w:r>
          </w:p>
        </w:tc>
        <w:tc>
          <w:tcPr>
            <w:tcW w:w="1137" w:type="dxa"/>
            <w:vAlign w:val="center"/>
          </w:tcPr>
          <w:p w:rsidR="006527CF" w:rsidRPr="00732139" w:rsidRDefault="00362351" w:rsidP="002E07EE">
            <w:pPr>
              <w:pStyle w:val="TableText"/>
              <w:jc w:val="center"/>
            </w:pPr>
            <w:r w:rsidRPr="00732139">
              <w:t>$</w:t>
            </w:r>
            <w:r w:rsidR="008661E6">
              <w:rPr>
                <w:noProof/>
                <w:color w:val="000000"/>
                <w:highlight w:val="black"/>
              </w:rPr>
              <w:t>''''''''''''''''''''''</w:t>
            </w:r>
          </w:p>
        </w:tc>
      </w:tr>
      <w:tr w:rsidR="002E07EE" w:rsidRPr="00732139" w:rsidTr="002E07EE">
        <w:tc>
          <w:tcPr>
            <w:tcW w:w="1535" w:type="dxa"/>
            <w:vAlign w:val="center"/>
          </w:tcPr>
          <w:p w:rsidR="006527CF" w:rsidRPr="00732139" w:rsidRDefault="006527CF" w:rsidP="002E07EE">
            <w:pPr>
              <w:pStyle w:val="TableText"/>
            </w:pPr>
            <w:r w:rsidRPr="00732139">
              <w:t>≥ 100 kg</w:t>
            </w:r>
          </w:p>
        </w:tc>
        <w:tc>
          <w:tcPr>
            <w:tcW w:w="1339" w:type="dxa"/>
            <w:vAlign w:val="center"/>
          </w:tcPr>
          <w:p w:rsidR="006527CF" w:rsidRPr="001C596E" w:rsidRDefault="006527CF" w:rsidP="002E07EE">
            <w:pPr>
              <w:pStyle w:val="TableText"/>
              <w:jc w:val="center"/>
            </w:pPr>
            <w:r w:rsidRPr="001C596E">
              <w:t>16.25</w:t>
            </w:r>
          </w:p>
        </w:tc>
        <w:tc>
          <w:tcPr>
            <w:tcW w:w="1339" w:type="dxa"/>
            <w:vAlign w:val="center"/>
          </w:tcPr>
          <w:p w:rsidR="006527CF" w:rsidRPr="001C596E" w:rsidRDefault="006527CF" w:rsidP="002E07EE">
            <w:pPr>
              <w:pStyle w:val="TableText"/>
              <w:jc w:val="center"/>
            </w:pPr>
            <w:r w:rsidRPr="001C596E">
              <w:t>18.75</w:t>
            </w:r>
          </w:p>
        </w:tc>
        <w:tc>
          <w:tcPr>
            <w:tcW w:w="1137" w:type="dxa"/>
            <w:vAlign w:val="center"/>
          </w:tcPr>
          <w:p w:rsidR="006527CF" w:rsidRPr="00732139" w:rsidRDefault="00841FE9" w:rsidP="002E07EE">
            <w:pPr>
              <w:pStyle w:val="TableText"/>
              <w:jc w:val="center"/>
            </w:pPr>
            <w:r w:rsidRPr="00732139">
              <w:t>$</w:t>
            </w:r>
            <w:r w:rsidR="008661E6">
              <w:rPr>
                <w:noProof/>
                <w:color w:val="000000"/>
                <w:highlight w:val="black"/>
              </w:rPr>
              <w:t>''''''''''''''''''''</w:t>
            </w:r>
          </w:p>
        </w:tc>
        <w:tc>
          <w:tcPr>
            <w:tcW w:w="1264" w:type="dxa"/>
            <w:vAlign w:val="center"/>
          </w:tcPr>
          <w:p w:rsidR="006527CF" w:rsidRPr="001C596E" w:rsidRDefault="006527CF" w:rsidP="002E07EE">
            <w:pPr>
              <w:pStyle w:val="TableText"/>
              <w:jc w:val="center"/>
            </w:pPr>
            <w:r w:rsidRPr="001C596E">
              <w:t>6.5</w:t>
            </w:r>
          </w:p>
        </w:tc>
        <w:tc>
          <w:tcPr>
            <w:tcW w:w="1266" w:type="dxa"/>
            <w:vAlign w:val="center"/>
          </w:tcPr>
          <w:p w:rsidR="006527CF" w:rsidRPr="001C596E" w:rsidRDefault="006527CF" w:rsidP="002E07EE">
            <w:pPr>
              <w:pStyle w:val="TableText"/>
              <w:jc w:val="center"/>
            </w:pPr>
            <w:r w:rsidRPr="001C596E">
              <w:t>19.5</w:t>
            </w:r>
          </w:p>
        </w:tc>
        <w:tc>
          <w:tcPr>
            <w:tcW w:w="1137" w:type="dxa"/>
            <w:vAlign w:val="center"/>
          </w:tcPr>
          <w:p w:rsidR="006527CF" w:rsidRPr="00732139" w:rsidRDefault="002E07EE" w:rsidP="002E07EE">
            <w:pPr>
              <w:pStyle w:val="TableText"/>
              <w:jc w:val="center"/>
            </w:pPr>
            <w:r w:rsidRPr="00732139">
              <w:t>$</w:t>
            </w:r>
            <w:r w:rsidR="008661E6">
              <w:rPr>
                <w:noProof/>
                <w:color w:val="000000"/>
                <w:highlight w:val="black"/>
              </w:rPr>
              <w:t>''''''''''''''''''''</w:t>
            </w:r>
          </w:p>
        </w:tc>
      </w:tr>
    </w:tbl>
    <w:p w:rsidR="00DC6443" w:rsidRPr="00732139" w:rsidRDefault="002E07EE" w:rsidP="002E07EE">
      <w:pPr>
        <w:pStyle w:val="TableFooter"/>
        <w:spacing w:after="120"/>
        <w:rPr>
          <w:snapToGrid/>
        </w:rPr>
      </w:pPr>
      <w:r w:rsidRPr="00732139">
        <w:rPr>
          <w:snapToGrid/>
        </w:rPr>
        <w:t xml:space="preserve">Source: </w:t>
      </w:r>
      <w:r w:rsidRPr="00732139">
        <w:t>Section 4 BIM Excel workbook of the resubmission</w:t>
      </w:r>
    </w:p>
    <w:p w:rsidR="00DD1302" w:rsidRPr="00732139" w:rsidRDefault="00BA2B14" w:rsidP="004A3143">
      <w:pPr>
        <w:pStyle w:val="ExecSumBodyText"/>
        <w:rPr>
          <w:iCs/>
          <w:snapToGrid/>
          <w:color w:val="0066FF"/>
        </w:rPr>
      </w:pPr>
      <w:r w:rsidRPr="00732139">
        <w:rPr>
          <w:snapToGrid/>
        </w:rPr>
        <w:t>The estimated drug cost per patient per year for ravulizumab used in the economic</w:t>
      </w:r>
      <w:r w:rsidR="007D23C8" w:rsidRPr="00732139">
        <w:rPr>
          <w:snapToGrid/>
        </w:rPr>
        <w:t xml:space="preserve"> evaluation </w:t>
      </w:r>
      <w:r w:rsidR="00851492" w:rsidRPr="00732139">
        <w:rPr>
          <w:snapToGrid/>
        </w:rPr>
        <w:t xml:space="preserve">and financial estimates </w:t>
      </w:r>
      <w:r w:rsidR="007D23C8" w:rsidRPr="00732139">
        <w:rPr>
          <w:snapToGrid/>
        </w:rPr>
        <w:t>was calculated in the resubmission assuming no wastage</w:t>
      </w:r>
      <w:r w:rsidR="004A3143" w:rsidRPr="00732139">
        <w:rPr>
          <w:snapToGrid/>
        </w:rPr>
        <w:t xml:space="preserve"> based on the most efficient vial combination</w:t>
      </w:r>
      <w:r w:rsidR="007D23C8" w:rsidRPr="00732139">
        <w:rPr>
          <w:snapToGrid/>
        </w:rPr>
        <w:t xml:space="preserve">. </w:t>
      </w:r>
      <w:r w:rsidR="004A3143" w:rsidRPr="00732139">
        <w:rPr>
          <w:iCs/>
          <w:snapToGrid/>
        </w:rPr>
        <w:t>It was unclear how the most efficient vial combination would be ob</w:t>
      </w:r>
      <w:r w:rsidR="007330A9" w:rsidRPr="00732139">
        <w:rPr>
          <w:iCs/>
          <w:snapToGrid/>
        </w:rPr>
        <w:t xml:space="preserve">tained under the Section 100 </w:t>
      </w:r>
      <w:r w:rsidR="007330A9" w:rsidRPr="00732139">
        <w:t>Highly Specialised Drugs</w:t>
      </w:r>
      <w:r w:rsidR="004A3143" w:rsidRPr="00732139">
        <w:rPr>
          <w:iCs/>
          <w:snapToGrid/>
        </w:rPr>
        <w:t xml:space="preserve"> Program. There is potential for wastage should prescribers request vial combinations other than proposed in the resubmission.</w:t>
      </w:r>
    </w:p>
    <w:p w:rsidR="00B60939" w:rsidRPr="00732139" w:rsidRDefault="00B60939" w:rsidP="002B05A1">
      <w:pPr>
        <w:pStyle w:val="3-SubsectionHeading"/>
      </w:pPr>
      <w:bookmarkStart w:id="28" w:name="_Toc22897647"/>
      <w:bookmarkStart w:id="29" w:name="_Toc72331260"/>
      <w:r w:rsidRPr="00732139">
        <w:t>Estimated PBS usage &amp; financial implications</w:t>
      </w:r>
      <w:bookmarkEnd w:id="28"/>
      <w:bookmarkEnd w:id="29"/>
    </w:p>
    <w:p w:rsidR="00141558" w:rsidRPr="00732139" w:rsidRDefault="00141558" w:rsidP="00141558">
      <w:pPr>
        <w:pStyle w:val="ExecSumBodyText"/>
        <w:rPr>
          <w:iCs/>
        </w:rPr>
      </w:pPr>
      <w:r w:rsidRPr="00732139">
        <w:rPr>
          <w:iCs/>
        </w:rPr>
        <w:t xml:space="preserve">Compared to the July 2020 submission, the main changes to </w:t>
      </w:r>
      <w:r w:rsidR="006009F3" w:rsidRPr="00732139">
        <w:rPr>
          <w:iCs/>
        </w:rPr>
        <w:t>the estimated use and financial implications</w:t>
      </w:r>
      <w:r w:rsidRPr="00732139">
        <w:rPr>
          <w:iCs/>
        </w:rPr>
        <w:t xml:space="preserve"> were:</w:t>
      </w:r>
    </w:p>
    <w:p w:rsidR="000E3DDE" w:rsidRPr="00732139" w:rsidRDefault="000E3DDE" w:rsidP="00EF2D64">
      <w:pPr>
        <w:pStyle w:val="ExecSumBodyText"/>
        <w:numPr>
          <w:ilvl w:val="0"/>
          <w:numId w:val="6"/>
        </w:numPr>
        <w:spacing w:after="0"/>
        <w:ind w:left="1434" w:hanging="357"/>
        <w:rPr>
          <w:iCs/>
        </w:rPr>
      </w:pPr>
      <w:r w:rsidRPr="00732139">
        <w:rPr>
          <w:iCs/>
        </w:rPr>
        <w:t>Revised eligible population estimates based on a market share approach rather than an epidemiological approach. The grandfathered population was merged into the prevalent population.</w:t>
      </w:r>
    </w:p>
    <w:p w:rsidR="000E3DDE" w:rsidRPr="00732139" w:rsidRDefault="000E3DDE" w:rsidP="00EF2D64">
      <w:pPr>
        <w:pStyle w:val="ExecSumBodyText"/>
        <w:numPr>
          <w:ilvl w:val="0"/>
          <w:numId w:val="6"/>
        </w:numPr>
        <w:spacing w:after="0"/>
        <w:ind w:left="1434" w:hanging="357"/>
        <w:rPr>
          <w:iCs/>
        </w:rPr>
      </w:pPr>
      <w:r w:rsidRPr="00732139">
        <w:rPr>
          <w:iCs/>
        </w:rPr>
        <w:t>Revised ravulizumab pricing based on a cost-minimisation analysis (which included the April 2021 price reduction for eculizumab) rather than a cost-effectiveness analysis.</w:t>
      </w:r>
    </w:p>
    <w:p w:rsidR="000E3DDE" w:rsidRPr="00732139" w:rsidRDefault="000E3DDE" w:rsidP="00EF2D64">
      <w:pPr>
        <w:pStyle w:val="ExecSumBodyText"/>
        <w:numPr>
          <w:ilvl w:val="0"/>
          <w:numId w:val="6"/>
        </w:numPr>
        <w:spacing w:after="0"/>
        <w:ind w:left="1434" w:hanging="357"/>
        <w:rPr>
          <w:iCs/>
        </w:rPr>
      </w:pPr>
      <w:r w:rsidRPr="00732139">
        <w:rPr>
          <w:iCs/>
        </w:rPr>
        <w:t>The inclusion of two vial sizes, 300 mg and 1,100 mg (both formulations also based on a higher concentration per vial of 100 mg/mL).</w:t>
      </w:r>
    </w:p>
    <w:p w:rsidR="000E3DDE" w:rsidRPr="00732139" w:rsidRDefault="000E3DDE" w:rsidP="00EF2D64">
      <w:pPr>
        <w:pStyle w:val="ExecSumBodyText"/>
        <w:numPr>
          <w:ilvl w:val="0"/>
          <w:numId w:val="6"/>
        </w:numPr>
        <w:spacing w:after="0"/>
        <w:ind w:left="1434" w:hanging="357"/>
        <w:rPr>
          <w:iCs/>
        </w:rPr>
      </w:pPr>
      <w:r w:rsidRPr="00732139">
        <w:rPr>
          <w:iCs/>
        </w:rPr>
        <w:t>The exclusion of cost-offsets for previous LSDP patients returning from clinical trials.</w:t>
      </w:r>
    </w:p>
    <w:p w:rsidR="000E3DDE" w:rsidRPr="00732139" w:rsidRDefault="000E3DDE" w:rsidP="00EF2D64">
      <w:pPr>
        <w:pStyle w:val="ExecSumBodyText"/>
        <w:numPr>
          <w:ilvl w:val="0"/>
          <w:numId w:val="6"/>
        </w:numPr>
        <w:spacing w:after="0"/>
        <w:ind w:left="1434" w:hanging="357"/>
        <w:rPr>
          <w:iCs/>
        </w:rPr>
      </w:pPr>
      <w:r w:rsidRPr="00732139">
        <w:rPr>
          <w:iCs/>
        </w:rPr>
        <w:t>Revised number of scripts per patient based on the number of administrations rather than the number of vials. A patient co-payment was introduced for each script.</w:t>
      </w:r>
    </w:p>
    <w:p w:rsidR="000E3DDE" w:rsidRPr="00732139" w:rsidRDefault="000E3DDE" w:rsidP="00EF2D64">
      <w:pPr>
        <w:pStyle w:val="ExecSumBodyText"/>
        <w:numPr>
          <w:ilvl w:val="0"/>
          <w:numId w:val="6"/>
        </w:numPr>
        <w:rPr>
          <w:iCs/>
        </w:rPr>
      </w:pPr>
      <w:r w:rsidRPr="00732139">
        <w:rPr>
          <w:iCs/>
        </w:rPr>
        <w:t xml:space="preserve">The inclusion of new/modified </w:t>
      </w:r>
      <w:r w:rsidR="007D1FF6">
        <w:rPr>
          <w:iCs/>
        </w:rPr>
        <w:t>S</w:t>
      </w:r>
      <w:r w:rsidR="007D1FF6" w:rsidRPr="00732139">
        <w:rPr>
          <w:iCs/>
        </w:rPr>
        <w:t xml:space="preserve">pecial </w:t>
      </w:r>
      <w:r w:rsidR="007D1FF6">
        <w:rPr>
          <w:iCs/>
        </w:rPr>
        <w:t>P</w:t>
      </w:r>
      <w:r w:rsidR="007D1FF6" w:rsidRPr="00732139">
        <w:rPr>
          <w:iCs/>
        </w:rPr>
        <w:t xml:space="preserve">ricing </w:t>
      </w:r>
      <w:r w:rsidR="007D1FF6">
        <w:rPr>
          <w:iCs/>
        </w:rPr>
        <w:t>A</w:t>
      </w:r>
      <w:r w:rsidR="007D1FF6" w:rsidRPr="00732139">
        <w:rPr>
          <w:iCs/>
        </w:rPr>
        <w:t xml:space="preserve">rrangements </w:t>
      </w:r>
      <w:r w:rsidRPr="00732139">
        <w:rPr>
          <w:iCs/>
        </w:rPr>
        <w:t xml:space="preserve">and </w:t>
      </w:r>
      <w:r w:rsidR="007D1FF6">
        <w:rPr>
          <w:iCs/>
        </w:rPr>
        <w:t>R</w:t>
      </w:r>
      <w:r w:rsidR="007D1FF6" w:rsidRPr="00732139">
        <w:rPr>
          <w:iCs/>
        </w:rPr>
        <w:t xml:space="preserve">isk </w:t>
      </w:r>
      <w:r w:rsidR="007D1FF6">
        <w:rPr>
          <w:iCs/>
        </w:rPr>
        <w:t>S</w:t>
      </w:r>
      <w:r w:rsidR="007D1FF6" w:rsidRPr="00732139">
        <w:rPr>
          <w:iCs/>
        </w:rPr>
        <w:t xml:space="preserve">haring </w:t>
      </w:r>
      <w:r w:rsidR="007D1FF6">
        <w:rPr>
          <w:iCs/>
        </w:rPr>
        <w:t>A</w:t>
      </w:r>
      <w:r w:rsidR="007D1FF6" w:rsidRPr="00732139">
        <w:rPr>
          <w:iCs/>
        </w:rPr>
        <w:t>rrangements</w:t>
      </w:r>
      <w:r w:rsidRPr="00732139">
        <w:rPr>
          <w:iCs/>
        </w:rPr>
        <w:t>.</w:t>
      </w:r>
    </w:p>
    <w:p w:rsidR="00141558" w:rsidRPr="00732139" w:rsidRDefault="00141558" w:rsidP="00141558">
      <w:pPr>
        <w:pStyle w:val="ExecSumBodyText"/>
        <w:rPr>
          <w:iCs/>
        </w:rPr>
      </w:pPr>
      <w:r w:rsidRPr="00732139">
        <w:rPr>
          <w:iCs/>
        </w:rPr>
        <w:t xml:space="preserve">While the resubmission acknowledged the potential for both eculizumab and ravulizumab to be considered for PBS listing, the resubmission did not provide </w:t>
      </w:r>
      <w:r w:rsidR="007D1FF6">
        <w:rPr>
          <w:iCs/>
        </w:rPr>
        <w:t xml:space="preserve">financial </w:t>
      </w:r>
      <w:r w:rsidRPr="00732139">
        <w:rPr>
          <w:iCs/>
        </w:rPr>
        <w:t>estimate</w:t>
      </w:r>
      <w:r w:rsidR="00740223" w:rsidRPr="00732139">
        <w:rPr>
          <w:iCs/>
        </w:rPr>
        <w:t>s</w:t>
      </w:r>
      <w:r w:rsidRPr="00732139">
        <w:rPr>
          <w:iCs/>
        </w:rPr>
        <w:t xml:space="preserve"> for the costs associated with transferring eculizumab from the LSDP to the PBS. </w:t>
      </w:r>
    </w:p>
    <w:p w:rsidR="00141558" w:rsidRPr="00732139" w:rsidRDefault="007D1FF6" w:rsidP="00141558">
      <w:pPr>
        <w:pStyle w:val="ExecSumBodyText"/>
      </w:pPr>
      <w:r>
        <w:t>DUSC did not consider t</w:t>
      </w:r>
      <w:r w:rsidRPr="00732139">
        <w:t xml:space="preserve">his </w:t>
      </w:r>
      <w:r w:rsidR="00CD4FBF" w:rsidRPr="00732139">
        <w:t>resubmission</w:t>
      </w:r>
      <w:r w:rsidR="00141558" w:rsidRPr="00732139">
        <w:t>. The resubmission used a market share approach to estimate the utilisation and financial impact of ravulizumab. Key inputs are summarised in the table below.</w:t>
      </w:r>
    </w:p>
    <w:p w:rsidR="00141558" w:rsidRPr="00732139" w:rsidRDefault="00141558" w:rsidP="00D83D74">
      <w:pPr>
        <w:pStyle w:val="Tableheadingrow"/>
        <w:rPr>
          <w:lang w:val="en-AU"/>
        </w:rPr>
      </w:pPr>
      <w:r w:rsidRPr="00732139">
        <w:rPr>
          <w:lang w:val="en-AU"/>
        </w:rPr>
        <w:lastRenderedPageBreak/>
        <w:t xml:space="preserve">Table </w:t>
      </w:r>
      <w:r w:rsidR="00CB1C60">
        <w:rPr>
          <w:lang w:val="en-AU"/>
        </w:rPr>
        <w:t>17</w:t>
      </w:r>
      <w:r w:rsidRPr="00732139">
        <w:rPr>
          <w:lang w:val="en-AU"/>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2700"/>
        <w:gridCol w:w="5046"/>
      </w:tblGrid>
      <w:tr w:rsidR="00141558" w:rsidRPr="00732139" w:rsidTr="004928CA">
        <w:trPr>
          <w:tblHeader/>
        </w:trPr>
        <w:tc>
          <w:tcPr>
            <w:tcW w:w="705" w:type="pct"/>
            <w:shd w:val="clear" w:color="auto" w:fill="auto"/>
            <w:vAlign w:val="center"/>
          </w:tcPr>
          <w:p w:rsidR="00141558" w:rsidRPr="00732139" w:rsidRDefault="00141558" w:rsidP="00151899">
            <w:pPr>
              <w:pStyle w:val="Tableheadingrow"/>
              <w:keepNext w:val="0"/>
              <w:rPr>
                <w:lang w:val="en-AU"/>
              </w:rPr>
            </w:pPr>
            <w:r w:rsidRPr="00732139">
              <w:rPr>
                <w:lang w:val="en-AU"/>
              </w:rPr>
              <w:t>Parameter</w:t>
            </w:r>
          </w:p>
        </w:tc>
        <w:tc>
          <w:tcPr>
            <w:tcW w:w="1497" w:type="pct"/>
            <w:shd w:val="clear" w:color="auto" w:fill="auto"/>
            <w:vAlign w:val="center"/>
          </w:tcPr>
          <w:p w:rsidR="00141558" w:rsidRPr="00732139" w:rsidRDefault="00141558" w:rsidP="00151899">
            <w:pPr>
              <w:pStyle w:val="Tableheadingrow"/>
              <w:keepNext w:val="0"/>
              <w:rPr>
                <w:lang w:val="en-AU"/>
              </w:rPr>
            </w:pPr>
            <w:r w:rsidRPr="00732139">
              <w:rPr>
                <w:lang w:val="en-AU"/>
              </w:rPr>
              <w:t>Value applied and source</w:t>
            </w:r>
          </w:p>
        </w:tc>
        <w:tc>
          <w:tcPr>
            <w:tcW w:w="2798" w:type="pct"/>
            <w:shd w:val="clear" w:color="auto" w:fill="auto"/>
            <w:vAlign w:val="center"/>
          </w:tcPr>
          <w:p w:rsidR="00141558" w:rsidRPr="00732139" w:rsidRDefault="00141558" w:rsidP="00151899">
            <w:pPr>
              <w:pStyle w:val="Tableheadingrow"/>
              <w:keepNext w:val="0"/>
              <w:rPr>
                <w:lang w:val="en-AU"/>
              </w:rPr>
            </w:pPr>
            <w:r w:rsidRPr="00732139">
              <w:rPr>
                <w:lang w:val="en-AU"/>
              </w:rPr>
              <w:t>Comment</w:t>
            </w:r>
          </w:p>
        </w:tc>
      </w:tr>
      <w:tr w:rsidR="00141558" w:rsidRPr="00732139" w:rsidTr="004928CA">
        <w:tc>
          <w:tcPr>
            <w:tcW w:w="705" w:type="pct"/>
            <w:shd w:val="clear" w:color="auto" w:fill="auto"/>
            <w:vAlign w:val="center"/>
          </w:tcPr>
          <w:p w:rsidR="00141558" w:rsidRPr="00732139" w:rsidRDefault="00141558" w:rsidP="007E2453">
            <w:pPr>
              <w:pStyle w:val="TableText"/>
              <w:keepNext w:val="0"/>
            </w:pPr>
            <w:r w:rsidRPr="00732139">
              <w:t>Patients eligible for C5 inhibitors</w:t>
            </w:r>
          </w:p>
        </w:tc>
        <w:tc>
          <w:tcPr>
            <w:tcW w:w="1497" w:type="pct"/>
            <w:shd w:val="clear" w:color="auto" w:fill="auto"/>
            <w:vAlign w:val="center"/>
          </w:tcPr>
          <w:p w:rsidR="00141558" w:rsidRPr="00732139" w:rsidRDefault="00141558" w:rsidP="00151899">
            <w:pPr>
              <w:pStyle w:val="TableText"/>
              <w:keepNext w:val="0"/>
            </w:pPr>
            <w:r w:rsidRPr="00732139">
              <w:t>Eligible population increasing f</w:t>
            </w:r>
            <w:r w:rsidR="00740223" w:rsidRPr="00732139">
              <w:t>rom</w:t>
            </w:r>
            <w:r w:rsidRPr="00732139">
              <w:t xml:space="preserve"> </w:t>
            </w:r>
            <w:r w:rsidR="008661E6">
              <w:rPr>
                <w:noProof/>
                <w:color w:val="000000"/>
                <w:highlight w:val="black"/>
              </w:rPr>
              <w:t>''''''''''</w:t>
            </w:r>
            <w:r w:rsidR="007E2453">
              <w:rPr>
                <w:vertAlign w:val="superscript"/>
              </w:rPr>
              <w:t>1</w:t>
            </w:r>
            <w:r w:rsidRPr="00732139">
              <w:t xml:space="preserve"> patients in Year 1 to </w:t>
            </w:r>
            <w:r w:rsidR="008661E6">
              <w:rPr>
                <w:noProof/>
                <w:color w:val="000000"/>
                <w:highlight w:val="black"/>
              </w:rPr>
              <w:t>''''''''''</w:t>
            </w:r>
            <w:r w:rsidR="007E2453">
              <w:rPr>
                <w:vertAlign w:val="superscript"/>
              </w:rPr>
              <w:t>1</w:t>
            </w:r>
            <w:r w:rsidRPr="00732139">
              <w:t xml:space="preserve"> patients Year 6 in 2027. Based on </w:t>
            </w:r>
            <w:r w:rsidR="006F7B65" w:rsidRPr="00732139">
              <w:t xml:space="preserve">the </w:t>
            </w:r>
            <w:r w:rsidR="00740223" w:rsidRPr="00732139">
              <w:t>sponsor’s</w:t>
            </w:r>
            <w:r w:rsidRPr="00732139">
              <w:t xml:space="preserve"> eculizumab LSDP order data (2015-2021) with an adjustment for an additional </w:t>
            </w:r>
            <w:r w:rsidR="008661E6">
              <w:rPr>
                <w:noProof/>
                <w:color w:val="000000"/>
                <w:highlight w:val="black"/>
              </w:rPr>
              <w:t>'''''''</w:t>
            </w:r>
            <w:r w:rsidR="007E2453">
              <w:rPr>
                <w:vertAlign w:val="superscript"/>
              </w:rPr>
              <w:t>1</w:t>
            </w:r>
            <w:r w:rsidRPr="00732139">
              <w:t xml:space="preserve"> known patients in the sponsor’s clinical trials and an estimated </w:t>
            </w:r>
            <w:r w:rsidR="008661E6">
              <w:rPr>
                <w:noProof/>
                <w:color w:val="000000"/>
                <w:highlight w:val="black"/>
              </w:rPr>
              <w:t>'''</w:t>
            </w:r>
            <w:r w:rsidR="007E2453">
              <w:rPr>
                <w:vertAlign w:val="superscript"/>
              </w:rPr>
              <w:t>1</w:t>
            </w:r>
            <w:r w:rsidRPr="00732139">
              <w:t xml:space="preserve"> patients in competitor clinical trials. Population estimates were extrapolated using a linear function</w:t>
            </w:r>
          </w:p>
        </w:tc>
        <w:tc>
          <w:tcPr>
            <w:tcW w:w="2798" w:type="pct"/>
            <w:shd w:val="clear" w:color="auto" w:fill="auto"/>
            <w:vAlign w:val="center"/>
          </w:tcPr>
          <w:p w:rsidR="00141558" w:rsidRPr="00732139" w:rsidRDefault="005F5FC6" w:rsidP="00151899">
            <w:pPr>
              <w:pStyle w:val="TableText"/>
              <w:keepNext w:val="0"/>
              <w:rPr>
                <w:iCs/>
              </w:rPr>
            </w:pPr>
            <w:r w:rsidRPr="00732139">
              <w:rPr>
                <w:iCs/>
              </w:rPr>
              <w:t xml:space="preserve">Market share estimates were based on proprietary data that could not be validated during the evaluation. There were discrepancies in the number of patients treated with eculizumab on the LSDP that was estimated in the resubmission versus estimates provided by the LSDP Secretariat. The reasons for these discrepancies were unknown but could be due to timing (calendar year versus financial year) or data source (order data could differ from actual patient numbers due to treatment breaks or non-compliance). </w:t>
            </w:r>
          </w:p>
          <w:p w:rsidR="005F5FC6" w:rsidRPr="00732139" w:rsidRDefault="005F5FC6" w:rsidP="00151899">
            <w:pPr>
              <w:pStyle w:val="TableText"/>
              <w:keepNext w:val="0"/>
              <w:rPr>
                <w:iCs/>
              </w:rPr>
            </w:pPr>
          </w:p>
          <w:p w:rsidR="00141558" w:rsidRPr="00732139" w:rsidRDefault="00141558" w:rsidP="00151899">
            <w:pPr>
              <w:pStyle w:val="TableText"/>
              <w:keepNext w:val="0"/>
              <w:rPr>
                <w:iCs/>
              </w:rPr>
            </w:pPr>
            <w:r w:rsidRPr="00732139">
              <w:rPr>
                <w:iCs/>
              </w:rPr>
              <w:t xml:space="preserve">The </w:t>
            </w:r>
            <w:r w:rsidR="006F7B65" w:rsidRPr="00732139">
              <w:rPr>
                <w:iCs/>
              </w:rPr>
              <w:t>resubmission</w:t>
            </w:r>
            <w:r w:rsidRPr="00732139">
              <w:rPr>
                <w:iCs/>
              </w:rPr>
              <w:t xml:space="preserve"> estimated a change in the annual net growth of the C5 inhibitor population from </w:t>
            </w:r>
            <w:r w:rsidR="008661E6">
              <w:rPr>
                <w:iCs/>
                <w:noProof/>
                <w:color w:val="000000"/>
                <w:highlight w:val="black"/>
              </w:rPr>
              <w:t>'''''</w:t>
            </w:r>
            <w:r w:rsidRPr="00732139">
              <w:rPr>
                <w:iCs/>
              </w:rPr>
              <w:t xml:space="preserve"> per year (based on Deed of Agreement LSDP projections) to </w:t>
            </w:r>
            <w:r w:rsidR="008661E6">
              <w:rPr>
                <w:iCs/>
                <w:noProof/>
                <w:color w:val="000000"/>
                <w:highlight w:val="black"/>
              </w:rPr>
              <w:t>'''</w:t>
            </w:r>
            <w:r w:rsidRPr="00732139">
              <w:rPr>
                <w:iCs/>
              </w:rPr>
              <w:t xml:space="preserve"> per year but did not provide sufficient historical data to explain the change in growth projections</w:t>
            </w:r>
            <w:r w:rsidR="008B1C3F" w:rsidRPr="00732139">
              <w:rPr>
                <w:iCs/>
              </w:rPr>
              <w:t>.</w:t>
            </w:r>
          </w:p>
          <w:p w:rsidR="00141558" w:rsidRPr="00732139" w:rsidRDefault="00141558" w:rsidP="00151899">
            <w:pPr>
              <w:pStyle w:val="TableText"/>
              <w:keepNext w:val="0"/>
              <w:rPr>
                <w:iCs/>
              </w:rPr>
            </w:pPr>
          </w:p>
          <w:p w:rsidR="00141558" w:rsidRPr="00732139" w:rsidRDefault="00141558" w:rsidP="00151899">
            <w:pPr>
              <w:pStyle w:val="TableText"/>
              <w:keepNext w:val="0"/>
            </w:pPr>
            <w:r w:rsidRPr="00732139">
              <w:rPr>
                <w:iCs/>
              </w:rPr>
              <w:t>While the adjustment for patients in clinical trials increased the number of patients eligible for C5 inhibitors, the resubmission assumed negligible population growth between 2017-2018 (net change: 0 patients) and 2019-2020 (net change: -1 patient). These plateaus do not appear consistent with the underlying epidemiology of the disease which would suggest a gradual increase over time.</w:t>
            </w:r>
          </w:p>
        </w:tc>
      </w:tr>
      <w:tr w:rsidR="00141558" w:rsidRPr="00732139" w:rsidTr="004928CA">
        <w:tc>
          <w:tcPr>
            <w:tcW w:w="705" w:type="pct"/>
            <w:shd w:val="clear" w:color="auto" w:fill="auto"/>
            <w:vAlign w:val="center"/>
          </w:tcPr>
          <w:p w:rsidR="00141558" w:rsidRPr="00732139" w:rsidRDefault="00141558" w:rsidP="00151899">
            <w:pPr>
              <w:pStyle w:val="TableText"/>
              <w:keepNext w:val="0"/>
            </w:pPr>
            <w:r w:rsidRPr="00732139">
              <w:rPr>
                <w:lang w:eastAsia="en-US"/>
              </w:rPr>
              <w:t>Ravulizumab uptake rate</w:t>
            </w:r>
          </w:p>
        </w:tc>
        <w:tc>
          <w:tcPr>
            <w:tcW w:w="1497" w:type="pct"/>
            <w:shd w:val="clear" w:color="auto" w:fill="auto"/>
            <w:vAlign w:val="center"/>
          </w:tcPr>
          <w:p w:rsidR="00141558" w:rsidRPr="00732139" w:rsidRDefault="00141558" w:rsidP="00151899">
            <w:pPr>
              <w:pStyle w:val="TableText"/>
              <w:keepNext w:val="0"/>
            </w:pPr>
            <w:r w:rsidRPr="00732139">
              <w:t xml:space="preserve">Assumption of </w:t>
            </w:r>
            <w:r w:rsidR="008661E6">
              <w:rPr>
                <w:noProof/>
                <w:color w:val="000000"/>
                <w:highlight w:val="black"/>
              </w:rPr>
              <w:t>'''''''</w:t>
            </w:r>
            <w:r w:rsidRPr="00732139">
              <w:t xml:space="preserve">% uptake based on reported patient preference for </w:t>
            </w:r>
            <w:r w:rsidR="00800106" w:rsidRPr="00732139">
              <w:t>ravulizumab</w:t>
            </w:r>
            <w:r w:rsidRPr="00732139">
              <w:t xml:space="preserve"> vs. eculizumab in the PNH-302 sub-study with acknowledgement that some patients are not suitable for </w:t>
            </w:r>
            <w:r w:rsidR="00800106" w:rsidRPr="00732139">
              <w:t>ravulizumab</w:t>
            </w:r>
            <w:r w:rsidRPr="00732139">
              <w:t xml:space="preserve"> treatment (i.e. children, pregnant women)</w:t>
            </w:r>
          </w:p>
        </w:tc>
        <w:tc>
          <w:tcPr>
            <w:tcW w:w="2798" w:type="pct"/>
            <w:shd w:val="clear" w:color="auto" w:fill="auto"/>
            <w:vAlign w:val="center"/>
          </w:tcPr>
          <w:p w:rsidR="00141558" w:rsidRPr="00732139" w:rsidRDefault="00141558" w:rsidP="00151899">
            <w:pPr>
              <w:pStyle w:val="TableText"/>
              <w:keepNext w:val="0"/>
            </w:pPr>
            <w:r w:rsidRPr="00732139">
              <w:t>The estimated uptake rate of ravulizumab is difficult to quantify but is likely to be high given the reduced treatment burden compared to eculizumab</w:t>
            </w:r>
            <w:r w:rsidR="008B1C3F" w:rsidRPr="00732139">
              <w:t>.</w:t>
            </w:r>
          </w:p>
          <w:p w:rsidR="00141558" w:rsidRPr="00732139" w:rsidRDefault="00141558" w:rsidP="00151899">
            <w:pPr>
              <w:pStyle w:val="TableText"/>
              <w:keepNext w:val="0"/>
            </w:pPr>
          </w:p>
          <w:p w:rsidR="00141558" w:rsidRPr="00732139" w:rsidRDefault="00141558" w:rsidP="00151899">
            <w:pPr>
              <w:pStyle w:val="TableText"/>
              <w:keepNext w:val="0"/>
            </w:pPr>
            <w:r w:rsidRPr="00732139">
              <w:t>Patient preference rates were based on patients who had trialed both medicines and may not be representative of patients successfully managed with eculizumab.</w:t>
            </w:r>
          </w:p>
          <w:p w:rsidR="00141558" w:rsidRPr="00732139" w:rsidRDefault="00141558" w:rsidP="00151899">
            <w:pPr>
              <w:pStyle w:val="TableText"/>
              <w:keepNext w:val="0"/>
            </w:pPr>
          </w:p>
          <w:p w:rsidR="00141558" w:rsidRPr="00732139" w:rsidRDefault="00141558" w:rsidP="00151899">
            <w:pPr>
              <w:pStyle w:val="TableText"/>
              <w:keepNext w:val="0"/>
            </w:pPr>
            <w:r w:rsidRPr="00732139">
              <w:t xml:space="preserve">The generalisability of trial-based estimates to clinical practice was unclear. </w:t>
            </w:r>
          </w:p>
        </w:tc>
      </w:tr>
      <w:tr w:rsidR="00141558" w:rsidRPr="00732139" w:rsidTr="004928CA">
        <w:tc>
          <w:tcPr>
            <w:tcW w:w="705" w:type="pct"/>
            <w:shd w:val="clear" w:color="auto" w:fill="auto"/>
            <w:vAlign w:val="center"/>
          </w:tcPr>
          <w:p w:rsidR="00141558" w:rsidRPr="00732139" w:rsidRDefault="00141558" w:rsidP="00151899">
            <w:pPr>
              <w:pStyle w:val="TableText"/>
              <w:keepNext w:val="0"/>
            </w:pPr>
            <w:r w:rsidRPr="00732139">
              <w:t xml:space="preserve">Estimated </w:t>
            </w:r>
            <w:r w:rsidR="00800106" w:rsidRPr="00732139">
              <w:t>ravulizumab</w:t>
            </w:r>
            <w:r w:rsidRPr="00732139">
              <w:t xml:space="preserve"> vials per patient</w:t>
            </w:r>
          </w:p>
        </w:tc>
        <w:tc>
          <w:tcPr>
            <w:tcW w:w="1497" w:type="pct"/>
            <w:shd w:val="clear" w:color="auto" w:fill="auto"/>
            <w:vAlign w:val="center"/>
          </w:tcPr>
          <w:p w:rsidR="00141558" w:rsidRPr="00732139" w:rsidRDefault="00141558" w:rsidP="00151899">
            <w:pPr>
              <w:pStyle w:val="TableText"/>
              <w:keepNext w:val="0"/>
            </w:pPr>
            <w:r w:rsidRPr="001C596E">
              <w:t>Average loading dose: 8.96 x 300 mg vials; average vials per year for treatment initiation or switch:  17.98 x 300 mg and 16.23 x 1100 mg vials; average vials per year for prevalent patients: 9.38 x 300 mg and 16.88 x 1100 mg vials. Based on product information and</w:t>
            </w:r>
            <w:r w:rsidRPr="00732139">
              <w:t xml:space="preserve"> using reported weight distribution from the Australian PNH registry</w:t>
            </w:r>
          </w:p>
        </w:tc>
        <w:tc>
          <w:tcPr>
            <w:tcW w:w="2798" w:type="pct"/>
            <w:shd w:val="clear" w:color="auto" w:fill="auto"/>
            <w:vAlign w:val="center"/>
          </w:tcPr>
          <w:p w:rsidR="00141558" w:rsidRPr="00732139" w:rsidRDefault="00141558" w:rsidP="00151899">
            <w:pPr>
              <w:pStyle w:val="TableText"/>
              <w:keepNext w:val="0"/>
            </w:pPr>
            <w:r w:rsidRPr="00732139">
              <w:t>The PNH registry represents a subset of the target population and it is unclear whether the demographics of the registry are generalisable to the broader population.</w:t>
            </w:r>
          </w:p>
          <w:p w:rsidR="00141558" w:rsidRPr="00732139" w:rsidRDefault="00141558" w:rsidP="00151899">
            <w:pPr>
              <w:pStyle w:val="TableText"/>
              <w:keepNext w:val="0"/>
            </w:pPr>
          </w:p>
          <w:p w:rsidR="00141558" w:rsidRPr="00732139" w:rsidRDefault="00141558" w:rsidP="00151899">
            <w:pPr>
              <w:pStyle w:val="TableText"/>
              <w:keepNext w:val="0"/>
            </w:pPr>
            <w:r w:rsidRPr="00732139">
              <w:t>The resubmission has assumed that the most efficient combination of vials will be used and therefore there would be no wastage in clinical practice. It was unclear whether this assumption was reasonable.</w:t>
            </w:r>
          </w:p>
          <w:p w:rsidR="00141558" w:rsidRPr="00732139" w:rsidRDefault="00141558" w:rsidP="00151899">
            <w:pPr>
              <w:pStyle w:val="TableText"/>
              <w:keepNext w:val="0"/>
            </w:pPr>
          </w:p>
          <w:p w:rsidR="00141558" w:rsidRPr="00732139" w:rsidRDefault="00141558" w:rsidP="00151899">
            <w:pPr>
              <w:pStyle w:val="TableText"/>
              <w:keepNext w:val="0"/>
            </w:pPr>
            <w:r w:rsidRPr="00732139">
              <w:t>The resubmission has assumed perfect compliance to treatment which is unlikely to reflect clinical practice</w:t>
            </w:r>
          </w:p>
        </w:tc>
      </w:tr>
      <w:tr w:rsidR="00141558" w:rsidRPr="00732139" w:rsidTr="004928CA">
        <w:tc>
          <w:tcPr>
            <w:tcW w:w="705" w:type="pct"/>
            <w:shd w:val="clear" w:color="auto" w:fill="auto"/>
            <w:vAlign w:val="center"/>
          </w:tcPr>
          <w:p w:rsidR="00141558" w:rsidRPr="00732139" w:rsidRDefault="00141558" w:rsidP="00151899">
            <w:pPr>
              <w:pStyle w:val="TableText"/>
              <w:keepNext w:val="0"/>
            </w:pPr>
            <w:r w:rsidRPr="00732139">
              <w:t>Cost of ravulizumab vials</w:t>
            </w:r>
          </w:p>
        </w:tc>
        <w:tc>
          <w:tcPr>
            <w:tcW w:w="1497" w:type="pct"/>
            <w:shd w:val="clear" w:color="auto" w:fill="auto"/>
            <w:vAlign w:val="center"/>
          </w:tcPr>
          <w:p w:rsidR="00141558" w:rsidRPr="00732139" w:rsidRDefault="00141558" w:rsidP="00151899">
            <w:pPr>
              <w:pStyle w:val="TableText"/>
              <w:keepNext w:val="0"/>
            </w:pPr>
            <w:r w:rsidRPr="00732139">
              <w:t>Weighted effective DPMQ based on 10.44% private (300</w:t>
            </w:r>
            <w:r w:rsidR="00275E6D" w:rsidRPr="00732139">
              <w:t xml:space="preserve"> </w:t>
            </w:r>
            <w:r w:rsidRPr="00732139">
              <w:t>mg: $</w:t>
            </w:r>
            <w:r w:rsidR="008661E6">
              <w:rPr>
                <w:noProof/>
                <w:color w:val="000000"/>
                <w:highlight w:val="black"/>
              </w:rPr>
              <w:t>'''''''''''''''''''''</w:t>
            </w:r>
            <w:r w:rsidRPr="00732139">
              <w:t>; 1100 mg: $</w:t>
            </w:r>
            <w:r w:rsidR="008661E6">
              <w:rPr>
                <w:noProof/>
                <w:color w:val="000000"/>
                <w:highlight w:val="black"/>
              </w:rPr>
              <w:t>'''''''''''''''''''''</w:t>
            </w:r>
            <w:r w:rsidRPr="00732139">
              <w:t>) and 89.56% public (300</w:t>
            </w:r>
            <w:r w:rsidR="00275E6D" w:rsidRPr="00732139">
              <w:t xml:space="preserve"> </w:t>
            </w:r>
            <w:r w:rsidRPr="00732139">
              <w:t>mg: $</w:t>
            </w:r>
            <w:r w:rsidR="008661E6">
              <w:rPr>
                <w:noProof/>
                <w:color w:val="000000"/>
                <w:highlight w:val="black"/>
              </w:rPr>
              <w:t>'''''''''''''''''''''</w:t>
            </w:r>
            <w:r w:rsidRPr="00732139">
              <w:t>; 1</w:t>
            </w:r>
            <w:r w:rsidR="00275E6D" w:rsidRPr="00732139">
              <w:t>,</w:t>
            </w:r>
            <w:r w:rsidRPr="00732139">
              <w:t>100 mg: $</w:t>
            </w:r>
            <w:r w:rsidR="008661E6">
              <w:rPr>
                <w:noProof/>
                <w:color w:val="000000"/>
                <w:highlight w:val="black"/>
              </w:rPr>
              <w:t>''''''''''''''''''''''''''</w:t>
            </w:r>
            <w:r w:rsidRPr="00732139">
              <w:t>) hospital use. The weighting was based on eculizumab use on the PBS in 2020 for the treatment of atypical haemolytic uraemic syndrome</w:t>
            </w:r>
          </w:p>
        </w:tc>
        <w:tc>
          <w:tcPr>
            <w:tcW w:w="2798" w:type="pct"/>
            <w:shd w:val="clear" w:color="auto" w:fill="auto"/>
            <w:vAlign w:val="center"/>
          </w:tcPr>
          <w:p w:rsidR="00141558" w:rsidRPr="00732139" w:rsidRDefault="00141558" w:rsidP="00151899">
            <w:pPr>
              <w:pStyle w:val="TableText"/>
              <w:keepNext w:val="0"/>
            </w:pPr>
            <w:r w:rsidRPr="00732139">
              <w:t xml:space="preserve">The resubmission inappropriately applied fees and markups (included in the proposed DPMQ) to each vial dispensed rather than each script dispensed. </w:t>
            </w:r>
          </w:p>
        </w:tc>
      </w:tr>
      <w:tr w:rsidR="00141558" w:rsidRPr="00732139" w:rsidTr="004928CA">
        <w:tc>
          <w:tcPr>
            <w:tcW w:w="705" w:type="pct"/>
            <w:shd w:val="clear" w:color="auto" w:fill="auto"/>
            <w:vAlign w:val="center"/>
          </w:tcPr>
          <w:p w:rsidR="00141558" w:rsidRPr="00732139" w:rsidRDefault="00141558" w:rsidP="00151899">
            <w:pPr>
              <w:pStyle w:val="TableText"/>
              <w:keepNext w:val="0"/>
            </w:pPr>
            <w:r w:rsidRPr="00732139">
              <w:t xml:space="preserve">Average eculizumab vials </w:t>
            </w:r>
            <w:r w:rsidRPr="00732139">
              <w:lastRenderedPageBreak/>
              <w:t>per substituted patient per year</w:t>
            </w:r>
          </w:p>
        </w:tc>
        <w:tc>
          <w:tcPr>
            <w:tcW w:w="1497" w:type="pct"/>
            <w:shd w:val="clear" w:color="auto" w:fill="auto"/>
            <w:vAlign w:val="center"/>
          </w:tcPr>
          <w:p w:rsidR="00141558" w:rsidRPr="00732139" w:rsidRDefault="00141558" w:rsidP="00151899">
            <w:pPr>
              <w:pStyle w:val="TableText"/>
            </w:pPr>
            <w:r w:rsidRPr="00732139">
              <w:lastRenderedPageBreak/>
              <w:t xml:space="preserve">Incident population: 80 vials per year; prevalent population: 78 vials per year. Based on recommended </w:t>
            </w:r>
            <w:r w:rsidRPr="00732139">
              <w:lastRenderedPageBreak/>
              <w:t>dosing regimen in product information</w:t>
            </w:r>
          </w:p>
        </w:tc>
        <w:tc>
          <w:tcPr>
            <w:tcW w:w="2798" w:type="pct"/>
            <w:shd w:val="clear" w:color="auto" w:fill="auto"/>
            <w:vAlign w:val="center"/>
          </w:tcPr>
          <w:p w:rsidR="00141558" w:rsidRPr="00732139" w:rsidRDefault="00141558" w:rsidP="00151899">
            <w:pPr>
              <w:pStyle w:val="TableText"/>
              <w:keepNext w:val="0"/>
            </w:pPr>
            <w:r w:rsidRPr="00732139">
              <w:rPr>
                <w:iCs/>
              </w:rPr>
              <w:lastRenderedPageBreak/>
              <w:t>The resubmission assumed perfect compliance to treatment which is unlikely to reflect clinical practice</w:t>
            </w:r>
            <w:r w:rsidR="008B1C3F" w:rsidRPr="00732139">
              <w:rPr>
                <w:iCs/>
              </w:rPr>
              <w:t>.</w:t>
            </w:r>
          </w:p>
        </w:tc>
      </w:tr>
      <w:tr w:rsidR="00141558" w:rsidRPr="00732139" w:rsidTr="004928CA">
        <w:tc>
          <w:tcPr>
            <w:tcW w:w="705" w:type="pct"/>
            <w:shd w:val="clear" w:color="auto" w:fill="auto"/>
            <w:vAlign w:val="center"/>
          </w:tcPr>
          <w:p w:rsidR="00141558" w:rsidRPr="00732139" w:rsidRDefault="00141558" w:rsidP="00151899">
            <w:pPr>
              <w:pStyle w:val="TableText"/>
              <w:keepNext w:val="0"/>
            </w:pPr>
            <w:r w:rsidRPr="00732139">
              <w:t>Cost per eculizumab vial</w:t>
            </w:r>
          </w:p>
        </w:tc>
        <w:tc>
          <w:tcPr>
            <w:tcW w:w="1497" w:type="pct"/>
            <w:shd w:val="clear" w:color="auto" w:fill="auto"/>
            <w:vAlign w:val="center"/>
          </w:tcPr>
          <w:p w:rsidR="00141558" w:rsidRPr="00732139" w:rsidRDefault="00141558" w:rsidP="00151899">
            <w:pPr>
              <w:pStyle w:val="TableText"/>
              <w:keepNext w:val="0"/>
            </w:pPr>
            <w:r w:rsidRPr="00732139">
              <w:t>$</w:t>
            </w:r>
            <w:r w:rsidR="008661E6">
              <w:rPr>
                <w:noProof/>
                <w:color w:val="000000"/>
                <w:highlight w:val="black"/>
              </w:rPr>
              <w:t>''''''''''''''''''''</w:t>
            </w:r>
            <w:r w:rsidRPr="00732139">
              <w:t>. Effective vial price under the current LSDP Deed of Agreement</w:t>
            </w:r>
          </w:p>
        </w:tc>
        <w:tc>
          <w:tcPr>
            <w:tcW w:w="2798" w:type="pct"/>
            <w:shd w:val="clear" w:color="auto" w:fill="auto"/>
            <w:vAlign w:val="center"/>
          </w:tcPr>
          <w:p w:rsidR="00141558" w:rsidRPr="00732139" w:rsidRDefault="00141558" w:rsidP="00151899">
            <w:pPr>
              <w:pStyle w:val="TableText"/>
              <w:keepNext w:val="0"/>
            </w:pPr>
            <w:r w:rsidRPr="00732139">
              <w:rPr>
                <w:iCs/>
              </w:rPr>
              <w:t>This was reasonable</w:t>
            </w:r>
            <w:r w:rsidR="008B1C3F" w:rsidRPr="00732139">
              <w:rPr>
                <w:iCs/>
              </w:rPr>
              <w:t>.</w:t>
            </w:r>
          </w:p>
        </w:tc>
      </w:tr>
      <w:tr w:rsidR="00141558" w:rsidRPr="00732139" w:rsidTr="004928CA">
        <w:tc>
          <w:tcPr>
            <w:tcW w:w="705" w:type="pct"/>
            <w:shd w:val="clear" w:color="auto" w:fill="auto"/>
            <w:vAlign w:val="center"/>
          </w:tcPr>
          <w:p w:rsidR="00141558" w:rsidRPr="00732139" w:rsidRDefault="00141558" w:rsidP="00151899">
            <w:pPr>
              <w:pStyle w:val="TableText"/>
              <w:keepNext w:val="0"/>
            </w:pPr>
            <w:r w:rsidRPr="00732139">
              <w:t>Number of infusions per patient per year</w:t>
            </w:r>
          </w:p>
        </w:tc>
        <w:tc>
          <w:tcPr>
            <w:tcW w:w="1497" w:type="pct"/>
            <w:shd w:val="clear" w:color="auto" w:fill="auto"/>
            <w:vAlign w:val="center"/>
          </w:tcPr>
          <w:p w:rsidR="00141558" w:rsidRPr="00732139" w:rsidRDefault="00141558" w:rsidP="006E3C59">
            <w:pPr>
              <w:pStyle w:val="TableText"/>
            </w:pPr>
            <w:r w:rsidRPr="00732139">
              <w:t>Ravulizumab: 7.25 (incident/switch) or 6.50 (prevalent). Eculizumab:</w:t>
            </w:r>
            <w:r w:rsidR="006E3C59" w:rsidRPr="00732139">
              <w:t> </w:t>
            </w:r>
            <w:r w:rsidRPr="00732139">
              <w:t>28</w:t>
            </w:r>
            <w:r w:rsidR="006E3C59" w:rsidRPr="00732139">
              <w:t> </w:t>
            </w:r>
            <w:r w:rsidRPr="00732139">
              <w:t>(incident) or 26</w:t>
            </w:r>
            <w:r w:rsidR="006E3C59" w:rsidRPr="00732139">
              <w:t> </w:t>
            </w:r>
            <w:r w:rsidRPr="00732139">
              <w:t>(prevalent). Based on recommended dosing regimen in product information</w:t>
            </w:r>
          </w:p>
        </w:tc>
        <w:tc>
          <w:tcPr>
            <w:tcW w:w="2798" w:type="pct"/>
            <w:shd w:val="clear" w:color="auto" w:fill="auto"/>
            <w:vAlign w:val="center"/>
          </w:tcPr>
          <w:p w:rsidR="00141558" w:rsidRPr="00732139" w:rsidRDefault="00141558" w:rsidP="00151899">
            <w:pPr>
              <w:pStyle w:val="TableText"/>
              <w:keepNext w:val="0"/>
            </w:pPr>
            <w:r w:rsidRPr="00732139">
              <w:rPr>
                <w:iCs/>
              </w:rPr>
              <w:t>The resubmission has assumed perfect compliance to treatment which is unlikely to reflect clinical practice</w:t>
            </w:r>
            <w:r w:rsidR="008B1C3F" w:rsidRPr="00732139">
              <w:rPr>
                <w:iCs/>
              </w:rPr>
              <w:t>.</w:t>
            </w:r>
          </w:p>
        </w:tc>
      </w:tr>
      <w:tr w:rsidR="00141558" w:rsidRPr="00732139" w:rsidTr="004928CA">
        <w:tc>
          <w:tcPr>
            <w:tcW w:w="705" w:type="pct"/>
            <w:shd w:val="clear" w:color="auto" w:fill="auto"/>
            <w:vAlign w:val="center"/>
          </w:tcPr>
          <w:p w:rsidR="00141558" w:rsidRPr="00732139" w:rsidRDefault="00141558" w:rsidP="00151899">
            <w:pPr>
              <w:pStyle w:val="TableText"/>
            </w:pPr>
            <w:r w:rsidRPr="00732139">
              <w:t>Cost of infusion</w:t>
            </w:r>
          </w:p>
        </w:tc>
        <w:tc>
          <w:tcPr>
            <w:tcW w:w="1497" w:type="pct"/>
            <w:shd w:val="clear" w:color="auto" w:fill="auto"/>
            <w:vAlign w:val="center"/>
          </w:tcPr>
          <w:p w:rsidR="00141558" w:rsidRPr="00732139" w:rsidRDefault="00141558" w:rsidP="00151899">
            <w:pPr>
              <w:pStyle w:val="TableText"/>
            </w:pPr>
            <w:r w:rsidRPr="00732139">
              <w:t>$111.40.</w:t>
            </w:r>
            <w:r w:rsidRPr="00732139">
              <w:tab/>
              <w:t>85% of Scheduled fee for MBS 13950 (parenteral administration of an antineoplastic agent)</w:t>
            </w:r>
          </w:p>
        </w:tc>
        <w:tc>
          <w:tcPr>
            <w:tcW w:w="2798" w:type="pct"/>
            <w:shd w:val="clear" w:color="auto" w:fill="auto"/>
            <w:vAlign w:val="center"/>
          </w:tcPr>
          <w:p w:rsidR="00141558" w:rsidRPr="00732139" w:rsidRDefault="00955D90" w:rsidP="00151899">
            <w:pPr>
              <w:pStyle w:val="TableText"/>
            </w:pPr>
            <w:r w:rsidRPr="00732139">
              <w:rPr>
                <w:iCs/>
              </w:rPr>
              <w:t xml:space="preserve">The resubmission did not adequately justify the use of an MBS item for chemotherapy medicines. The Manual of Resource Items v5.0 recommends the use of a standard MBS consultation item if there is no specific MBS item for the administration of the proposed drug. MBS item 105 for a follow-up specialist visit attracts a </w:t>
            </w:r>
            <w:r w:rsidR="00B06037" w:rsidRPr="00732139">
              <w:rPr>
                <w:iCs/>
              </w:rPr>
              <w:t>S</w:t>
            </w:r>
            <w:r w:rsidRPr="00732139">
              <w:rPr>
                <w:iCs/>
              </w:rPr>
              <w:t>chedule fee of $</w:t>
            </w:r>
            <w:r w:rsidRPr="008661E6">
              <w:rPr>
                <w:iCs/>
              </w:rPr>
              <w:t>45.00.</w:t>
            </w:r>
          </w:p>
        </w:tc>
      </w:tr>
    </w:tbl>
    <w:p w:rsidR="00141558" w:rsidRDefault="00141558" w:rsidP="00141558">
      <w:pPr>
        <w:pStyle w:val="TableFigureFooter"/>
      </w:pPr>
      <w:r w:rsidRPr="00732139">
        <w:t>Source: Table 4.1</w:t>
      </w:r>
      <w:r w:rsidR="008B1C3F" w:rsidRPr="00732139">
        <w:t>,</w:t>
      </w:r>
      <w:r w:rsidR="006E3C59" w:rsidRPr="00732139">
        <w:t xml:space="preserve"> </w:t>
      </w:r>
      <w:r w:rsidRPr="00732139">
        <w:t>p 281, Table 4.2</w:t>
      </w:r>
      <w:r w:rsidR="008B1C3F" w:rsidRPr="00732139">
        <w:t>,</w:t>
      </w:r>
      <w:r w:rsidRPr="00732139">
        <w:t xml:space="preserve"> p281-283 of the resubmission </w:t>
      </w:r>
    </w:p>
    <w:p w:rsidR="007E2453" w:rsidRDefault="007E2453" w:rsidP="007E2453">
      <w:pPr>
        <w:pStyle w:val="TableFigureFooter"/>
        <w:spacing w:after="0"/>
        <w:contextualSpacing w:val="0"/>
        <w:rPr>
          <w:i/>
        </w:rPr>
      </w:pPr>
      <w:r w:rsidRPr="009868C4">
        <w:rPr>
          <w:i/>
        </w:rPr>
        <w:t>The redacted values correspond to the following ranges</w:t>
      </w:r>
      <w:r>
        <w:rPr>
          <w:i/>
        </w:rPr>
        <w:t xml:space="preserve">: </w:t>
      </w:r>
    </w:p>
    <w:p w:rsidR="007E2453" w:rsidRPr="00870C5D" w:rsidRDefault="007E2453" w:rsidP="007E2453">
      <w:pPr>
        <w:pStyle w:val="TableFigureFooter"/>
        <w:spacing w:after="0"/>
        <w:contextualSpacing w:val="0"/>
      </w:pPr>
      <w:r>
        <w:rPr>
          <w:i/>
          <w:vertAlign w:val="superscript"/>
        </w:rPr>
        <w:t>1</w:t>
      </w:r>
      <w:r>
        <w:rPr>
          <w:i/>
        </w:rPr>
        <w:t xml:space="preserve"> </w:t>
      </w:r>
      <w:r w:rsidRPr="007E2453">
        <w:rPr>
          <w:i/>
        </w:rPr>
        <w:t>&lt; 500</w:t>
      </w:r>
    </w:p>
    <w:p w:rsidR="007E2453" w:rsidRPr="00732139" w:rsidRDefault="007E2453" w:rsidP="00141558">
      <w:pPr>
        <w:pStyle w:val="TableFigureFooter"/>
        <w:rPr>
          <w:rFonts w:asciiTheme="minorHAnsi" w:hAnsiTheme="minorHAnsi"/>
          <w:color w:val="0066FF"/>
          <w:sz w:val="24"/>
          <w:szCs w:val="24"/>
        </w:rPr>
      </w:pPr>
    </w:p>
    <w:p w:rsidR="00141558" w:rsidRPr="00732139" w:rsidRDefault="00141558" w:rsidP="00141558">
      <w:pPr>
        <w:pStyle w:val="ExecSumBodyText"/>
      </w:pPr>
      <w:r w:rsidRPr="00732139">
        <w:t>The table below presents the estimated use and financial implications of ravulizumab over 6 years of listing.</w:t>
      </w:r>
    </w:p>
    <w:p w:rsidR="00141558" w:rsidRPr="00732139" w:rsidRDefault="00141558" w:rsidP="00114974">
      <w:pPr>
        <w:keepNext/>
        <w:keepLines/>
        <w:widowControl w:val="0"/>
        <w:jc w:val="left"/>
        <w:rPr>
          <w:rFonts w:ascii="Arial Narrow" w:eastAsiaTheme="minorHAnsi" w:hAnsi="Arial Narrow" w:cstheme="minorBidi"/>
          <w:b/>
          <w:sz w:val="20"/>
          <w:szCs w:val="16"/>
          <w:lang w:eastAsia="en-US"/>
        </w:rPr>
      </w:pPr>
      <w:r w:rsidRPr="00732139">
        <w:rPr>
          <w:rFonts w:ascii="Arial Narrow" w:eastAsiaTheme="minorHAnsi" w:hAnsi="Arial Narrow" w:cstheme="minorBidi"/>
          <w:b/>
          <w:sz w:val="20"/>
          <w:szCs w:val="16"/>
          <w:lang w:eastAsia="en-US"/>
        </w:rPr>
        <w:lastRenderedPageBreak/>
        <w:t xml:space="preserve">Table </w:t>
      </w:r>
      <w:r w:rsidR="00CB1C60">
        <w:rPr>
          <w:rFonts w:ascii="Arial Narrow" w:eastAsiaTheme="minorHAnsi" w:hAnsi="Arial Narrow" w:cstheme="minorBidi"/>
          <w:b/>
          <w:sz w:val="20"/>
          <w:szCs w:val="16"/>
          <w:lang w:eastAsia="en-US"/>
        </w:rPr>
        <w:t>18</w:t>
      </w:r>
      <w:r w:rsidRPr="00732139">
        <w:rPr>
          <w:rFonts w:ascii="Arial Narrow" w:eastAsiaTheme="minorHAnsi" w:hAnsi="Arial Narrow" w:cstheme="minorBidi"/>
          <w:b/>
          <w:sz w:val="20"/>
          <w:szCs w:val="16"/>
          <w:lang w:eastAsia="en-US"/>
        </w:rPr>
        <w:t>:  Estimated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141558" w:rsidRPr="00732139" w:rsidTr="00151899">
        <w:trPr>
          <w:tblHeader/>
        </w:trPr>
        <w:tc>
          <w:tcPr>
            <w:tcW w:w="2263" w:type="dxa"/>
            <w:shd w:val="clear" w:color="auto" w:fill="auto"/>
            <w:vAlign w:val="center"/>
          </w:tcPr>
          <w:p w:rsidR="00141558" w:rsidRPr="00732139" w:rsidRDefault="00141558" w:rsidP="00114974">
            <w:pPr>
              <w:pStyle w:val="TableText"/>
              <w:keepLines/>
              <w:widowControl w:val="0"/>
              <w:rPr>
                <w:b/>
                <w:lang w:eastAsia="en-US"/>
              </w:rPr>
            </w:pPr>
          </w:p>
        </w:tc>
        <w:tc>
          <w:tcPr>
            <w:tcW w:w="1134" w:type="dxa"/>
            <w:shd w:val="clear" w:color="auto" w:fill="auto"/>
            <w:vAlign w:val="center"/>
          </w:tcPr>
          <w:p w:rsidR="00141558" w:rsidRPr="00732139" w:rsidRDefault="00141558" w:rsidP="00114974">
            <w:pPr>
              <w:pStyle w:val="TableText"/>
              <w:keepLines/>
              <w:widowControl w:val="0"/>
              <w:jc w:val="center"/>
              <w:rPr>
                <w:b/>
                <w:lang w:eastAsia="en-US"/>
              </w:rPr>
            </w:pPr>
            <w:r w:rsidRPr="00732139">
              <w:rPr>
                <w:b/>
                <w:lang w:eastAsia="en-US"/>
              </w:rPr>
              <w:t>Year 1</w:t>
            </w:r>
          </w:p>
          <w:p w:rsidR="00141558" w:rsidRPr="00732139" w:rsidRDefault="00141558" w:rsidP="00114974">
            <w:pPr>
              <w:pStyle w:val="TableText"/>
              <w:keepLines/>
              <w:widowControl w:val="0"/>
              <w:jc w:val="center"/>
              <w:rPr>
                <w:b/>
                <w:lang w:eastAsia="en-US"/>
              </w:rPr>
            </w:pPr>
            <w:r w:rsidRPr="00732139">
              <w:rPr>
                <w:b/>
                <w:lang w:eastAsia="en-US"/>
              </w:rPr>
              <w:t>(2022)</w:t>
            </w:r>
          </w:p>
        </w:tc>
        <w:tc>
          <w:tcPr>
            <w:tcW w:w="1134" w:type="dxa"/>
            <w:shd w:val="clear" w:color="auto" w:fill="auto"/>
            <w:vAlign w:val="center"/>
          </w:tcPr>
          <w:p w:rsidR="00141558" w:rsidRPr="00732139" w:rsidRDefault="00141558" w:rsidP="00114974">
            <w:pPr>
              <w:pStyle w:val="TableText"/>
              <w:keepLines/>
              <w:widowControl w:val="0"/>
              <w:jc w:val="center"/>
              <w:rPr>
                <w:b/>
                <w:lang w:eastAsia="en-US"/>
              </w:rPr>
            </w:pPr>
            <w:r w:rsidRPr="00732139">
              <w:rPr>
                <w:b/>
                <w:lang w:eastAsia="en-US"/>
              </w:rPr>
              <w:t xml:space="preserve">Year 2 </w:t>
            </w:r>
          </w:p>
          <w:p w:rsidR="00141558" w:rsidRPr="00732139" w:rsidRDefault="00141558" w:rsidP="00114974">
            <w:pPr>
              <w:pStyle w:val="TableText"/>
              <w:keepLines/>
              <w:widowControl w:val="0"/>
              <w:jc w:val="center"/>
              <w:rPr>
                <w:b/>
                <w:lang w:eastAsia="en-US"/>
              </w:rPr>
            </w:pPr>
            <w:r w:rsidRPr="00732139">
              <w:rPr>
                <w:b/>
                <w:lang w:eastAsia="en-US"/>
              </w:rPr>
              <w:t>(2023)</w:t>
            </w:r>
          </w:p>
        </w:tc>
        <w:tc>
          <w:tcPr>
            <w:tcW w:w="1134" w:type="dxa"/>
            <w:shd w:val="clear" w:color="auto" w:fill="auto"/>
            <w:vAlign w:val="center"/>
          </w:tcPr>
          <w:p w:rsidR="00141558" w:rsidRPr="00732139" w:rsidRDefault="00141558" w:rsidP="00114974">
            <w:pPr>
              <w:pStyle w:val="TableText"/>
              <w:keepLines/>
              <w:widowControl w:val="0"/>
              <w:jc w:val="center"/>
              <w:rPr>
                <w:b/>
                <w:lang w:eastAsia="en-US"/>
              </w:rPr>
            </w:pPr>
            <w:r w:rsidRPr="00732139">
              <w:rPr>
                <w:b/>
                <w:lang w:eastAsia="en-US"/>
              </w:rPr>
              <w:t xml:space="preserve">Year 3 </w:t>
            </w:r>
          </w:p>
          <w:p w:rsidR="00141558" w:rsidRPr="00732139" w:rsidRDefault="00141558" w:rsidP="00114974">
            <w:pPr>
              <w:pStyle w:val="TableText"/>
              <w:keepLines/>
              <w:widowControl w:val="0"/>
              <w:jc w:val="center"/>
              <w:rPr>
                <w:b/>
                <w:lang w:eastAsia="en-US"/>
              </w:rPr>
            </w:pPr>
            <w:r w:rsidRPr="00732139">
              <w:rPr>
                <w:b/>
                <w:lang w:eastAsia="en-US"/>
              </w:rPr>
              <w:t>(2024)</w:t>
            </w:r>
          </w:p>
        </w:tc>
        <w:tc>
          <w:tcPr>
            <w:tcW w:w="1134" w:type="dxa"/>
            <w:shd w:val="clear" w:color="auto" w:fill="auto"/>
            <w:vAlign w:val="center"/>
          </w:tcPr>
          <w:p w:rsidR="00141558" w:rsidRPr="00732139" w:rsidRDefault="00141558" w:rsidP="00114974">
            <w:pPr>
              <w:pStyle w:val="TableText"/>
              <w:keepLines/>
              <w:widowControl w:val="0"/>
              <w:jc w:val="center"/>
              <w:rPr>
                <w:b/>
                <w:lang w:eastAsia="en-US"/>
              </w:rPr>
            </w:pPr>
            <w:r w:rsidRPr="00732139">
              <w:rPr>
                <w:b/>
                <w:lang w:eastAsia="en-US"/>
              </w:rPr>
              <w:t xml:space="preserve">Year 4 </w:t>
            </w:r>
          </w:p>
          <w:p w:rsidR="00141558" w:rsidRPr="00732139" w:rsidRDefault="00141558" w:rsidP="00114974">
            <w:pPr>
              <w:pStyle w:val="TableText"/>
              <w:keepLines/>
              <w:widowControl w:val="0"/>
              <w:jc w:val="center"/>
              <w:rPr>
                <w:b/>
                <w:lang w:eastAsia="en-US"/>
              </w:rPr>
            </w:pPr>
            <w:r w:rsidRPr="00732139">
              <w:rPr>
                <w:b/>
                <w:lang w:eastAsia="en-US"/>
              </w:rPr>
              <w:t>(2025)</w:t>
            </w:r>
          </w:p>
        </w:tc>
        <w:tc>
          <w:tcPr>
            <w:tcW w:w="1134" w:type="dxa"/>
            <w:shd w:val="clear" w:color="auto" w:fill="auto"/>
            <w:vAlign w:val="center"/>
          </w:tcPr>
          <w:p w:rsidR="00141558" w:rsidRPr="00732139" w:rsidRDefault="00141558" w:rsidP="00114974">
            <w:pPr>
              <w:pStyle w:val="TableText"/>
              <w:keepLines/>
              <w:widowControl w:val="0"/>
              <w:jc w:val="center"/>
              <w:rPr>
                <w:b/>
                <w:lang w:eastAsia="en-US"/>
              </w:rPr>
            </w:pPr>
            <w:r w:rsidRPr="00732139">
              <w:rPr>
                <w:b/>
                <w:lang w:eastAsia="en-US"/>
              </w:rPr>
              <w:t xml:space="preserve">Year 5 </w:t>
            </w:r>
          </w:p>
          <w:p w:rsidR="00141558" w:rsidRPr="00732139" w:rsidRDefault="00141558" w:rsidP="00114974">
            <w:pPr>
              <w:pStyle w:val="TableText"/>
              <w:keepLines/>
              <w:widowControl w:val="0"/>
              <w:jc w:val="center"/>
              <w:rPr>
                <w:b/>
                <w:lang w:eastAsia="en-US"/>
              </w:rPr>
            </w:pPr>
            <w:r w:rsidRPr="00732139">
              <w:rPr>
                <w:b/>
                <w:lang w:eastAsia="en-US"/>
              </w:rPr>
              <w:t>(2026)</w:t>
            </w:r>
          </w:p>
        </w:tc>
        <w:tc>
          <w:tcPr>
            <w:tcW w:w="1134" w:type="dxa"/>
            <w:shd w:val="clear" w:color="auto" w:fill="auto"/>
            <w:vAlign w:val="center"/>
          </w:tcPr>
          <w:p w:rsidR="00141558" w:rsidRPr="00732139" w:rsidRDefault="00141558" w:rsidP="00114974">
            <w:pPr>
              <w:pStyle w:val="TableText"/>
              <w:keepLines/>
              <w:widowControl w:val="0"/>
              <w:jc w:val="center"/>
              <w:rPr>
                <w:b/>
                <w:lang w:eastAsia="en-US"/>
              </w:rPr>
            </w:pPr>
            <w:r w:rsidRPr="00732139">
              <w:rPr>
                <w:b/>
                <w:lang w:eastAsia="en-US"/>
              </w:rPr>
              <w:t xml:space="preserve">Year 6 </w:t>
            </w:r>
          </w:p>
          <w:p w:rsidR="00141558" w:rsidRPr="00732139" w:rsidRDefault="00141558" w:rsidP="00114974">
            <w:pPr>
              <w:pStyle w:val="TableText"/>
              <w:keepLines/>
              <w:widowControl w:val="0"/>
              <w:jc w:val="center"/>
              <w:rPr>
                <w:b/>
                <w:lang w:eastAsia="en-US"/>
              </w:rPr>
            </w:pPr>
            <w:r w:rsidRPr="00732139">
              <w:rPr>
                <w:b/>
                <w:lang w:eastAsia="en-US"/>
              </w:rPr>
              <w:t>(2027)</w:t>
            </w:r>
          </w:p>
        </w:tc>
      </w:tr>
      <w:tr w:rsidR="00141558" w:rsidRPr="00732139" w:rsidTr="00151899">
        <w:tc>
          <w:tcPr>
            <w:tcW w:w="9067" w:type="dxa"/>
            <w:gridSpan w:val="7"/>
            <w:shd w:val="clear" w:color="auto" w:fill="auto"/>
            <w:vAlign w:val="center"/>
          </w:tcPr>
          <w:p w:rsidR="00141558" w:rsidRPr="00732139" w:rsidRDefault="00141558" w:rsidP="00114974">
            <w:pPr>
              <w:pStyle w:val="TableText"/>
              <w:keepLines/>
              <w:widowControl w:val="0"/>
              <w:rPr>
                <w:b/>
                <w:bCs w:val="0"/>
                <w:lang w:eastAsia="en-US"/>
              </w:rPr>
            </w:pPr>
            <w:r w:rsidRPr="00732139">
              <w:rPr>
                <w:b/>
                <w:bCs w:val="0"/>
                <w:lang w:eastAsia="en-US"/>
              </w:rPr>
              <w:t>Extent of use</w:t>
            </w:r>
          </w:p>
        </w:tc>
      </w:tr>
      <w:tr w:rsidR="00141558" w:rsidRPr="00732139" w:rsidTr="00151899">
        <w:tc>
          <w:tcPr>
            <w:tcW w:w="2263" w:type="dxa"/>
            <w:shd w:val="clear" w:color="auto" w:fill="auto"/>
            <w:vAlign w:val="center"/>
          </w:tcPr>
          <w:p w:rsidR="00141558" w:rsidRPr="00517A9D" w:rsidRDefault="00141558" w:rsidP="00517A9D">
            <w:pPr>
              <w:pStyle w:val="TableText"/>
              <w:keepLines/>
              <w:widowControl w:val="0"/>
              <w:rPr>
                <w:vertAlign w:val="superscript"/>
                <w:lang w:eastAsia="en-US"/>
              </w:rPr>
            </w:pPr>
            <w:r w:rsidRPr="00732139">
              <w:rPr>
                <w:lang w:eastAsia="en-US"/>
              </w:rPr>
              <w:t>Patients eligible for C5 inhibitors</w:t>
            </w:r>
          </w:p>
        </w:tc>
        <w:tc>
          <w:tcPr>
            <w:tcW w:w="1134" w:type="dxa"/>
            <w:shd w:val="clear" w:color="auto" w:fill="auto"/>
            <w:vAlign w:val="center"/>
          </w:tcPr>
          <w:p w:rsidR="00141558" w:rsidRPr="008661E6" w:rsidRDefault="008661E6" w:rsidP="00517A9D">
            <w:pPr>
              <w:pStyle w:val="TableText"/>
              <w:keepLines/>
              <w:widowControl w:val="0"/>
              <w:jc w:val="center"/>
              <w:rPr>
                <w:lang w:eastAsia="en-US"/>
              </w:rPr>
            </w:pPr>
            <w:r>
              <w:rPr>
                <w:noProof/>
                <w:color w:val="000000"/>
                <w:highlight w:val="black"/>
                <w:lang w:eastAsia="en-US"/>
              </w:rPr>
              <w:t>'''''''''</w:t>
            </w:r>
            <w:r w:rsidR="00517A9D">
              <w:rPr>
                <w:vertAlign w:val="superscript"/>
                <w:lang w:eastAsia="en-US"/>
              </w:rPr>
              <w:t>1</w:t>
            </w:r>
          </w:p>
        </w:tc>
        <w:tc>
          <w:tcPr>
            <w:tcW w:w="1134" w:type="dxa"/>
            <w:shd w:val="clear" w:color="auto" w:fill="auto"/>
            <w:vAlign w:val="center"/>
          </w:tcPr>
          <w:p w:rsidR="00141558" w:rsidRPr="008661E6" w:rsidRDefault="008661E6" w:rsidP="00517A9D">
            <w:pPr>
              <w:pStyle w:val="TableText"/>
              <w:keepLines/>
              <w:widowControl w:val="0"/>
              <w:jc w:val="center"/>
              <w:rPr>
                <w:lang w:eastAsia="en-US"/>
              </w:rPr>
            </w:pPr>
            <w:r>
              <w:rPr>
                <w:noProof/>
                <w:color w:val="000000"/>
                <w:highlight w:val="black"/>
                <w:lang w:eastAsia="en-US"/>
              </w:rPr>
              <w:t>'''''''''</w:t>
            </w:r>
            <w:r w:rsidR="00517A9D">
              <w:rPr>
                <w:vertAlign w:val="superscript"/>
                <w:lang w:eastAsia="en-US"/>
              </w:rPr>
              <w:t>1</w:t>
            </w:r>
          </w:p>
        </w:tc>
        <w:tc>
          <w:tcPr>
            <w:tcW w:w="1134" w:type="dxa"/>
            <w:shd w:val="clear" w:color="auto" w:fill="auto"/>
            <w:vAlign w:val="center"/>
          </w:tcPr>
          <w:p w:rsidR="00141558" w:rsidRPr="008661E6" w:rsidRDefault="008661E6" w:rsidP="00517A9D">
            <w:pPr>
              <w:pStyle w:val="TableText"/>
              <w:keepLines/>
              <w:widowControl w:val="0"/>
              <w:jc w:val="center"/>
              <w:rPr>
                <w:lang w:eastAsia="en-US"/>
              </w:rPr>
            </w:pPr>
            <w:r>
              <w:rPr>
                <w:noProof/>
                <w:color w:val="000000"/>
                <w:highlight w:val="black"/>
                <w:lang w:eastAsia="en-US"/>
              </w:rPr>
              <w:t>''''''''''</w:t>
            </w:r>
            <w:r w:rsidR="00517A9D">
              <w:rPr>
                <w:vertAlign w:val="superscript"/>
                <w:lang w:eastAsia="en-US"/>
              </w:rPr>
              <w:t>1</w:t>
            </w:r>
          </w:p>
        </w:tc>
        <w:tc>
          <w:tcPr>
            <w:tcW w:w="1134" w:type="dxa"/>
            <w:shd w:val="clear" w:color="auto" w:fill="auto"/>
            <w:vAlign w:val="center"/>
          </w:tcPr>
          <w:p w:rsidR="00141558" w:rsidRPr="008661E6" w:rsidRDefault="008661E6" w:rsidP="00517A9D">
            <w:pPr>
              <w:pStyle w:val="TableText"/>
              <w:keepLines/>
              <w:widowControl w:val="0"/>
              <w:jc w:val="center"/>
              <w:rPr>
                <w:lang w:eastAsia="en-US"/>
              </w:rPr>
            </w:pPr>
            <w:r>
              <w:rPr>
                <w:noProof/>
                <w:color w:val="000000"/>
                <w:highlight w:val="black"/>
                <w:lang w:eastAsia="en-US"/>
              </w:rPr>
              <w:t>''''''''''</w:t>
            </w:r>
            <w:r w:rsidR="00517A9D">
              <w:rPr>
                <w:vertAlign w:val="superscript"/>
                <w:lang w:eastAsia="en-US"/>
              </w:rPr>
              <w:t>1</w:t>
            </w:r>
          </w:p>
        </w:tc>
        <w:tc>
          <w:tcPr>
            <w:tcW w:w="1134" w:type="dxa"/>
            <w:shd w:val="clear" w:color="auto" w:fill="auto"/>
            <w:vAlign w:val="center"/>
          </w:tcPr>
          <w:p w:rsidR="00141558" w:rsidRPr="008661E6" w:rsidRDefault="008661E6" w:rsidP="00517A9D">
            <w:pPr>
              <w:pStyle w:val="TableText"/>
              <w:keepLines/>
              <w:widowControl w:val="0"/>
              <w:jc w:val="center"/>
              <w:rPr>
                <w:lang w:eastAsia="en-US"/>
              </w:rPr>
            </w:pPr>
            <w:r>
              <w:rPr>
                <w:noProof/>
                <w:color w:val="000000"/>
                <w:highlight w:val="black"/>
                <w:lang w:eastAsia="en-US"/>
              </w:rPr>
              <w:t>''''''''''</w:t>
            </w:r>
            <w:r w:rsidR="00517A9D">
              <w:rPr>
                <w:vertAlign w:val="superscript"/>
                <w:lang w:eastAsia="en-US"/>
              </w:rPr>
              <w:t>1</w:t>
            </w:r>
          </w:p>
        </w:tc>
        <w:tc>
          <w:tcPr>
            <w:tcW w:w="1134" w:type="dxa"/>
            <w:shd w:val="clear" w:color="auto" w:fill="auto"/>
            <w:vAlign w:val="center"/>
          </w:tcPr>
          <w:p w:rsidR="00141558" w:rsidRPr="008661E6" w:rsidRDefault="008661E6" w:rsidP="00517A9D">
            <w:pPr>
              <w:pStyle w:val="TableText"/>
              <w:keepLines/>
              <w:widowControl w:val="0"/>
              <w:jc w:val="center"/>
              <w:rPr>
                <w:lang w:eastAsia="en-US"/>
              </w:rPr>
            </w:pPr>
            <w:r>
              <w:rPr>
                <w:noProof/>
                <w:color w:val="000000"/>
                <w:highlight w:val="black"/>
                <w:lang w:eastAsia="en-US"/>
              </w:rPr>
              <w:t>''''''''''</w:t>
            </w:r>
            <w:r w:rsidR="00517A9D">
              <w:rPr>
                <w:vertAlign w:val="superscript"/>
                <w:lang w:eastAsia="en-US"/>
              </w:rPr>
              <w:t>1</w:t>
            </w:r>
          </w:p>
        </w:tc>
      </w:tr>
      <w:tr w:rsidR="00141558" w:rsidRPr="00732139" w:rsidTr="00151899">
        <w:tc>
          <w:tcPr>
            <w:tcW w:w="2263" w:type="dxa"/>
            <w:shd w:val="clear" w:color="auto" w:fill="auto"/>
            <w:vAlign w:val="center"/>
          </w:tcPr>
          <w:p w:rsidR="00141558" w:rsidRPr="001C596E" w:rsidRDefault="00141558" w:rsidP="00114974">
            <w:pPr>
              <w:pStyle w:val="TableText"/>
              <w:keepLines/>
              <w:widowControl w:val="0"/>
              <w:rPr>
                <w:lang w:eastAsia="en-US"/>
              </w:rPr>
            </w:pPr>
            <w:r w:rsidRPr="001C596E">
              <w:rPr>
                <w:lang w:eastAsia="en-US"/>
              </w:rPr>
              <w:t>Ravulizumab uptake rate (</w:t>
            </w:r>
            <w:r w:rsidR="008661E6">
              <w:rPr>
                <w:noProof/>
                <w:color w:val="000000"/>
                <w:highlight w:val="black"/>
                <w:lang w:eastAsia="en-US"/>
              </w:rPr>
              <w:t>''''''</w:t>
            </w:r>
            <w:r w:rsidRPr="001C596E">
              <w:rPr>
                <w:lang w:eastAsia="en-US"/>
              </w:rPr>
              <w:t>%)</w:t>
            </w:r>
          </w:p>
        </w:tc>
        <w:tc>
          <w:tcPr>
            <w:tcW w:w="1134" w:type="dxa"/>
            <w:shd w:val="clear" w:color="auto" w:fill="auto"/>
            <w:vAlign w:val="center"/>
          </w:tcPr>
          <w:p w:rsidR="00141558" w:rsidRPr="008661E6" w:rsidRDefault="008661E6" w:rsidP="00517A9D">
            <w:pPr>
              <w:pStyle w:val="TableText"/>
              <w:keepLines/>
              <w:widowControl w:val="0"/>
              <w:jc w:val="center"/>
              <w:rPr>
                <w:lang w:eastAsia="en-US"/>
              </w:rPr>
            </w:pPr>
            <w:r>
              <w:rPr>
                <w:noProof/>
                <w:color w:val="000000"/>
                <w:highlight w:val="black"/>
                <w:lang w:eastAsia="en-US"/>
              </w:rPr>
              <w:t>''''''''''</w:t>
            </w:r>
            <w:r w:rsidR="00517A9D">
              <w:rPr>
                <w:vertAlign w:val="superscript"/>
                <w:lang w:eastAsia="en-US"/>
              </w:rPr>
              <w:t>1</w:t>
            </w:r>
          </w:p>
        </w:tc>
        <w:tc>
          <w:tcPr>
            <w:tcW w:w="1134" w:type="dxa"/>
            <w:shd w:val="clear" w:color="auto" w:fill="auto"/>
            <w:vAlign w:val="center"/>
          </w:tcPr>
          <w:p w:rsidR="00141558" w:rsidRPr="008661E6" w:rsidRDefault="008661E6" w:rsidP="00517A9D">
            <w:pPr>
              <w:pStyle w:val="TableText"/>
              <w:keepLines/>
              <w:widowControl w:val="0"/>
              <w:jc w:val="center"/>
              <w:rPr>
                <w:lang w:eastAsia="en-US"/>
              </w:rPr>
            </w:pPr>
            <w:r>
              <w:rPr>
                <w:noProof/>
                <w:color w:val="000000"/>
                <w:highlight w:val="black"/>
                <w:lang w:eastAsia="en-US"/>
              </w:rPr>
              <w:t>'''''''''</w:t>
            </w:r>
            <w:r w:rsidR="00517A9D">
              <w:rPr>
                <w:vertAlign w:val="superscript"/>
                <w:lang w:eastAsia="en-US"/>
              </w:rPr>
              <w:t>1</w:t>
            </w:r>
          </w:p>
        </w:tc>
        <w:tc>
          <w:tcPr>
            <w:tcW w:w="1134" w:type="dxa"/>
            <w:shd w:val="clear" w:color="auto" w:fill="auto"/>
            <w:vAlign w:val="center"/>
          </w:tcPr>
          <w:p w:rsidR="00141558" w:rsidRPr="008661E6" w:rsidRDefault="008661E6" w:rsidP="00517A9D">
            <w:pPr>
              <w:pStyle w:val="TableText"/>
              <w:keepLines/>
              <w:widowControl w:val="0"/>
              <w:jc w:val="center"/>
              <w:rPr>
                <w:lang w:eastAsia="en-US"/>
              </w:rPr>
            </w:pPr>
            <w:r>
              <w:rPr>
                <w:noProof/>
                <w:color w:val="000000"/>
                <w:highlight w:val="black"/>
                <w:lang w:eastAsia="en-US"/>
              </w:rPr>
              <w:t>''''''''''</w:t>
            </w:r>
            <w:r w:rsidR="00517A9D">
              <w:rPr>
                <w:vertAlign w:val="superscript"/>
                <w:lang w:eastAsia="en-US"/>
              </w:rPr>
              <w:t>1</w:t>
            </w:r>
          </w:p>
        </w:tc>
        <w:tc>
          <w:tcPr>
            <w:tcW w:w="1134" w:type="dxa"/>
            <w:shd w:val="clear" w:color="auto" w:fill="auto"/>
            <w:vAlign w:val="center"/>
          </w:tcPr>
          <w:p w:rsidR="00141558" w:rsidRPr="008661E6" w:rsidRDefault="008661E6" w:rsidP="00517A9D">
            <w:pPr>
              <w:pStyle w:val="TableText"/>
              <w:keepLines/>
              <w:widowControl w:val="0"/>
              <w:jc w:val="center"/>
              <w:rPr>
                <w:lang w:eastAsia="en-US"/>
              </w:rPr>
            </w:pPr>
            <w:r>
              <w:rPr>
                <w:noProof/>
                <w:color w:val="000000"/>
                <w:highlight w:val="black"/>
                <w:lang w:eastAsia="en-US"/>
              </w:rPr>
              <w:t>'''''''''</w:t>
            </w:r>
            <w:r w:rsidR="00517A9D">
              <w:rPr>
                <w:vertAlign w:val="superscript"/>
                <w:lang w:eastAsia="en-US"/>
              </w:rPr>
              <w:t>1</w:t>
            </w:r>
          </w:p>
        </w:tc>
        <w:tc>
          <w:tcPr>
            <w:tcW w:w="1134" w:type="dxa"/>
            <w:shd w:val="clear" w:color="auto" w:fill="auto"/>
            <w:vAlign w:val="center"/>
          </w:tcPr>
          <w:p w:rsidR="00141558" w:rsidRPr="008661E6" w:rsidRDefault="008661E6" w:rsidP="00517A9D">
            <w:pPr>
              <w:pStyle w:val="TableText"/>
              <w:keepLines/>
              <w:widowControl w:val="0"/>
              <w:jc w:val="center"/>
              <w:rPr>
                <w:lang w:eastAsia="en-US"/>
              </w:rPr>
            </w:pPr>
            <w:r>
              <w:rPr>
                <w:noProof/>
                <w:color w:val="000000"/>
                <w:highlight w:val="black"/>
                <w:lang w:eastAsia="en-US"/>
              </w:rPr>
              <w:t>'''''''''</w:t>
            </w:r>
            <w:r w:rsidR="00517A9D">
              <w:rPr>
                <w:vertAlign w:val="superscript"/>
                <w:lang w:eastAsia="en-US"/>
              </w:rPr>
              <w:t>1</w:t>
            </w:r>
          </w:p>
        </w:tc>
        <w:tc>
          <w:tcPr>
            <w:tcW w:w="1134" w:type="dxa"/>
            <w:shd w:val="clear" w:color="auto" w:fill="auto"/>
            <w:vAlign w:val="center"/>
          </w:tcPr>
          <w:p w:rsidR="00141558" w:rsidRPr="008661E6" w:rsidRDefault="008661E6" w:rsidP="00517A9D">
            <w:pPr>
              <w:pStyle w:val="TableText"/>
              <w:keepLines/>
              <w:widowControl w:val="0"/>
              <w:jc w:val="center"/>
              <w:rPr>
                <w:lang w:eastAsia="en-US"/>
              </w:rPr>
            </w:pPr>
            <w:r>
              <w:rPr>
                <w:noProof/>
                <w:color w:val="000000"/>
                <w:highlight w:val="black"/>
                <w:lang w:eastAsia="en-US"/>
              </w:rPr>
              <w:t>'''''''''</w:t>
            </w:r>
            <w:r w:rsidR="00517A9D">
              <w:rPr>
                <w:vertAlign w:val="superscript"/>
                <w:lang w:eastAsia="en-US"/>
              </w:rPr>
              <w:t>1</w:t>
            </w:r>
          </w:p>
        </w:tc>
      </w:tr>
      <w:tr w:rsidR="00141558" w:rsidRPr="00732139" w:rsidTr="00151899">
        <w:tc>
          <w:tcPr>
            <w:tcW w:w="9067" w:type="dxa"/>
            <w:gridSpan w:val="7"/>
            <w:shd w:val="clear" w:color="auto" w:fill="auto"/>
            <w:vAlign w:val="center"/>
          </w:tcPr>
          <w:p w:rsidR="00141558" w:rsidRPr="001C596E" w:rsidRDefault="00141558" w:rsidP="00114974">
            <w:pPr>
              <w:pStyle w:val="TableText"/>
              <w:keepLines/>
              <w:widowControl w:val="0"/>
              <w:rPr>
                <w:b/>
                <w:lang w:eastAsia="en-US"/>
              </w:rPr>
            </w:pPr>
            <w:r w:rsidRPr="001C596E">
              <w:rPr>
                <w:b/>
                <w:lang w:eastAsia="en-US"/>
              </w:rPr>
              <w:t>Financial implications</w:t>
            </w:r>
          </w:p>
        </w:tc>
      </w:tr>
      <w:tr w:rsidR="00141558" w:rsidRPr="00732139" w:rsidTr="00151899">
        <w:tc>
          <w:tcPr>
            <w:tcW w:w="2263" w:type="dxa"/>
            <w:shd w:val="clear" w:color="auto" w:fill="auto"/>
            <w:vAlign w:val="center"/>
          </w:tcPr>
          <w:p w:rsidR="00141558" w:rsidRPr="001C596E" w:rsidRDefault="00141558" w:rsidP="00114974">
            <w:pPr>
              <w:pStyle w:val="TableText"/>
              <w:keepLines/>
              <w:widowControl w:val="0"/>
              <w:rPr>
                <w:bCs w:val="0"/>
                <w:lang w:eastAsia="en-US"/>
              </w:rPr>
            </w:pPr>
            <w:r w:rsidRPr="001C596E">
              <w:rPr>
                <w:bCs w:val="0"/>
                <w:lang w:eastAsia="en-US"/>
              </w:rPr>
              <w:t>Total cost for ravulizumab 300</w:t>
            </w:r>
            <w:r w:rsidR="00723253" w:rsidRPr="001C596E">
              <w:rPr>
                <w:bCs w:val="0"/>
                <w:lang w:eastAsia="en-US"/>
              </w:rPr>
              <w:t xml:space="preserve"> </w:t>
            </w:r>
            <w:r w:rsidRPr="001C596E">
              <w:rPr>
                <w:bCs w:val="0"/>
                <w:lang w:eastAsia="en-US"/>
              </w:rPr>
              <w:t>mg and 1100 mg dose strengths (effective)</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2</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2</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2</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2</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3</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3</w:t>
            </w:r>
          </w:p>
        </w:tc>
      </w:tr>
      <w:tr w:rsidR="00141558" w:rsidRPr="00732139" w:rsidTr="00151899">
        <w:tc>
          <w:tcPr>
            <w:tcW w:w="2263" w:type="dxa"/>
            <w:shd w:val="clear" w:color="auto" w:fill="auto"/>
            <w:vAlign w:val="center"/>
          </w:tcPr>
          <w:p w:rsidR="00141558" w:rsidRPr="001C596E" w:rsidRDefault="008661E6" w:rsidP="00114974">
            <w:pPr>
              <w:pStyle w:val="TableText"/>
              <w:keepLines/>
              <w:widowControl w:val="0"/>
              <w:rPr>
                <w:lang w:eastAsia="en-US"/>
              </w:rPr>
            </w:pPr>
            <w:r>
              <w:rPr>
                <w:noProof/>
                <w:color w:val="000000"/>
                <w:highlight w:val="black"/>
                <w:lang w:eastAsia="en-US"/>
              </w:rPr>
              <w:t>''''''''''''''''' ''''''''''' ''''''''''''''''</w:t>
            </w:r>
            <w:r w:rsidR="00141558" w:rsidRPr="001C596E">
              <w:rPr>
                <w:lang w:eastAsia="en-US"/>
              </w:rPr>
              <w:t xml:space="preserve"> (cost of 8.96 x 300 mg vials per patient switching from eculizumab)</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p>
        </w:tc>
      </w:tr>
      <w:tr w:rsidR="00141558" w:rsidRPr="00732139" w:rsidTr="00151899">
        <w:tc>
          <w:tcPr>
            <w:tcW w:w="2263" w:type="dxa"/>
            <w:shd w:val="clear" w:color="auto" w:fill="auto"/>
            <w:vAlign w:val="center"/>
          </w:tcPr>
          <w:p w:rsidR="00141558" w:rsidRPr="00732139" w:rsidRDefault="00141558" w:rsidP="00114974">
            <w:pPr>
              <w:pStyle w:val="TableText"/>
              <w:keepLines/>
              <w:widowControl w:val="0"/>
              <w:rPr>
                <w:lang w:eastAsia="en-US"/>
              </w:rPr>
            </w:pPr>
            <w:r w:rsidRPr="00732139">
              <w:rPr>
                <w:lang w:eastAsia="en-US"/>
              </w:rPr>
              <w:t xml:space="preserve">Patient co-payment </w:t>
            </w:r>
          </w:p>
          <w:p w:rsidR="00141558" w:rsidRPr="00732139" w:rsidRDefault="00141558" w:rsidP="00114974">
            <w:pPr>
              <w:pStyle w:val="TableText"/>
              <w:keepLines/>
              <w:widowControl w:val="0"/>
              <w:rPr>
                <w:bCs w:val="0"/>
                <w:lang w:eastAsia="en-US"/>
              </w:rPr>
            </w:pPr>
            <w:r w:rsidRPr="00732139">
              <w:rPr>
                <w:lang w:eastAsia="en-US"/>
              </w:rPr>
              <w:t>($29.42 per script)</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4</w:t>
            </w:r>
          </w:p>
        </w:tc>
      </w:tr>
      <w:tr w:rsidR="00141558" w:rsidRPr="00732139" w:rsidTr="00151899">
        <w:tc>
          <w:tcPr>
            <w:tcW w:w="2263" w:type="dxa"/>
            <w:shd w:val="clear" w:color="auto" w:fill="auto"/>
            <w:vAlign w:val="center"/>
          </w:tcPr>
          <w:p w:rsidR="00141558" w:rsidRPr="00732139" w:rsidRDefault="00141558" w:rsidP="00114974">
            <w:pPr>
              <w:pStyle w:val="TableText"/>
              <w:keepLines/>
              <w:widowControl w:val="0"/>
              <w:rPr>
                <w:lang w:eastAsia="en-US"/>
              </w:rPr>
            </w:pPr>
            <w:r w:rsidRPr="00732139">
              <w:rPr>
                <w:b/>
                <w:lang w:eastAsia="en-US"/>
              </w:rPr>
              <w:t>Net cost to the PBS</w:t>
            </w:r>
          </w:p>
        </w:tc>
        <w:tc>
          <w:tcPr>
            <w:tcW w:w="1134" w:type="dxa"/>
            <w:shd w:val="clear" w:color="auto" w:fill="auto"/>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5</w:t>
            </w:r>
          </w:p>
        </w:tc>
        <w:tc>
          <w:tcPr>
            <w:tcW w:w="1134" w:type="dxa"/>
            <w:shd w:val="clear" w:color="auto" w:fill="auto"/>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2</w:t>
            </w:r>
          </w:p>
        </w:tc>
        <w:tc>
          <w:tcPr>
            <w:tcW w:w="1134" w:type="dxa"/>
            <w:shd w:val="clear" w:color="auto" w:fill="auto"/>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2</w:t>
            </w:r>
          </w:p>
        </w:tc>
        <w:tc>
          <w:tcPr>
            <w:tcW w:w="1134" w:type="dxa"/>
            <w:shd w:val="clear" w:color="auto" w:fill="auto"/>
            <w:vAlign w:val="center"/>
          </w:tcPr>
          <w:p w:rsidR="00141558" w:rsidRPr="008661E6" w:rsidRDefault="00141558" w:rsidP="00517A9D">
            <w:pPr>
              <w:pStyle w:val="TableText"/>
              <w:keepLines/>
              <w:widowControl w:val="0"/>
              <w:jc w:val="center"/>
              <w:rPr>
                <w:b/>
                <w:bCs w:val="0"/>
                <w:lang w:eastAsia="en-US"/>
              </w:rPr>
            </w:pPr>
            <w:r w:rsidRPr="007E2453">
              <w:rPr>
                <w:b/>
                <w:bCs w:val="0"/>
                <w:lang w:eastAsia="en-US"/>
              </w:rPr>
              <w:t>$</w:t>
            </w:r>
            <w:r w:rsidR="008661E6">
              <w:rPr>
                <w:b/>
                <w:bCs w:val="0"/>
                <w:noProof/>
                <w:color w:val="000000"/>
                <w:highlight w:val="black"/>
                <w:lang w:eastAsia="en-US"/>
              </w:rPr>
              <w:t>'''''''''''''''''''</w:t>
            </w:r>
            <w:r w:rsidR="00517A9D">
              <w:rPr>
                <w:vertAlign w:val="superscript"/>
                <w:lang w:eastAsia="en-US"/>
              </w:rPr>
              <w:t>2</w:t>
            </w:r>
          </w:p>
        </w:tc>
        <w:tc>
          <w:tcPr>
            <w:tcW w:w="1134" w:type="dxa"/>
            <w:shd w:val="clear" w:color="auto" w:fill="auto"/>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3</w:t>
            </w:r>
          </w:p>
        </w:tc>
        <w:tc>
          <w:tcPr>
            <w:tcW w:w="1134" w:type="dxa"/>
            <w:shd w:val="clear" w:color="auto" w:fill="auto"/>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3</w:t>
            </w:r>
          </w:p>
        </w:tc>
      </w:tr>
      <w:tr w:rsidR="00141558" w:rsidRPr="00732139" w:rsidTr="00151899">
        <w:tc>
          <w:tcPr>
            <w:tcW w:w="2263" w:type="dxa"/>
            <w:shd w:val="clear" w:color="auto" w:fill="auto"/>
            <w:vAlign w:val="center"/>
          </w:tcPr>
          <w:p w:rsidR="00141558" w:rsidRPr="00732139" w:rsidRDefault="00141558" w:rsidP="00114974">
            <w:pPr>
              <w:pStyle w:val="TableText"/>
              <w:keepLines/>
              <w:widowControl w:val="0"/>
              <w:rPr>
                <w:bCs w:val="0"/>
                <w:lang w:eastAsia="en-US"/>
              </w:rPr>
            </w:pPr>
            <w:r w:rsidRPr="00732139">
              <w:rPr>
                <w:bCs w:val="0"/>
                <w:lang w:eastAsia="en-US"/>
              </w:rPr>
              <w:t xml:space="preserve">LSDP costs of </w:t>
            </w:r>
            <w:r w:rsidR="007D1FF6" w:rsidRPr="00732139">
              <w:rPr>
                <w:bCs w:val="0"/>
                <w:lang w:eastAsia="en-US"/>
              </w:rPr>
              <w:t>substituted eculizumab</w:t>
            </w:r>
            <w:r w:rsidRPr="00732139">
              <w:rPr>
                <w:bCs w:val="0"/>
                <w:lang w:eastAsia="en-US"/>
              </w:rPr>
              <w:t xml:space="preserve"> treatment</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5</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5</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5</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2</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2</w:t>
            </w:r>
          </w:p>
        </w:tc>
        <w:tc>
          <w:tcPr>
            <w:tcW w:w="1134" w:type="dxa"/>
            <w:shd w:val="clear" w:color="auto" w:fill="auto"/>
            <w:vAlign w:val="center"/>
          </w:tcPr>
          <w:p w:rsidR="00141558" w:rsidRPr="00732139" w:rsidRDefault="00141558" w:rsidP="00517A9D">
            <w:pPr>
              <w:pStyle w:val="TableText"/>
              <w:keepLines/>
              <w:widowControl w:val="0"/>
              <w:jc w:val="center"/>
              <w:rPr>
                <w:bCs w:val="0"/>
                <w:lang w:eastAsia="en-US"/>
              </w:rPr>
            </w:pPr>
            <w:r w:rsidRPr="00732139">
              <w:rPr>
                <w:bCs w:val="0"/>
                <w:lang w:eastAsia="en-US"/>
              </w:rPr>
              <w:t>-$</w:t>
            </w:r>
            <w:r w:rsidR="008661E6">
              <w:rPr>
                <w:bCs w:val="0"/>
                <w:noProof/>
                <w:color w:val="000000"/>
                <w:highlight w:val="black"/>
                <w:lang w:eastAsia="en-US"/>
              </w:rPr>
              <w:t>'''''''''''''''''''''''''</w:t>
            </w:r>
            <w:r w:rsidR="00517A9D">
              <w:rPr>
                <w:vertAlign w:val="superscript"/>
                <w:lang w:eastAsia="en-US"/>
              </w:rPr>
              <w:t>2</w:t>
            </w:r>
          </w:p>
        </w:tc>
      </w:tr>
      <w:tr w:rsidR="00141558" w:rsidRPr="00732139" w:rsidTr="00151899">
        <w:tc>
          <w:tcPr>
            <w:tcW w:w="2263" w:type="dxa"/>
            <w:shd w:val="clear" w:color="auto" w:fill="auto"/>
            <w:vAlign w:val="center"/>
          </w:tcPr>
          <w:p w:rsidR="00141558" w:rsidRPr="00732139" w:rsidRDefault="00141558" w:rsidP="00114974">
            <w:pPr>
              <w:pStyle w:val="TableText"/>
              <w:keepLines/>
              <w:widowControl w:val="0"/>
              <w:rPr>
                <w:lang w:eastAsia="en-US"/>
              </w:rPr>
            </w:pPr>
            <w:r w:rsidRPr="00732139">
              <w:rPr>
                <w:lang w:eastAsia="en-US"/>
              </w:rPr>
              <w:t>Change in treatment administration costs</w:t>
            </w:r>
          </w:p>
        </w:tc>
        <w:tc>
          <w:tcPr>
            <w:tcW w:w="1134" w:type="dxa"/>
            <w:shd w:val="clear" w:color="auto" w:fill="auto"/>
            <w:vAlign w:val="center"/>
          </w:tcPr>
          <w:p w:rsidR="00141558" w:rsidRPr="00732139" w:rsidRDefault="00141558" w:rsidP="00517A9D">
            <w:pPr>
              <w:pStyle w:val="TableText"/>
              <w:keepLines/>
              <w:widowControl w:val="0"/>
              <w:jc w:val="center"/>
              <w:rPr>
                <w:lang w:eastAsia="en-US"/>
              </w:rPr>
            </w:pPr>
            <w:r w:rsidRPr="00732139">
              <w:rPr>
                <w:lang w:eastAsia="en-US"/>
              </w:rPr>
              <w:t>-$</w:t>
            </w:r>
            <w:r w:rsidR="008661E6">
              <w:rPr>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lang w:eastAsia="en-US"/>
              </w:rPr>
            </w:pPr>
            <w:r w:rsidRPr="00732139">
              <w:rPr>
                <w:lang w:eastAsia="en-US"/>
              </w:rPr>
              <w:t>-$</w:t>
            </w:r>
            <w:r w:rsidR="008661E6">
              <w:rPr>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lang w:eastAsia="en-US"/>
              </w:rPr>
            </w:pPr>
            <w:r w:rsidRPr="00732139">
              <w:rPr>
                <w:lang w:eastAsia="en-US"/>
              </w:rPr>
              <w:t>-$</w:t>
            </w:r>
            <w:r w:rsidR="008661E6">
              <w:rPr>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lang w:eastAsia="en-US"/>
              </w:rPr>
            </w:pPr>
            <w:r w:rsidRPr="00732139">
              <w:rPr>
                <w:lang w:eastAsia="en-US"/>
              </w:rPr>
              <w:t>-$</w:t>
            </w:r>
            <w:r w:rsidR="008661E6">
              <w:rPr>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lang w:eastAsia="en-US"/>
              </w:rPr>
            </w:pPr>
            <w:r w:rsidRPr="00732139">
              <w:rPr>
                <w:lang w:eastAsia="en-US"/>
              </w:rPr>
              <w:t>-$</w:t>
            </w:r>
            <w:r w:rsidR="008661E6">
              <w:rPr>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lang w:eastAsia="en-US"/>
              </w:rPr>
            </w:pPr>
            <w:r w:rsidRPr="00732139">
              <w:rPr>
                <w:lang w:eastAsia="en-US"/>
              </w:rPr>
              <w:t>-$</w:t>
            </w:r>
            <w:r w:rsidR="008661E6">
              <w:rPr>
                <w:bCs w:val="0"/>
                <w:noProof/>
                <w:color w:val="000000"/>
                <w:highlight w:val="black"/>
                <w:lang w:eastAsia="en-US"/>
              </w:rPr>
              <w:t>'''''''''''''''''''</w:t>
            </w:r>
            <w:r w:rsidR="00517A9D">
              <w:rPr>
                <w:vertAlign w:val="superscript"/>
                <w:lang w:eastAsia="en-US"/>
              </w:rPr>
              <w:t>4</w:t>
            </w:r>
          </w:p>
        </w:tc>
      </w:tr>
      <w:tr w:rsidR="00141558" w:rsidRPr="00732139" w:rsidTr="00151899">
        <w:tc>
          <w:tcPr>
            <w:tcW w:w="2263" w:type="dxa"/>
            <w:shd w:val="clear" w:color="auto" w:fill="auto"/>
            <w:vAlign w:val="center"/>
          </w:tcPr>
          <w:p w:rsidR="00141558" w:rsidRPr="00732139" w:rsidRDefault="00141558" w:rsidP="00114974">
            <w:pPr>
              <w:pStyle w:val="TableText"/>
              <w:keepLines/>
              <w:widowControl w:val="0"/>
              <w:rPr>
                <w:b/>
                <w:bCs w:val="0"/>
                <w:lang w:eastAsia="en-US"/>
              </w:rPr>
            </w:pPr>
            <w:r w:rsidRPr="00732139">
              <w:rPr>
                <w:b/>
                <w:bCs w:val="0"/>
                <w:lang w:eastAsia="en-US"/>
              </w:rPr>
              <w:t xml:space="preserve">Net cost to government </w:t>
            </w:r>
          </w:p>
        </w:tc>
        <w:tc>
          <w:tcPr>
            <w:tcW w:w="1134" w:type="dxa"/>
            <w:shd w:val="clear" w:color="auto" w:fill="auto"/>
            <w:vAlign w:val="center"/>
          </w:tcPr>
          <w:p w:rsidR="00141558" w:rsidRPr="008661E6" w:rsidRDefault="00141558" w:rsidP="00517A9D">
            <w:pPr>
              <w:pStyle w:val="TableText"/>
              <w:keepLines/>
              <w:widowControl w:val="0"/>
              <w:jc w:val="center"/>
              <w:rPr>
                <w:b/>
                <w:bCs w:val="0"/>
                <w:lang w:eastAsia="en-US"/>
              </w:rPr>
            </w:pPr>
            <w:r w:rsidRPr="007E2453">
              <w:rPr>
                <w:b/>
                <w:bCs w:val="0"/>
                <w:lang w:eastAsia="en-US"/>
              </w:rPr>
              <w:t>$</w:t>
            </w:r>
            <w:r w:rsidR="008661E6">
              <w:rPr>
                <w:b/>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4</w:t>
            </w:r>
          </w:p>
        </w:tc>
        <w:tc>
          <w:tcPr>
            <w:tcW w:w="1134" w:type="dxa"/>
            <w:shd w:val="clear" w:color="auto" w:fill="auto"/>
            <w:vAlign w:val="center"/>
          </w:tcPr>
          <w:p w:rsidR="00141558" w:rsidRPr="008661E6" w:rsidRDefault="00141558" w:rsidP="00517A9D">
            <w:pPr>
              <w:pStyle w:val="TableText"/>
              <w:keepLines/>
              <w:widowControl w:val="0"/>
              <w:jc w:val="center"/>
              <w:rPr>
                <w:b/>
                <w:bCs w:val="0"/>
                <w:lang w:eastAsia="en-US"/>
              </w:rPr>
            </w:pPr>
            <w:r w:rsidRPr="00517A9D">
              <w:rPr>
                <w:b/>
                <w:bCs w:val="0"/>
                <w:lang w:eastAsia="en-US"/>
              </w:rPr>
              <w:t>$</w:t>
            </w:r>
            <w:r w:rsidR="008661E6">
              <w:rPr>
                <w:b/>
                <w:bCs w:val="0"/>
                <w:noProof/>
                <w:color w:val="000000"/>
                <w:highlight w:val="black"/>
                <w:lang w:eastAsia="en-US"/>
              </w:rPr>
              <w:t>'''''''''''''''''''</w:t>
            </w:r>
            <w:r w:rsidR="00517A9D">
              <w:rPr>
                <w:vertAlign w:val="superscript"/>
                <w:lang w:eastAsia="en-US"/>
              </w:rPr>
              <w:t>4</w:t>
            </w:r>
          </w:p>
        </w:tc>
      </w:tr>
      <w:tr w:rsidR="00283A0F" w:rsidRPr="00732139" w:rsidTr="00151899">
        <w:tc>
          <w:tcPr>
            <w:tcW w:w="2263" w:type="dxa"/>
            <w:shd w:val="clear" w:color="auto" w:fill="D9D9D9" w:themeFill="background1" w:themeFillShade="D9"/>
            <w:vAlign w:val="center"/>
          </w:tcPr>
          <w:p w:rsidR="00283A0F" w:rsidRPr="00732139" w:rsidRDefault="00283A0F" w:rsidP="00114974">
            <w:pPr>
              <w:pStyle w:val="TableText"/>
              <w:keepLines/>
              <w:widowControl w:val="0"/>
              <w:rPr>
                <w:b/>
                <w:lang w:eastAsia="en-US"/>
              </w:rPr>
            </w:pPr>
            <w:r w:rsidRPr="00732139">
              <w:rPr>
                <w:b/>
                <w:lang w:eastAsia="en-US"/>
              </w:rPr>
              <w:t xml:space="preserve">Net cost to the PBS </w:t>
            </w:r>
          </w:p>
          <w:p w:rsidR="00283A0F" w:rsidRPr="00732139" w:rsidRDefault="00283A0F" w:rsidP="00114974">
            <w:pPr>
              <w:pStyle w:val="TableText"/>
              <w:keepLines/>
              <w:widowControl w:val="0"/>
              <w:rPr>
                <w:b/>
                <w:lang w:eastAsia="en-US"/>
              </w:rPr>
            </w:pPr>
            <w:r w:rsidRPr="00732139">
              <w:rPr>
                <w:b/>
                <w:lang w:eastAsia="en-US"/>
              </w:rPr>
              <w:t>(July 2020)</w:t>
            </w:r>
          </w:p>
        </w:tc>
        <w:tc>
          <w:tcPr>
            <w:tcW w:w="1134" w:type="dxa"/>
            <w:shd w:val="clear" w:color="auto" w:fill="D9D9D9" w:themeFill="background1" w:themeFillShade="D9"/>
            <w:vAlign w:val="center"/>
          </w:tcPr>
          <w:p w:rsidR="00283A0F" w:rsidRPr="00732139" w:rsidRDefault="00283A0F"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5</w:t>
            </w:r>
          </w:p>
        </w:tc>
        <w:tc>
          <w:tcPr>
            <w:tcW w:w="1134" w:type="dxa"/>
            <w:shd w:val="clear" w:color="auto" w:fill="D9D9D9" w:themeFill="background1" w:themeFillShade="D9"/>
            <w:vAlign w:val="center"/>
          </w:tcPr>
          <w:p w:rsidR="00283A0F" w:rsidRPr="00732139" w:rsidRDefault="00283A0F"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2</w:t>
            </w:r>
          </w:p>
        </w:tc>
        <w:tc>
          <w:tcPr>
            <w:tcW w:w="1134" w:type="dxa"/>
            <w:shd w:val="clear" w:color="auto" w:fill="D9D9D9" w:themeFill="background1" w:themeFillShade="D9"/>
            <w:vAlign w:val="center"/>
          </w:tcPr>
          <w:p w:rsidR="00283A0F" w:rsidRPr="00732139" w:rsidRDefault="00283A0F"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3</w:t>
            </w:r>
          </w:p>
        </w:tc>
        <w:tc>
          <w:tcPr>
            <w:tcW w:w="1134" w:type="dxa"/>
            <w:shd w:val="clear" w:color="auto" w:fill="D9D9D9" w:themeFill="background1" w:themeFillShade="D9"/>
            <w:vAlign w:val="center"/>
          </w:tcPr>
          <w:p w:rsidR="00283A0F" w:rsidRPr="00732139" w:rsidRDefault="00283A0F"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6</w:t>
            </w:r>
          </w:p>
        </w:tc>
        <w:tc>
          <w:tcPr>
            <w:tcW w:w="1134" w:type="dxa"/>
            <w:shd w:val="clear" w:color="auto" w:fill="D9D9D9" w:themeFill="background1" w:themeFillShade="D9"/>
            <w:vAlign w:val="center"/>
          </w:tcPr>
          <w:p w:rsidR="00283A0F" w:rsidRPr="00732139" w:rsidRDefault="00283A0F"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6</w:t>
            </w:r>
          </w:p>
        </w:tc>
        <w:tc>
          <w:tcPr>
            <w:tcW w:w="1134" w:type="dxa"/>
            <w:shd w:val="clear" w:color="auto" w:fill="D9D9D9" w:themeFill="background1" w:themeFillShade="D9"/>
            <w:vAlign w:val="center"/>
          </w:tcPr>
          <w:p w:rsidR="00283A0F" w:rsidRPr="00732139" w:rsidRDefault="00283A0F"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7</w:t>
            </w:r>
          </w:p>
        </w:tc>
      </w:tr>
      <w:tr w:rsidR="00141558" w:rsidRPr="00732139" w:rsidTr="00151899">
        <w:tc>
          <w:tcPr>
            <w:tcW w:w="2263" w:type="dxa"/>
            <w:shd w:val="clear" w:color="auto" w:fill="D9D9D9" w:themeFill="background1" w:themeFillShade="D9"/>
            <w:vAlign w:val="center"/>
          </w:tcPr>
          <w:p w:rsidR="00141558" w:rsidRPr="00732139" w:rsidRDefault="00141558" w:rsidP="00114974">
            <w:pPr>
              <w:pStyle w:val="TableText"/>
              <w:keepLines/>
              <w:widowControl w:val="0"/>
              <w:rPr>
                <w:b/>
                <w:bCs w:val="0"/>
                <w:lang w:eastAsia="en-US"/>
              </w:rPr>
            </w:pPr>
            <w:r w:rsidRPr="00732139">
              <w:rPr>
                <w:b/>
                <w:bCs w:val="0"/>
                <w:lang w:eastAsia="en-US"/>
              </w:rPr>
              <w:t>Net cost to government (July 2020)</w:t>
            </w:r>
          </w:p>
        </w:tc>
        <w:tc>
          <w:tcPr>
            <w:tcW w:w="1134" w:type="dxa"/>
            <w:shd w:val="clear" w:color="auto" w:fill="D9D9D9" w:themeFill="background1" w:themeFillShade="D9"/>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4</w:t>
            </w:r>
          </w:p>
        </w:tc>
        <w:tc>
          <w:tcPr>
            <w:tcW w:w="1134" w:type="dxa"/>
            <w:shd w:val="clear" w:color="auto" w:fill="D9D9D9" w:themeFill="background1" w:themeFillShade="D9"/>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4</w:t>
            </w:r>
          </w:p>
        </w:tc>
        <w:tc>
          <w:tcPr>
            <w:tcW w:w="1134" w:type="dxa"/>
            <w:shd w:val="clear" w:color="auto" w:fill="D9D9D9" w:themeFill="background1" w:themeFillShade="D9"/>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4</w:t>
            </w:r>
          </w:p>
        </w:tc>
        <w:tc>
          <w:tcPr>
            <w:tcW w:w="1134" w:type="dxa"/>
            <w:shd w:val="clear" w:color="auto" w:fill="D9D9D9" w:themeFill="background1" w:themeFillShade="D9"/>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4</w:t>
            </w:r>
          </w:p>
        </w:tc>
        <w:tc>
          <w:tcPr>
            <w:tcW w:w="1134" w:type="dxa"/>
            <w:shd w:val="clear" w:color="auto" w:fill="D9D9D9" w:themeFill="background1" w:themeFillShade="D9"/>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4</w:t>
            </w:r>
          </w:p>
        </w:tc>
        <w:tc>
          <w:tcPr>
            <w:tcW w:w="1134" w:type="dxa"/>
            <w:shd w:val="clear" w:color="auto" w:fill="D9D9D9" w:themeFill="background1" w:themeFillShade="D9"/>
            <w:vAlign w:val="center"/>
          </w:tcPr>
          <w:p w:rsidR="00141558" w:rsidRPr="00732139" w:rsidRDefault="00141558" w:rsidP="00517A9D">
            <w:pPr>
              <w:pStyle w:val="TableText"/>
              <w:keepLines/>
              <w:widowControl w:val="0"/>
              <w:jc w:val="center"/>
              <w:rPr>
                <w:b/>
                <w:bCs w:val="0"/>
                <w:lang w:eastAsia="en-US"/>
              </w:rPr>
            </w:pPr>
            <w:r w:rsidRPr="00732139">
              <w:rPr>
                <w:b/>
                <w:bCs w:val="0"/>
                <w:lang w:eastAsia="en-US"/>
              </w:rPr>
              <w:t>$</w:t>
            </w:r>
            <w:r w:rsidR="008661E6">
              <w:rPr>
                <w:b/>
                <w:bCs w:val="0"/>
                <w:noProof/>
                <w:color w:val="000000"/>
                <w:highlight w:val="black"/>
                <w:lang w:eastAsia="en-US"/>
              </w:rPr>
              <w:t>''''''''''''''''''</w:t>
            </w:r>
            <w:r w:rsidR="00517A9D">
              <w:rPr>
                <w:vertAlign w:val="superscript"/>
                <w:lang w:eastAsia="en-US"/>
              </w:rPr>
              <w:t>4</w:t>
            </w:r>
          </w:p>
        </w:tc>
      </w:tr>
    </w:tbl>
    <w:p w:rsidR="00141558" w:rsidRPr="00732139" w:rsidRDefault="00141558" w:rsidP="00114974">
      <w:pPr>
        <w:keepNext/>
        <w:keepLines/>
        <w:widowControl w:val="0"/>
        <w:rPr>
          <w:rFonts w:ascii="Arial Narrow" w:hAnsi="Arial Narrow"/>
          <w:snapToGrid w:val="0"/>
          <w:sz w:val="18"/>
          <w:szCs w:val="22"/>
          <w:lang w:eastAsia="en-US"/>
        </w:rPr>
      </w:pPr>
      <w:r w:rsidRPr="00732139">
        <w:rPr>
          <w:rFonts w:ascii="Arial Narrow" w:hAnsi="Arial Narrow"/>
          <w:snapToGrid w:val="0"/>
          <w:sz w:val="18"/>
          <w:szCs w:val="22"/>
          <w:lang w:eastAsia="en-US"/>
        </w:rPr>
        <w:t>Source: Table 4.9</w:t>
      </w:r>
      <w:r w:rsidR="007E04C9" w:rsidRPr="00732139">
        <w:rPr>
          <w:rFonts w:ascii="Arial Narrow" w:hAnsi="Arial Narrow"/>
          <w:snapToGrid w:val="0"/>
          <w:sz w:val="18"/>
          <w:szCs w:val="22"/>
          <w:lang w:eastAsia="en-US"/>
        </w:rPr>
        <w:t xml:space="preserve">, </w:t>
      </w:r>
      <w:r w:rsidRPr="00732139">
        <w:rPr>
          <w:rFonts w:ascii="Arial Narrow" w:hAnsi="Arial Narrow"/>
          <w:snapToGrid w:val="0"/>
          <w:sz w:val="18"/>
          <w:szCs w:val="22"/>
          <w:lang w:eastAsia="en-US"/>
        </w:rPr>
        <w:t>p289-290</w:t>
      </w:r>
      <w:r w:rsidR="007E04C9" w:rsidRPr="00732139">
        <w:rPr>
          <w:rFonts w:ascii="Arial Narrow" w:hAnsi="Arial Narrow"/>
          <w:snapToGrid w:val="0"/>
          <w:sz w:val="18"/>
          <w:szCs w:val="22"/>
          <w:lang w:eastAsia="en-US"/>
        </w:rPr>
        <w:t>;</w:t>
      </w:r>
      <w:r w:rsidRPr="00732139">
        <w:rPr>
          <w:rFonts w:ascii="Arial Narrow" w:hAnsi="Arial Narrow"/>
          <w:snapToGrid w:val="0"/>
          <w:sz w:val="18"/>
          <w:szCs w:val="22"/>
          <w:lang w:eastAsia="en-US"/>
        </w:rPr>
        <w:t xml:space="preserve"> Table 4.10</w:t>
      </w:r>
      <w:r w:rsidR="007E04C9" w:rsidRPr="00732139">
        <w:rPr>
          <w:rFonts w:ascii="Arial Narrow" w:hAnsi="Arial Narrow"/>
          <w:snapToGrid w:val="0"/>
          <w:sz w:val="18"/>
          <w:szCs w:val="22"/>
          <w:lang w:eastAsia="en-US"/>
        </w:rPr>
        <w:t xml:space="preserve">, </w:t>
      </w:r>
      <w:r w:rsidRPr="00732139">
        <w:rPr>
          <w:rFonts w:ascii="Arial Narrow" w:hAnsi="Arial Narrow"/>
          <w:snapToGrid w:val="0"/>
          <w:sz w:val="18"/>
          <w:szCs w:val="22"/>
          <w:lang w:eastAsia="en-US"/>
        </w:rPr>
        <w:t>p290-291</w:t>
      </w:r>
      <w:r w:rsidR="007E04C9" w:rsidRPr="00732139">
        <w:rPr>
          <w:rFonts w:ascii="Arial Narrow" w:hAnsi="Arial Narrow"/>
          <w:snapToGrid w:val="0"/>
          <w:sz w:val="18"/>
          <w:szCs w:val="22"/>
          <w:lang w:eastAsia="en-US"/>
        </w:rPr>
        <w:t>;</w:t>
      </w:r>
      <w:r w:rsidRPr="00732139">
        <w:rPr>
          <w:rFonts w:ascii="Arial Narrow" w:hAnsi="Arial Narrow"/>
          <w:snapToGrid w:val="0"/>
          <w:sz w:val="18"/>
          <w:szCs w:val="22"/>
          <w:lang w:eastAsia="en-US"/>
        </w:rPr>
        <w:t xml:space="preserve"> Table 4.12</w:t>
      </w:r>
      <w:r w:rsidR="007E04C9" w:rsidRPr="00732139">
        <w:rPr>
          <w:rFonts w:ascii="Arial Narrow" w:hAnsi="Arial Narrow"/>
          <w:snapToGrid w:val="0"/>
          <w:sz w:val="18"/>
          <w:szCs w:val="22"/>
          <w:lang w:eastAsia="en-US"/>
        </w:rPr>
        <w:t xml:space="preserve">, </w:t>
      </w:r>
      <w:r w:rsidRPr="00732139">
        <w:rPr>
          <w:rFonts w:ascii="Arial Narrow" w:hAnsi="Arial Narrow"/>
          <w:snapToGrid w:val="0"/>
          <w:sz w:val="18"/>
          <w:szCs w:val="22"/>
          <w:lang w:eastAsia="en-US"/>
        </w:rPr>
        <w:t>p291</w:t>
      </w:r>
      <w:r w:rsidR="007E04C9" w:rsidRPr="00732139">
        <w:rPr>
          <w:rFonts w:ascii="Arial Narrow" w:hAnsi="Arial Narrow"/>
          <w:snapToGrid w:val="0"/>
          <w:sz w:val="18"/>
          <w:szCs w:val="22"/>
          <w:lang w:eastAsia="en-US"/>
        </w:rPr>
        <w:t>;</w:t>
      </w:r>
      <w:r w:rsidRPr="00732139">
        <w:rPr>
          <w:rFonts w:ascii="Arial Narrow" w:hAnsi="Arial Narrow"/>
          <w:snapToGrid w:val="0"/>
          <w:sz w:val="18"/>
          <w:szCs w:val="22"/>
          <w:lang w:eastAsia="en-US"/>
        </w:rPr>
        <w:t xml:space="preserve"> Table 4.13</w:t>
      </w:r>
      <w:r w:rsidR="007E04C9" w:rsidRPr="00732139">
        <w:rPr>
          <w:rFonts w:ascii="Arial Narrow" w:hAnsi="Arial Narrow"/>
          <w:snapToGrid w:val="0"/>
          <w:sz w:val="18"/>
          <w:szCs w:val="22"/>
          <w:lang w:eastAsia="en-US"/>
        </w:rPr>
        <w:t xml:space="preserve">, </w:t>
      </w:r>
      <w:r w:rsidRPr="00732139">
        <w:rPr>
          <w:rFonts w:ascii="Arial Narrow" w:hAnsi="Arial Narrow"/>
          <w:snapToGrid w:val="0"/>
          <w:sz w:val="18"/>
          <w:szCs w:val="22"/>
          <w:lang w:eastAsia="en-US"/>
        </w:rPr>
        <w:t>p293</w:t>
      </w:r>
      <w:r w:rsidR="007E04C9" w:rsidRPr="00732139">
        <w:rPr>
          <w:rFonts w:ascii="Arial Narrow" w:hAnsi="Arial Narrow"/>
          <w:snapToGrid w:val="0"/>
          <w:sz w:val="18"/>
          <w:szCs w:val="22"/>
          <w:lang w:eastAsia="en-US"/>
        </w:rPr>
        <w:t>;</w:t>
      </w:r>
      <w:r w:rsidRPr="00732139">
        <w:rPr>
          <w:rFonts w:ascii="Arial Narrow" w:hAnsi="Arial Narrow"/>
          <w:snapToGrid w:val="0"/>
          <w:sz w:val="18"/>
          <w:szCs w:val="22"/>
          <w:lang w:eastAsia="en-US"/>
        </w:rPr>
        <w:t xml:space="preserve"> Table 4.16</w:t>
      </w:r>
      <w:r w:rsidR="007E04C9" w:rsidRPr="00732139">
        <w:rPr>
          <w:rFonts w:ascii="Arial Narrow" w:hAnsi="Arial Narrow"/>
          <w:snapToGrid w:val="0"/>
          <w:sz w:val="18"/>
          <w:szCs w:val="22"/>
          <w:lang w:eastAsia="en-US"/>
        </w:rPr>
        <w:t xml:space="preserve">, </w:t>
      </w:r>
      <w:r w:rsidRPr="00732139">
        <w:rPr>
          <w:rFonts w:ascii="Arial Narrow" w:hAnsi="Arial Narrow"/>
          <w:snapToGrid w:val="0"/>
          <w:sz w:val="18"/>
          <w:szCs w:val="22"/>
          <w:lang w:eastAsia="en-US"/>
        </w:rPr>
        <w:t>p295-296</w:t>
      </w:r>
      <w:r w:rsidR="007E04C9" w:rsidRPr="00732139">
        <w:rPr>
          <w:rFonts w:ascii="Arial Narrow" w:hAnsi="Arial Narrow"/>
          <w:snapToGrid w:val="0"/>
          <w:sz w:val="18"/>
          <w:szCs w:val="22"/>
          <w:lang w:eastAsia="en-US"/>
        </w:rPr>
        <w:t>;</w:t>
      </w:r>
      <w:r w:rsidRPr="00732139">
        <w:rPr>
          <w:rFonts w:ascii="Arial Narrow" w:hAnsi="Arial Narrow"/>
          <w:snapToGrid w:val="0"/>
          <w:sz w:val="18"/>
          <w:szCs w:val="22"/>
          <w:lang w:eastAsia="en-US"/>
        </w:rPr>
        <w:t xml:space="preserve"> Table 4.17</w:t>
      </w:r>
      <w:r w:rsidR="007E04C9" w:rsidRPr="00732139">
        <w:rPr>
          <w:rFonts w:ascii="Arial Narrow" w:hAnsi="Arial Narrow"/>
          <w:snapToGrid w:val="0"/>
          <w:sz w:val="18"/>
          <w:szCs w:val="22"/>
          <w:lang w:eastAsia="en-US"/>
        </w:rPr>
        <w:t xml:space="preserve">, </w:t>
      </w:r>
      <w:r w:rsidRPr="00732139">
        <w:rPr>
          <w:rFonts w:ascii="Arial Narrow" w:hAnsi="Arial Narrow"/>
          <w:snapToGrid w:val="0"/>
          <w:sz w:val="18"/>
          <w:szCs w:val="22"/>
          <w:lang w:eastAsia="en-US"/>
        </w:rPr>
        <w:t>p297</w:t>
      </w:r>
      <w:r w:rsidR="007E04C9" w:rsidRPr="00732139">
        <w:rPr>
          <w:rFonts w:ascii="Arial Narrow" w:hAnsi="Arial Narrow"/>
          <w:snapToGrid w:val="0"/>
          <w:sz w:val="18"/>
          <w:szCs w:val="22"/>
          <w:lang w:eastAsia="en-US"/>
        </w:rPr>
        <w:t>;</w:t>
      </w:r>
      <w:r w:rsidRPr="00732139">
        <w:rPr>
          <w:rFonts w:ascii="Arial Narrow" w:hAnsi="Arial Narrow"/>
          <w:snapToGrid w:val="0"/>
          <w:sz w:val="18"/>
          <w:szCs w:val="22"/>
          <w:lang w:eastAsia="en-US"/>
        </w:rPr>
        <w:t xml:space="preserve"> Table 4.19</w:t>
      </w:r>
      <w:r w:rsidR="007E04C9" w:rsidRPr="00732139">
        <w:rPr>
          <w:rFonts w:ascii="Arial Narrow" w:hAnsi="Arial Narrow"/>
          <w:snapToGrid w:val="0"/>
          <w:sz w:val="18"/>
          <w:szCs w:val="22"/>
          <w:lang w:eastAsia="en-US"/>
        </w:rPr>
        <w:t xml:space="preserve">, </w:t>
      </w:r>
      <w:r w:rsidRPr="00732139">
        <w:rPr>
          <w:rFonts w:ascii="Arial Narrow" w:hAnsi="Arial Narrow"/>
          <w:snapToGrid w:val="0"/>
          <w:sz w:val="18"/>
          <w:szCs w:val="22"/>
          <w:lang w:eastAsia="en-US"/>
        </w:rPr>
        <w:t>p298</w:t>
      </w:r>
      <w:r w:rsidR="007E04C9" w:rsidRPr="00732139">
        <w:rPr>
          <w:rFonts w:ascii="Arial Narrow" w:hAnsi="Arial Narrow"/>
          <w:snapToGrid w:val="0"/>
          <w:sz w:val="18"/>
          <w:szCs w:val="22"/>
          <w:lang w:eastAsia="en-US"/>
        </w:rPr>
        <w:t>;</w:t>
      </w:r>
      <w:r w:rsidRPr="00732139">
        <w:rPr>
          <w:rFonts w:ascii="Arial Narrow" w:hAnsi="Arial Narrow"/>
          <w:snapToGrid w:val="0"/>
          <w:sz w:val="18"/>
          <w:szCs w:val="22"/>
          <w:lang w:eastAsia="en-US"/>
        </w:rPr>
        <w:t xml:space="preserve"> Table 4.20</w:t>
      </w:r>
      <w:r w:rsidR="007E04C9" w:rsidRPr="00732139">
        <w:rPr>
          <w:rFonts w:ascii="Arial Narrow" w:hAnsi="Arial Narrow"/>
          <w:snapToGrid w:val="0"/>
          <w:sz w:val="18"/>
          <w:szCs w:val="22"/>
          <w:lang w:eastAsia="en-US"/>
        </w:rPr>
        <w:t xml:space="preserve">, </w:t>
      </w:r>
      <w:r w:rsidRPr="00732139">
        <w:rPr>
          <w:rFonts w:ascii="Arial Narrow" w:hAnsi="Arial Narrow"/>
          <w:snapToGrid w:val="0"/>
          <w:sz w:val="18"/>
          <w:szCs w:val="22"/>
          <w:lang w:eastAsia="en-US"/>
        </w:rPr>
        <w:t>p299</w:t>
      </w:r>
      <w:r w:rsidR="007E04C9" w:rsidRPr="00732139">
        <w:rPr>
          <w:rFonts w:ascii="Arial Narrow" w:hAnsi="Arial Narrow"/>
          <w:snapToGrid w:val="0"/>
          <w:sz w:val="18"/>
          <w:szCs w:val="22"/>
          <w:lang w:eastAsia="en-US"/>
        </w:rPr>
        <w:t>;</w:t>
      </w:r>
      <w:r w:rsidRPr="00732139">
        <w:rPr>
          <w:rFonts w:ascii="Arial Narrow" w:hAnsi="Arial Narrow"/>
          <w:snapToGrid w:val="0"/>
          <w:sz w:val="18"/>
          <w:szCs w:val="22"/>
          <w:lang w:eastAsia="en-US"/>
        </w:rPr>
        <w:t xml:space="preserve"> Table 4.22</w:t>
      </w:r>
      <w:r w:rsidR="007E04C9" w:rsidRPr="00732139">
        <w:rPr>
          <w:rFonts w:ascii="Arial Narrow" w:hAnsi="Arial Narrow"/>
          <w:snapToGrid w:val="0"/>
          <w:sz w:val="18"/>
          <w:szCs w:val="22"/>
          <w:lang w:eastAsia="en-US"/>
        </w:rPr>
        <w:t xml:space="preserve">, </w:t>
      </w:r>
      <w:r w:rsidRPr="00732139">
        <w:rPr>
          <w:rFonts w:ascii="Arial Narrow" w:hAnsi="Arial Narrow"/>
          <w:snapToGrid w:val="0"/>
          <w:sz w:val="18"/>
          <w:szCs w:val="22"/>
          <w:lang w:eastAsia="en-US"/>
        </w:rPr>
        <w:t>p300</w:t>
      </w:r>
      <w:r w:rsidR="007E04C9" w:rsidRPr="00732139">
        <w:rPr>
          <w:rFonts w:ascii="Arial Narrow" w:hAnsi="Arial Narrow"/>
          <w:snapToGrid w:val="0"/>
          <w:sz w:val="18"/>
          <w:szCs w:val="22"/>
          <w:lang w:eastAsia="en-US"/>
        </w:rPr>
        <w:t>;</w:t>
      </w:r>
      <w:r w:rsidRPr="00732139">
        <w:rPr>
          <w:rFonts w:ascii="Arial Narrow" w:hAnsi="Arial Narrow"/>
          <w:snapToGrid w:val="0"/>
          <w:sz w:val="18"/>
          <w:szCs w:val="22"/>
          <w:lang w:eastAsia="en-US"/>
        </w:rPr>
        <w:t xml:space="preserve"> Table 4.23</w:t>
      </w:r>
      <w:r w:rsidR="007E04C9" w:rsidRPr="00732139">
        <w:rPr>
          <w:rFonts w:ascii="Arial Narrow" w:hAnsi="Arial Narrow"/>
          <w:snapToGrid w:val="0"/>
          <w:sz w:val="18"/>
          <w:szCs w:val="22"/>
          <w:lang w:eastAsia="en-US"/>
        </w:rPr>
        <w:t xml:space="preserve">, </w:t>
      </w:r>
      <w:r w:rsidRPr="00732139">
        <w:rPr>
          <w:rFonts w:ascii="Arial Narrow" w:hAnsi="Arial Narrow"/>
          <w:snapToGrid w:val="0"/>
          <w:sz w:val="18"/>
          <w:szCs w:val="22"/>
          <w:lang w:eastAsia="en-US"/>
        </w:rPr>
        <w:t>p301</w:t>
      </w:r>
      <w:r w:rsidR="007E04C9" w:rsidRPr="00732139">
        <w:rPr>
          <w:rFonts w:ascii="Arial Narrow" w:hAnsi="Arial Narrow"/>
          <w:snapToGrid w:val="0"/>
          <w:sz w:val="18"/>
          <w:szCs w:val="22"/>
          <w:lang w:eastAsia="en-US"/>
        </w:rPr>
        <w:t>;</w:t>
      </w:r>
      <w:r w:rsidRPr="00732139">
        <w:rPr>
          <w:rFonts w:ascii="Arial Narrow" w:hAnsi="Arial Narrow"/>
          <w:snapToGrid w:val="0"/>
          <w:sz w:val="18"/>
          <w:szCs w:val="22"/>
          <w:lang w:eastAsia="en-US"/>
        </w:rPr>
        <w:t xml:space="preserve"> Table 4.24</w:t>
      </w:r>
      <w:r w:rsidR="007E04C9" w:rsidRPr="00732139">
        <w:rPr>
          <w:rFonts w:ascii="Arial Narrow" w:hAnsi="Arial Narrow"/>
          <w:snapToGrid w:val="0"/>
          <w:sz w:val="18"/>
          <w:szCs w:val="22"/>
          <w:lang w:eastAsia="en-US"/>
        </w:rPr>
        <w:t xml:space="preserve">, </w:t>
      </w:r>
      <w:r w:rsidRPr="00732139">
        <w:rPr>
          <w:rFonts w:ascii="Arial Narrow" w:hAnsi="Arial Narrow"/>
          <w:snapToGrid w:val="0"/>
          <w:sz w:val="18"/>
          <w:szCs w:val="22"/>
          <w:lang w:eastAsia="en-US"/>
        </w:rPr>
        <w:t>p301-302 of the resubmission</w:t>
      </w:r>
    </w:p>
    <w:p w:rsidR="00141558" w:rsidRDefault="00141558" w:rsidP="00114974">
      <w:pPr>
        <w:keepNext/>
        <w:keepLines/>
        <w:widowControl w:val="0"/>
        <w:rPr>
          <w:rFonts w:ascii="Arial Narrow" w:hAnsi="Arial Narrow"/>
          <w:snapToGrid w:val="0"/>
          <w:sz w:val="18"/>
          <w:szCs w:val="22"/>
          <w:lang w:eastAsia="en-US"/>
        </w:rPr>
      </w:pPr>
      <w:r w:rsidRPr="00732139">
        <w:rPr>
          <w:rFonts w:ascii="Arial Narrow" w:hAnsi="Arial Narrow"/>
          <w:snapToGrid w:val="0"/>
          <w:sz w:val="18"/>
          <w:szCs w:val="22"/>
          <w:vertAlign w:val="superscript"/>
          <w:lang w:eastAsia="en-US"/>
        </w:rPr>
        <w:t xml:space="preserve"> a </w:t>
      </w:r>
      <w:r w:rsidRPr="00732139">
        <w:rPr>
          <w:rFonts w:ascii="Arial Narrow" w:hAnsi="Arial Narrow"/>
          <w:snapToGrid w:val="0"/>
          <w:sz w:val="18"/>
          <w:szCs w:val="22"/>
          <w:lang w:eastAsia="en-US"/>
        </w:rPr>
        <w:t>The apparent difference in Year 1 incident estimates compared to subsequent years was due to rounding as actual estimates from prior years were based on whole numbers while predicted estimates used decimal places</w:t>
      </w:r>
    </w:p>
    <w:p w:rsidR="00517A9D" w:rsidRDefault="00517A9D" w:rsidP="00517A9D">
      <w:pPr>
        <w:pStyle w:val="TableFigureFooter"/>
        <w:spacing w:after="0"/>
        <w:contextualSpacing w:val="0"/>
        <w:rPr>
          <w:i/>
        </w:rPr>
      </w:pPr>
      <w:r w:rsidRPr="009868C4">
        <w:rPr>
          <w:i/>
        </w:rPr>
        <w:t>The redacted values correspond to the following ranges</w:t>
      </w:r>
      <w:r>
        <w:rPr>
          <w:i/>
        </w:rPr>
        <w:t xml:space="preserve">: </w:t>
      </w:r>
    </w:p>
    <w:p w:rsidR="00517A9D" w:rsidRPr="00870C5D" w:rsidRDefault="00517A9D" w:rsidP="00517A9D">
      <w:pPr>
        <w:pStyle w:val="TableFigureFooter"/>
        <w:spacing w:after="0"/>
        <w:contextualSpacing w:val="0"/>
      </w:pPr>
      <w:r>
        <w:rPr>
          <w:i/>
          <w:vertAlign w:val="superscript"/>
        </w:rPr>
        <w:t>1</w:t>
      </w:r>
      <w:r>
        <w:rPr>
          <w:i/>
        </w:rPr>
        <w:t xml:space="preserve"> </w:t>
      </w:r>
      <w:r w:rsidRPr="00517A9D">
        <w:rPr>
          <w:i/>
        </w:rPr>
        <w:t>&lt; 500</w:t>
      </w:r>
    </w:p>
    <w:p w:rsidR="00517A9D" w:rsidRPr="00870C5D" w:rsidRDefault="00517A9D" w:rsidP="00517A9D">
      <w:pPr>
        <w:pStyle w:val="TableFigureFooter"/>
        <w:spacing w:after="0"/>
        <w:contextualSpacing w:val="0"/>
      </w:pPr>
      <w:r>
        <w:rPr>
          <w:i/>
          <w:vertAlign w:val="superscript"/>
        </w:rPr>
        <w:t>2</w:t>
      </w:r>
      <w:r>
        <w:rPr>
          <w:i/>
        </w:rPr>
        <w:t xml:space="preserve"> </w:t>
      </w:r>
      <w:r w:rsidRPr="00517A9D">
        <w:rPr>
          <w:i/>
        </w:rPr>
        <w:t>$50 million to &lt; $60 million</w:t>
      </w:r>
    </w:p>
    <w:p w:rsidR="00517A9D" w:rsidRPr="00870C5D" w:rsidRDefault="00517A9D" w:rsidP="00517A9D">
      <w:pPr>
        <w:pStyle w:val="TableFigureFooter"/>
        <w:spacing w:after="0"/>
        <w:contextualSpacing w:val="0"/>
      </w:pPr>
      <w:r>
        <w:rPr>
          <w:i/>
          <w:vertAlign w:val="superscript"/>
        </w:rPr>
        <w:t>3</w:t>
      </w:r>
      <w:r>
        <w:rPr>
          <w:i/>
        </w:rPr>
        <w:t xml:space="preserve"> </w:t>
      </w:r>
      <w:r w:rsidRPr="00517A9D">
        <w:rPr>
          <w:i/>
        </w:rPr>
        <w:t>$60 million to &lt; $70 million</w:t>
      </w:r>
    </w:p>
    <w:p w:rsidR="00517A9D" w:rsidRPr="00870C5D" w:rsidRDefault="00517A9D" w:rsidP="00517A9D">
      <w:pPr>
        <w:pStyle w:val="TableFigureFooter"/>
        <w:spacing w:after="0"/>
        <w:contextualSpacing w:val="0"/>
      </w:pPr>
      <w:r>
        <w:rPr>
          <w:i/>
          <w:vertAlign w:val="superscript"/>
        </w:rPr>
        <w:t>4</w:t>
      </w:r>
      <w:r>
        <w:rPr>
          <w:i/>
        </w:rPr>
        <w:t xml:space="preserve"> </w:t>
      </w:r>
      <w:r w:rsidRPr="00517A9D">
        <w:rPr>
          <w:i/>
        </w:rPr>
        <w:t>$0 to &lt; $10 million</w:t>
      </w:r>
    </w:p>
    <w:p w:rsidR="00517A9D" w:rsidRPr="00870C5D" w:rsidRDefault="00517A9D" w:rsidP="00517A9D">
      <w:pPr>
        <w:pStyle w:val="TableFigureFooter"/>
        <w:spacing w:after="0"/>
        <w:contextualSpacing w:val="0"/>
      </w:pPr>
      <w:r>
        <w:rPr>
          <w:i/>
          <w:vertAlign w:val="superscript"/>
        </w:rPr>
        <w:t>5</w:t>
      </w:r>
      <w:r>
        <w:rPr>
          <w:i/>
        </w:rPr>
        <w:t xml:space="preserve"> </w:t>
      </w:r>
      <w:r w:rsidRPr="00517A9D">
        <w:rPr>
          <w:i/>
        </w:rPr>
        <w:t>$40 million to &lt; $50 million</w:t>
      </w:r>
    </w:p>
    <w:p w:rsidR="00517A9D" w:rsidRPr="00870C5D" w:rsidRDefault="00517A9D" w:rsidP="00517A9D">
      <w:pPr>
        <w:pStyle w:val="TableFigureFooter"/>
        <w:spacing w:after="0"/>
        <w:contextualSpacing w:val="0"/>
      </w:pPr>
      <w:r>
        <w:rPr>
          <w:i/>
          <w:vertAlign w:val="superscript"/>
        </w:rPr>
        <w:t>6</w:t>
      </w:r>
      <w:r>
        <w:rPr>
          <w:i/>
        </w:rPr>
        <w:t xml:space="preserve"> </w:t>
      </w:r>
      <w:r w:rsidRPr="00517A9D">
        <w:rPr>
          <w:i/>
        </w:rPr>
        <w:t>$70 million to &lt; $80 million</w:t>
      </w:r>
    </w:p>
    <w:p w:rsidR="00517A9D" w:rsidRPr="00870C5D" w:rsidRDefault="00517A9D" w:rsidP="00517A9D">
      <w:pPr>
        <w:pStyle w:val="TableFigureFooter"/>
        <w:spacing w:after="0"/>
        <w:contextualSpacing w:val="0"/>
      </w:pPr>
      <w:r>
        <w:rPr>
          <w:i/>
          <w:vertAlign w:val="superscript"/>
        </w:rPr>
        <w:t>7</w:t>
      </w:r>
      <w:r>
        <w:rPr>
          <w:i/>
        </w:rPr>
        <w:t xml:space="preserve"> </w:t>
      </w:r>
      <w:r w:rsidRPr="00517A9D">
        <w:rPr>
          <w:i/>
        </w:rPr>
        <w:t>$80 million to &lt; $90 million</w:t>
      </w:r>
    </w:p>
    <w:p w:rsidR="00517A9D" w:rsidRPr="00732139" w:rsidRDefault="00517A9D" w:rsidP="00114974">
      <w:pPr>
        <w:keepNext/>
        <w:keepLines/>
        <w:widowControl w:val="0"/>
        <w:rPr>
          <w:rFonts w:ascii="Arial Narrow" w:hAnsi="Arial Narrow"/>
          <w:snapToGrid w:val="0"/>
          <w:sz w:val="18"/>
          <w:szCs w:val="22"/>
          <w:lang w:eastAsia="en-US"/>
        </w:rPr>
      </w:pPr>
    </w:p>
    <w:p w:rsidR="00141558" w:rsidRPr="00732139" w:rsidRDefault="00141558" w:rsidP="00141558">
      <w:pPr>
        <w:widowControl w:val="0"/>
        <w:rPr>
          <w:rFonts w:ascii="Arial Narrow" w:hAnsi="Arial Narrow"/>
          <w:snapToGrid w:val="0"/>
          <w:sz w:val="18"/>
          <w:szCs w:val="22"/>
          <w:lang w:eastAsia="en-US"/>
        </w:rPr>
      </w:pPr>
    </w:p>
    <w:p w:rsidR="00141558" w:rsidRPr="00732139" w:rsidRDefault="00227075" w:rsidP="00517A9D">
      <w:pPr>
        <w:pStyle w:val="ExecSumBodyText"/>
      </w:pPr>
      <w:r w:rsidRPr="00732139">
        <w:t xml:space="preserve">The net cost of listing ravulizumab on the PBS was estimated to be up to </w:t>
      </w:r>
      <w:r w:rsidR="00517A9D" w:rsidRPr="00517A9D">
        <w:t>$60 million to &lt; $70 million</w:t>
      </w:r>
      <w:r w:rsidR="00517A9D">
        <w:t xml:space="preserve"> </w:t>
      </w:r>
      <w:r w:rsidRPr="00732139">
        <w:t xml:space="preserve">in the sixth year of listing, with a cumulative total cost of </w:t>
      </w:r>
      <w:r w:rsidR="00517A9D" w:rsidRPr="00517A9D">
        <w:t>$300 million to &lt; $400 million</w:t>
      </w:r>
      <w:r w:rsidR="00517A9D">
        <w:t xml:space="preserve"> </w:t>
      </w:r>
      <w:r w:rsidRPr="00732139">
        <w:t xml:space="preserve">over six years. The resubmission also estimated savings of </w:t>
      </w:r>
      <w:r w:rsidR="00517A9D" w:rsidRPr="00517A9D">
        <w:t>$200 million to &lt; $300 million</w:t>
      </w:r>
      <w:r w:rsidR="00517A9D">
        <w:t xml:space="preserve"> </w:t>
      </w:r>
      <w:r w:rsidRPr="00732139">
        <w:t xml:space="preserve">over six years to the LSDP due to substitution and a saving of </w:t>
      </w:r>
      <w:r w:rsidR="00517A9D" w:rsidRPr="00517A9D">
        <w:t>$0 to &lt; $10 million</w:t>
      </w:r>
      <w:r w:rsidR="00517A9D">
        <w:t xml:space="preserve"> </w:t>
      </w:r>
      <w:r w:rsidRPr="00732139">
        <w:t xml:space="preserve">over six years to the MBS due to reduced administration costs. The net cost to government was </w:t>
      </w:r>
      <w:r w:rsidR="00517A9D" w:rsidRPr="00517A9D">
        <w:t>$40 million to &lt; $50 million</w:t>
      </w:r>
      <w:r w:rsidR="00517A9D">
        <w:t xml:space="preserve"> </w:t>
      </w:r>
      <w:r w:rsidRPr="00732139">
        <w:t>over six years which was primarily due to market growth associated with patients switching to subsidised ravulizumab treatment after previously being enrolled in clinical trials, with no cost offsets assumed for these patients</w:t>
      </w:r>
      <w:r w:rsidR="00141558" w:rsidRPr="00732139">
        <w:t>.</w:t>
      </w:r>
      <w:r w:rsidR="00757999" w:rsidRPr="00732139">
        <w:t xml:space="preserve"> The </w:t>
      </w:r>
      <w:r w:rsidR="00E12460" w:rsidRPr="00732139">
        <w:t xml:space="preserve">PBAC agreed with the </w:t>
      </w:r>
      <w:r w:rsidR="00B20D65" w:rsidRPr="00732139">
        <w:t xml:space="preserve">ESC </w:t>
      </w:r>
      <w:r w:rsidR="00E12460" w:rsidRPr="00732139">
        <w:t xml:space="preserve">that </w:t>
      </w:r>
      <w:r w:rsidR="00B20D65" w:rsidRPr="00732139">
        <w:t xml:space="preserve">patients </w:t>
      </w:r>
      <w:r w:rsidR="00757999" w:rsidRPr="00732139">
        <w:t>m</w:t>
      </w:r>
      <w:r w:rsidR="00B20D65" w:rsidRPr="00732139">
        <w:t>a</w:t>
      </w:r>
      <w:r w:rsidR="00757999" w:rsidRPr="00732139">
        <w:t xml:space="preserve">y continue to be enrolled in clinical trials going forward and this market growth was </w:t>
      </w:r>
      <w:r w:rsidR="00B20D65" w:rsidRPr="00732139">
        <w:t>not justified</w:t>
      </w:r>
      <w:r w:rsidR="00757999" w:rsidRPr="00732139">
        <w:t>.</w:t>
      </w:r>
    </w:p>
    <w:p w:rsidR="00B41477" w:rsidRPr="00732139" w:rsidRDefault="00141558" w:rsidP="00517A9D">
      <w:pPr>
        <w:pStyle w:val="ExecSumBodyText"/>
      </w:pPr>
      <w:r w:rsidRPr="00732139">
        <w:lastRenderedPageBreak/>
        <w:t xml:space="preserve">The previous July 2020 submission estimated that listing ravulizumab would be associated with a cumulative net cost of </w:t>
      </w:r>
      <w:r w:rsidR="00517A9D" w:rsidRPr="00517A9D">
        <w:rPr>
          <w:iCs/>
        </w:rPr>
        <w:t>$400 million to &lt; $500 million</w:t>
      </w:r>
      <w:r w:rsidR="00517A9D">
        <w:rPr>
          <w:iCs/>
        </w:rPr>
        <w:t xml:space="preserve"> </w:t>
      </w:r>
      <w:r w:rsidRPr="00732139">
        <w:t xml:space="preserve">over six years to the PBS. The </w:t>
      </w:r>
      <w:r w:rsidR="000B25D6" w:rsidRPr="00732139">
        <w:t>ESC noted that the</w:t>
      </w:r>
      <w:r w:rsidR="000B25D6" w:rsidRPr="00732139">
        <w:rPr>
          <w:i/>
        </w:rPr>
        <w:t xml:space="preserve"> </w:t>
      </w:r>
      <w:r w:rsidRPr="00732139">
        <w:t xml:space="preserve">difference in PBS </w:t>
      </w:r>
      <w:r w:rsidR="007D1FF6">
        <w:t xml:space="preserve">financial </w:t>
      </w:r>
      <w:r w:rsidRPr="00732139">
        <w:t xml:space="preserve">implications was primarily due to a reduction in the estimated population size (due to </w:t>
      </w:r>
      <w:r w:rsidR="00354C8F" w:rsidRPr="00732139">
        <w:t xml:space="preserve">the </w:t>
      </w:r>
      <w:r w:rsidRPr="00732139">
        <w:t>switch from an epidemiolog</w:t>
      </w:r>
      <w:r w:rsidR="00354C8F" w:rsidRPr="00732139">
        <w:t>ical</w:t>
      </w:r>
      <w:r w:rsidRPr="00732139">
        <w:t xml:space="preserve"> to </w:t>
      </w:r>
      <w:r w:rsidR="00354C8F" w:rsidRPr="00732139">
        <w:t xml:space="preserve">a </w:t>
      </w:r>
      <w:r w:rsidRPr="00732139">
        <w:t xml:space="preserve">market share approach) and reduction in </w:t>
      </w:r>
      <w:r w:rsidR="00800106" w:rsidRPr="00732139">
        <w:t>ravulizumab</w:t>
      </w:r>
      <w:r w:rsidRPr="00732139">
        <w:t xml:space="preserve"> price (cost-minimised price compared to eculizumab).</w:t>
      </w:r>
    </w:p>
    <w:p w:rsidR="00141558" w:rsidRPr="00732139" w:rsidRDefault="00141558" w:rsidP="00517A9D">
      <w:pPr>
        <w:pStyle w:val="ExecSumBodyText"/>
      </w:pPr>
      <w:r w:rsidRPr="00732139">
        <w:t xml:space="preserve">The previous July 2020 submission estimated that listing ravulizumab would be associated with a cumulative net cost </w:t>
      </w:r>
      <w:r w:rsidR="00BF5660" w:rsidRPr="00732139">
        <w:t xml:space="preserve">to the government </w:t>
      </w:r>
      <w:r w:rsidR="00CA30B7" w:rsidRPr="00732139">
        <w:t xml:space="preserve">including offsets due to substitution of eculizumab (LSDP drug acquisition and treatment administration costs) </w:t>
      </w:r>
      <w:r w:rsidR="00BF5660" w:rsidRPr="00732139">
        <w:t xml:space="preserve">of </w:t>
      </w:r>
      <w:r w:rsidR="00517A9D" w:rsidRPr="00517A9D">
        <w:rPr>
          <w:iCs/>
        </w:rPr>
        <w:t>$40 million to &lt; $50 million</w:t>
      </w:r>
      <w:r w:rsidR="00517A9D">
        <w:rPr>
          <w:iCs/>
        </w:rPr>
        <w:t xml:space="preserve"> </w:t>
      </w:r>
      <w:r w:rsidRPr="00732139">
        <w:t>over six years.</w:t>
      </w:r>
      <w:r w:rsidRPr="00732139">
        <w:rPr>
          <w:i/>
        </w:rPr>
        <w:t xml:space="preserve"> </w:t>
      </w:r>
      <w:r w:rsidRPr="00732139">
        <w:t xml:space="preserve">While appearing similar to current estimates, </w:t>
      </w:r>
      <w:r w:rsidR="00B41477" w:rsidRPr="00732139">
        <w:t xml:space="preserve">the previous estimates were based on a higher proposed price for ravulizumab but included a larger cost-offset associated with the substitution of eculizumab use on the LSDP. </w:t>
      </w:r>
    </w:p>
    <w:p w:rsidR="00141558" w:rsidRPr="00732139" w:rsidRDefault="00141558" w:rsidP="00141558">
      <w:pPr>
        <w:pStyle w:val="3-SubsectionHeading"/>
      </w:pPr>
      <w:bookmarkStart w:id="30" w:name="_Toc72331261"/>
      <w:r w:rsidRPr="00732139">
        <w:t>Quality Use of Medicines</w:t>
      </w:r>
      <w:bookmarkEnd w:id="30"/>
    </w:p>
    <w:p w:rsidR="00141558" w:rsidRPr="00732139" w:rsidRDefault="00141558" w:rsidP="00141558">
      <w:pPr>
        <w:pStyle w:val="ExecSumBodyText"/>
      </w:pPr>
      <w:r w:rsidRPr="00732139">
        <w:t>The resubmission stated the sponsor’s intent to conduct quality use of medicines activities to support the listing of ravulizumab for the treatment of paroxysmal nocturnal haemoglobinuria.</w:t>
      </w:r>
    </w:p>
    <w:p w:rsidR="000E429B" w:rsidRPr="00732139" w:rsidRDefault="000E429B" w:rsidP="00141558">
      <w:pPr>
        <w:pStyle w:val="ExecSumBodyText"/>
        <w:rPr>
          <w:iCs/>
        </w:rPr>
      </w:pPr>
      <w:r w:rsidRPr="00732139">
        <w:t xml:space="preserve">The resubmission argued that there would be no wastage should the most efficient vial combinations be used for each weight band. </w:t>
      </w:r>
      <w:r w:rsidRPr="00732139">
        <w:rPr>
          <w:iCs/>
        </w:rPr>
        <w:t>However, the prescribing of drugs listed under</w:t>
      </w:r>
      <w:r w:rsidR="007330A9" w:rsidRPr="00732139">
        <w:rPr>
          <w:iCs/>
        </w:rPr>
        <w:t xml:space="preserve"> the requested Section 100 – </w:t>
      </w:r>
      <w:r w:rsidR="007330A9" w:rsidRPr="00732139">
        <w:t>Highly Specialised Drugs</w:t>
      </w:r>
      <w:r w:rsidR="007330A9" w:rsidRPr="00732139">
        <w:rPr>
          <w:iCs/>
        </w:rPr>
        <w:t xml:space="preserve"> P</w:t>
      </w:r>
      <w:r w:rsidRPr="00732139">
        <w:rPr>
          <w:iCs/>
        </w:rPr>
        <w:t>rogram is not limited to the most efficient combination. The availability of a larger vial size increases the potential for wastage and also introduces administrative burden (e.g. patients within the 100 kg or more weight band would require 2 prescriptions of differing quantities to achieve the most efficient combination). The availability of two vial sizes also increases the risk of medication error, particularly given combinations of both vials are required to prevent wastage.</w:t>
      </w:r>
      <w:r w:rsidR="009576AD" w:rsidRPr="00732139">
        <w:rPr>
          <w:iCs/>
        </w:rPr>
        <w:t xml:space="preserve"> The PSCR disagreed that the availability of two vials would increase the risk of medication error, noting that the 3 mL and the 11 mL vials differ only in volume not concentration and are differentiated by colour branding. The PSCR instead argued that the increased drug concentrations allow for use of significantly fewer vials and reduced infusion times</w:t>
      </w:r>
      <w:r w:rsidR="00732139">
        <w:rPr>
          <w:iCs/>
        </w:rPr>
        <w:t xml:space="preserve">. </w:t>
      </w:r>
    </w:p>
    <w:p w:rsidR="00141558" w:rsidRPr="00732139" w:rsidRDefault="00141558" w:rsidP="00141558">
      <w:pPr>
        <w:pStyle w:val="3-SubsectionHeading"/>
      </w:pPr>
      <w:bookmarkStart w:id="31" w:name="_Toc72331262"/>
      <w:r w:rsidRPr="00732139">
        <w:t>Financial Management – Risk Sharing Arrangements</w:t>
      </w:r>
      <w:bookmarkEnd w:id="31"/>
    </w:p>
    <w:p w:rsidR="00141558" w:rsidRPr="00732139" w:rsidRDefault="00141558" w:rsidP="00141558">
      <w:pPr>
        <w:pStyle w:val="ExecSumBodyText"/>
      </w:pPr>
      <w:r w:rsidRPr="00732139">
        <w:t xml:space="preserve">The resubmission proposed a new </w:t>
      </w:r>
      <w:r w:rsidR="00374B6F">
        <w:t>S</w:t>
      </w:r>
      <w:r w:rsidR="00374B6F" w:rsidRPr="00732139">
        <w:t xml:space="preserve">pecial </w:t>
      </w:r>
      <w:r w:rsidR="00374B6F">
        <w:t>P</w:t>
      </w:r>
      <w:r w:rsidR="00374B6F" w:rsidRPr="00732139">
        <w:t xml:space="preserve">ricing </w:t>
      </w:r>
      <w:r w:rsidR="00374B6F">
        <w:t>A</w:t>
      </w:r>
      <w:r w:rsidR="00374B6F" w:rsidRPr="00732139">
        <w:t xml:space="preserve">rrangement </w:t>
      </w:r>
      <w:r w:rsidRPr="00732139">
        <w:t xml:space="preserve">consisting of a </w:t>
      </w:r>
      <w:r w:rsidR="008661E6">
        <w:rPr>
          <w:noProof/>
          <w:color w:val="000000"/>
          <w:highlight w:val="black"/>
        </w:rPr>
        <w:t>''''''''''''</w:t>
      </w:r>
      <w:r w:rsidRPr="00732139">
        <w:t>% rebate on the published DPMQ per script.</w:t>
      </w:r>
    </w:p>
    <w:p w:rsidR="00141558" w:rsidRPr="001C596E" w:rsidRDefault="00141558" w:rsidP="00141558">
      <w:pPr>
        <w:pStyle w:val="ExecSumBodyText"/>
      </w:pPr>
      <w:r w:rsidRPr="00732139">
        <w:t xml:space="preserve">The resubmission proposed a revised </w:t>
      </w:r>
      <w:r w:rsidR="00374B6F">
        <w:t>R</w:t>
      </w:r>
      <w:r w:rsidR="00374B6F" w:rsidRPr="00732139">
        <w:t xml:space="preserve">isk </w:t>
      </w:r>
      <w:r w:rsidR="00374B6F">
        <w:t>S</w:t>
      </w:r>
      <w:r w:rsidR="00374B6F" w:rsidRPr="00732139">
        <w:t xml:space="preserve">haring </w:t>
      </w:r>
      <w:r w:rsidR="00374B6F">
        <w:t>A</w:t>
      </w:r>
      <w:r w:rsidR="00374B6F" w:rsidRPr="00732139">
        <w:t xml:space="preserve">rrangement </w:t>
      </w:r>
      <w:r w:rsidRPr="00732139">
        <w:t xml:space="preserve">to manage uncertainty in </w:t>
      </w:r>
      <w:r w:rsidRPr="001C596E">
        <w:t xml:space="preserve">costs to </w:t>
      </w:r>
      <w:r w:rsidR="00BF5660" w:rsidRPr="001C596E">
        <w:t>g</w:t>
      </w:r>
      <w:r w:rsidRPr="001C596E">
        <w:t xml:space="preserve">overnment should ravulizumab be listed on the PBS. The proposal is based on two linked components; </w:t>
      </w:r>
      <w:r w:rsidR="008661E6">
        <w:rPr>
          <w:noProof/>
          <w:color w:val="000000"/>
          <w:highlight w:val="black"/>
        </w:rPr>
        <w:t>'''''''''''''''''''''''' ''''''''</w:t>
      </w:r>
      <w:r w:rsidRPr="001C596E">
        <w:t xml:space="preserve"> and </w:t>
      </w:r>
      <w:r w:rsidR="008661E6">
        <w:rPr>
          <w:noProof/>
          <w:color w:val="000000"/>
          <w:highlight w:val="black"/>
        </w:rPr>
        <w:t>'' ''''''''''' ''''' '''''' ''''''' ''''' ''''''''''''''''''''' ''''''''''''''' '''''''''''</w:t>
      </w:r>
      <w:r w:rsidRPr="001C596E">
        <w:t xml:space="preserve"> in patients previously treated with eculizumab. </w:t>
      </w:r>
    </w:p>
    <w:p w:rsidR="00141558" w:rsidRPr="00732139" w:rsidRDefault="00141558" w:rsidP="00141558">
      <w:pPr>
        <w:pStyle w:val="ExecSumBodyText"/>
      </w:pPr>
      <w:r w:rsidRPr="001C596E">
        <w:t xml:space="preserve">The resubmission proposed revised </w:t>
      </w:r>
      <w:r w:rsidR="008661E6">
        <w:rPr>
          <w:noProof/>
          <w:color w:val="000000"/>
          <w:highlight w:val="black"/>
        </w:rPr>
        <w:t>'''''''''''''''''''''''' '''''''''</w:t>
      </w:r>
      <w:r w:rsidRPr="001C596E">
        <w:t xml:space="preserve"> based on the </w:t>
      </w:r>
      <w:r w:rsidR="008661E6">
        <w:rPr>
          <w:noProof/>
          <w:color w:val="000000"/>
          <w:highlight w:val="black"/>
        </w:rPr>
        <w:t>''''''''''''''''' '''''''''' '''' ''''''''''''''''''''''' ''''''' '''''''''''''''''''''''</w:t>
      </w:r>
      <w:r w:rsidRPr="001C596E">
        <w:t xml:space="preserve"> over 6 years (summarised in </w:t>
      </w:r>
      <w:r w:rsidR="00255AFA" w:rsidRPr="001C596E">
        <w:t xml:space="preserve">the </w:t>
      </w:r>
      <w:r w:rsidRPr="001C596E">
        <w:t>table below).</w:t>
      </w:r>
      <w:r w:rsidRPr="00732139">
        <w:t xml:space="preserve"> The resubmission state</w:t>
      </w:r>
      <w:r w:rsidR="005D3954" w:rsidRPr="00732139">
        <w:t>d</w:t>
      </w:r>
      <w:r w:rsidRPr="00732139">
        <w:t xml:space="preserve"> that these estimates are consistent with the estimated use of </w:t>
      </w:r>
      <w:r w:rsidRPr="00732139">
        <w:lastRenderedPageBreak/>
        <w:t>eculizumab and ravulizumab in the budget impact model.</w:t>
      </w:r>
      <w:r w:rsidR="00B20D65" w:rsidRPr="00732139">
        <w:t xml:space="preserve"> As noted above, the expenditure growth was not justified.</w:t>
      </w:r>
    </w:p>
    <w:p w:rsidR="00141558" w:rsidRPr="00732139" w:rsidRDefault="00141558" w:rsidP="00141558">
      <w:pPr>
        <w:pStyle w:val="Tableheadingrow"/>
        <w:rPr>
          <w:lang w:val="en-AU" w:eastAsia="en-US"/>
        </w:rPr>
      </w:pPr>
      <w:r w:rsidRPr="00732139">
        <w:rPr>
          <w:lang w:val="en-AU" w:eastAsia="en-US"/>
        </w:rPr>
        <w:t xml:space="preserve">Table </w:t>
      </w:r>
      <w:r w:rsidR="00CB1C60">
        <w:rPr>
          <w:lang w:val="en-AU" w:eastAsia="en-US"/>
        </w:rPr>
        <w:t>19</w:t>
      </w:r>
      <w:r w:rsidRPr="00732139">
        <w:rPr>
          <w:lang w:val="en-AU" w:eastAsia="en-US"/>
        </w:rPr>
        <w:t>:  Commonwealth Payment Thresholds for New Deed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141558" w:rsidRPr="00732139" w:rsidTr="00151899">
        <w:trPr>
          <w:tblHeader/>
        </w:trPr>
        <w:tc>
          <w:tcPr>
            <w:tcW w:w="2263" w:type="dxa"/>
            <w:shd w:val="clear" w:color="auto" w:fill="auto"/>
            <w:vAlign w:val="center"/>
          </w:tcPr>
          <w:p w:rsidR="00141558" w:rsidRPr="00732139" w:rsidRDefault="00141558" w:rsidP="00151899">
            <w:pPr>
              <w:pStyle w:val="TableText"/>
              <w:widowControl w:val="0"/>
              <w:rPr>
                <w:b/>
                <w:lang w:eastAsia="en-US"/>
              </w:rPr>
            </w:pPr>
          </w:p>
        </w:tc>
        <w:tc>
          <w:tcPr>
            <w:tcW w:w="1134" w:type="dxa"/>
            <w:shd w:val="clear" w:color="auto" w:fill="auto"/>
            <w:vAlign w:val="center"/>
          </w:tcPr>
          <w:p w:rsidR="00141558" w:rsidRPr="00732139" w:rsidRDefault="00141558" w:rsidP="00151899">
            <w:pPr>
              <w:pStyle w:val="TableText"/>
              <w:widowControl w:val="0"/>
              <w:jc w:val="center"/>
              <w:rPr>
                <w:b/>
                <w:lang w:eastAsia="en-US"/>
              </w:rPr>
            </w:pPr>
            <w:r w:rsidRPr="00732139">
              <w:rPr>
                <w:b/>
                <w:lang w:eastAsia="en-US"/>
              </w:rPr>
              <w:t>Year 1</w:t>
            </w:r>
          </w:p>
          <w:p w:rsidR="00141558" w:rsidRPr="00732139" w:rsidRDefault="00141558" w:rsidP="00151899">
            <w:pPr>
              <w:pStyle w:val="TableText"/>
              <w:widowControl w:val="0"/>
              <w:jc w:val="center"/>
              <w:rPr>
                <w:b/>
                <w:lang w:eastAsia="en-US"/>
              </w:rPr>
            </w:pPr>
            <w:r w:rsidRPr="00732139">
              <w:rPr>
                <w:b/>
                <w:lang w:eastAsia="en-US"/>
              </w:rPr>
              <w:t>(2022)</w:t>
            </w:r>
          </w:p>
        </w:tc>
        <w:tc>
          <w:tcPr>
            <w:tcW w:w="1134" w:type="dxa"/>
            <w:shd w:val="clear" w:color="auto" w:fill="auto"/>
            <w:vAlign w:val="center"/>
          </w:tcPr>
          <w:p w:rsidR="00141558" w:rsidRPr="00732139" w:rsidRDefault="00141558" w:rsidP="00151899">
            <w:pPr>
              <w:pStyle w:val="TableText"/>
              <w:widowControl w:val="0"/>
              <w:jc w:val="center"/>
              <w:rPr>
                <w:b/>
                <w:lang w:eastAsia="en-US"/>
              </w:rPr>
            </w:pPr>
            <w:r w:rsidRPr="00732139">
              <w:rPr>
                <w:b/>
                <w:lang w:eastAsia="en-US"/>
              </w:rPr>
              <w:t xml:space="preserve">Year 2 </w:t>
            </w:r>
          </w:p>
          <w:p w:rsidR="00141558" w:rsidRPr="00732139" w:rsidRDefault="00141558" w:rsidP="00151899">
            <w:pPr>
              <w:pStyle w:val="TableText"/>
              <w:widowControl w:val="0"/>
              <w:jc w:val="center"/>
              <w:rPr>
                <w:b/>
                <w:lang w:eastAsia="en-US"/>
              </w:rPr>
            </w:pPr>
            <w:r w:rsidRPr="00732139">
              <w:rPr>
                <w:b/>
                <w:lang w:eastAsia="en-US"/>
              </w:rPr>
              <w:t>(2023)</w:t>
            </w:r>
          </w:p>
        </w:tc>
        <w:tc>
          <w:tcPr>
            <w:tcW w:w="1134" w:type="dxa"/>
            <w:shd w:val="clear" w:color="auto" w:fill="auto"/>
            <w:vAlign w:val="center"/>
          </w:tcPr>
          <w:p w:rsidR="00141558" w:rsidRPr="00732139" w:rsidRDefault="00141558" w:rsidP="00151899">
            <w:pPr>
              <w:pStyle w:val="TableText"/>
              <w:widowControl w:val="0"/>
              <w:jc w:val="center"/>
              <w:rPr>
                <w:b/>
                <w:lang w:eastAsia="en-US"/>
              </w:rPr>
            </w:pPr>
            <w:r w:rsidRPr="00732139">
              <w:rPr>
                <w:b/>
                <w:lang w:eastAsia="en-US"/>
              </w:rPr>
              <w:t xml:space="preserve">Year 3 </w:t>
            </w:r>
          </w:p>
          <w:p w:rsidR="00141558" w:rsidRPr="00732139" w:rsidRDefault="00141558" w:rsidP="00151899">
            <w:pPr>
              <w:pStyle w:val="TableText"/>
              <w:widowControl w:val="0"/>
              <w:jc w:val="center"/>
              <w:rPr>
                <w:b/>
                <w:lang w:eastAsia="en-US"/>
              </w:rPr>
            </w:pPr>
            <w:r w:rsidRPr="00732139">
              <w:rPr>
                <w:b/>
                <w:lang w:eastAsia="en-US"/>
              </w:rPr>
              <w:t>(2024)</w:t>
            </w:r>
          </w:p>
        </w:tc>
        <w:tc>
          <w:tcPr>
            <w:tcW w:w="1134" w:type="dxa"/>
            <w:shd w:val="clear" w:color="auto" w:fill="auto"/>
            <w:vAlign w:val="center"/>
          </w:tcPr>
          <w:p w:rsidR="00141558" w:rsidRPr="00732139" w:rsidRDefault="00141558" w:rsidP="00151899">
            <w:pPr>
              <w:pStyle w:val="TableText"/>
              <w:widowControl w:val="0"/>
              <w:jc w:val="center"/>
              <w:rPr>
                <w:b/>
                <w:lang w:eastAsia="en-US"/>
              </w:rPr>
            </w:pPr>
            <w:r w:rsidRPr="00732139">
              <w:rPr>
                <w:b/>
                <w:lang w:eastAsia="en-US"/>
              </w:rPr>
              <w:t xml:space="preserve">Year 4 </w:t>
            </w:r>
          </w:p>
          <w:p w:rsidR="00141558" w:rsidRPr="00732139" w:rsidRDefault="00141558" w:rsidP="00151899">
            <w:pPr>
              <w:pStyle w:val="TableText"/>
              <w:widowControl w:val="0"/>
              <w:jc w:val="center"/>
              <w:rPr>
                <w:b/>
                <w:lang w:eastAsia="en-US"/>
              </w:rPr>
            </w:pPr>
            <w:r w:rsidRPr="00732139">
              <w:rPr>
                <w:b/>
                <w:lang w:eastAsia="en-US"/>
              </w:rPr>
              <w:t>(2025)</w:t>
            </w:r>
          </w:p>
        </w:tc>
        <w:tc>
          <w:tcPr>
            <w:tcW w:w="1134" w:type="dxa"/>
            <w:shd w:val="clear" w:color="auto" w:fill="auto"/>
            <w:vAlign w:val="center"/>
          </w:tcPr>
          <w:p w:rsidR="00141558" w:rsidRPr="00732139" w:rsidRDefault="00141558" w:rsidP="00151899">
            <w:pPr>
              <w:pStyle w:val="TableText"/>
              <w:widowControl w:val="0"/>
              <w:jc w:val="center"/>
              <w:rPr>
                <w:b/>
                <w:lang w:eastAsia="en-US"/>
              </w:rPr>
            </w:pPr>
            <w:r w:rsidRPr="00732139">
              <w:rPr>
                <w:b/>
                <w:lang w:eastAsia="en-US"/>
              </w:rPr>
              <w:t xml:space="preserve">Year 5 </w:t>
            </w:r>
          </w:p>
          <w:p w:rsidR="00141558" w:rsidRPr="00732139" w:rsidRDefault="00141558" w:rsidP="00151899">
            <w:pPr>
              <w:pStyle w:val="TableText"/>
              <w:widowControl w:val="0"/>
              <w:jc w:val="center"/>
              <w:rPr>
                <w:b/>
                <w:lang w:eastAsia="en-US"/>
              </w:rPr>
            </w:pPr>
            <w:r w:rsidRPr="00732139">
              <w:rPr>
                <w:b/>
                <w:lang w:eastAsia="en-US"/>
              </w:rPr>
              <w:t>(2026)</w:t>
            </w:r>
          </w:p>
        </w:tc>
        <w:tc>
          <w:tcPr>
            <w:tcW w:w="1134" w:type="dxa"/>
            <w:shd w:val="clear" w:color="auto" w:fill="auto"/>
            <w:vAlign w:val="center"/>
          </w:tcPr>
          <w:p w:rsidR="00141558" w:rsidRPr="00732139" w:rsidRDefault="00141558" w:rsidP="00151899">
            <w:pPr>
              <w:pStyle w:val="TableText"/>
              <w:widowControl w:val="0"/>
              <w:jc w:val="center"/>
              <w:rPr>
                <w:b/>
                <w:lang w:eastAsia="en-US"/>
              </w:rPr>
            </w:pPr>
            <w:r w:rsidRPr="00732139">
              <w:rPr>
                <w:b/>
                <w:lang w:eastAsia="en-US"/>
              </w:rPr>
              <w:t xml:space="preserve">Year 6 </w:t>
            </w:r>
          </w:p>
          <w:p w:rsidR="00141558" w:rsidRPr="00732139" w:rsidRDefault="00141558" w:rsidP="00151899">
            <w:pPr>
              <w:pStyle w:val="TableText"/>
              <w:widowControl w:val="0"/>
              <w:jc w:val="center"/>
              <w:rPr>
                <w:b/>
                <w:lang w:eastAsia="en-US"/>
              </w:rPr>
            </w:pPr>
            <w:r w:rsidRPr="00732139">
              <w:rPr>
                <w:b/>
                <w:lang w:eastAsia="en-US"/>
              </w:rPr>
              <w:t>(2027)</w:t>
            </w:r>
          </w:p>
        </w:tc>
      </w:tr>
      <w:tr w:rsidR="00141558" w:rsidRPr="00732139" w:rsidTr="00151899">
        <w:tc>
          <w:tcPr>
            <w:tcW w:w="2263" w:type="dxa"/>
            <w:shd w:val="clear" w:color="auto" w:fill="auto"/>
            <w:vAlign w:val="center"/>
          </w:tcPr>
          <w:p w:rsidR="00141558" w:rsidRPr="004240F8" w:rsidRDefault="00141558" w:rsidP="004240F8">
            <w:pPr>
              <w:pStyle w:val="TableText"/>
              <w:widowControl w:val="0"/>
              <w:rPr>
                <w:vertAlign w:val="superscript"/>
                <w:lang w:eastAsia="en-US"/>
              </w:rPr>
            </w:pPr>
            <w:r w:rsidRPr="00732139">
              <w:rPr>
                <w:lang w:eastAsia="en-US"/>
              </w:rPr>
              <w:t>Cost of ravulizumab</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1</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2</w:t>
            </w:r>
          </w:p>
        </w:tc>
        <w:tc>
          <w:tcPr>
            <w:tcW w:w="1134" w:type="dxa"/>
            <w:shd w:val="clear" w:color="auto" w:fill="auto"/>
            <w:vAlign w:val="center"/>
          </w:tcPr>
          <w:p w:rsidR="00141558" w:rsidRPr="008661E6" w:rsidRDefault="00141558" w:rsidP="00517A9D">
            <w:pPr>
              <w:pStyle w:val="TableText"/>
              <w:widowControl w:val="0"/>
              <w:jc w:val="center"/>
              <w:rPr>
                <w:lang w:eastAsia="en-US"/>
              </w:rPr>
            </w:pPr>
            <w:r w:rsidRPr="00517A9D">
              <w:rPr>
                <w:lang w:eastAsia="en-US"/>
              </w:rPr>
              <w:t>$</w:t>
            </w:r>
            <w:r w:rsidR="008661E6">
              <w:rPr>
                <w:noProof/>
                <w:color w:val="000000"/>
                <w:highlight w:val="black"/>
                <w:lang w:eastAsia="en-US"/>
              </w:rPr>
              <w:t>''''''''''''''''''''''''''</w:t>
            </w:r>
            <w:r w:rsidR="004240F8">
              <w:rPr>
                <w:vertAlign w:val="superscript"/>
                <w:lang w:eastAsia="en-US"/>
              </w:rPr>
              <w:t>2</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2</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3</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3</w:t>
            </w:r>
          </w:p>
        </w:tc>
      </w:tr>
      <w:tr w:rsidR="00141558" w:rsidRPr="00732139" w:rsidTr="00151899">
        <w:tc>
          <w:tcPr>
            <w:tcW w:w="2263" w:type="dxa"/>
            <w:shd w:val="clear" w:color="auto" w:fill="auto"/>
            <w:vAlign w:val="center"/>
          </w:tcPr>
          <w:p w:rsidR="00141558" w:rsidRPr="00732139" w:rsidRDefault="00141558" w:rsidP="00151899">
            <w:pPr>
              <w:pStyle w:val="TableText"/>
              <w:widowControl w:val="0"/>
              <w:rPr>
                <w:lang w:eastAsia="en-US"/>
              </w:rPr>
            </w:pPr>
            <w:r w:rsidRPr="00732139">
              <w:rPr>
                <w:lang w:eastAsia="en-US"/>
              </w:rPr>
              <w:t>Cost of eculizumab</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4</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4</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4</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4</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4</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4</w:t>
            </w:r>
          </w:p>
        </w:tc>
      </w:tr>
      <w:tr w:rsidR="00141558" w:rsidRPr="00732139" w:rsidTr="00151899">
        <w:tc>
          <w:tcPr>
            <w:tcW w:w="2263" w:type="dxa"/>
            <w:shd w:val="clear" w:color="auto" w:fill="auto"/>
            <w:vAlign w:val="center"/>
          </w:tcPr>
          <w:p w:rsidR="00141558" w:rsidRPr="00732139" w:rsidRDefault="00141558" w:rsidP="00151899">
            <w:pPr>
              <w:pStyle w:val="TableText"/>
              <w:widowControl w:val="0"/>
              <w:rPr>
                <w:lang w:eastAsia="en-US"/>
              </w:rPr>
            </w:pPr>
            <w:r w:rsidRPr="00732139">
              <w:rPr>
                <w:lang w:eastAsia="en-US"/>
              </w:rPr>
              <w:t>Commonwealth Payment Threshold (ex GST)</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2</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2</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3</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3</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3</w:t>
            </w:r>
          </w:p>
        </w:tc>
        <w:tc>
          <w:tcPr>
            <w:tcW w:w="1134" w:type="dxa"/>
            <w:shd w:val="clear" w:color="auto" w:fill="auto"/>
            <w:vAlign w:val="center"/>
          </w:tcPr>
          <w:p w:rsidR="00141558" w:rsidRPr="00732139" w:rsidRDefault="00141558" w:rsidP="00517A9D">
            <w:pPr>
              <w:pStyle w:val="TableText"/>
              <w:widowControl w:val="0"/>
              <w:jc w:val="center"/>
              <w:rPr>
                <w:lang w:eastAsia="en-US"/>
              </w:rPr>
            </w:pPr>
            <w:r w:rsidRPr="00732139">
              <w:rPr>
                <w:lang w:eastAsia="en-US"/>
              </w:rPr>
              <w:t>$</w:t>
            </w:r>
            <w:r w:rsidR="008661E6">
              <w:rPr>
                <w:noProof/>
                <w:color w:val="000000"/>
                <w:highlight w:val="black"/>
                <w:lang w:eastAsia="en-US"/>
              </w:rPr>
              <w:t>'''''''''''''''''''''''''</w:t>
            </w:r>
            <w:r w:rsidR="004240F8">
              <w:rPr>
                <w:vertAlign w:val="superscript"/>
                <w:lang w:eastAsia="en-US"/>
              </w:rPr>
              <w:t>5</w:t>
            </w:r>
          </w:p>
        </w:tc>
      </w:tr>
      <w:tr w:rsidR="00141558" w:rsidRPr="00732139" w:rsidTr="00151899">
        <w:tc>
          <w:tcPr>
            <w:tcW w:w="2263" w:type="dxa"/>
            <w:shd w:val="clear" w:color="auto" w:fill="auto"/>
            <w:vAlign w:val="center"/>
          </w:tcPr>
          <w:p w:rsidR="00141558" w:rsidRPr="00732139" w:rsidRDefault="00141558" w:rsidP="00151899">
            <w:pPr>
              <w:pStyle w:val="TableText"/>
              <w:widowControl w:val="0"/>
              <w:rPr>
                <w:lang w:eastAsia="en-US"/>
              </w:rPr>
            </w:pPr>
            <w:r w:rsidRPr="00732139">
              <w:rPr>
                <w:lang w:eastAsia="en-US"/>
              </w:rPr>
              <w:t>Estimated patient number</w:t>
            </w:r>
          </w:p>
        </w:tc>
        <w:tc>
          <w:tcPr>
            <w:tcW w:w="1134" w:type="dxa"/>
            <w:shd w:val="clear" w:color="auto" w:fill="auto"/>
            <w:vAlign w:val="center"/>
          </w:tcPr>
          <w:p w:rsidR="00141558" w:rsidRPr="008661E6" w:rsidRDefault="008661E6" w:rsidP="00517A9D">
            <w:pPr>
              <w:pStyle w:val="TableText"/>
              <w:widowControl w:val="0"/>
              <w:jc w:val="center"/>
              <w:rPr>
                <w:lang w:eastAsia="en-US"/>
              </w:rPr>
            </w:pPr>
            <w:r>
              <w:rPr>
                <w:noProof/>
                <w:color w:val="000000"/>
                <w:highlight w:val="black"/>
                <w:lang w:eastAsia="en-US"/>
              </w:rPr>
              <w:t>''''''''''</w:t>
            </w:r>
            <w:r w:rsidR="004240F8">
              <w:rPr>
                <w:vertAlign w:val="superscript"/>
                <w:lang w:eastAsia="en-US"/>
              </w:rPr>
              <w:t>6</w:t>
            </w:r>
          </w:p>
        </w:tc>
        <w:tc>
          <w:tcPr>
            <w:tcW w:w="1134" w:type="dxa"/>
            <w:shd w:val="clear" w:color="auto" w:fill="auto"/>
            <w:vAlign w:val="center"/>
          </w:tcPr>
          <w:p w:rsidR="00141558" w:rsidRPr="008661E6" w:rsidRDefault="008661E6" w:rsidP="00517A9D">
            <w:pPr>
              <w:pStyle w:val="TableText"/>
              <w:widowControl w:val="0"/>
              <w:jc w:val="center"/>
              <w:rPr>
                <w:lang w:eastAsia="en-US"/>
              </w:rPr>
            </w:pPr>
            <w:r>
              <w:rPr>
                <w:noProof/>
                <w:color w:val="000000"/>
                <w:highlight w:val="black"/>
                <w:lang w:eastAsia="en-US"/>
              </w:rPr>
              <w:t>'''''''''</w:t>
            </w:r>
            <w:r w:rsidR="004240F8">
              <w:rPr>
                <w:vertAlign w:val="superscript"/>
                <w:lang w:eastAsia="en-US"/>
              </w:rPr>
              <w:t>6</w:t>
            </w:r>
          </w:p>
        </w:tc>
        <w:tc>
          <w:tcPr>
            <w:tcW w:w="1134" w:type="dxa"/>
            <w:shd w:val="clear" w:color="auto" w:fill="auto"/>
            <w:vAlign w:val="center"/>
          </w:tcPr>
          <w:p w:rsidR="00141558" w:rsidRPr="008661E6" w:rsidRDefault="008661E6" w:rsidP="00517A9D">
            <w:pPr>
              <w:pStyle w:val="TableText"/>
              <w:widowControl w:val="0"/>
              <w:jc w:val="center"/>
              <w:rPr>
                <w:lang w:eastAsia="en-US"/>
              </w:rPr>
            </w:pPr>
            <w:r>
              <w:rPr>
                <w:noProof/>
                <w:color w:val="000000"/>
                <w:highlight w:val="black"/>
                <w:lang w:eastAsia="en-US"/>
              </w:rPr>
              <w:t>''''''''''</w:t>
            </w:r>
            <w:r w:rsidR="004240F8">
              <w:rPr>
                <w:vertAlign w:val="superscript"/>
                <w:lang w:eastAsia="en-US"/>
              </w:rPr>
              <w:t>6</w:t>
            </w:r>
          </w:p>
        </w:tc>
        <w:tc>
          <w:tcPr>
            <w:tcW w:w="1134" w:type="dxa"/>
            <w:shd w:val="clear" w:color="auto" w:fill="auto"/>
            <w:vAlign w:val="center"/>
          </w:tcPr>
          <w:p w:rsidR="00141558" w:rsidRPr="008661E6" w:rsidRDefault="008661E6" w:rsidP="00517A9D">
            <w:pPr>
              <w:pStyle w:val="TableText"/>
              <w:widowControl w:val="0"/>
              <w:jc w:val="center"/>
              <w:rPr>
                <w:lang w:eastAsia="en-US"/>
              </w:rPr>
            </w:pPr>
            <w:r>
              <w:rPr>
                <w:noProof/>
                <w:color w:val="000000"/>
                <w:highlight w:val="black"/>
                <w:lang w:eastAsia="en-US"/>
              </w:rPr>
              <w:t>'''''''''</w:t>
            </w:r>
            <w:r w:rsidR="004240F8">
              <w:rPr>
                <w:vertAlign w:val="superscript"/>
                <w:lang w:eastAsia="en-US"/>
              </w:rPr>
              <w:t>6</w:t>
            </w:r>
          </w:p>
        </w:tc>
        <w:tc>
          <w:tcPr>
            <w:tcW w:w="1134" w:type="dxa"/>
            <w:shd w:val="clear" w:color="auto" w:fill="auto"/>
            <w:vAlign w:val="center"/>
          </w:tcPr>
          <w:p w:rsidR="00141558" w:rsidRPr="008661E6" w:rsidRDefault="008661E6" w:rsidP="00517A9D">
            <w:pPr>
              <w:pStyle w:val="TableText"/>
              <w:widowControl w:val="0"/>
              <w:jc w:val="center"/>
              <w:rPr>
                <w:lang w:eastAsia="en-US"/>
              </w:rPr>
            </w:pPr>
            <w:r>
              <w:rPr>
                <w:noProof/>
                <w:color w:val="000000"/>
                <w:highlight w:val="black"/>
                <w:lang w:eastAsia="en-US"/>
              </w:rPr>
              <w:t>'''''''''</w:t>
            </w:r>
            <w:r w:rsidR="004240F8">
              <w:rPr>
                <w:vertAlign w:val="superscript"/>
                <w:lang w:eastAsia="en-US"/>
              </w:rPr>
              <w:t>6</w:t>
            </w:r>
          </w:p>
        </w:tc>
        <w:tc>
          <w:tcPr>
            <w:tcW w:w="1134" w:type="dxa"/>
            <w:shd w:val="clear" w:color="auto" w:fill="auto"/>
            <w:vAlign w:val="center"/>
          </w:tcPr>
          <w:p w:rsidR="00141558" w:rsidRPr="008661E6" w:rsidRDefault="008661E6" w:rsidP="00517A9D">
            <w:pPr>
              <w:pStyle w:val="TableText"/>
              <w:widowControl w:val="0"/>
              <w:jc w:val="center"/>
              <w:rPr>
                <w:lang w:eastAsia="en-US"/>
              </w:rPr>
            </w:pPr>
            <w:r>
              <w:rPr>
                <w:noProof/>
                <w:color w:val="000000"/>
                <w:highlight w:val="black"/>
                <w:lang w:eastAsia="en-US"/>
              </w:rPr>
              <w:t>''''''''''</w:t>
            </w:r>
            <w:r w:rsidR="004240F8">
              <w:rPr>
                <w:vertAlign w:val="superscript"/>
                <w:lang w:eastAsia="en-US"/>
              </w:rPr>
              <w:t>6</w:t>
            </w:r>
          </w:p>
        </w:tc>
      </w:tr>
    </w:tbl>
    <w:p w:rsidR="00141558" w:rsidRDefault="00141558" w:rsidP="00141558">
      <w:pPr>
        <w:pStyle w:val="TableFigureFooter"/>
        <w:rPr>
          <w:lang w:eastAsia="en-US"/>
        </w:rPr>
      </w:pPr>
      <w:r w:rsidRPr="00732139">
        <w:rPr>
          <w:lang w:eastAsia="en-US"/>
        </w:rPr>
        <w:t>Source: Table 4.28</w:t>
      </w:r>
      <w:r w:rsidR="005D3954" w:rsidRPr="00732139">
        <w:rPr>
          <w:lang w:eastAsia="en-US"/>
        </w:rPr>
        <w:t xml:space="preserve">, </w:t>
      </w:r>
      <w:r w:rsidRPr="00732139">
        <w:rPr>
          <w:lang w:eastAsia="en-US"/>
        </w:rPr>
        <w:t>p305 of the resubmission</w:t>
      </w:r>
    </w:p>
    <w:p w:rsidR="004240F8" w:rsidRDefault="004240F8" w:rsidP="004240F8">
      <w:pPr>
        <w:pStyle w:val="TableFigureFooter"/>
        <w:spacing w:after="0"/>
        <w:contextualSpacing w:val="0"/>
        <w:rPr>
          <w:i/>
        </w:rPr>
      </w:pPr>
      <w:r w:rsidRPr="009868C4">
        <w:rPr>
          <w:i/>
        </w:rPr>
        <w:t>The redacted values correspond to the following ranges</w:t>
      </w:r>
      <w:r>
        <w:rPr>
          <w:i/>
        </w:rPr>
        <w:t xml:space="preserve">: </w:t>
      </w:r>
    </w:p>
    <w:p w:rsidR="004240F8" w:rsidRPr="00870C5D" w:rsidRDefault="004240F8" w:rsidP="004240F8">
      <w:pPr>
        <w:pStyle w:val="TableFigureFooter"/>
        <w:spacing w:after="0"/>
        <w:contextualSpacing w:val="0"/>
      </w:pPr>
      <w:r>
        <w:rPr>
          <w:i/>
          <w:vertAlign w:val="superscript"/>
        </w:rPr>
        <w:t>1</w:t>
      </w:r>
      <w:r>
        <w:rPr>
          <w:i/>
        </w:rPr>
        <w:t xml:space="preserve"> </w:t>
      </w:r>
      <w:r w:rsidRPr="004240F8">
        <w:rPr>
          <w:i/>
        </w:rPr>
        <w:t>$40 million to &lt; $50 million</w:t>
      </w:r>
    </w:p>
    <w:p w:rsidR="004240F8" w:rsidRPr="00870C5D" w:rsidRDefault="004240F8" w:rsidP="004240F8">
      <w:pPr>
        <w:pStyle w:val="TableFigureFooter"/>
        <w:spacing w:after="0"/>
        <w:contextualSpacing w:val="0"/>
      </w:pPr>
      <w:r>
        <w:rPr>
          <w:i/>
          <w:vertAlign w:val="superscript"/>
        </w:rPr>
        <w:t>2</w:t>
      </w:r>
      <w:r>
        <w:rPr>
          <w:i/>
        </w:rPr>
        <w:t xml:space="preserve"> </w:t>
      </w:r>
      <w:r w:rsidRPr="004240F8">
        <w:rPr>
          <w:i/>
        </w:rPr>
        <w:t>$50 million to &lt; $60 million</w:t>
      </w:r>
    </w:p>
    <w:p w:rsidR="004240F8" w:rsidRPr="00870C5D" w:rsidRDefault="004240F8" w:rsidP="004240F8">
      <w:pPr>
        <w:pStyle w:val="TableFigureFooter"/>
        <w:spacing w:after="0"/>
        <w:contextualSpacing w:val="0"/>
      </w:pPr>
      <w:r>
        <w:rPr>
          <w:i/>
          <w:vertAlign w:val="superscript"/>
        </w:rPr>
        <w:t>3</w:t>
      </w:r>
      <w:r>
        <w:rPr>
          <w:i/>
        </w:rPr>
        <w:t xml:space="preserve"> </w:t>
      </w:r>
      <w:r w:rsidRPr="004240F8">
        <w:rPr>
          <w:i/>
        </w:rPr>
        <w:t>$60 million to &lt; $70 million</w:t>
      </w:r>
    </w:p>
    <w:p w:rsidR="004240F8" w:rsidRPr="00870C5D" w:rsidRDefault="004240F8" w:rsidP="004240F8">
      <w:pPr>
        <w:pStyle w:val="TableFigureFooter"/>
        <w:spacing w:after="0"/>
        <w:contextualSpacing w:val="0"/>
      </w:pPr>
      <w:r>
        <w:rPr>
          <w:i/>
          <w:vertAlign w:val="superscript"/>
        </w:rPr>
        <w:t>4</w:t>
      </w:r>
      <w:r>
        <w:rPr>
          <w:i/>
        </w:rPr>
        <w:t xml:space="preserve"> </w:t>
      </w:r>
      <w:r w:rsidRPr="004240F8">
        <w:rPr>
          <w:i/>
        </w:rPr>
        <w:t>$0 to &lt; $10 million</w:t>
      </w:r>
    </w:p>
    <w:p w:rsidR="004240F8" w:rsidRPr="00870C5D" w:rsidRDefault="004240F8" w:rsidP="004240F8">
      <w:pPr>
        <w:pStyle w:val="TableFigureFooter"/>
        <w:spacing w:after="0"/>
        <w:contextualSpacing w:val="0"/>
      </w:pPr>
      <w:r>
        <w:rPr>
          <w:i/>
          <w:vertAlign w:val="superscript"/>
        </w:rPr>
        <w:t>5</w:t>
      </w:r>
      <w:r>
        <w:rPr>
          <w:i/>
        </w:rPr>
        <w:t xml:space="preserve"> </w:t>
      </w:r>
      <w:r w:rsidRPr="004240F8">
        <w:rPr>
          <w:i/>
        </w:rPr>
        <w:t>$70 million to &lt; $80 million</w:t>
      </w:r>
    </w:p>
    <w:p w:rsidR="004240F8" w:rsidRPr="004240F8" w:rsidRDefault="004240F8" w:rsidP="00141558">
      <w:pPr>
        <w:pStyle w:val="TableFigureFooter"/>
        <w:rPr>
          <w:lang w:eastAsia="en-US"/>
        </w:rPr>
      </w:pPr>
      <w:r>
        <w:rPr>
          <w:i/>
          <w:vertAlign w:val="superscript"/>
        </w:rPr>
        <w:t>6</w:t>
      </w:r>
      <w:r>
        <w:rPr>
          <w:i/>
        </w:rPr>
        <w:t xml:space="preserve"> </w:t>
      </w:r>
      <w:r w:rsidRPr="004240F8">
        <w:rPr>
          <w:i/>
        </w:rPr>
        <w:t>&lt; 500</w:t>
      </w:r>
    </w:p>
    <w:p w:rsidR="00141558" w:rsidRPr="00732139" w:rsidRDefault="00141558" w:rsidP="00141558">
      <w:pPr>
        <w:pStyle w:val="ExecSumBodyText"/>
      </w:pPr>
      <w:r w:rsidRPr="00732139">
        <w:t xml:space="preserve">The resubmission noted that the </w:t>
      </w:r>
      <w:r w:rsidRPr="001C596E">
        <w:t xml:space="preserve">proposed </w:t>
      </w:r>
      <w:r w:rsidR="008661E6">
        <w:rPr>
          <w:noProof/>
          <w:color w:val="000000"/>
          <w:highlight w:val="black"/>
        </w:rPr>
        <w:t>'''''''''''''''''''''' ''''''</w:t>
      </w:r>
      <w:r w:rsidRPr="001C596E">
        <w:t xml:space="preserve"> for C5 inhibitors does not include the cost of </w:t>
      </w:r>
      <w:r w:rsidR="008661E6">
        <w:rPr>
          <w:noProof/>
          <w:color w:val="000000"/>
          <w:highlight w:val="black"/>
        </w:rPr>
        <w:t>''''''''''''''''''''' '''''''''''''' ''''''''''' ''''''' ''''''''''''''''''' ''''''''''''' '''''''''''' ''''''''''' ''''' ''''''''''''''''' ''''''''''''''''''''''''''' ''' ''''' ''''''''''''''''' '''''' ''''''''''''''' '''''' ''''''''''''''''''''' '''''''''</w:t>
      </w:r>
      <w:r w:rsidRPr="001C596E">
        <w:t xml:space="preserve">. Alternatively, if the preference for </w:t>
      </w:r>
      <w:r w:rsidR="008233BE" w:rsidRPr="001C596E">
        <w:t>the g</w:t>
      </w:r>
      <w:r w:rsidRPr="001C596E">
        <w:t xml:space="preserve">overnment is for </w:t>
      </w:r>
      <w:r w:rsidR="008661E6">
        <w:rPr>
          <w:noProof/>
          <w:color w:val="000000"/>
          <w:highlight w:val="black"/>
        </w:rPr>
        <w:t>'''''''''''''''''''''''''' '''''''''''''''</w:t>
      </w:r>
      <w:r w:rsidRPr="001C596E">
        <w:t xml:space="preserve">, then the sponsor is willing to monitor the </w:t>
      </w:r>
      <w:r w:rsidR="008661E6">
        <w:rPr>
          <w:noProof/>
          <w:color w:val="000000"/>
          <w:highlight w:val="black"/>
        </w:rPr>
        <w:t>'''''''''''''' '''''''' '''' '''''' ''''''''''''''' '''''''''' '''''''' '''''''''''' '''''''''''''''''''''</w:t>
      </w:r>
      <w:r w:rsidRPr="001C596E">
        <w:t>.</w:t>
      </w:r>
    </w:p>
    <w:p w:rsidR="00355A42" w:rsidRPr="00732139" w:rsidRDefault="00355A42" w:rsidP="00355A42">
      <w:pPr>
        <w:pStyle w:val="ExecSumBodyText"/>
        <w:numPr>
          <w:ilvl w:val="0"/>
          <w:numId w:val="0"/>
        </w:numPr>
        <w:ind w:left="720"/>
      </w:pPr>
      <w:r w:rsidRPr="00732139">
        <w:rPr>
          <w:i/>
        </w:rPr>
        <w:t>For more detail on PBAC’s view, see section 7 PBAC outcome.</w:t>
      </w:r>
    </w:p>
    <w:p w:rsidR="003210DB" w:rsidRDefault="003210DB" w:rsidP="008062B2">
      <w:pPr>
        <w:tabs>
          <w:tab w:val="left" w:pos="5148"/>
        </w:tabs>
        <w:jc w:val="left"/>
        <w:rPr>
          <w:rFonts w:asciiTheme="minorHAnsi" w:hAnsiTheme="minorHAnsi"/>
          <w:b/>
          <w:snapToGrid w:val="0"/>
          <w:sz w:val="32"/>
          <w:szCs w:val="32"/>
        </w:rPr>
      </w:pPr>
      <w:r>
        <w:br w:type="page"/>
      </w:r>
      <w:r w:rsidR="008062B2">
        <w:lastRenderedPageBreak/>
        <w:tab/>
      </w:r>
    </w:p>
    <w:p w:rsidR="00A37B2B" w:rsidRPr="00732139" w:rsidRDefault="00A37B2B" w:rsidP="00A37B2B">
      <w:pPr>
        <w:pStyle w:val="2-SectionHeading"/>
      </w:pPr>
      <w:r w:rsidRPr="00732139">
        <w:t>PBAC Outcome</w:t>
      </w:r>
    </w:p>
    <w:p w:rsidR="00E05E9D" w:rsidRPr="00732139" w:rsidRDefault="00E05E9D" w:rsidP="004337F0">
      <w:pPr>
        <w:pStyle w:val="ExecSumBodyText"/>
      </w:pPr>
      <w:r w:rsidRPr="00732139">
        <w:t xml:space="preserve">The PBAC recommended the </w:t>
      </w:r>
      <w:r w:rsidR="002F59A5" w:rsidRPr="00732139">
        <w:t>Authority Required (</w:t>
      </w:r>
      <w:r w:rsidR="00BA088F">
        <w:t>written</w:t>
      </w:r>
      <w:r w:rsidR="002F59A5" w:rsidRPr="00732139">
        <w:t xml:space="preserve">) </w:t>
      </w:r>
      <w:r w:rsidRPr="00732139">
        <w:t>listing of ravulizumab for the treatment of paroxysmal nocturnal haemoglobinuria (PNH)</w:t>
      </w:r>
      <w:r w:rsidR="004337F0" w:rsidRPr="00732139">
        <w:t xml:space="preserve">, on the basis that it should be available only under special arrangements under </w:t>
      </w:r>
      <w:r w:rsidR="008D2BFC" w:rsidRPr="00732139">
        <w:t>the S</w:t>
      </w:r>
      <w:r w:rsidR="004337F0" w:rsidRPr="00732139">
        <w:t>ection 100</w:t>
      </w:r>
      <w:r w:rsidR="008D2BFC" w:rsidRPr="00732139">
        <w:t xml:space="preserve"> – Highly Specialised Drugs Program</w:t>
      </w:r>
      <w:r w:rsidRPr="00732139">
        <w:t>. The PBAC considered the clinical evidence presented demonstrated that ravulizumab was likely to be non-inferior in safety and effectiveness c</w:t>
      </w:r>
      <w:r w:rsidR="002F59A5" w:rsidRPr="00732139">
        <w:t>ompared to eculizumab</w:t>
      </w:r>
      <w:r w:rsidRPr="00732139">
        <w:t xml:space="preserve">. </w:t>
      </w:r>
      <w:r w:rsidR="002F59A5" w:rsidRPr="00732139">
        <w:t>The PBAC noted that e</w:t>
      </w:r>
      <w:r w:rsidRPr="00732139">
        <w:t>culizumab is currently funded on the Life Saving Drugs Program (LSDP)</w:t>
      </w:r>
      <w:r w:rsidR="003900DA" w:rsidRPr="00732139">
        <w:t xml:space="preserve">. The PBAC </w:t>
      </w:r>
      <w:r w:rsidRPr="00732139">
        <w:t xml:space="preserve">considered the submission for ravulizumab provided an opportunity to reassess the cost-effectiveness of eculizumab for listing on the PBS. The PBAC considered the clinical </w:t>
      </w:r>
      <w:r w:rsidR="003568C4" w:rsidRPr="00732139">
        <w:t xml:space="preserve">data presented supported </w:t>
      </w:r>
      <w:r w:rsidR="003568C4" w:rsidRPr="00732139">
        <w:rPr>
          <w:iCs/>
        </w:rPr>
        <w:t xml:space="preserve">a survival advantage </w:t>
      </w:r>
      <w:r w:rsidRPr="00732139">
        <w:t>for eculizumab over best supportive care</w:t>
      </w:r>
      <w:r w:rsidR="00B65966" w:rsidRPr="00732139">
        <w:t xml:space="preserve"> (BSC)</w:t>
      </w:r>
      <w:r w:rsidRPr="00732139">
        <w:t>. Although the magnitude of the survival benefit in PNH remained uncertain and the cost-effectiveness was very high, the PBAC considered eculizumab would be appropriate for inclusion on the PBS at a r</w:t>
      </w:r>
      <w:r w:rsidR="00DF5D41" w:rsidRPr="00732139">
        <w:t>educed price</w:t>
      </w:r>
      <w:r w:rsidRPr="00732139">
        <w:t>.</w:t>
      </w:r>
      <w:r w:rsidR="001F0CCA" w:rsidRPr="00732139">
        <w:t xml:space="preserve"> The PBAC advised</w:t>
      </w:r>
      <w:r w:rsidRPr="00732139">
        <w:t xml:space="preserve"> ravulizumab be listed </w:t>
      </w:r>
      <w:r w:rsidR="00374B6F" w:rsidRPr="00732139">
        <w:t>based on</w:t>
      </w:r>
      <w:r w:rsidRPr="00732139">
        <w:t xml:space="preserve"> a cost-minimisation to eculi</w:t>
      </w:r>
      <w:r w:rsidR="00DF5D41" w:rsidRPr="00732139">
        <w:t>zumab</w:t>
      </w:r>
      <w:r w:rsidRPr="00732139">
        <w:t xml:space="preserve">. </w:t>
      </w:r>
    </w:p>
    <w:p w:rsidR="001F0CCA" w:rsidRPr="001C596E" w:rsidRDefault="000C70B1" w:rsidP="000C70B1">
      <w:pPr>
        <w:widowControl w:val="0"/>
        <w:numPr>
          <w:ilvl w:val="1"/>
          <w:numId w:val="1"/>
        </w:numPr>
        <w:spacing w:after="120"/>
        <w:rPr>
          <w:rFonts w:asciiTheme="minorHAnsi" w:hAnsiTheme="minorHAnsi"/>
          <w:bCs/>
          <w:snapToGrid w:val="0"/>
        </w:rPr>
      </w:pPr>
      <w:r w:rsidRPr="00732139">
        <w:t>The PBAC recommended eculizumab be moved from the LSDP to an Authority Required (</w:t>
      </w:r>
      <w:r w:rsidR="00BA088F">
        <w:rPr>
          <w:rFonts w:asciiTheme="minorHAnsi" w:hAnsiTheme="minorHAnsi"/>
          <w:snapToGrid w:val="0"/>
        </w:rPr>
        <w:t>written</w:t>
      </w:r>
      <w:r w:rsidRPr="00732139">
        <w:t>)</w:t>
      </w:r>
      <w:r w:rsidRPr="00732139">
        <w:rPr>
          <w:rFonts w:asciiTheme="minorHAnsi" w:hAnsiTheme="minorHAnsi"/>
          <w:snapToGrid w:val="0"/>
        </w:rPr>
        <w:t xml:space="preserve"> </w:t>
      </w:r>
      <w:r w:rsidRPr="00732139">
        <w:t xml:space="preserve">listing for PNH, </w:t>
      </w:r>
      <w:r w:rsidRPr="00732139">
        <w:rPr>
          <w:rFonts w:asciiTheme="minorHAnsi" w:hAnsiTheme="minorHAnsi"/>
        </w:rPr>
        <w:t>on the basis that it should be available only under special</w:t>
      </w:r>
      <w:r w:rsidR="008D2BFC" w:rsidRPr="00732139">
        <w:t xml:space="preserve"> arrangements under the Section 100 – Highly Specialised Drugs Program.</w:t>
      </w:r>
      <w:r w:rsidRPr="00732139">
        <w:rPr>
          <w:rFonts w:asciiTheme="minorHAnsi" w:hAnsiTheme="minorHAnsi"/>
          <w:bCs/>
          <w:snapToGrid w:val="0"/>
        </w:rPr>
        <w:t xml:space="preserve"> </w:t>
      </w:r>
      <w:r w:rsidR="00A37B2B" w:rsidRPr="00732139">
        <w:rPr>
          <w:rFonts w:asciiTheme="minorHAnsi" w:hAnsiTheme="minorHAnsi"/>
          <w:bCs/>
          <w:snapToGrid w:val="0"/>
        </w:rPr>
        <w:t xml:space="preserve">The PBAC is satisfied that </w:t>
      </w:r>
      <w:r w:rsidR="00CD38C4" w:rsidRPr="00732139">
        <w:rPr>
          <w:rFonts w:asciiTheme="minorHAnsi" w:hAnsiTheme="minorHAnsi"/>
          <w:bCs/>
          <w:snapToGrid w:val="0"/>
        </w:rPr>
        <w:t xml:space="preserve">eculizumab </w:t>
      </w:r>
      <w:r w:rsidR="00A37B2B" w:rsidRPr="00732139">
        <w:rPr>
          <w:rFonts w:asciiTheme="minorHAnsi" w:hAnsiTheme="minorHAnsi"/>
          <w:bCs/>
          <w:snapToGrid w:val="0"/>
        </w:rPr>
        <w:t>provides, for some patients, a significant improvement in effic</w:t>
      </w:r>
      <w:r w:rsidR="001F0CCA" w:rsidRPr="00732139">
        <w:rPr>
          <w:rFonts w:asciiTheme="minorHAnsi" w:hAnsiTheme="minorHAnsi"/>
          <w:bCs/>
          <w:snapToGrid w:val="0"/>
        </w:rPr>
        <w:t>acy</w:t>
      </w:r>
      <w:r w:rsidR="00A37B2B" w:rsidRPr="00732139">
        <w:rPr>
          <w:rFonts w:asciiTheme="minorHAnsi" w:hAnsiTheme="minorHAnsi"/>
          <w:bCs/>
          <w:snapToGrid w:val="0"/>
        </w:rPr>
        <w:t xml:space="preserve"> over</w:t>
      </w:r>
      <w:r w:rsidR="00B65966" w:rsidRPr="00732139">
        <w:rPr>
          <w:rFonts w:asciiTheme="minorHAnsi" w:hAnsiTheme="minorHAnsi"/>
          <w:bCs/>
          <w:snapToGrid w:val="0"/>
        </w:rPr>
        <w:t xml:space="preserve"> BSC</w:t>
      </w:r>
      <w:r w:rsidR="00A37B2B" w:rsidRPr="00732139">
        <w:rPr>
          <w:rFonts w:asciiTheme="minorHAnsi" w:hAnsiTheme="minorHAnsi"/>
          <w:bCs/>
          <w:snapToGrid w:val="0"/>
        </w:rPr>
        <w:t>.</w:t>
      </w:r>
      <w:r w:rsidR="001F0CCA" w:rsidRPr="00732139">
        <w:rPr>
          <w:rFonts w:asciiTheme="minorHAnsi" w:hAnsiTheme="minorHAnsi"/>
          <w:bCs/>
          <w:snapToGrid w:val="0"/>
        </w:rPr>
        <w:t xml:space="preserve"> </w:t>
      </w:r>
      <w:r w:rsidR="001F0CCA" w:rsidRPr="00732139">
        <w:t>The PBAC</w:t>
      </w:r>
      <w:r w:rsidR="008B57A9" w:rsidRPr="00732139">
        <w:t xml:space="preserve">’s recommendation for listing was based on, among </w:t>
      </w:r>
      <w:r w:rsidR="008B57A9" w:rsidRPr="001C596E">
        <w:t xml:space="preserve">other matters, its assessment as described above, that the </w:t>
      </w:r>
      <w:r w:rsidR="004337F0" w:rsidRPr="001C596E">
        <w:t xml:space="preserve">eculizumab would be appropriate for inclusion on the PBS </w:t>
      </w:r>
      <w:r w:rsidR="00DF5D41" w:rsidRPr="001C596E">
        <w:t>with a</w:t>
      </w:r>
      <w:r w:rsidR="008D2BFC" w:rsidRPr="001C596E">
        <w:t xml:space="preserve"> price reduction that is greater than</w:t>
      </w:r>
      <w:r w:rsidR="004337F0" w:rsidRPr="001C596E">
        <w:t xml:space="preserve"> </w:t>
      </w:r>
      <w:r w:rsidR="00E27461">
        <w:rPr>
          <w:noProof/>
          <w:color w:val="000000"/>
          <w:highlight w:val="black"/>
        </w:rPr>
        <w:t>''''''</w:t>
      </w:r>
      <w:r w:rsidR="004337F0" w:rsidRPr="001C596E">
        <w:t>%</w:t>
      </w:r>
      <w:r w:rsidR="00DF5D41" w:rsidRPr="001C596E">
        <w:t xml:space="preserve">. </w:t>
      </w:r>
    </w:p>
    <w:p w:rsidR="00DF5D41" w:rsidRPr="001C596E" w:rsidRDefault="00DF5D41" w:rsidP="00DF5D41">
      <w:pPr>
        <w:pStyle w:val="ExecSumBodyText"/>
      </w:pPr>
      <w:r w:rsidRPr="001C596E">
        <w:t>The PBAC’s recommendation for listing ravulizumab was based on, among other matters, its assessment, as described above, that the cost-effectiveness of ravulizumab would be acceptable if it were cost-minimised against</w:t>
      </w:r>
      <w:r w:rsidR="007736D1" w:rsidRPr="001C596E">
        <w:t xml:space="preserve"> eculizumab at the </w:t>
      </w:r>
      <w:r w:rsidR="00087FFB" w:rsidRPr="001C596E">
        <w:t xml:space="preserve">reduced </w:t>
      </w:r>
      <w:r w:rsidRPr="001C596E">
        <w:t>price outlined in paragraph 7.2.</w:t>
      </w:r>
    </w:p>
    <w:p w:rsidR="00C66790" w:rsidRPr="00732139" w:rsidRDefault="0022211C" w:rsidP="00B14323">
      <w:pPr>
        <w:widowControl w:val="0"/>
        <w:numPr>
          <w:ilvl w:val="1"/>
          <w:numId w:val="1"/>
        </w:numPr>
        <w:spacing w:after="120"/>
        <w:rPr>
          <w:rFonts w:asciiTheme="minorHAnsi" w:hAnsiTheme="minorHAnsi"/>
          <w:bCs/>
          <w:snapToGrid w:val="0"/>
        </w:rPr>
      </w:pPr>
      <w:r w:rsidRPr="00732139">
        <w:rPr>
          <w:rFonts w:asciiTheme="minorHAnsi" w:hAnsiTheme="minorHAnsi"/>
          <w:bCs/>
          <w:snapToGrid w:val="0"/>
        </w:rPr>
        <w:t xml:space="preserve">The PBAC </w:t>
      </w:r>
      <w:r w:rsidR="004533E2" w:rsidRPr="00732139">
        <w:rPr>
          <w:rFonts w:asciiTheme="minorHAnsi" w:hAnsiTheme="minorHAnsi"/>
          <w:bCs/>
          <w:snapToGrid w:val="0"/>
        </w:rPr>
        <w:t xml:space="preserve">noted recommendations from </w:t>
      </w:r>
      <w:r w:rsidR="00B14323" w:rsidRPr="00732139">
        <w:rPr>
          <w:iCs/>
        </w:rPr>
        <w:t>the LSDP Expert Panel</w:t>
      </w:r>
      <w:r w:rsidR="004533E2" w:rsidRPr="00732139">
        <w:rPr>
          <w:iCs/>
        </w:rPr>
        <w:t xml:space="preserve"> on the review of PNH</w:t>
      </w:r>
      <w:r w:rsidR="00B14323" w:rsidRPr="00732139">
        <w:rPr>
          <w:iCs/>
        </w:rPr>
        <w:t xml:space="preserve"> (see paragraph 2.3). The PBAC noted that Term of Reference 5 </w:t>
      </w:r>
      <w:r w:rsidR="003900DA" w:rsidRPr="00732139">
        <w:rPr>
          <w:iCs/>
        </w:rPr>
        <w:t xml:space="preserve">(ToR 5) </w:t>
      </w:r>
      <w:r w:rsidR="00B14323" w:rsidRPr="00732139">
        <w:rPr>
          <w:iCs/>
        </w:rPr>
        <w:t>was to ‘</w:t>
      </w:r>
      <w:r w:rsidR="00B14323" w:rsidRPr="00732139">
        <w:t xml:space="preserve">Assess the value for money of eculizumab under the current funding arrangements by evaluating the benefit of the drug’s treatment outcomes and cost’. The </w:t>
      </w:r>
      <w:r w:rsidR="003900DA" w:rsidRPr="00732139">
        <w:t xml:space="preserve">PBAC </w:t>
      </w:r>
      <w:r w:rsidR="00B14323" w:rsidRPr="00732139">
        <w:t>noted the findings of the Expert Panel Recommenda</w:t>
      </w:r>
      <w:r w:rsidR="003900DA" w:rsidRPr="00732139">
        <w:t>tions in relation to ToR 5 (see paragraph 2.5). The PBAC advised the submission for ravulizumab provided an opportunity to reassess the cost-effectiveness of eculizumab for listing on the PBS.</w:t>
      </w:r>
      <w:r w:rsidR="00743CC3" w:rsidRPr="00732139">
        <w:t xml:space="preserve"> </w:t>
      </w:r>
    </w:p>
    <w:p w:rsidR="00C66790" w:rsidRPr="00732139" w:rsidRDefault="00743CC3" w:rsidP="00C66790">
      <w:pPr>
        <w:widowControl w:val="0"/>
        <w:numPr>
          <w:ilvl w:val="1"/>
          <w:numId w:val="1"/>
        </w:numPr>
        <w:spacing w:after="120"/>
        <w:rPr>
          <w:rFonts w:asciiTheme="minorHAnsi" w:hAnsiTheme="minorHAnsi"/>
          <w:bCs/>
          <w:snapToGrid w:val="0"/>
        </w:rPr>
      </w:pPr>
      <w:r w:rsidRPr="00732139">
        <w:t>T</w:t>
      </w:r>
      <w:r w:rsidR="00CB08AD" w:rsidRPr="00732139">
        <w:t>h</w:t>
      </w:r>
      <w:r w:rsidR="00C66790" w:rsidRPr="00732139">
        <w:t>e</w:t>
      </w:r>
      <w:r w:rsidR="00CB08AD" w:rsidRPr="00732139">
        <w:t xml:space="preserve"> PBAC accepted the submission suggestion for a PBS listing </w:t>
      </w:r>
      <w:r w:rsidR="007D0A76" w:rsidRPr="00732139">
        <w:t>for both ecu</w:t>
      </w:r>
      <w:r w:rsidRPr="00732139">
        <w:t>lizumab</w:t>
      </w:r>
      <w:r w:rsidR="007D0A76" w:rsidRPr="00732139">
        <w:t xml:space="preserve"> and rav</w:t>
      </w:r>
      <w:r w:rsidR="00C66790" w:rsidRPr="00732139">
        <w:t>ulizumab</w:t>
      </w:r>
      <w:r w:rsidR="007D0A76" w:rsidRPr="00732139">
        <w:t xml:space="preserve"> </w:t>
      </w:r>
      <w:r w:rsidR="00CB08AD" w:rsidRPr="00732139">
        <w:t>consistent with the current LSDP eligibility for ecu</w:t>
      </w:r>
      <w:r w:rsidR="00C66790" w:rsidRPr="00732139">
        <w:t>lizumab</w:t>
      </w:r>
      <w:r w:rsidR="001E7B59" w:rsidRPr="00732139">
        <w:t xml:space="preserve"> for init</w:t>
      </w:r>
      <w:r w:rsidR="0070012C">
        <w:t>i</w:t>
      </w:r>
      <w:r w:rsidR="001E7B59" w:rsidRPr="00732139">
        <w:t>ation and continuation</w:t>
      </w:r>
      <w:r w:rsidR="00CB08AD" w:rsidRPr="00732139">
        <w:t>.</w:t>
      </w:r>
      <w:r w:rsidR="007D0A76" w:rsidRPr="00732139">
        <w:t xml:space="preserve"> </w:t>
      </w:r>
      <w:r w:rsidR="00D16625">
        <w:t>However, t</w:t>
      </w:r>
      <w:r w:rsidR="00C66790" w:rsidRPr="00732139">
        <w:t>he PBAC considered a PBS listing for eculizumab should</w:t>
      </w:r>
      <w:r w:rsidR="00160424" w:rsidRPr="00732139">
        <w:t>, if</w:t>
      </w:r>
      <w:r w:rsidR="00330032" w:rsidRPr="00732139">
        <w:t xml:space="preserve"> possible, address </w:t>
      </w:r>
      <w:r w:rsidR="00D16625">
        <w:t xml:space="preserve">the </w:t>
      </w:r>
      <w:r w:rsidR="006125D4">
        <w:t xml:space="preserve">difference </w:t>
      </w:r>
      <w:r w:rsidR="00D16625">
        <w:t xml:space="preserve">in the maintenance dosing interval </w:t>
      </w:r>
      <w:r w:rsidR="006125D4">
        <w:t>between the existing eculizumab eligibi</w:t>
      </w:r>
      <w:r w:rsidR="00D16625">
        <w:t xml:space="preserve">lity criteria on the LSDP (every 14 days) </w:t>
      </w:r>
      <w:r w:rsidR="00D16625">
        <w:lastRenderedPageBreak/>
        <w:t xml:space="preserve">and the approved Product Information (every 14 days </w:t>
      </w:r>
      <w:r w:rsidR="00D16625">
        <w:rPr>
          <w:rFonts w:cs="Calibri"/>
        </w:rPr>
        <w:t>±</w:t>
      </w:r>
      <w:r w:rsidR="00D16625">
        <w:t xml:space="preserve"> 2 days). </w:t>
      </w:r>
    </w:p>
    <w:p w:rsidR="00C66790" w:rsidRPr="00732139" w:rsidRDefault="00C66790" w:rsidP="00C66790">
      <w:pPr>
        <w:widowControl w:val="0"/>
        <w:numPr>
          <w:ilvl w:val="1"/>
          <w:numId w:val="1"/>
        </w:numPr>
        <w:spacing w:after="120"/>
        <w:rPr>
          <w:rFonts w:asciiTheme="minorHAnsi" w:hAnsiTheme="minorHAnsi"/>
          <w:bCs/>
          <w:snapToGrid w:val="0"/>
        </w:rPr>
      </w:pPr>
      <w:r w:rsidRPr="00732139">
        <w:t xml:space="preserve">The PBAC noted the input from the sponsor hearing along with that from individuals, healthcare professionals and organisations which described the clinical need for eculizumab and ravulizumab treatment and the potential for improved disease control and quality of life with the longer-acting ravulizumab. </w:t>
      </w:r>
    </w:p>
    <w:p w:rsidR="00BF5D0E" w:rsidRPr="00732139" w:rsidRDefault="00BF5D0E" w:rsidP="001F0CCA">
      <w:pPr>
        <w:widowControl w:val="0"/>
        <w:numPr>
          <w:ilvl w:val="1"/>
          <w:numId w:val="1"/>
        </w:numPr>
        <w:spacing w:after="120"/>
        <w:rPr>
          <w:rFonts w:asciiTheme="minorHAnsi" w:hAnsiTheme="minorHAnsi"/>
          <w:bCs/>
          <w:snapToGrid w:val="0"/>
        </w:rPr>
      </w:pPr>
      <w:r w:rsidRPr="00732139">
        <w:rPr>
          <w:rFonts w:asciiTheme="minorHAnsi" w:hAnsiTheme="minorHAnsi"/>
          <w:bCs/>
          <w:snapToGrid w:val="0"/>
        </w:rPr>
        <w:t>The PBAC reaffirmed its July 2020</w:t>
      </w:r>
      <w:r w:rsidR="0024721E" w:rsidRPr="00732139">
        <w:rPr>
          <w:rFonts w:asciiTheme="minorHAnsi" w:hAnsiTheme="minorHAnsi"/>
          <w:bCs/>
          <w:snapToGrid w:val="0"/>
        </w:rPr>
        <w:t xml:space="preserve"> advice that eculizumab</w:t>
      </w:r>
      <w:r w:rsidRPr="00732139">
        <w:rPr>
          <w:rFonts w:asciiTheme="minorHAnsi" w:hAnsiTheme="minorHAnsi"/>
          <w:bCs/>
          <w:snapToGrid w:val="0"/>
        </w:rPr>
        <w:t xml:space="preserve"> was the appropriate comparator </w:t>
      </w:r>
      <w:r w:rsidR="00967374" w:rsidRPr="00732139">
        <w:rPr>
          <w:rFonts w:asciiTheme="minorHAnsi" w:hAnsiTheme="minorHAnsi"/>
          <w:bCs/>
          <w:snapToGrid w:val="0"/>
        </w:rPr>
        <w:t xml:space="preserve">for ravulizumab </w:t>
      </w:r>
      <w:r w:rsidRPr="00732139">
        <w:rPr>
          <w:iCs/>
        </w:rPr>
        <w:t xml:space="preserve">(para 7.2, ravulizumab PSD, July 2020 PBAC meeting). </w:t>
      </w:r>
      <w:r w:rsidR="00967374" w:rsidRPr="00732139">
        <w:rPr>
          <w:iCs/>
        </w:rPr>
        <w:t>The PBAC recalled</w:t>
      </w:r>
      <w:r w:rsidR="00B65966" w:rsidRPr="00732139">
        <w:rPr>
          <w:iCs/>
        </w:rPr>
        <w:t xml:space="preserve"> that BSC was included as a secondary comparator as there is currently no PBS-listed medicine for PNH</w:t>
      </w:r>
      <w:r w:rsidR="008A6A14" w:rsidRPr="00732139">
        <w:rPr>
          <w:iCs/>
        </w:rPr>
        <w:t xml:space="preserve"> (para 7.2, ravulizumab PSD, July 2020 PBAC meeting)</w:t>
      </w:r>
      <w:r w:rsidR="00B65966" w:rsidRPr="00732139">
        <w:rPr>
          <w:iCs/>
        </w:rPr>
        <w:t xml:space="preserve">. The </w:t>
      </w:r>
      <w:r w:rsidR="00967374" w:rsidRPr="00732139">
        <w:rPr>
          <w:iCs/>
        </w:rPr>
        <w:t>PBAC noted that all data comparing ravulizumab to BSC was indirect, via a comparison of eculizumab against BSC, or from using eculizumab vs BSC as a proxy</w:t>
      </w:r>
      <w:r w:rsidR="008A6A14" w:rsidRPr="00732139">
        <w:rPr>
          <w:iCs/>
        </w:rPr>
        <w:t>.</w:t>
      </w:r>
      <w:r w:rsidR="00967374" w:rsidRPr="00732139">
        <w:rPr>
          <w:iCs/>
        </w:rPr>
        <w:t xml:space="preserve"> </w:t>
      </w:r>
      <w:r w:rsidR="008A6A14" w:rsidRPr="00732139">
        <w:rPr>
          <w:iCs/>
        </w:rPr>
        <w:t>T</w:t>
      </w:r>
      <w:r w:rsidR="00967374" w:rsidRPr="00732139">
        <w:rPr>
          <w:iCs/>
        </w:rPr>
        <w:t>he PBAC considered it was appropriate to use BSC as a way to determine the cost-effectiveness of a PBS listing for ec</w:t>
      </w:r>
      <w:r w:rsidR="008A6A14" w:rsidRPr="00732139">
        <w:rPr>
          <w:iCs/>
        </w:rPr>
        <w:t xml:space="preserve">ulizumab. </w:t>
      </w:r>
    </w:p>
    <w:p w:rsidR="001B521B" w:rsidRPr="00732139" w:rsidRDefault="00A2719F" w:rsidP="002064DE">
      <w:pPr>
        <w:widowControl w:val="0"/>
        <w:numPr>
          <w:ilvl w:val="1"/>
          <w:numId w:val="1"/>
        </w:numPr>
        <w:spacing w:after="120"/>
        <w:rPr>
          <w:rFonts w:asciiTheme="minorHAnsi" w:hAnsiTheme="minorHAnsi"/>
          <w:bCs/>
          <w:snapToGrid w:val="0"/>
        </w:rPr>
      </w:pPr>
      <w:r w:rsidRPr="00732139">
        <w:t xml:space="preserve">The PBAC recalled that in July 2020 it had considered the magnitude of any survival benefit of eculizumab versus BSC </w:t>
      </w:r>
      <w:r w:rsidR="009C1C9F" w:rsidRPr="00732139">
        <w:t xml:space="preserve">was </w:t>
      </w:r>
      <w:r w:rsidRPr="00732139">
        <w:t>unclear, given the lack of contemporary data for BSC survival outcomes (para 7.4, ravulizumab PSD, July 2020 PBAC meeting).</w:t>
      </w:r>
      <w:r w:rsidRPr="00732139">
        <w:rPr>
          <w:b/>
          <w:bCs/>
          <w:iCs/>
        </w:rPr>
        <w:t xml:space="preserve"> </w:t>
      </w:r>
      <w:r w:rsidR="004D00EE" w:rsidRPr="00732139">
        <w:rPr>
          <w:rFonts w:asciiTheme="minorHAnsi" w:hAnsiTheme="minorHAnsi"/>
          <w:bCs/>
          <w:snapToGrid w:val="0"/>
        </w:rPr>
        <w:t xml:space="preserve">The PBAC noted the resubmission presented </w:t>
      </w:r>
      <w:r w:rsidR="00DE75EC" w:rsidRPr="00732139">
        <w:rPr>
          <w:rFonts w:asciiTheme="minorHAnsi" w:hAnsiTheme="minorHAnsi"/>
          <w:bCs/>
          <w:snapToGrid w:val="0"/>
        </w:rPr>
        <w:t xml:space="preserve">a review of published </w:t>
      </w:r>
      <w:r w:rsidR="00DE75EC" w:rsidRPr="00732139">
        <w:t xml:space="preserve">eculizumab survival data that included studies considered in the July 2020 ravulizumab submission and in the LSDP review, as well as new studies identified through literature searches. The PBAC agreed with the ESC that despite the inclusion of newer evidence, the </w:t>
      </w:r>
      <w:r w:rsidR="002064DE" w:rsidRPr="00732139">
        <w:t xml:space="preserve">published </w:t>
      </w:r>
      <w:r w:rsidR="00DE75EC" w:rsidRPr="00732139">
        <w:t xml:space="preserve">data representing BSC remained </w:t>
      </w:r>
      <w:r w:rsidR="00E37753" w:rsidRPr="00732139">
        <w:t xml:space="preserve">difficult to interpret as it was </w:t>
      </w:r>
      <w:r w:rsidR="00DE75EC" w:rsidRPr="00732139">
        <w:t xml:space="preserve">sparse, variable and largely dated in terms of data collection. </w:t>
      </w:r>
      <w:r w:rsidR="009C1C9F" w:rsidRPr="00732139">
        <w:t>It was also noted that th</w:t>
      </w:r>
      <w:r w:rsidR="0070012C">
        <w:t>e</w:t>
      </w:r>
      <w:r w:rsidR="009C1C9F" w:rsidRPr="00732139">
        <w:t>re was limited data on life-threatening event such as thromboem</w:t>
      </w:r>
      <w:r w:rsidR="00E37753" w:rsidRPr="00732139">
        <w:t xml:space="preserve">bolism. </w:t>
      </w:r>
      <w:r w:rsidR="00DE75EC" w:rsidRPr="00732139">
        <w:t xml:space="preserve">The PBAC noted the resubmission also provided </w:t>
      </w:r>
      <w:r w:rsidR="00945A96" w:rsidRPr="00732139">
        <w:t xml:space="preserve">eculizumab survival data from an </w:t>
      </w:r>
      <w:r w:rsidR="00374B6F" w:rsidRPr="00732139">
        <w:t>unpublished analysis</w:t>
      </w:r>
      <w:r w:rsidR="00945A96" w:rsidRPr="00732139">
        <w:t xml:space="preserve"> based on data from the International PNH Registry. </w:t>
      </w:r>
      <w:r w:rsidR="00806F71" w:rsidRPr="00732139">
        <w:t xml:space="preserve">The PBAC acknowledged the concerns raised by ESC regarding the robustness and applicability of the registry data (see paragraph 6.39). </w:t>
      </w:r>
      <w:r w:rsidR="002064DE" w:rsidRPr="00732139">
        <w:t>However, t</w:t>
      </w:r>
      <w:r w:rsidR="00322973" w:rsidRPr="00732139">
        <w:t xml:space="preserve">he PBAC agreed with the </w:t>
      </w:r>
      <w:r w:rsidR="009C1C9F" w:rsidRPr="00732139">
        <w:t xml:space="preserve">submission that </w:t>
      </w:r>
      <w:r w:rsidR="00322973" w:rsidRPr="00732139">
        <w:t>the</w:t>
      </w:r>
      <w:r w:rsidR="00806F71" w:rsidRPr="00732139">
        <w:t xml:space="preserve"> data from the International PNH Registry was the best available evidence to establish the magnitude of survival benefit versus BSC in this rare condition.</w:t>
      </w:r>
      <w:r w:rsidR="00322973" w:rsidRPr="00732139">
        <w:t xml:space="preserve"> </w:t>
      </w:r>
      <w:r w:rsidR="002064DE" w:rsidRPr="00732139">
        <w:rPr>
          <w:iCs/>
        </w:rPr>
        <w:t>T</w:t>
      </w:r>
      <w:r w:rsidR="00322973" w:rsidRPr="00732139">
        <w:rPr>
          <w:iCs/>
        </w:rPr>
        <w:t xml:space="preserve">he PBAC considered the results </w:t>
      </w:r>
      <w:r w:rsidR="002064DE" w:rsidRPr="00732139">
        <w:rPr>
          <w:iCs/>
        </w:rPr>
        <w:t xml:space="preserve">from the International PNH Registry </w:t>
      </w:r>
      <w:r w:rsidR="003568C4" w:rsidRPr="00732139">
        <w:rPr>
          <w:iCs/>
        </w:rPr>
        <w:t>supported</w:t>
      </w:r>
      <w:r w:rsidR="00CD4EA7" w:rsidRPr="00732139">
        <w:rPr>
          <w:iCs/>
        </w:rPr>
        <w:t xml:space="preserve"> </w:t>
      </w:r>
      <w:r w:rsidR="00322973" w:rsidRPr="00732139">
        <w:rPr>
          <w:iCs/>
        </w:rPr>
        <w:t>a survival advantage for eculizumab</w:t>
      </w:r>
      <w:r w:rsidR="002064DE" w:rsidRPr="00732139">
        <w:rPr>
          <w:iCs/>
        </w:rPr>
        <w:t xml:space="preserve"> </w:t>
      </w:r>
      <w:r w:rsidR="0089048E" w:rsidRPr="00732139">
        <w:rPr>
          <w:iCs/>
        </w:rPr>
        <w:t xml:space="preserve">over BSC </w:t>
      </w:r>
      <w:r w:rsidRPr="00732139">
        <w:rPr>
          <w:iCs/>
        </w:rPr>
        <w:t>and that</w:t>
      </w:r>
      <w:r w:rsidR="001B521B" w:rsidRPr="00732139">
        <w:rPr>
          <w:iCs/>
        </w:rPr>
        <w:t>,</w:t>
      </w:r>
      <w:r w:rsidRPr="00732139">
        <w:rPr>
          <w:iCs/>
        </w:rPr>
        <w:t xml:space="preserve"> while the magnitude of that advantage remained uncertain</w:t>
      </w:r>
      <w:r w:rsidR="001B521B" w:rsidRPr="00732139">
        <w:rPr>
          <w:iCs/>
        </w:rPr>
        <w:t xml:space="preserve">, the </w:t>
      </w:r>
      <w:r w:rsidRPr="00732139">
        <w:rPr>
          <w:iCs/>
        </w:rPr>
        <w:t xml:space="preserve">claim of </w:t>
      </w:r>
      <w:r w:rsidRPr="00732139">
        <w:t xml:space="preserve">superior efficacy remained appropriate. </w:t>
      </w:r>
    </w:p>
    <w:p w:rsidR="00DE75EC" w:rsidRPr="00732139" w:rsidRDefault="001B521B" w:rsidP="002064DE">
      <w:pPr>
        <w:widowControl w:val="0"/>
        <w:numPr>
          <w:ilvl w:val="1"/>
          <w:numId w:val="1"/>
        </w:numPr>
        <w:spacing w:after="120"/>
        <w:rPr>
          <w:rFonts w:asciiTheme="minorHAnsi" w:hAnsiTheme="minorHAnsi"/>
          <w:bCs/>
          <w:snapToGrid w:val="0"/>
        </w:rPr>
      </w:pPr>
      <w:r w:rsidRPr="00732139">
        <w:t>The PBAC considered the resub</w:t>
      </w:r>
      <w:r w:rsidR="003945CF" w:rsidRPr="00732139">
        <w:t xml:space="preserve">mission </w:t>
      </w:r>
      <w:r w:rsidRPr="00732139">
        <w:t xml:space="preserve">claim of inferior </w:t>
      </w:r>
      <w:r w:rsidR="00A2719F" w:rsidRPr="00732139">
        <w:t xml:space="preserve">safety </w:t>
      </w:r>
      <w:r w:rsidRPr="00732139">
        <w:t xml:space="preserve">of eculizumab </w:t>
      </w:r>
      <w:r w:rsidR="00A2719F" w:rsidRPr="00732139">
        <w:t>compared to BSC</w:t>
      </w:r>
      <w:r w:rsidR="003945CF" w:rsidRPr="00732139">
        <w:t xml:space="preserve"> remained</w:t>
      </w:r>
      <w:r w:rsidRPr="00732139">
        <w:t xml:space="preserve"> appropriate</w:t>
      </w:r>
      <w:r w:rsidR="00A2719F" w:rsidRPr="00732139">
        <w:t>.</w:t>
      </w:r>
    </w:p>
    <w:p w:rsidR="006A1DB0" w:rsidRPr="00732139" w:rsidRDefault="00ED2AEB" w:rsidP="001B521B">
      <w:pPr>
        <w:pStyle w:val="ExecSumBodyText"/>
      </w:pPr>
      <w:r w:rsidRPr="00732139">
        <w:t xml:space="preserve">The PBAC recalled that it had previously considered ravulizumab is likely to be non-inferior to eculizumab in the short term (para 7.1, ravulizumab PSD, July 2020 PBAC meeting). </w:t>
      </w:r>
      <w:r w:rsidR="006A1DB0" w:rsidRPr="00732139">
        <w:t>T</w:t>
      </w:r>
      <w:r w:rsidR="007413EB" w:rsidRPr="00732139">
        <w:t xml:space="preserve">he PBAC </w:t>
      </w:r>
      <w:r w:rsidR="006A1DB0" w:rsidRPr="00732139">
        <w:t xml:space="preserve">also </w:t>
      </w:r>
      <w:r w:rsidR="007413EB" w:rsidRPr="00732139">
        <w:t>recalled concerns that it may not be reasonable to assume that the superior survival benefit previously accepted for eculizumab compared to BSC can be applied to ravulizumab compared to BSC, in the absence of any long-term survival data for ravulizumab (para 7.4, ravulizumab PSD, July 2020 PBAC meeting)</w:t>
      </w:r>
      <w:r w:rsidR="00732139">
        <w:t xml:space="preserve">. </w:t>
      </w:r>
      <w:r w:rsidRPr="00732139">
        <w:rPr>
          <w:iCs/>
        </w:rPr>
        <w:t>The PBAC noted the a</w:t>
      </w:r>
      <w:r w:rsidRPr="00732139">
        <w:rPr>
          <w:rFonts w:ascii="Calibri" w:hAnsi="Calibri"/>
          <w:iCs/>
          <w:snapToGrid/>
        </w:rPr>
        <w:t xml:space="preserve">dditional 2-year data from the extension periods </w:t>
      </w:r>
      <w:r w:rsidRPr="00732139">
        <w:rPr>
          <w:iCs/>
        </w:rPr>
        <w:t xml:space="preserve">of the key trials </w:t>
      </w:r>
      <w:r w:rsidRPr="00732139">
        <w:rPr>
          <w:iCs/>
        </w:rPr>
        <w:lastRenderedPageBreak/>
        <w:t xml:space="preserve">provided in the resubmission and considered these data </w:t>
      </w:r>
      <w:r w:rsidRPr="00732139">
        <w:rPr>
          <w:rFonts w:ascii="Calibri" w:hAnsi="Calibri"/>
          <w:iCs/>
          <w:snapToGrid/>
        </w:rPr>
        <w:t>support maintenance of treatment effect with ravulizumab</w:t>
      </w:r>
      <w:r w:rsidRPr="00732139">
        <w:rPr>
          <w:iCs/>
        </w:rPr>
        <w:t>.</w:t>
      </w:r>
      <w:r w:rsidR="006A1DB0" w:rsidRPr="00732139">
        <w:rPr>
          <w:iCs/>
        </w:rPr>
        <w:t xml:space="preserve"> The PBAC considered these data supported the claim of non-inferior efficacy of </w:t>
      </w:r>
      <w:r w:rsidR="0012094D" w:rsidRPr="00732139">
        <w:rPr>
          <w:iCs/>
        </w:rPr>
        <w:t>ravulizumab</w:t>
      </w:r>
      <w:r w:rsidR="006A1DB0" w:rsidRPr="00732139">
        <w:rPr>
          <w:iCs/>
        </w:rPr>
        <w:t xml:space="preserve"> to eculizumab. </w:t>
      </w:r>
      <w:r w:rsidR="00594BCF" w:rsidRPr="00732139">
        <w:rPr>
          <w:iCs/>
        </w:rPr>
        <w:t>Acknowledging that ravulizumab is a modified eculizumab molecule</w:t>
      </w:r>
      <w:bookmarkStart w:id="32" w:name="_Toc22897637"/>
      <w:bookmarkStart w:id="33" w:name="_Toc72331245"/>
      <w:r w:rsidR="006A1DB0" w:rsidRPr="00732139">
        <w:rPr>
          <w:iCs/>
        </w:rPr>
        <w:t xml:space="preserve">, the PBAC considered </w:t>
      </w:r>
      <w:r w:rsidR="00961C86" w:rsidRPr="00732139">
        <w:rPr>
          <w:iCs/>
        </w:rPr>
        <w:t xml:space="preserve">while </w:t>
      </w:r>
      <w:r w:rsidR="003C7527" w:rsidRPr="00732139">
        <w:t>the claim that ravulizumab (based on eculizumab data) was su</w:t>
      </w:r>
      <w:r w:rsidR="00594BCF" w:rsidRPr="00732139">
        <w:t>perior to BSC</w:t>
      </w:r>
      <w:r w:rsidR="003C7527" w:rsidRPr="00732139">
        <w:t xml:space="preserve"> was </w:t>
      </w:r>
      <w:r w:rsidR="00217B04" w:rsidRPr="00732139">
        <w:t xml:space="preserve">uncertain, due to the </w:t>
      </w:r>
      <w:r w:rsidR="003C7527" w:rsidRPr="00732139">
        <w:t xml:space="preserve">caveats associated with the interpretation of available data, </w:t>
      </w:r>
      <w:r w:rsidR="00961C86" w:rsidRPr="00732139">
        <w:t xml:space="preserve">it would be </w:t>
      </w:r>
      <w:r w:rsidR="003C7527" w:rsidRPr="00732139">
        <w:t>reasonable</w:t>
      </w:r>
      <w:r w:rsidR="00961C86" w:rsidRPr="00732139">
        <w:t xml:space="preserve"> to assume the benefit of ravulizumab over BSC would be similar to the benefit of eculizumab over BSC</w:t>
      </w:r>
      <w:r w:rsidR="003C7527" w:rsidRPr="00732139">
        <w:t xml:space="preserve">. </w:t>
      </w:r>
    </w:p>
    <w:p w:rsidR="001B521B" w:rsidRPr="00732139" w:rsidRDefault="001B521B" w:rsidP="001B521B">
      <w:pPr>
        <w:pStyle w:val="ExecSumBodyText"/>
      </w:pPr>
      <w:r w:rsidRPr="00732139">
        <w:t xml:space="preserve">The PBAC reiterated the resubmission’s claim of non-inferior safety compared to eculizumab and inferior safety compared to BSC was appropriate (para 7.9, ravulizumab PSD, July 2020 PBAC meeting). </w:t>
      </w:r>
    </w:p>
    <w:p w:rsidR="005D5793" w:rsidRPr="00732139" w:rsidRDefault="007E706D" w:rsidP="005D5793">
      <w:pPr>
        <w:pStyle w:val="ExecSumBodyText"/>
      </w:pPr>
      <w:r w:rsidRPr="00732139">
        <w:t xml:space="preserve">The </w:t>
      </w:r>
      <w:r w:rsidR="007E76C4" w:rsidRPr="00732139">
        <w:t xml:space="preserve">PBAC recalled that the </w:t>
      </w:r>
      <w:r w:rsidRPr="00732139">
        <w:t>ravulizumab July 2020 submission presented a cost-utility analysis of ravulizumab versus BSC</w:t>
      </w:r>
      <w:r w:rsidR="00A65CF0" w:rsidRPr="00732139">
        <w:t>,</w:t>
      </w:r>
      <w:r w:rsidR="007E76C4" w:rsidRPr="00732139">
        <w:t xml:space="preserve"> </w:t>
      </w:r>
      <w:r w:rsidR="000F48FB" w:rsidRPr="00732139">
        <w:t xml:space="preserve">with </w:t>
      </w:r>
      <w:r w:rsidRPr="00732139">
        <w:t>the modelled inputs for survival and quality of life</w:t>
      </w:r>
      <w:r w:rsidR="000F48FB" w:rsidRPr="00732139">
        <w:t xml:space="preserve"> </w:t>
      </w:r>
      <w:r w:rsidRPr="00732139">
        <w:t>derived using eculizumab data</w:t>
      </w:r>
      <w:r w:rsidR="00D77734" w:rsidRPr="00732139">
        <w:t xml:space="preserve"> </w:t>
      </w:r>
      <w:r w:rsidR="00B27E59" w:rsidRPr="00732139">
        <w:t xml:space="preserve">and </w:t>
      </w:r>
      <w:r w:rsidR="000F48FB" w:rsidRPr="00732139">
        <w:t xml:space="preserve">noted this </w:t>
      </w:r>
      <w:r w:rsidR="007E76C4" w:rsidRPr="00732139">
        <w:t xml:space="preserve">approach was </w:t>
      </w:r>
      <w:r w:rsidR="000F48FB" w:rsidRPr="00732139">
        <w:t xml:space="preserve">also </w:t>
      </w:r>
      <w:r w:rsidR="007E76C4" w:rsidRPr="00732139">
        <w:t>used in the resubmission</w:t>
      </w:r>
      <w:r w:rsidR="00B27E59" w:rsidRPr="00732139">
        <w:t>. The PBAC noted</w:t>
      </w:r>
      <w:r w:rsidR="007E76C4" w:rsidRPr="00732139">
        <w:t xml:space="preserve"> </w:t>
      </w:r>
      <w:r w:rsidR="00B27E59" w:rsidRPr="00732139">
        <w:t xml:space="preserve">the resubmission used </w:t>
      </w:r>
      <w:r w:rsidR="007E76C4" w:rsidRPr="00732139">
        <w:t xml:space="preserve">the same economic model to represent the cost-effectiveness of </w:t>
      </w:r>
      <w:r w:rsidR="00A65CF0" w:rsidRPr="00732139">
        <w:t xml:space="preserve">a PBS listing for </w:t>
      </w:r>
      <w:r w:rsidR="007E76C4" w:rsidRPr="00732139">
        <w:t>eculizumab or ravulizumab versus BSC</w:t>
      </w:r>
      <w:r w:rsidR="0056654A" w:rsidRPr="00732139">
        <w:t xml:space="preserve">. </w:t>
      </w:r>
    </w:p>
    <w:p w:rsidR="0022661F" w:rsidRPr="00732139" w:rsidRDefault="00A65CF0" w:rsidP="0022661F">
      <w:pPr>
        <w:pStyle w:val="ExecSumBodyText"/>
      </w:pPr>
      <w:r w:rsidRPr="00732139">
        <w:t xml:space="preserve">The PBAC reviewed </w:t>
      </w:r>
      <w:r w:rsidR="009E39FE" w:rsidRPr="00732139">
        <w:t xml:space="preserve">the changes made to the </w:t>
      </w:r>
      <w:r w:rsidR="0012165C" w:rsidRPr="00732139">
        <w:t xml:space="preserve">modelled economic evaluation </w:t>
      </w:r>
      <w:r w:rsidR="006A7FBC" w:rsidRPr="00732139">
        <w:t>(see paragraph 6.73)</w:t>
      </w:r>
      <w:r w:rsidRPr="00732139">
        <w:t xml:space="preserve">. The PBAC </w:t>
      </w:r>
      <w:r w:rsidR="005D5793" w:rsidRPr="00732139">
        <w:t xml:space="preserve">noted that in contrast to the July 2020 submission the resubmission model used </w:t>
      </w:r>
      <w:r w:rsidRPr="00732139">
        <w:t>data from the International PNH Registry to establish the magnitude of survival benefit versus BSC</w:t>
      </w:r>
      <w:r w:rsidR="005D5793" w:rsidRPr="00732139">
        <w:t xml:space="preserve">. The PBAC considered this data source </w:t>
      </w:r>
      <w:r w:rsidR="006D2AEB" w:rsidRPr="00732139">
        <w:t xml:space="preserve">appropriate (see paragraph 7.6). </w:t>
      </w:r>
      <w:r w:rsidR="000F48FB" w:rsidRPr="00732139">
        <w:t xml:space="preserve">However, the PBAC noted the extrapolation methods for both the base case and sensitivity analyses generated modelled hazards of death that were less than general population mortality over time. The </w:t>
      </w:r>
      <w:r w:rsidR="006D2AEB" w:rsidRPr="00732139">
        <w:t xml:space="preserve">PBAC considered </w:t>
      </w:r>
      <w:r w:rsidR="000F48FB" w:rsidRPr="00732139">
        <w:t>extrapolated survival in both treatment arms appeared cli</w:t>
      </w:r>
      <w:r w:rsidR="005D5793" w:rsidRPr="00732139">
        <w:t>nically implausible and noted</w:t>
      </w:r>
      <w:r w:rsidR="000F48FB" w:rsidRPr="00732139">
        <w:t xml:space="preserve"> a survival cap</w:t>
      </w:r>
      <w:r w:rsidR="005D5793" w:rsidRPr="00732139">
        <w:t xml:space="preserve"> was required to ensure </w:t>
      </w:r>
      <w:r w:rsidR="000F48FB" w:rsidRPr="00732139">
        <w:t>the estimates meet face validity.</w:t>
      </w:r>
      <w:r w:rsidR="006D2AEB" w:rsidRPr="00732139">
        <w:t xml:space="preserve"> </w:t>
      </w:r>
      <w:r w:rsidR="00846B81" w:rsidRPr="00732139">
        <w:t xml:space="preserve">The PBAC noted </w:t>
      </w:r>
      <w:r w:rsidR="00A2465A" w:rsidRPr="00732139">
        <w:t xml:space="preserve">the </w:t>
      </w:r>
      <w:r w:rsidR="00846B81" w:rsidRPr="00732139">
        <w:t xml:space="preserve">resubmission </w:t>
      </w:r>
      <w:r w:rsidR="00A2465A" w:rsidRPr="00732139">
        <w:t xml:space="preserve">also </w:t>
      </w:r>
      <w:r w:rsidR="00846B81" w:rsidRPr="00732139">
        <w:t>applied a utility cap to the ‘on-treatm</w:t>
      </w:r>
      <w:r w:rsidR="00CB1C60">
        <w:t>ent’ utility value (see Table 12</w:t>
      </w:r>
      <w:r w:rsidR="00846B81" w:rsidRPr="00732139">
        <w:t>) to ensure that the utility estimates in the model meet face validity, as estimates exceeded those of the general population over the modelled duration.</w:t>
      </w:r>
      <w:r w:rsidR="0022661F" w:rsidRPr="00732139">
        <w:t xml:space="preserve"> </w:t>
      </w:r>
    </w:p>
    <w:p w:rsidR="000F48FB" w:rsidRPr="00732139" w:rsidRDefault="0022661F" w:rsidP="00517A9D">
      <w:pPr>
        <w:pStyle w:val="ExecSumBodyText"/>
      </w:pPr>
      <w:r w:rsidRPr="00732139">
        <w:t>T</w:t>
      </w:r>
      <w:r w:rsidR="00846B81" w:rsidRPr="00732139">
        <w:t xml:space="preserve">he </w:t>
      </w:r>
      <w:r w:rsidRPr="00732139">
        <w:t xml:space="preserve">PBAC noted </w:t>
      </w:r>
      <w:r w:rsidR="005D5793" w:rsidRPr="00732139">
        <w:t>that b</w:t>
      </w:r>
      <w:r w:rsidR="000F48FB" w:rsidRPr="00732139">
        <w:t>ased on the economic model, treatment with eculizumab versus BSC in adult</w:t>
      </w:r>
      <w:r w:rsidR="005D5793" w:rsidRPr="00732139">
        <w:t xml:space="preserve"> patients with PNH </w:t>
      </w:r>
      <w:r w:rsidR="000F48FB" w:rsidRPr="00732139">
        <w:t xml:space="preserve">was associated with a cost per QALY gained of </w:t>
      </w:r>
      <w:r w:rsidR="00517A9D" w:rsidRPr="00517A9D">
        <w:t>&gt; $1,055,000</w:t>
      </w:r>
      <w:r w:rsidR="000F48FB" w:rsidRPr="00732139">
        <w:t xml:space="preserve">. </w:t>
      </w:r>
      <w:r w:rsidR="000F48FB" w:rsidRPr="00732139">
        <w:rPr>
          <w:iCs/>
        </w:rPr>
        <w:t xml:space="preserve">The </w:t>
      </w:r>
      <w:r w:rsidRPr="00732139">
        <w:rPr>
          <w:iCs/>
        </w:rPr>
        <w:t xml:space="preserve">PBAC considered </w:t>
      </w:r>
      <w:r w:rsidR="00A9383E" w:rsidRPr="00732139">
        <w:rPr>
          <w:iCs/>
        </w:rPr>
        <w:t xml:space="preserve">the </w:t>
      </w:r>
      <w:r w:rsidR="000F48FB" w:rsidRPr="00732139">
        <w:rPr>
          <w:iCs/>
        </w:rPr>
        <w:t xml:space="preserve">cost-effectiveness </w:t>
      </w:r>
      <w:r w:rsidR="00A9383E" w:rsidRPr="00732139">
        <w:rPr>
          <w:iCs/>
        </w:rPr>
        <w:t xml:space="preserve">ratio </w:t>
      </w:r>
      <w:r w:rsidRPr="00732139">
        <w:rPr>
          <w:iCs/>
        </w:rPr>
        <w:t xml:space="preserve">was very high and </w:t>
      </w:r>
      <w:r w:rsidR="000F48FB" w:rsidRPr="00732139">
        <w:rPr>
          <w:iCs/>
        </w:rPr>
        <w:t xml:space="preserve">uncertain due to </w:t>
      </w:r>
      <w:r w:rsidR="00A2465A" w:rsidRPr="00732139">
        <w:rPr>
          <w:iCs/>
        </w:rPr>
        <w:t xml:space="preserve">the </w:t>
      </w:r>
      <w:r w:rsidR="000F48FB" w:rsidRPr="00732139">
        <w:rPr>
          <w:iCs/>
        </w:rPr>
        <w:t xml:space="preserve">concerns </w:t>
      </w:r>
      <w:r w:rsidRPr="00732139">
        <w:rPr>
          <w:iCs/>
        </w:rPr>
        <w:t>o</w:t>
      </w:r>
      <w:r w:rsidR="0047425E" w:rsidRPr="00732139">
        <w:rPr>
          <w:iCs/>
        </w:rPr>
        <w:t>utlined in paragraph 7.13</w:t>
      </w:r>
      <w:r w:rsidR="005407D4" w:rsidRPr="00732139">
        <w:rPr>
          <w:iCs/>
        </w:rPr>
        <w:t xml:space="preserve">. The PBAC considered that a </w:t>
      </w:r>
      <w:r w:rsidR="00A2465A" w:rsidRPr="00732139">
        <w:rPr>
          <w:iCs/>
        </w:rPr>
        <w:t>substantial improvement in the</w:t>
      </w:r>
      <w:r w:rsidR="005407D4" w:rsidRPr="00732139">
        <w:rPr>
          <w:iCs/>
        </w:rPr>
        <w:t xml:space="preserve"> body of</w:t>
      </w:r>
      <w:r w:rsidR="00A2465A" w:rsidRPr="00732139">
        <w:rPr>
          <w:iCs/>
        </w:rPr>
        <w:t xml:space="preserve"> </w:t>
      </w:r>
      <w:r w:rsidR="002D28EA" w:rsidRPr="00732139">
        <w:rPr>
          <w:iCs/>
        </w:rPr>
        <w:t xml:space="preserve">evidence </w:t>
      </w:r>
      <w:r w:rsidR="005407D4" w:rsidRPr="00732139">
        <w:rPr>
          <w:iCs/>
        </w:rPr>
        <w:t xml:space="preserve">relating to </w:t>
      </w:r>
      <w:r w:rsidR="00A2465A" w:rsidRPr="00732139">
        <w:rPr>
          <w:iCs/>
        </w:rPr>
        <w:t xml:space="preserve">BSC </w:t>
      </w:r>
      <w:r w:rsidR="005407D4" w:rsidRPr="00732139">
        <w:rPr>
          <w:iCs/>
        </w:rPr>
        <w:t xml:space="preserve">was </w:t>
      </w:r>
      <w:r w:rsidR="00A2465A" w:rsidRPr="00732139">
        <w:rPr>
          <w:iCs/>
        </w:rPr>
        <w:t>unlikely</w:t>
      </w:r>
      <w:r w:rsidR="005407D4" w:rsidRPr="00732139">
        <w:rPr>
          <w:iCs/>
        </w:rPr>
        <w:t xml:space="preserve"> given PNH is a rare disease and the established place in therapy of complement inhibitors for its treatment</w:t>
      </w:r>
      <w:r w:rsidR="000F48FB" w:rsidRPr="00732139">
        <w:rPr>
          <w:iCs/>
        </w:rPr>
        <w:t>.</w:t>
      </w:r>
      <w:r w:rsidRPr="00732139">
        <w:rPr>
          <w:iCs/>
        </w:rPr>
        <w:t xml:space="preserve"> </w:t>
      </w:r>
      <w:r w:rsidR="002D28EA" w:rsidRPr="00732139">
        <w:rPr>
          <w:iCs/>
        </w:rPr>
        <w:t xml:space="preserve">In addition, the PBAC noted the </w:t>
      </w:r>
      <w:r w:rsidR="00081A17" w:rsidRPr="00732139">
        <w:rPr>
          <w:iCs/>
        </w:rPr>
        <w:t xml:space="preserve">LSDP Expert Panel </w:t>
      </w:r>
      <w:r w:rsidR="00081A17" w:rsidRPr="00732139">
        <w:t xml:space="preserve">Recommendations regarding the value for money of eculizumab under the current LSDP funding arrangements (see paragraph 2.5). </w:t>
      </w:r>
      <w:r w:rsidR="00A2465A" w:rsidRPr="00732139">
        <w:rPr>
          <w:iCs/>
        </w:rPr>
        <w:t xml:space="preserve">As such, the </w:t>
      </w:r>
      <w:r w:rsidR="00A2465A" w:rsidRPr="00732139">
        <w:t xml:space="preserve">PBAC considered </w:t>
      </w:r>
      <w:r w:rsidR="00D8455B" w:rsidRPr="00732139">
        <w:t xml:space="preserve">it was unlikely that a more robust model in PNH could be developed. The PBAC advised </w:t>
      </w:r>
      <w:r w:rsidR="00374B6F" w:rsidRPr="001C596E">
        <w:t>that eculizumab</w:t>
      </w:r>
      <w:r w:rsidR="00A2465A" w:rsidRPr="001C596E">
        <w:t xml:space="preserve"> would be appropriate for inclusion on the PBS with a </w:t>
      </w:r>
      <w:r w:rsidR="008D2BFC" w:rsidRPr="001C596E">
        <w:t xml:space="preserve">price reduction that is greater than </w:t>
      </w:r>
      <w:r w:rsidR="00E27461">
        <w:rPr>
          <w:noProof/>
          <w:color w:val="000000"/>
          <w:highlight w:val="black"/>
        </w:rPr>
        <w:t>''''''</w:t>
      </w:r>
      <w:r w:rsidR="008D2BFC" w:rsidRPr="001C596E">
        <w:t>%</w:t>
      </w:r>
      <w:r w:rsidR="00D8455B" w:rsidRPr="001C596E">
        <w:t xml:space="preserve"> to</w:t>
      </w:r>
      <w:r w:rsidR="00D8455B" w:rsidRPr="00732139">
        <w:t xml:space="preserve"> address the uncertainty in the cost-effect</w:t>
      </w:r>
      <w:r w:rsidR="0070012C">
        <w:t>iv</w:t>
      </w:r>
      <w:r w:rsidR="00D8455B" w:rsidRPr="00732139">
        <w:t>eness</w:t>
      </w:r>
      <w:r w:rsidR="005407D4" w:rsidRPr="00732139">
        <w:t>.</w:t>
      </w:r>
      <w:r w:rsidR="002D28EA" w:rsidRPr="00732139">
        <w:t xml:space="preserve"> The PBAC </w:t>
      </w:r>
      <w:r w:rsidR="002D28EA" w:rsidRPr="00732139">
        <w:lastRenderedPageBreak/>
        <w:t xml:space="preserve">advised that with listing on the PBS for PNH, eculizumab would be </w:t>
      </w:r>
      <w:r w:rsidR="00081A17" w:rsidRPr="00732139">
        <w:t>removed from the LSDP</w:t>
      </w:r>
      <w:r w:rsidR="003F2D3B" w:rsidRPr="00732139">
        <w:t xml:space="preserve"> for this indication</w:t>
      </w:r>
      <w:r w:rsidR="00081A17" w:rsidRPr="00732139">
        <w:t xml:space="preserve">. </w:t>
      </w:r>
    </w:p>
    <w:p w:rsidR="0034735D" w:rsidRPr="001C596E" w:rsidRDefault="00B7214D" w:rsidP="0008091E">
      <w:pPr>
        <w:pStyle w:val="ExecSumBodyText"/>
      </w:pPr>
      <w:r w:rsidRPr="00732139">
        <w:t xml:space="preserve">The PBAC noted </w:t>
      </w:r>
      <w:r w:rsidR="005B6985" w:rsidRPr="00732139">
        <w:t>the resubmission presented a cost-minimisation analysis of ravulizumab versus eculizumab</w:t>
      </w:r>
      <w:r w:rsidR="005B1883" w:rsidRPr="00732139">
        <w:t xml:space="preserve"> with the therapies </w:t>
      </w:r>
      <w:r w:rsidR="005B6985" w:rsidRPr="00732139">
        <w:t>costed over a 52-week maintenance period</w:t>
      </w:r>
      <w:r w:rsidR="00DD3527" w:rsidRPr="00732139">
        <w:t xml:space="preserve"> using the LSDP price per vial for eculizumab</w:t>
      </w:r>
      <w:r w:rsidR="005B1883" w:rsidRPr="00732139">
        <w:t xml:space="preserve">. The PBAC advised the </w:t>
      </w:r>
      <w:r w:rsidR="0012094D" w:rsidRPr="00732139">
        <w:t>cost-</w:t>
      </w:r>
      <w:r w:rsidR="005B1883" w:rsidRPr="00732139">
        <w:t>minimisation analysis should be conducted</w:t>
      </w:r>
      <w:r w:rsidR="00DD3527" w:rsidRPr="00732139">
        <w:t xml:space="preserve"> using the eculizumab price </w:t>
      </w:r>
      <w:r w:rsidR="0008091E" w:rsidRPr="00732139">
        <w:t xml:space="preserve">established following </w:t>
      </w:r>
      <w:r w:rsidR="00DD3527" w:rsidRPr="00732139">
        <w:t>the outcomes of its considerations stated in paragraph 7.1</w:t>
      </w:r>
      <w:r w:rsidR="00D8455B" w:rsidRPr="00732139">
        <w:t>4</w:t>
      </w:r>
      <w:r w:rsidR="00DD3527" w:rsidRPr="00732139">
        <w:t xml:space="preserve">. </w:t>
      </w:r>
      <w:r w:rsidR="005337CC" w:rsidRPr="00732139">
        <w:t xml:space="preserve">The PBAC also advised the administration costs should not be based on chemotherapy infusions, but rather should be based on the standard specialist follow-up consultation MBS item 105. </w:t>
      </w:r>
      <w:r w:rsidR="00DD3527" w:rsidRPr="00732139">
        <w:t xml:space="preserve">In addition, the PBAC advised the </w:t>
      </w:r>
      <w:r w:rsidR="0008091E" w:rsidRPr="00732139">
        <w:t xml:space="preserve">cost-minimisation </w:t>
      </w:r>
      <w:r w:rsidR="00DD3527" w:rsidRPr="00732139">
        <w:t xml:space="preserve">analysis should be conducted </w:t>
      </w:r>
      <w:r w:rsidR="005B1883" w:rsidRPr="00732139">
        <w:t xml:space="preserve">over </w:t>
      </w:r>
      <w:r w:rsidR="0008091E" w:rsidRPr="00732139">
        <w:t>a two year period</w:t>
      </w:r>
      <w:r w:rsidR="005B1883" w:rsidRPr="00732139">
        <w:t xml:space="preserve"> </w:t>
      </w:r>
      <w:r w:rsidR="008D61AF" w:rsidRPr="00732139">
        <w:t>fr</w:t>
      </w:r>
      <w:r w:rsidR="00B062BE" w:rsidRPr="00732139">
        <w:t>o</w:t>
      </w:r>
      <w:r w:rsidR="008D61AF" w:rsidRPr="00732139">
        <w:t xml:space="preserve">m initiation of treatment, </w:t>
      </w:r>
      <w:r w:rsidR="00526E32" w:rsidRPr="00732139">
        <w:t xml:space="preserve">for consistency </w:t>
      </w:r>
      <w:r w:rsidR="0012094D" w:rsidRPr="00732139">
        <w:t xml:space="preserve">with </w:t>
      </w:r>
      <w:r w:rsidR="0034735D" w:rsidRPr="00732139">
        <w:t xml:space="preserve">other drugs considered by the Committee which include </w:t>
      </w:r>
      <w:r w:rsidR="0008091E" w:rsidRPr="00732139">
        <w:t>a loading dose</w:t>
      </w:r>
      <w:r w:rsidR="0034735D" w:rsidRPr="00732139">
        <w:t xml:space="preserve"> in year one</w:t>
      </w:r>
      <w:r w:rsidR="00526E32" w:rsidRPr="00732139">
        <w:t xml:space="preserve">. The </w:t>
      </w:r>
      <w:bookmarkEnd w:id="32"/>
      <w:bookmarkEnd w:id="33"/>
      <w:r w:rsidR="0034735D" w:rsidRPr="00732139">
        <w:t xml:space="preserve">PBAC considered the estimated equi-effective doses over </w:t>
      </w:r>
      <w:r w:rsidR="005337CC" w:rsidRPr="00732139">
        <w:t>the fi</w:t>
      </w:r>
      <w:r w:rsidR="008D61AF" w:rsidRPr="00732139">
        <w:t>r</w:t>
      </w:r>
      <w:r w:rsidR="005337CC" w:rsidRPr="00732139">
        <w:t xml:space="preserve">st two years of treatment </w:t>
      </w:r>
      <w:r w:rsidR="0047425E" w:rsidRPr="001C596E">
        <w:t>were:</w:t>
      </w:r>
    </w:p>
    <w:p w:rsidR="0034735D" w:rsidRPr="00732139" w:rsidRDefault="00E52758" w:rsidP="00E52758">
      <w:pPr>
        <w:pStyle w:val="ExecSumBodyText"/>
        <w:numPr>
          <w:ilvl w:val="0"/>
          <w:numId w:val="12"/>
        </w:numPr>
      </w:pPr>
      <w:r w:rsidRPr="001C596E">
        <w:rPr>
          <w:rFonts w:eastAsiaTheme="minorHAnsi"/>
          <w:lang w:eastAsia="en-US"/>
        </w:rPr>
        <w:t>Ravulizumab 44,616 mg (13.75 infusions includin</w:t>
      </w:r>
      <w:r w:rsidR="0047425E" w:rsidRPr="001C596E">
        <w:rPr>
          <w:rFonts w:eastAsiaTheme="minorHAnsi"/>
          <w:lang w:eastAsia="en-US"/>
        </w:rPr>
        <w:t>g loading dose) is equivalent to</w:t>
      </w:r>
      <w:r w:rsidRPr="001C596E">
        <w:rPr>
          <w:rFonts w:eastAsiaTheme="minorHAnsi"/>
          <w:lang w:eastAsia="en-US"/>
        </w:rPr>
        <w:t xml:space="preserve"> eculizumab 47,</w:t>
      </w:r>
      <w:r w:rsidR="0006649E" w:rsidRPr="001C596E">
        <w:rPr>
          <w:rFonts w:eastAsiaTheme="minorHAnsi"/>
          <w:lang w:eastAsia="en-US"/>
        </w:rPr>
        <w:t>4</w:t>
      </w:r>
      <w:r w:rsidRPr="001C596E">
        <w:rPr>
          <w:rFonts w:eastAsiaTheme="minorHAnsi"/>
          <w:lang w:eastAsia="en-US"/>
        </w:rPr>
        <w:t>00 mg (54 infusions</w:t>
      </w:r>
      <w:r w:rsidRPr="00732139">
        <w:rPr>
          <w:rFonts w:eastAsiaTheme="minorHAnsi"/>
          <w:lang w:eastAsia="en-US"/>
        </w:rPr>
        <w:t>).</w:t>
      </w:r>
      <w:r w:rsidRPr="00732139" w:rsidDel="00E52758">
        <w:rPr>
          <w:rStyle w:val="CommentReference"/>
          <w:rFonts w:ascii="Calibri" w:hAnsi="Calibri"/>
          <w:snapToGrid/>
        </w:rPr>
        <w:t xml:space="preserve"> </w:t>
      </w:r>
    </w:p>
    <w:p w:rsidR="00EF55E5" w:rsidRPr="00732139" w:rsidRDefault="000D7CA9" w:rsidP="00E52758">
      <w:pPr>
        <w:widowControl w:val="0"/>
        <w:numPr>
          <w:ilvl w:val="1"/>
          <w:numId w:val="1"/>
        </w:numPr>
        <w:spacing w:after="120"/>
        <w:rPr>
          <w:rFonts w:asciiTheme="minorHAnsi" w:hAnsiTheme="minorHAnsi"/>
          <w:bCs/>
          <w:snapToGrid w:val="0"/>
        </w:rPr>
      </w:pPr>
      <w:r w:rsidRPr="00732139">
        <w:rPr>
          <w:rFonts w:asciiTheme="minorHAnsi" w:hAnsiTheme="minorHAnsi"/>
          <w:bCs/>
          <w:snapToGrid w:val="0"/>
        </w:rPr>
        <w:t xml:space="preserve">The PBAC noted the resubmission financial estimates were revised from those presented in the July 2020 ravulizumab submission with the main changes outlined in paragraph 6.110. </w:t>
      </w:r>
      <w:r w:rsidR="008D1F3B" w:rsidRPr="00732139">
        <w:rPr>
          <w:rFonts w:asciiTheme="minorHAnsi" w:hAnsiTheme="minorHAnsi"/>
          <w:bCs/>
          <w:snapToGrid w:val="0"/>
        </w:rPr>
        <w:t xml:space="preserve">The PBAC noted the estimates were based on the </w:t>
      </w:r>
      <w:r w:rsidR="008D1F3B" w:rsidRPr="00732139">
        <w:rPr>
          <w:iCs/>
        </w:rPr>
        <w:t>ravulizumab pricing based on a cost-minimisation analysis</w:t>
      </w:r>
      <w:r w:rsidR="008D1F3B" w:rsidRPr="00732139">
        <w:rPr>
          <w:rFonts w:asciiTheme="minorHAnsi" w:hAnsiTheme="minorHAnsi"/>
          <w:bCs/>
          <w:snapToGrid w:val="0"/>
        </w:rPr>
        <w:t xml:space="preserve"> </w:t>
      </w:r>
      <w:r w:rsidR="0012094D" w:rsidRPr="00732139">
        <w:rPr>
          <w:rFonts w:asciiTheme="minorHAnsi" w:hAnsiTheme="minorHAnsi"/>
          <w:bCs/>
          <w:snapToGrid w:val="0"/>
        </w:rPr>
        <w:t>and would need to be recalculated to take into account the outcome of its conside</w:t>
      </w:r>
      <w:r w:rsidR="0047425E" w:rsidRPr="00732139">
        <w:rPr>
          <w:rFonts w:asciiTheme="minorHAnsi" w:hAnsiTheme="minorHAnsi"/>
          <w:bCs/>
          <w:snapToGrid w:val="0"/>
        </w:rPr>
        <w:t>rations stated in paragraph 7.15</w:t>
      </w:r>
      <w:r w:rsidR="00732139">
        <w:rPr>
          <w:rFonts w:asciiTheme="minorHAnsi" w:hAnsiTheme="minorHAnsi"/>
          <w:bCs/>
          <w:snapToGrid w:val="0"/>
        </w:rPr>
        <w:t xml:space="preserve">. </w:t>
      </w:r>
      <w:r w:rsidR="00EE430E" w:rsidRPr="00732139">
        <w:t xml:space="preserve">The cost of administration should also be revised to be consistent with advice in paragraph 7.15. </w:t>
      </w:r>
      <w:r w:rsidR="00C525A8" w:rsidRPr="00732139">
        <w:t xml:space="preserve">The PBAC also noted </w:t>
      </w:r>
      <w:r w:rsidR="00C525A8" w:rsidRPr="00732139">
        <w:rPr>
          <w:iCs/>
        </w:rPr>
        <w:t>the resubmission did not provide budget impact estimates for the costs associated with transferring eculizumab from the LSDP to the PBS and that revision should be made to include the total eligible PNH population for PBS listing.</w:t>
      </w:r>
    </w:p>
    <w:p w:rsidR="00A37B2B" w:rsidRPr="00732139" w:rsidRDefault="0012094D" w:rsidP="0047425E">
      <w:pPr>
        <w:widowControl w:val="0"/>
        <w:numPr>
          <w:ilvl w:val="1"/>
          <w:numId w:val="1"/>
        </w:numPr>
        <w:spacing w:after="120"/>
        <w:rPr>
          <w:rFonts w:asciiTheme="minorHAnsi" w:hAnsiTheme="minorHAnsi"/>
          <w:bCs/>
          <w:snapToGrid w:val="0"/>
        </w:rPr>
      </w:pPr>
      <w:r w:rsidRPr="00732139">
        <w:rPr>
          <w:rFonts w:asciiTheme="minorHAnsi" w:hAnsiTheme="minorHAnsi"/>
          <w:bCs/>
          <w:snapToGrid w:val="0"/>
        </w:rPr>
        <w:t>The PBAC considered a risk sharing arrangement appropriate to manage any residual uncertainty associated with the cost to government of listing eculizumab and ravulizumab on the PBS</w:t>
      </w:r>
      <w:r w:rsidR="002A6278" w:rsidRPr="00732139">
        <w:rPr>
          <w:rFonts w:asciiTheme="minorHAnsi" w:hAnsiTheme="minorHAnsi"/>
          <w:bCs/>
          <w:snapToGrid w:val="0"/>
        </w:rPr>
        <w:t xml:space="preserve">, consistent with </w:t>
      </w:r>
      <w:r w:rsidR="00E55144">
        <w:rPr>
          <w:rFonts w:asciiTheme="minorHAnsi" w:hAnsiTheme="minorHAnsi"/>
          <w:bCs/>
          <w:snapToGrid w:val="0"/>
        </w:rPr>
        <w:t>arrangements that currently apply to eculizumab</w:t>
      </w:r>
      <w:r w:rsidR="002A6278" w:rsidRPr="00732139">
        <w:rPr>
          <w:rFonts w:asciiTheme="minorHAnsi" w:hAnsiTheme="minorHAnsi"/>
          <w:bCs/>
          <w:snapToGrid w:val="0"/>
        </w:rPr>
        <w:t xml:space="preserve"> under the Deed </w:t>
      </w:r>
      <w:r w:rsidR="00E55144">
        <w:rPr>
          <w:rFonts w:asciiTheme="minorHAnsi" w:hAnsiTheme="minorHAnsi"/>
          <w:bCs/>
          <w:snapToGrid w:val="0"/>
        </w:rPr>
        <w:t>for supply through the</w:t>
      </w:r>
      <w:r w:rsidR="00E55144" w:rsidRPr="00732139">
        <w:rPr>
          <w:rFonts w:asciiTheme="minorHAnsi" w:hAnsiTheme="minorHAnsi"/>
          <w:bCs/>
          <w:snapToGrid w:val="0"/>
        </w:rPr>
        <w:t xml:space="preserve"> </w:t>
      </w:r>
      <w:r w:rsidR="002A6278" w:rsidRPr="00732139">
        <w:rPr>
          <w:rFonts w:asciiTheme="minorHAnsi" w:hAnsiTheme="minorHAnsi"/>
          <w:bCs/>
          <w:snapToGrid w:val="0"/>
        </w:rPr>
        <w:t>LSDP</w:t>
      </w:r>
      <w:r w:rsidR="00732139">
        <w:rPr>
          <w:rFonts w:asciiTheme="minorHAnsi" w:hAnsiTheme="minorHAnsi"/>
          <w:bCs/>
          <w:snapToGrid w:val="0"/>
        </w:rPr>
        <w:t xml:space="preserve">. </w:t>
      </w:r>
    </w:p>
    <w:p w:rsidR="00EF55E5" w:rsidRPr="00732139" w:rsidRDefault="00EF55E5" w:rsidP="00EF55E5">
      <w:pPr>
        <w:pStyle w:val="ExecSumBodyText"/>
      </w:pPr>
      <w:r w:rsidRPr="00732139">
        <w:t xml:space="preserve">The PBAC recommended that ravulizumab should be treated as interchangeable on an individual patient basis with eculizumab, according to s101(3BA) advice. </w:t>
      </w:r>
    </w:p>
    <w:p w:rsidR="00A37B2B" w:rsidRPr="00732139" w:rsidRDefault="00A37B2B" w:rsidP="00EF55E5">
      <w:pPr>
        <w:widowControl w:val="0"/>
        <w:numPr>
          <w:ilvl w:val="1"/>
          <w:numId w:val="1"/>
        </w:numPr>
        <w:spacing w:after="120"/>
        <w:rPr>
          <w:rFonts w:asciiTheme="minorHAnsi" w:hAnsiTheme="minorHAnsi"/>
          <w:bCs/>
          <w:snapToGrid w:val="0"/>
        </w:rPr>
      </w:pPr>
      <w:r w:rsidRPr="00732139">
        <w:rPr>
          <w:rFonts w:asciiTheme="minorHAnsi" w:hAnsiTheme="minorHAnsi"/>
          <w:bCs/>
          <w:snapToGrid w:val="0"/>
        </w:rPr>
        <w:t xml:space="preserve">The PBAC advised that </w:t>
      </w:r>
      <w:r w:rsidR="00EF55E5" w:rsidRPr="00732139">
        <w:rPr>
          <w:rFonts w:asciiTheme="minorHAnsi" w:hAnsiTheme="minorHAnsi"/>
          <w:bCs/>
          <w:snapToGrid w:val="0"/>
        </w:rPr>
        <w:t xml:space="preserve">neither eculizumab nor ravulizumab are </w:t>
      </w:r>
      <w:r w:rsidRPr="00732139">
        <w:rPr>
          <w:rFonts w:asciiTheme="minorHAnsi" w:hAnsiTheme="minorHAnsi"/>
          <w:bCs/>
          <w:snapToGrid w:val="0"/>
        </w:rPr>
        <w:t xml:space="preserve">suitable for prescribing by nurse practitioners. </w:t>
      </w:r>
    </w:p>
    <w:p w:rsidR="00A37B2B" w:rsidRPr="00732139" w:rsidRDefault="00A37B2B" w:rsidP="00A37B2B">
      <w:pPr>
        <w:widowControl w:val="0"/>
        <w:numPr>
          <w:ilvl w:val="1"/>
          <w:numId w:val="1"/>
        </w:numPr>
        <w:spacing w:after="120"/>
        <w:rPr>
          <w:rFonts w:asciiTheme="minorHAnsi" w:hAnsiTheme="minorHAnsi"/>
          <w:bCs/>
          <w:snapToGrid w:val="0"/>
        </w:rPr>
      </w:pPr>
      <w:r w:rsidRPr="00732139">
        <w:rPr>
          <w:rFonts w:asciiTheme="minorHAnsi" w:hAnsiTheme="minorHAnsi"/>
          <w:bCs/>
          <w:snapToGrid w:val="0"/>
        </w:rPr>
        <w:t>The PBAC recommended th</w:t>
      </w:r>
      <w:r w:rsidR="00EF55E5" w:rsidRPr="00732139">
        <w:rPr>
          <w:rFonts w:asciiTheme="minorHAnsi" w:hAnsiTheme="minorHAnsi"/>
          <w:bCs/>
          <w:snapToGrid w:val="0"/>
        </w:rPr>
        <w:t>at the Early Supply Rule should not apply to either eculizumab or ravulizumab.</w:t>
      </w:r>
    </w:p>
    <w:p w:rsidR="00680598" w:rsidRPr="00732139" w:rsidRDefault="000A2D36" w:rsidP="000A2D36">
      <w:pPr>
        <w:pStyle w:val="ExecSumBodyText"/>
      </w:pPr>
      <w:r w:rsidRPr="00732139">
        <w:t>The requested restriction is considered to be complex.</w:t>
      </w:r>
    </w:p>
    <w:p w:rsidR="00A37B2B" w:rsidRPr="00732139" w:rsidRDefault="00A37B2B" w:rsidP="00680598">
      <w:pPr>
        <w:pStyle w:val="ExecSumBodyText"/>
      </w:pPr>
      <w:r w:rsidRPr="00732139">
        <w:t>The PBAC found that the criteria prescribed by the National Health (Pharmaceuticals and Vaccines – Cost Recovery) Regulations 2009</w:t>
      </w:r>
      <w:r w:rsidR="00680598" w:rsidRPr="00732139">
        <w:t xml:space="preserve"> for Pricing Pathway A were not</w:t>
      </w:r>
      <w:r w:rsidRPr="00732139">
        <w:t xml:space="preserve"> met. </w:t>
      </w:r>
      <w:r w:rsidRPr="00732139">
        <w:lastRenderedPageBreak/>
        <w:t>Specifically the PBAC found that in the circumstances of its recommenda</w:t>
      </w:r>
      <w:r w:rsidR="00680598" w:rsidRPr="00732139">
        <w:t>tion for eculizumab</w:t>
      </w:r>
      <w:r w:rsidRPr="00732139">
        <w:t>:</w:t>
      </w:r>
      <w:r w:rsidR="00680598" w:rsidRPr="00732139">
        <w:br/>
      </w:r>
      <w:r w:rsidR="000A2D36" w:rsidRPr="00732139">
        <w:rPr>
          <w:rFonts w:cstheme="minorHAnsi"/>
        </w:rPr>
        <w:t>a)</w:t>
      </w:r>
      <w:r w:rsidR="000A2D36" w:rsidRPr="00732139">
        <w:rPr>
          <w:rFonts w:cstheme="minorHAnsi"/>
        </w:rPr>
        <w:tab/>
        <w:t>T</w:t>
      </w:r>
      <w:r w:rsidR="001E1A36" w:rsidRPr="00732139">
        <w:rPr>
          <w:rFonts w:cstheme="minorHAnsi"/>
        </w:rPr>
        <w:t>he treatment is</w:t>
      </w:r>
      <w:r w:rsidR="000A2D36" w:rsidRPr="00732139">
        <w:rPr>
          <w:rFonts w:cstheme="minorHAnsi"/>
        </w:rPr>
        <w:t xml:space="preserve"> </w:t>
      </w:r>
      <w:r w:rsidRPr="00732139">
        <w:rPr>
          <w:rFonts w:cstheme="minorHAnsi"/>
        </w:rPr>
        <w:t>expected to provide a substantial and clinically relevan</w:t>
      </w:r>
      <w:r w:rsidR="000A2D36" w:rsidRPr="00732139">
        <w:rPr>
          <w:rFonts w:cstheme="minorHAnsi"/>
        </w:rPr>
        <w:t xml:space="preserve">t improvement in efficacy, </w:t>
      </w:r>
      <w:r w:rsidRPr="00732139">
        <w:rPr>
          <w:rFonts w:cstheme="minorHAnsi"/>
        </w:rPr>
        <w:t>ov</w:t>
      </w:r>
      <w:r w:rsidR="000A2D36" w:rsidRPr="00732139">
        <w:rPr>
          <w:rFonts w:cstheme="minorHAnsi"/>
        </w:rPr>
        <w:t>er alternativ</w:t>
      </w:r>
      <w:r w:rsidR="001E1A36" w:rsidRPr="00732139">
        <w:rPr>
          <w:rFonts w:cstheme="minorHAnsi"/>
        </w:rPr>
        <w:t xml:space="preserve">e therapies because </w:t>
      </w:r>
      <w:r w:rsidR="001E1A36" w:rsidRPr="00732139">
        <w:t xml:space="preserve">the clinical data presented supported </w:t>
      </w:r>
      <w:r w:rsidR="001E1A36" w:rsidRPr="00732139">
        <w:rPr>
          <w:iCs/>
        </w:rPr>
        <w:t xml:space="preserve">a survival advantage </w:t>
      </w:r>
      <w:r w:rsidR="001E1A36" w:rsidRPr="00732139">
        <w:t>for eculizumab over BSC</w:t>
      </w:r>
      <w:r w:rsidRPr="00732139">
        <w:rPr>
          <w:rFonts w:cstheme="minorHAnsi"/>
        </w:rPr>
        <w:t xml:space="preserve">; </w:t>
      </w:r>
    </w:p>
    <w:p w:rsidR="00A37B2B" w:rsidRPr="00732139" w:rsidRDefault="00A37B2B" w:rsidP="00A37B2B">
      <w:pPr>
        <w:ind w:left="720"/>
        <w:contextualSpacing/>
        <w:rPr>
          <w:rFonts w:asciiTheme="minorHAnsi" w:hAnsiTheme="minorHAnsi" w:cstheme="minorHAnsi"/>
          <w:b/>
        </w:rPr>
      </w:pPr>
      <w:r w:rsidRPr="00732139">
        <w:rPr>
          <w:rFonts w:asciiTheme="minorHAnsi" w:hAnsiTheme="minorHAnsi" w:cstheme="minorHAnsi"/>
        </w:rPr>
        <w:t>b</w:t>
      </w:r>
      <w:r w:rsidR="000A2D36" w:rsidRPr="00732139">
        <w:rPr>
          <w:rFonts w:asciiTheme="minorHAnsi" w:hAnsiTheme="minorHAnsi" w:cstheme="minorHAnsi"/>
        </w:rPr>
        <w:t>)</w:t>
      </w:r>
      <w:r w:rsidR="000A2D36" w:rsidRPr="00732139">
        <w:rPr>
          <w:rFonts w:asciiTheme="minorHAnsi" w:hAnsiTheme="minorHAnsi" w:cstheme="minorHAnsi"/>
        </w:rPr>
        <w:tab/>
        <w:t>The treatment is not</w:t>
      </w:r>
      <w:r w:rsidRPr="00732139">
        <w:rPr>
          <w:rFonts w:asciiTheme="minorHAnsi" w:hAnsiTheme="minorHAnsi" w:cstheme="minorHAnsi"/>
        </w:rPr>
        <w:t xml:space="preserve"> expected to address a high and urgen</w:t>
      </w:r>
      <w:r w:rsidR="00680598" w:rsidRPr="00732139">
        <w:rPr>
          <w:rFonts w:asciiTheme="minorHAnsi" w:hAnsiTheme="minorHAnsi" w:cstheme="minorHAnsi"/>
        </w:rPr>
        <w:t xml:space="preserve">t unmet clinical need </w:t>
      </w:r>
      <w:r w:rsidR="000A2D36" w:rsidRPr="00732139">
        <w:rPr>
          <w:rFonts w:asciiTheme="minorHAnsi" w:hAnsiTheme="minorHAnsi" w:cstheme="minorHAnsi"/>
        </w:rPr>
        <w:t>because eculizumab is currently available on the LSDP</w:t>
      </w:r>
      <w:r w:rsidRPr="00732139">
        <w:rPr>
          <w:rFonts w:asciiTheme="minorHAnsi" w:hAnsiTheme="minorHAnsi" w:cstheme="minorHAnsi"/>
        </w:rPr>
        <w:t>;</w:t>
      </w:r>
    </w:p>
    <w:p w:rsidR="00A37B2B" w:rsidRPr="00732139" w:rsidRDefault="00A37B2B" w:rsidP="00680598">
      <w:pPr>
        <w:spacing w:after="120"/>
        <w:ind w:left="720"/>
        <w:contextualSpacing/>
        <w:rPr>
          <w:rFonts w:asciiTheme="minorHAnsi" w:hAnsiTheme="minorHAnsi" w:cstheme="minorHAnsi"/>
          <w:b/>
        </w:rPr>
      </w:pPr>
      <w:r w:rsidRPr="00732139">
        <w:rPr>
          <w:rFonts w:asciiTheme="minorHAnsi" w:hAnsiTheme="minorHAnsi" w:cstheme="minorHAnsi"/>
        </w:rPr>
        <w:t>c)</w:t>
      </w:r>
      <w:r w:rsidRPr="00732139">
        <w:rPr>
          <w:rFonts w:asciiTheme="minorHAnsi" w:hAnsiTheme="minorHAnsi" w:cstheme="minorHAnsi"/>
        </w:rPr>
        <w:tab/>
        <w:t>It was not necessary to make a finding in relation to whether it would be in the public interest for the subsequent pricing application to be progressed under Pricing Pathway A because one or more of t</w:t>
      </w:r>
      <w:r w:rsidR="00680598" w:rsidRPr="00732139">
        <w:rPr>
          <w:rFonts w:asciiTheme="minorHAnsi" w:hAnsiTheme="minorHAnsi" w:cstheme="minorHAnsi"/>
        </w:rPr>
        <w:t>he preceding tests had failed.</w:t>
      </w:r>
    </w:p>
    <w:p w:rsidR="00A37B2B" w:rsidRPr="00732139" w:rsidRDefault="00A37B2B" w:rsidP="00680598">
      <w:pPr>
        <w:pStyle w:val="ExecSumBodyText"/>
      </w:pPr>
      <w:r w:rsidRPr="00732139">
        <w:t xml:space="preserve">The PBAC noted that its recommendation </w:t>
      </w:r>
      <w:r w:rsidR="00680598" w:rsidRPr="00732139">
        <w:t xml:space="preserve">for ravulizumab </w:t>
      </w:r>
      <w:r w:rsidRPr="00732139">
        <w:t>was on a cost-minimisation basis and advised that,</w:t>
      </w:r>
      <w:r w:rsidR="00680598" w:rsidRPr="00732139">
        <w:t xml:space="preserve"> because ravulizumab</w:t>
      </w:r>
      <w:r w:rsidRPr="00732139">
        <w:t xml:space="preserve"> is not expected to provide a substantial and clinically relevant improvement in efficacy, or reduction of toxicity, ove</w:t>
      </w:r>
      <w:r w:rsidR="00680598" w:rsidRPr="00732139">
        <w:t>r eculizumab</w:t>
      </w:r>
      <w:r w:rsidRPr="00732139">
        <w:t>, or not expected to address a high and urgent unmet clinical need given the presence of an alternative therapy, the criteria prescribed by the National Health (Pharmaceuticals and Vaccines – Cost Recovery) Regulations 2009 for Pricing Pathway A were not met.</w:t>
      </w:r>
    </w:p>
    <w:p w:rsidR="00A37B2B" w:rsidRPr="00732139" w:rsidRDefault="00680598" w:rsidP="005B1883">
      <w:pPr>
        <w:pStyle w:val="ExecSumBodyText"/>
      </w:pPr>
      <w:r w:rsidRPr="00732139">
        <w:t xml:space="preserve">The PBAC noted that this submission is not eligible for an Independent Review as it received a positive recommendation. </w:t>
      </w:r>
    </w:p>
    <w:p w:rsidR="00A37B2B" w:rsidRPr="00732139" w:rsidRDefault="00A37B2B" w:rsidP="00A37B2B">
      <w:pPr>
        <w:spacing w:before="240"/>
        <w:rPr>
          <w:rFonts w:asciiTheme="minorHAnsi" w:hAnsiTheme="minorHAnsi"/>
          <w:b/>
          <w:bCs/>
          <w:snapToGrid w:val="0"/>
        </w:rPr>
      </w:pPr>
      <w:r w:rsidRPr="00732139">
        <w:rPr>
          <w:rFonts w:asciiTheme="minorHAnsi" w:hAnsiTheme="minorHAnsi"/>
          <w:b/>
          <w:bCs/>
          <w:snapToGrid w:val="0"/>
        </w:rPr>
        <w:t>Outcome:</w:t>
      </w:r>
    </w:p>
    <w:p w:rsidR="00A37B2B" w:rsidRPr="00C32385" w:rsidRDefault="00B7214D" w:rsidP="00C32385">
      <w:pPr>
        <w:rPr>
          <w:rFonts w:asciiTheme="minorHAnsi" w:hAnsiTheme="minorHAnsi"/>
          <w:bCs/>
          <w:snapToGrid w:val="0"/>
        </w:rPr>
      </w:pPr>
      <w:r w:rsidRPr="00732139">
        <w:rPr>
          <w:rFonts w:asciiTheme="minorHAnsi" w:hAnsiTheme="minorHAnsi"/>
          <w:bCs/>
          <w:snapToGrid w:val="0"/>
        </w:rPr>
        <w:t>Recommended</w:t>
      </w:r>
    </w:p>
    <w:p w:rsidR="00A37B2B" w:rsidRPr="00732139" w:rsidRDefault="00A37B2B" w:rsidP="00A37B2B">
      <w:pPr>
        <w:pStyle w:val="2-SectionHeading"/>
      </w:pPr>
      <w:r w:rsidRPr="00732139">
        <w:t>Recommended listing</w:t>
      </w:r>
    </w:p>
    <w:p w:rsidR="000A2D36" w:rsidRPr="00732139" w:rsidRDefault="000A2D36" w:rsidP="00A37B2B">
      <w:pPr>
        <w:widowControl w:val="0"/>
        <w:numPr>
          <w:ilvl w:val="1"/>
          <w:numId w:val="1"/>
        </w:numPr>
        <w:spacing w:after="120"/>
        <w:contextualSpacing/>
        <w:rPr>
          <w:rFonts w:asciiTheme="minorHAnsi" w:hAnsiTheme="minorHAnsi"/>
          <w:b/>
          <w:bCs/>
          <w:snapToGrid w:val="0"/>
        </w:rPr>
      </w:pPr>
      <w:r w:rsidRPr="00732139">
        <w:rPr>
          <w:rFonts w:asciiTheme="minorHAnsi" w:hAnsiTheme="minorHAnsi"/>
          <w:bCs/>
          <w:snapToGrid w:val="0"/>
        </w:rPr>
        <w:t xml:space="preserve">Listing to be finalised. </w:t>
      </w:r>
    </w:p>
    <w:p w:rsidR="00A37B2B" w:rsidRPr="00732139" w:rsidRDefault="00A37B2B" w:rsidP="00A37B2B">
      <w:pPr>
        <w:rPr>
          <w:rFonts w:asciiTheme="minorHAnsi" w:hAnsiTheme="minorHAnsi"/>
          <w:bCs/>
          <w:snapToGrid w:val="0"/>
        </w:rPr>
      </w:pPr>
    </w:p>
    <w:p w:rsidR="00AE3E3B" w:rsidRPr="00AE3E3B" w:rsidRDefault="00AE3E3B" w:rsidP="00AE3E3B">
      <w:pPr>
        <w:pStyle w:val="2-SectionHeading"/>
      </w:pPr>
      <w:r w:rsidRPr="00C07617">
        <w:t>Context for Decision</w:t>
      </w:r>
    </w:p>
    <w:p w:rsidR="00AE3E3B" w:rsidRPr="007129F2" w:rsidRDefault="00AE3E3B" w:rsidP="00AE3E3B">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E3E3B" w:rsidRPr="00AE3E3B" w:rsidRDefault="00AE3E3B" w:rsidP="00AE3E3B">
      <w:pPr>
        <w:pStyle w:val="2-SectionHeading"/>
      </w:pPr>
      <w:r>
        <w:t>Sponsor’s Comment</w:t>
      </w:r>
    </w:p>
    <w:p w:rsidR="00AE3E3B" w:rsidRPr="001179AC" w:rsidRDefault="00AE3E3B" w:rsidP="00AE3E3B">
      <w:pPr>
        <w:spacing w:after="120"/>
        <w:ind w:left="426" w:firstLine="294"/>
        <w:rPr>
          <w:bCs/>
        </w:rPr>
      </w:pPr>
      <w:r w:rsidRPr="00C07617">
        <w:rPr>
          <w:bCs/>
        </w:rPr>
        <w:t>The sponsor had no comment.</w:t>
      </w:r>
    </w:p>
    <w:p w:rsidR="00B71B52" w:rsidRPr="00732139" w:rsidRDefault="00B71B52" w:rsidP="005B1883">
      <w:pPr>
        <w:rPr>
          <w:rFonts w:asciiTheme="minorHAnsi" w:hAnsiTheme="minorHAnsi" w:cstheme="minorHAnsi"/>
          <w:i/>
          <w:snapToGrid w:val="0"/>
          <w:highlight w:val="yellow"/>
        </w:rPr>
      </w:pPr>
    </w:p>
    <w:sectPr w:rsidR="00B71B52" w:rsidRPr="00732139" w:rsidSect="008C34A2">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461" w:rsidRDefault="00E27461" w:rsidP="00124A51">
      <w:r>
        <w:separator/>
      </w:r>
    </w:p>
    <w:p w:rsidR="00E27461" w:rsidRDefault="00E27461"/>
  </w:endnote>
  <w:endnote w:type="continuationSeparator" w:id="0">
    <w:p w:rsidR="00E27461" w:rsidRDefault="00E27461" w:rsidP="00124A51">
      <w:r>
        <w:continuationSeparator/>
      </w:r>
    </w:p>
    <w:p w:rsidR="00E27461" w:rsidRDefault="00E27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73" w:rsidRDefault="00B02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864421"/>
      <w:docPartObj>
        <w:docPartGallery w:val="Page Numbers (Bottom of Page)"/>
        <w:docPartUnique/>
      </w:docPartObj>
    </w:sdtPr>
    <w:sdtEndPr>
      <w:rPr>
        <w:noProof/>
      </w:rPr>
    </w:sdtEndPr>
    <w:sdtContent>
      <w:p w:rsidR="00B02173" w:rsidRDefault="00B02173" w:rsidP="00355A42">
        <w:pPr>
          <w:pStyle w:val="Footer"/>
          <w:jc w:val="center"/>
        </w:pPr>
      </w:p>
      <w:p w:rsidR="00B02173" w:rsidRPr="007C1CD9" w:rsidRDefault="00B02173" w:rsidP="00355A42">
        <w:pPr>
          <w:pStyle w:val="Footer"/>
          <w:jc w:val="center"/>
        </w:pPr>
        <w:r w:rsidRPr="00355A42">
          <w:rPr>
            <w:b/>
          </w:rPr>
          <w:fldChar w:fldCharType="begin"/>
        </w:r>
        <w:r w:rsidRPr="00355A42">
          <w:rPr>
            <w:b/>
          </w:rPr>
          <w:instrText xml:space="preserve"> PAGE   \* MERGEFORMAT </w:instrText>
        </w:r>
        <w:r w:rsidRPr="00355A42">
          <w:rPr>
            <w:b/>
          </w:rPr>
          <w:fldChar w:fldCharType="separate"/>
        </w:r>
        <w:r w:rsidR="00F560E6">
          <w:rPr>
            <w:b/>
            <w:noProof/>
          </w:rPr>
          <w:t>1</w:t>
        </w:r>
        <w:r w:rsidRPr="00355A42">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73" w:rsidRDefault="00B02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461" w:rsidRDefault="00E27461" w:rsidP="00124A51">
      <w:r>
        <w:separator/>
      </w:r>
    </w:p>
    <w:p w:rsidR="00E27461" w:rsidRDefault="00E27461"/>
  </w:footnote>
  <w:footnote w:type="continuationSeparator" w:id="0">
    <w:p w:rsidR="00E27461" w:rsidRDefault="00E27461" w:rsidP="00124A51">
      <w:r>
        <w:continuationSeparator/>
      </w:r>
    </w:p>
    <w:p w:rsidR="00E27461" w:rsidRDefault="00E274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73" w:rsidRDefault="00B02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73" w:rsidRPr="00355A42" w:rsidRDefault="00B02173" w:rsidP="00355A42">
    <w:pPr>
      <w:keepNext/>
      <w:tabs>
        <w:tab w:val="center" w:pos="4153"/>
        <w:tab w:val="right" w:pos="8306"/>
      </w:tabs>
      <w:ind w:left="360"/>
      <w:jc w:val="center"/>
      <w:rPr>
        <w:rFonts w:asciiTheme="minorHAnsi" w:hAnsiTheme="minorHAnsi"/>
        <w:i/>
        <w:color w:val="808080"/>
        <w:lang w:eastAsia="en-US"/>
      </w:rPr>
    </w:pPr>
    <w:bookmarkStart w:id="34" w:name="_Hlk76375146"/>
    <w:r w:rsidRPr="00AE3E3B">
      <w:rPr>
        <w:rFonts w:asciiTheme="minorHAnsi" w:hAnsiTheme="minorHAnsi"/>
        <w:i/>
        <w:color w:val="808080"/>
        <w:lang w:eastAsia="en-US"/>
      </w:rPr>
      <w:t xml:space="preserve">Public Summary Document </w:t>
    </w:r>
    <w:r w:rsidRPr="00355A42">
      <w:rPr>
        <w:rFonts w:asciiTheme="minorHAnsi" w:hAnsiTheme="minorHAnsi"/>
        <w:i/>
        <w:color w:val="808080"/>
        <w:lang w:eastAsia="en-US"/>
      </w:rPr>
      <w:t>– July 2021 PBAC Meeting</w:t>
    </w:r>
  </w:p>
  <w:bookmarkEnd w:id="34"/>
  <w:p w:rsidR="00B02173" w:rsidRPr="008C7ECB" w:rsidRDefault="00B0217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73" w:rsidRDefault="00B02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34FD"/>
    <w:multiLevelType w:val="hybridMultilevel"/>
    <w:tmpl w:val="AE8CC3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2077482"/>
    <w:multiLevelType w:val="hybridMultilevel"/>
    <w:tmpl w:val="2C4CAFA0"/>
    <w:lvl w:ilvl="0" w:tplc="FFC6DE9E">
      <w:start w:val="1"/>
      <w:numFmt w:val="bullet"/>
      <w:pStyle w:val="08Bulletsseriesofsentences"/>
      <w:lvlText w:val=""/>
      <w:lvlJc w:val="left"/>
      <w:pPr>
        <w:ind w:left="720" w:hanging="360"/>
      </w:pPr>
      <w:rPr>
        <w:rFonts w:ascii="Symbol" w:hAnsi="Symbol" w:hint="default"/>
      </w:rPr>
    </w:lvl>
    <w:lvl w:ilvl="1" w:tplc="A692B7FA">
      <w:start w:val="16"/>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561538"/>
    <w:multiLevelType w:val="hybridMultilevel"/>
    <w:tmpl w:val="BD027E9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096835"/>
    <w:multiLevelType w:val="hybridMultilevel"/>
    <w:tmpl w:val="0E703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CF006F"/>
    <w:multiLevelType w:val="hybridMultilevel"/>
    <w:tmpl w:val="86F03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898469C"/>
    <w:multiLevelType w:val="hybridMultilevel"/>
    <w:tmpl w:val="2AC2A7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D383609"/>
    <w:multiLevelType w:val="hybridMultilevel"/>
    <w:tmpl w:val="60B8EDC2"/>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B6274A"/>
    <w:multiLevelType w:val="hybridMultilevel"/>
    <w:tmpl w:val="DA3CE2B6"/>
    <w:lvl w:ilvl="0" w:tplc="8D5A3248">
      <w:start w:val="1"/>
      <w:numFmt w:val="decimal"/>
      <w:lvlText w:val="%1."/>
      <w:lvlJc w:val="left"/>
      <w:pPr>
        <w:ind w:left="360" w:hanging="360"/>
      </w:pPr>
      <w:rPr>
        <w:rFonts w:asciiTheme="minorHAnsi" w:hAnsiTheme="minorHAnsi" w:hint="default"/>
        <w:b w:val="0"/>
        <w:color w:val="auto"/>
        <w:sz w:val="24"/>
      </w:rPr>
    </w:lvl>
    <w:lvl w:ilvl="1" w:tplc="0C090019">
      <w:start w:val="1"/>
      <w:numFmt w:val="lowerLetter"/>
      <w:lvlText w:val="%2."/>
      <w:lvlJc w:val="left"/>
      <w:pPr>
        <w:ind w:left="22" w:hanging="360"/>
      </w:pPr>
    </w:lvl>
    <w:lvl w:ilvl="2" w:tplc="0C09001B" w:tentative="1">
      <w:start w:val="1"/>
      <w:numFmt w:val="lowerRoman"/>
      <w:lvlText w:val="%3."/>
      <w:lvlJc w:val="right"/>
      <w:pPr>
        <w:ind w:left="742" w:hanging="180"/>
      </w:pPr>
    </w:lvl>
    <w:lvl w:ilvl="3" w:tplc="0C09000F" w:tentative="1">
      <w:start w:val="1"/>
      <w:numFmt w:val="decimal"/>
      <w:lvlText w:val="%4."/>
      <w:lvlJc w:val="left"/>
      <w:pPr>
        <w:ind w:left="1462" w:hanging="360"/>
      </w:pPr>
    </w:lvl>
    <w:lvl w:ilvl="4" w:tplc="0C090019" w:tentative="1">
      <w:start w:val="1"/>
      <w:numFmt w:val="lowerLetter"/>
      <w:lvlText w:val="%5."/>
      <w:lvlJc w:val="left"/>
      <w:pPr>
        <w:ind w:left="2182" w:hanging="360"/>
      </w:pPr>
    </w:lvl>
    <w:lvl w:ilvl="5" w:tplc="0C09001B" w:tentative="1">
      <w:start w:val="1"/>
      <w:numFmt w:val="lowerRoman"/>
      <w:lvlText w:val="%6."/>
      <w:lvlJc w:val="right"/>
      <w:pPr>
        <w:ind w:left="2902" w:hanging="180"/>
      </w:pPr>
    </w:lvl>
    <w:lvl w:ilvl="6" w:tplc="0C09000F" w:tentative="1">
      <w:start w:val="1"/>
      <w:numFmt w:val="decimal"/>
      <w:lvlText w:val="%7."/>
      <w:lvlJc w:val="left"/>
      <w:pPr>
        <w:ind w:left="3622" w:hanging="360"/>
      </w:pPr>
    </w:lvl>
    <w:lvl w:ilvl="7" w:tplc="0C090019" w:tentative="1">
      <w:start w:val="1"/>
      <w:numFmt w:val="lowerLetter"/>
      <w:lvlText w:val="%8."/>
      <w:lvlJc w:val="left"/>
      <w:pPr>
        <w:ind w:left="4342" w:hanging="360"/>
      </w:pPr>
    </w:lvl>
    <w:lvl w:ilvl="8" w:tplc="0C09001B" w:tentative="1">
      <w:start w:val="1"/>
      <w:numFmt w:val="lowerRoman"/>
      <w:lvlText w:val="%9."/>
      <w:lvlJc w:val="right"/>
      <w:pPr>
        <w:ind w:left="5062" w:hanging="180"/>
      </w:p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F6078C"/>
    <w:multiLevelType w:val="hybridMultilevel"/>
    <w:tmpl w:val="20D621BC"/>
    <w:lvl w:ilvl="0" w:tplc="3B5472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AD620F"/>
    <w:multiLevelType w:val="hybridMultilevel"/>
    <w:tmpl w:val="CA443F6C"/>
    <w:lvl w:ilvl="0" w:tplc="608C34C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540A4B"/>
    <w:multiLevelType w:val="hybridMultilevel"/>
    <w:tmpl w:val="430476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multilevel"/>
    <w:tmpl w:val="3AB6D22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977976"/>
    <w:multiLevelType w:val="hybridMultilevel"/>
    <w:tmpl w:val="F7122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012240"/>
    <w:multiLevelType w:val="hybridMultilevel"/>
    <w:tmpl w:val="A1B2A77C"/>
    <w:lvl w:ilvl="0" w:tplc="563463F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6437343"/>
    <w:multiLevelType w:val="hybridMultilevel"/>
    <w:tmpl w:val="6164A2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9105E6A"/>
    <w:multiLevelType w:val="hybridMultilevel"/>
    <w:tmpl w:val="9642041E"/>
    <w:lvl w:ilvl="0" w:tplc="156A03E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CF7A17"/>
    <w:multiLevelType w:val="hybridMultilevel"/>
    <w:tmpl w:val="30A820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84D033C"/>
    <w:multiLevelType w:val="multilevel"/>
    <w:tmpl w:val="CC8EEE4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7"/>
  </w:num>
  <w:num w:numId="2">
    <w:abstractNumId w:val="18"/>
  </w:num>
  <w:num w:numId="3">
    <w:abstractNumId w:val="0"/>
  </w:num>
  <w:num w:numId="4">
    <w:abstractNumId w:val="27"/>
  </w:num>
  <w:num w:numId="5">
    <w:abstractNumId w:val="9"/>
  </w:num>
  <w:num w:numId="6">
    <w:abstractNumId w:val="2"/>
  </w:num>
  <w:num w:numId="7">
    <w:abstractNumId w:val="4"/>
  </w:num>
  <w:num w:numId="8">
    <w:abstractNumId w:val="20"/>
  </w:num>
  <w:num w:numId="9">
    <w:abstractNumId w:val="16"/>
  </w:num>
  <w:num w:numId="10">
    <w:abstractNumId w:val="8"/>
  </w:num>
  <w:num w:numId="11">
    <w:abstractNumId w:val="26"/>
  </w:num>
  <w:num w:numId="12">
    <w:abstractNumId w:val="24"/>
  </w:num>
  <w:num w:numId="13">
    <w:abstractNumId w:val="11"/>
  </w:num>
  <w:num w:numId="14">
    <w:abstractNumId w:val="28"/>
  </w:num>
  <w:num w:numId="15">
    <w:abstractNumId w:val="7"/>
  </w:num>
  <w:num w:numId="16">
    <w:abstractNumId w:val="14"/>
  </w:num>
  <w:num w:numId="17">
    <w:abstractNumId w:val="22"/>
  </w:num>
  <w:num w:numId="18">
    <w:abstractNumId w:val="5"/>
  </w:num>
  <w:num w:numId="19">
    <w:abstractNumId w:val="1"/>
  </w:num>
  <w:num w:numId="20">
    <w:abstractNumId w:val="12"/>
  </w:num>
  <w:num w:numId="21">
    <w:abstractNumId w:val="15"/>
  </w:num>
  <w:num w:numId="22">
    <w:abstractNumId w:val="10"/>
  </w:num>
  <w:num w:numId="2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7"/>
  </w:num>
  <w:num w:numId="26">
    <w:abstractNumId w:val="27"/>
  </w:num>
  <w:num w:numId="27">
    <w:abstractNumId w:val="27"/>
  </w:num>
  <w:num w:numId="28">
    <w:abstractNumId w:val="27"/>
  </w:num>
  <w:num w:numId="29">
    <w:abstractNumId w:val="27"/>
  </w:num>
  <w:num w:numId="30">
    <w:abstractNumId w:val="27"/>
  </w:num>
  <w:num w:numId="31">
    <w:abstractNumId w:val="27"/>
  </w:num>
  <w:num w:numId="32">
    <w:abstractNumId w:val="19"/>
  </w:num>
  <w:num w:numId="33">
    <w:abstractNumId w:val="27"/>
  </w:num>
  <w:num w:numId="34">
    <w:abstractNumId w:val="3"/>
  </w:num>
  <w:num w:numId="35">
    <w:abstractNumId w:val="13"/>
  </w:num>
  <w:num w:numId="36">
    <w:abstractNumId w:val="21"/>
  </w:num>
  <w:num w:numId="37">
    <w:abstractNumId w:val="6"/>
  </w:num>
  <w:num w:numId="38">
    <w:abstractNumId w:val="25"/>
  </w:num>
  <w:num w:numId="39">
    <w:abstractNumId w:val="27"/>
  </w:num>
  <w:num w:numId="40">
    <w:abstractNumId w:val="27"/>
  </w:num>
  <w:num w:numId="4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03E"/>
    <w:rsid w:val="0000057A"/>
    <w:rsid w:val="00000790"/>
    <w:rsid w:val="0000080A"/>
    <w:rsid w:val="0000110B"/>
    <w:rsid w:val="00001155"/>
    <w:rsid w:val="0000164D"/>
    <w:rsid w:val="000016BE"/>
    <w:rsid w:val="0000170A"/>
    <w:rsid w:val="000025AC"/>
    <w:rsid w:val="000027B3"/>
    <w:rsid w:val="000028A4"/>
    <w:rsid w:val="00002B5B"/>
    <w:rsid w:val="00002E71"/>
    <w:rsid w:val="00002EF5"/>
    <w:rsid w:val="000033E5"/>
    <w:rsid w:val="00003499"/>
    <w:rsid w:val="00003900"/>
    <w:rsid w:val="000039B7"/>
    <w:rsid w:val="00003B67"/>
    <w:rsid w:val="00003F6A"/>
    <w:rsid w:val="00004086"/>
    <w:rsid w:val="00004228"/>
    <w:rsid w:val="000049C9"/>
    <w:rsid w:val="00004AE1"/>
    <w:rsid w:val="000054D3"/>
    <w:rsid w:val="00005583"/>
    <w:rsid w:val="0000579E"/>
    <w:rsid w:val="0000639A"/>
    <w:rsid w:val="0000678B"/>
    <w:rsid w:val="00006CC3"/>
    <w:rsid w:val="00006E42"/>
    <w:rsid w:val="00007153"/>
    <w:rsid w:val="0000727D"/>
    <w:rsid w:val="00007381"/>
    <w:rsid w:val="00007B60"/>
    <w:rsid w:val="00007B78"/>
    <w:rsid w:val="00007F11"/>
    <w:rsid w:val="00010616"/>
    <w:rsid w:val="00010C33"/>
    <w:rsid w:val="0001142A"/>
    <w:rsid w:val="000116C1"/>
    <w:rsid w:val="00011CDA"/>
    <w:rsid w:val="00012004"/>
    <w:rsid w:val="000121CE"/>
    <w:rsid w:val="000122AB"/>
    <w:rsid w:val="000126D8"/>
    <w:rsid w:val="000127DC"/>
    <w:rsid w:val="00012BE7"/>
    <w:rsid w:val="00013247"/>
    <w:rsid w:val="000133E6"/>
    <w:rsid w:val="0001367E"/>
    <w:rsid w:val="000136D3"/>
    <w:rsid w:val="000139E2"/>
    <w:rsid w:val="00013FD5"/>
    <w:rsid w:val="0001412A"/>
    <w:rsid w:val="000147B8"/>
    <w:rsid w:val="00015427"/>
    <w:rsid w:val="00015886"/>
    <w:rsid w:val="0001604F"/>
    <w:rsid w:val="000162EF"/>
    <w:rsid w:val="000164E5"/>
    <w:rsid w:val="00016D36"/>
    <w:rsid w:val="00017475"/>
    <w:rsid w:val="0002000A"/>
    <w:rsid w:val="000205A7"/>
    <w:rsid w:val="000206B8"/>
    <w:rsid w:val="000207C9"/>
    <w:rsid w:val="00020851"/>
    <w:rsid w:val="00020B79"/>
    <w:rsid w:val="00020D0B"/>
    <w:rsid w:val="00020DEB"/>
    <w:rsid w:val="00021494"/>
    <w:rsid w:val="00021835"/>
    <w:rsid w:val="00021A71"/>
    <w:rsid w:val="0002225F"/>
    <w:rsid w:val="00022285"/>
    <w:rsid w:val="00022545"/>
    <w:rsid w:val="0002266B"/>
    <w:rsid w:val="000227E5"/>
    <w:rsid w:val="00022D4A"/>
    <w:rsid w:val="000233CE"/>
    <w:rsid w:val="00023763"/>
    <w:rsid w:val="00024294"/>
    <w:rsid w:val="000247F9"/>
    <w:rsid w:val="00025217"/>
    <w:rsid w:val="00025D61"/>
    <w:rsid w:val="00026CCF"/>
    <w:rsid w:val="00027231"/>
    <w:rsid w:val="0002726D"/>
    <w:rsid w:val="000274B8"/>
    <w:rsid w:val="00027A08"/>
    <w:rsid w:val="00027E7F"/>
    <w:rsid w:val="000302E3"/>
    <w:rsid w:val="00030519"/>
    <w:rsid w:val="00030F13"/>
    <w:rsid w:val="0003116E"/>
    <w:rsid w:val="000311C2"/>
    <w:rsid w:val="000314C7"/>
    <w:rsid w:val="00031C6C"/>
    <w:rsid w:val="00031CFF"/>
    <w:rsid w:val="00031F4E"/>
    <w:rsid w:val="00032A16"/>
    <w:rsid w:val="00033168"/>
    <w:rsid w:val="0003324B"/>
    <w:rsid w:val="00033863"/>
    <w:rsid w:val="00033A7C"/>
    <w:rsid w:val="0003446E"/>
    <w:rsid w:val="0003461B"/>
    <w:rsid w:val="000349E4"/>
    <w:rsid w:val="0003541E"/>
    <w:rsid w:val="000354B5"/>
    <w:rsid w:val="00035D8F"/>
    <w:rsid w:val="00035DC0"/>
    <w:rsid w:val="00035EA6"/>
    <w:rsid w:val="00036298"/>
    <w:rsid w:val="000364DB"/>
    <w:rsid w:val="00036829"/>
    <w:rsid w:val="00036964"/>
    <w:rsid w:val="000372BD"/>
    <w:rsid w:val="000375D4"/>
    <w:rsid w:val="000401F3"/>
    <w:rsid w:val="000403F3"/>
    <w:rsid w:val="000407F1"/>
    <w:rsid w:val="00040895"/>
    <w:rsid w:val="00041365"/>
    <w:rsid w:val="000416E7"/>
    <w:rsid w:val="00041BBF"/>
    <w:rsid w:val="00041CE2"/>
    <w:rsid w:val="00041F49"/>
    <w:rsid w:val="00042187"/>
    <w:rsid w:val="00042935"/>
    <w:rsid w:val="00042A24"/>
    <w:rsid w:val="00042AFD"/>
    <w:rsid w:val="000434E6"/>
    <w:rsid w:val="000435EE"/>
    <w:rsid w:val="00043A0C"/>
    <w:rsid w:val="00043C37"/>
    <w:rsid w:val="00043DF4"/>
    <w:rsid w:val="00043F1C"/>
    <w:rsid w:val="00044055"/>
    <w:rsid w:val="0004452F"/>
    <w:rsid w:val="00044721"/>
    <w:rsid w:val="000447E8"/>
    <w:rsid w:val="00044C3D"/>
    <w:rsid w:val="00044E9F"/>
    <w:rsid w:val="00045017"/>
    <w:rsid w:val="00045733"/>
    <w:rsid w:val="00045A2B"/>
    <w:rsid w:val="00045D52"/>
    <w:rsid w:val="000464DC"/>
    <w:rsid w:val="00046624"/>
    <w:rsid w:val="000468E8"/>
    <w:rsid w:val="0004698F"/>
    <w:rsid w:val="00046D02"/>
    <w:rsid w:val="00047838"/>
    <w:rsid w:val="00047AC0"/>
    <w:rsid w:val="00047B38"/>
    <w:rsid w:val="00050463"/>
    <w:rsid w:val="00050C62"/>
    <w:rsid w:val="00050DF0"/>
    <w:rsid w:val="00053626"/>
    <w:rsid w:val="000539D0"/>
    <w:rsid w:val="00053F0C"/>
    <w:rsid w:val="00054277"/>
    <w:rsid w:val="00054621"/>
    <w:rsid w:val="000546D7"/>
    <w:rsid w:val="0005499D"/>
    <w:rsid w:val="00055206"/>
    <w:rsid w:val="00055292"/>
    <w:rsid w:val="00055430"/>
    <w:rsid w:val="000567E4"/>
    <w:rsid w:val="00056BF0"/>
    <w:rsid w:val="00056ECF"/>
    <w:rsid w:val="0005718E"/>
    <w:rsid w:val="00057279"/>
    <w:rsid w:val="000575BC"/>
    <w:rsid w:val="00057DBE"/>
    <w:rsid w:val="00060384"/>
    <w:rsid w:val="000604DF"/>
    <w:rsid w:val="000605DD"/>
    <w:rsid w:val="000608F6"/>
    <w:rsid w:val="00060BA8"/>
    <w:rsid w:val="00061016"/>
    <w:rsid w:val="000610C0"/>
    <w:rsid w:val="000610D0"/>
    <w:rsid w:val="00061275"/>
    <w:rsid w:val="000616AE"/>
    <w:rsid w:val="00061F9F"/>
    <w:rsid w:val="000621B2"/>
    <w:rsid w:val="000623E6"/>
    <w:rsid w:val="00062BC5"/>
    <w:rsid w:val="00062C3F"/>
    <w:rsid w:val="00062C4C"/>
    <w:rsid w:val="00062CBA"/>
    <w:rsid w:val="00062D1F"/>
    <w:rsid w:val="00063EA8"/>
    <w:rsid w:val="00063F88"/>
    <w:rsid w:val="00064A23"/>
    <w:rsid w:val="00064B20"/>
    <w:rsid w:val="00064B21"/>
    <w:rsid w:val="00065089"/>
    <w:rsid w:val="0006534A"/>
    <w:rsid w:val="000653B5"/>
    <w:rsid w:val="000658C7"/>
    <w:rsid w:val="00065E08"/>
    <w:rsid w:val="00066360"/>
    <w:rsid w:val="0006649E"/>
    <w:rsid w:val="000666B8"/>
    <w:rsid w:val="000666C5"/>
    <w:rsid w:val="00066805"/>
    <w:rsid w:val="00066888"/>
    <w:rsid w:val="000668F1"/>
    <w:rsid w:val="00066AF8"/>
    <w:rsid w:val="00066E33"/>
    <w:rsid w:val="00067007"/>
    <w:rsid w:val="000673DF"/>
    <w:rsid w:val="000677B5"/>
    <w:rsid w:val="00067C3E"/>
    <w:rsid w:val="000701E1"/>
    <w:rsid w:val="00070A96"/>
    <w:rsid w:val="00070B25"/>
    <w:rsid w:val="00070F06"/>
    <w:rsid w:val="000710D0"/>
    <w:rsid w:val="00071248"/>
    <w:rsid w:val="0007138A"/>
    <w:rsid w:val="0007158D"/>
    <w:rsid w:val="00071A9B"/>
    <w:rsid w:val="00071B81"/>
    <w:rsid w:val="00071BD1"/>
    <w:rsid w:val="000720B9"/>
    <w:rsid w:val="0007263F"/>
    <w:rsid w:val="00072757"/>
    <w:rsid w:val="00073096"/>
    <w:rsid w:val="000735ED"/>
    <w:rsid w:val="000737F7"/>
    <w:rsid w:val="00073958"/>
    <w:rsid w:val="00073C3A"/>
    <w:rsid w:val="00074109"/>
    <w:rsid w:val="00074140"/>
    <w:rsid w:val="0007417E"/>
    <w:rsid w:val="000748D9"/>
    <w:rsid w:val="00074A4B"/>
    <w:rsid w:val="00075537"/>
    <w:rsid w:val="00075BA7"/>
    <w:rsid w:val="00076042"/>
    <w:rsid w:val="0007625D"/>
    <w:rsid w:val="0007672F"/>
    <w:rsid w:val="00076757"/>
    <w:rsid w:val="000768F2"/>
    <w:rsid w:val="00076B24"/>
    <w:rsid w:val="00076B54"/>
    <w:rsid w:val="000771C3"/>
    <w:rsid w:val="000774F0"/>
    <w:rsid w:val="000775DF"/>
    <w:rsid w:val="00077D8B"/>
    <w:rsid w:val="00077DEE"/>
    <w:rsid w:val="00080138"/>
    <w:rsid w:val="000802F9"/>
    <w:rsid w:val="00080909"/>
    <w:rsid w:val="0008091E"/>
    <w:rsid w:val="0008095A"/>
    <w:rsid w:val="00080F04"/>
    <w:rsid w:val="00080F5A"/>
    <w:rsid w:val="000812CA"/>
    <w:rsid w:val="00081A17"/>
    <w:rsid w:val="00081CFA"/>
    <w:rsid w:val="00081E63"/>
    <w:rsid w:val="0008258D"/>
    <w:rsid w:val="00082BFB"/>
    <w:rsid w:val="00082D6A"/>
    <w:rsid w:val="00083003"/>
    <w:rsid w:val="00083E99"/>
    <w:rsid w:val="00083F5E"/>
    <w:rsid w:val="00084A01"/>
    <w:rsid w:val="00084C73"/>
    <w:rsid w:val="00084EE5"/>
    <w:rsid w:val="00084FA8"/>
    <w:rsid w:val="000851DF"/>
    <w:rsid w:val="000856C5"/>
    <w:rsid w:val="00085C31"/>
    <w:rsid w:val="00085ED9"/>
    <w:rsid w:val="00086F91"/>
    <w:rsid w:val="000877A9"/>
    <w:rsid w:val="000879CC"/>
    <w:rsid w:val="00087A7F"/>
    <w:rsid w:val="00087EF2"/>
    <w:rsid w:val="00087FFB"/>
    <w:rsid w:val="000900A7"/>
    <w:rsid w:val="000902D9"/>
    <w:rsid w:val="00090731"/>
    <w:rsid w:val="00090C7E"/>
    <w:rsid w:val="00090F6E"/>
    <w:rsid w:val="00091191"/>
    <w:rsid w:val="0009175C"/>
    <w:rsid w:val="00091B49"/>
    <w:rsid w:val="00091CB6"/>
    <w:rsid w:val="00091D16"/>
    <w:rsid w:val="00092600"/>
    <w:rsid w:val="00092619"/>
    <w:rsid w:val="0009262B"/>
    <w:rsid w:val="000927AA"/>
    <w:rsid w:val="00092C4D"/>
    <w:rsid w:val="00092C95"/>
    <w:rsid w:val="00092E33"/>
    <w:rsid w:val="00093310"/>
    <w:rsid w:val="00093696"/>
    <w:rsid w:val="00093B7F"/>
    <w:rsid w:val="0009445C"/>
    <w:rsid w:val="00094635"/>
    <w:rsid w:val="00094798"/>
    <w:rsid w:val="000948CC"/>
    <w:rsid w:val="00095200"/>
    <w:rsid w:val="0009522E"/>
    <w:rsid w:val="0009577F"/>
    <w:rsid w:val="00095FE5"/>
    <w:rsid w:val="0009616F"/>
    <w:rsid w:val="00096284"/>
    <w:rsid w:val="000966DC"/>
    <w:rsid w:val="00096802"/>
    <w:rsid w:val="00096816"/>
    <w:rsid w:val="0009687A"/>
    <w:rsid w:val="00096D18"/>
    <w:rsid w:val="0009771A"/>
    <w:rsid w:val="00097E1D"/>
    <w:rsid w:val="00097F76"/>
    <w:rsid w:val="000A019F"/>
    <w:rsid w:val="000A114C"/>
    <w:rsid w:val="000A11AC"/>
    <w:rsid w:val="000A130B"/>
    <w:rsid w:val="000A15E6"/>
    <w:rsid w:val="000A1AC3"/>
    <w:rsid w:val="000A1B3F"/>
    <w:rsid w:val="000A1BC0"/>
    <w:rsid w:val="000A2925"/>
    <w:rsid w:val="000A2D36"/>
    <w:rsid w:val="000A306F"/>
    <w:rsid w:val="000A31D5"/>
    <w:rsid w:val="000A33D8"/>
    <w:rsid w:val="000A3BF4"/>
    <w:rsid w:val="000A4137"/>
    <w:rsid w:val="000A41A1"/>
    <w:rsid w:val="000A41C8"/>
    <w:rsid w:val="000A474A"/>
    <w:rsid w:val="000A4B22"/>
    <w:rsid w:val="000A55D6"/>
    <w:rsid w:val="000A5783"/>
    <w:rsid w:val="000A57AA"/>
    <w:rsid w:val="000A58CD"/>
    <w:rsid w:val="000A5AAB"/>
    <w:rsid w:val="000A6039"/>
    <w:rsid w:val="000A69DD"/>
    <w:rsid w:val="000A6B73"/>
    <w:rsid w:val="000A7453"/>
    <w:rsid w:val="000A77F2"/>
    <w:rsid w:val="000A7D08"/>
    <w:rsid w:val="000A7E9D"/>
    <w:rsid w:val="000B0121"/>
    <w:rsid w:val="000B02B0"/>
    <w:rsid w:val="000B0470"/>
    <w:rsid w:val="000B0670"/>
    <w:rsid w:val="000B0E75"/>
    <w:rsid w:val="000B1FC5"/>
    <w:rsid w:val="000B1FD2"/>
    <w:rsid w:val="000B2236"/>
    <w:rsid w:val="000B25D6"/>
    <w:rsid w:val="000B2A7A"/>
    <w:rsid w:val="000B2DCB"/>
    <w:rsid w:val="000B31D6"/>
    <w:rsid w:val="000B335B"/>
    <w:rsid w:val="000B3859"/>
    <w:rsid w:val="000B387F"/>
    <w:rsid w:val="000B3AB4"/>
    <w:rsid w:val="000B3B1A"/>
    <w:rsid w:val="000B478B"/>
    <w:rsid w:val="000B4A3D"/>
    <w:rsid w:val="000B4D34"/>
    <w:rsid w:val="000B5076"/>
    <w:rsid w:val="000B559C"/>
    <w:rsid w:val="000B56AE"/>
    <w:rsid w:val="000B5AEB"/>
    <w:rsid w:val="000B5CE0"/>
    <w:rsid w:val="000B62ED"/>
    <w:rsid w:val="000B65E9"/>
    <w:rsid w:val="000B6772"/>
    <w:rsid w:val="000B6CAC"/>
    <w:rsid w:val="000B7351"/>
    <w:rsid w:val="000B7612"/>
    <w:rsid w:val="000B78AE"/>
    <w:rsid w:val="000B7ADD"/>
    <w:rsid w:val="000B7FC5"/>
    <w:rsid w:val="000C0150"/>
    <w:rsid w:val="000C0745"/>
    <w:rsid w:val="000C0BE1"/>
    <w:rsid w:val="000C1184"/>
    <w:rsid w:val="000C131D"/>
    <w:rsid w:val="000C13BD"/>
    <w:rsid w:val="000C14E7"/>
    <w:rsid w:val="000C158C"/>
    <w:rsid w:val="000C195F"/>
    <w:rsid w:val="000C1CD6"/>
    <w:rsid w:val="000C2A1A"/>
    <w:rsid w:val="000C3049"/>
    <w:rsid w:val="000C3626"/>
    <w:rsid w:val="000C3913"/>
    <w:rsid w:val="000C3DF5"/>
    <w:rsid w:val="000C3DF9"/>
    <w:rsid w:val="000C4873"/>
    <w:rsid w:val="000C4AAC"/>
    <w:rsid w:val="000C4F33"/>
    <w:rsid w:val="000C548C"/>
    <w:rsid w:val="000C5B75"/>
    <w:rsid w:val="000C61C0"/>
    <w:rsid w:val="000C6310"/>
    <w:rsid w:val="000C63CE"/>
    <w:rsid w:val="000C64AA"/>
    <w:rsid w:val="000C660F"/>
    <w:rsid w:val="000C6641"/>
    <w:rsid w:val="000C6713"/>
    <w:rsid w:val="000C6748"/>
    <w:rsid w:val="000C69D8"/>
    <w:rsid w:val="000C70B1"/>
    <w:rsid w:val="000C752D"/>
    <w:rsid w:val="000C76F9"/>
    <w:rsid w:val="000D0060"/>
    <w:rsid w:val="000D011C"/>
    <w:rsid w:val="000D075D"/>
    <w:rsid w:val="000D085E"/>
    <w:rsid w:val="000D098C"/>
    <w:rsid w:val="000D0E1C"/>
    <w:rsid w:val="000D115C"/>
    <w:rsid w:val="000D160C"/>
    <w:rsid w:val="000D18D4"/>
    <w:rsid w:val="000D1BFC"/>
    <w:rsid w:val="000D1D5D"/>
    <w:rsid w:val="000D281A"/>
    <w:rsid w:val="000D2848"/>
    <w:rsid w:val="000D326A"/>
    <w:rsid w:val="000D3642"/>
    <w:rsid w:val="000D3744"/>
    <w:rsid w:val="000D432A"/>
    <w:rsid w:val="000D44C8"/>
    <w:rsid w:val="000D48F1"/>
    <w:rsid w:val="000D4C39"/>
    <w:rsid w:val="000D4F36"/>
    <w:rsid w:val="000D51FB"/>
    <w:rsid w:val="000D56A1"/>
    <w:rsid w:val="000D57A0"/>
    <w:rsid w:val="000D603B"/>
    <w:rsid w:val="000D6182"/>
    <w:rsid w:val="000D7024"/>
    <w:rsid w:val="000D7277"/>
    <w:rsid w:val="000D76CE"/>
    <w:rsid w:val="000D7AD4"/>
    <w:rsid w:val="000D7CA9"/>
    <w:rsid w:val="000D7D55"/>
    <w:rsid w:val="000E02BA"/>
    <w:rsid w:val="000E02F9"/>
    <w:rsid w:val="000E0640"/>
    <w:rsid w:val="000E072B"/>
    <w:rsid w:val="000E07E1"/>
    <w:rsid w:val="000E08A8"/>
    <w:rsid w:val="000E09CC"/>
    <w:rsid w:val="000E0D1C"/>
    <w:rsid w:val="000E1284"/>
    <w:rsid w:val="000E135D"/>
    <w:rsid w:val="000E1F37"/>
    <w:rsid w:val="000E20F1"/>
    <w:rsid w:val="000E23F8"/>
    <w:rsid w:val="000E2530"/>
    <w:rsid w:val="000E2865"/>
    <w:rsid w:val="000E2B2A"/>
    <w:rsid w:val="000E38D0"/>
    <w:rsid w:val="000E3DDE"/>
    <w:rsid w:val="000E4061"/>
    <w:rsid w:val="000E4288"/>
    <w:rsid w:val="000E429B"/>
    <w:rsid w:val="000E432C"/>
    <w:rsid w:val="000E448B"/>
    <w:rsid w:val="000E49D0"/>
    <w:rsid w:val="000E51CD"/>
    <w:rsid w:val="000E613D"/>
    <w:rsid w:val="000E6ACA"/>
    <w:rsid w:val="000E7338"/>
    <w:rsid w:val="000E7956"/>
    <w:rsid w:val="000E7B0C"/>
    <w:rsid w:val="000E7C32"/>
    <w:rsid w:val="000E7FE7"/>
    <w:rsid w:val="000F00BA"/>
    <w:rsid w:val="000F03B7"/>
    <w:rsid w:val="000F080B"/>
    <w:rsid w:val="000F0DED"/>
    <w:rsid w:val="000F104A"/>
    <w:rsid w:val="000F1990"/>
    <w:rsid w:val="000F2517"/>
    <w:rsid w:val="000F2603"/>
    <w:rsid w:val="000F2DBE"/>
    <w:rsid w:val="000F316A"/>
    <w:rsid w:val="000F33DE"/>
    <w:rsid w:val="000F3435"/>
    <w:rsid w:val="000F3689"/>
    <w:rsid w:val="000F3C74"/>
    <w:rsid w:val="000F44ED"/>
    <w:rsid w:val="000F45A5"/>
    <w:rsid w:val="000F48FB"/>
    <w:rsid w:val="000F4BB8"/>
    <w:rsid w:val="000F4FA9"/>
    <w:rsid w:val="000F4FB4"/>
    <w:rsid w:val="000F53FB"/>
    <w:rsid w:val="000F58FD"/>
    <w:rsid w:val="000F5CEE"/>
    <w:rsid w:val="000F6672"/>
    <w:rsid w:val="000F6755"/>
    <w:rsid w:val="000F67B0"/>
    <w:rsid w:val="000F7127"/>
    <w:rsid w:val="000F71C5"/>
    <w:rsid w:val="000F73FA"/>
    <w:rsid w:val="000F7B54"/>
    <w:rsid w:val="000F7BAC"/>
    <w:rsid w:val="000F7DA4"/>
    <w:rsid w:val="000F7F07"/>
    <w:rsid w:val="00100F8A"/>
    <w:rsid w:val="001012F3"/>
    <w:rsid w:val="00102237"/>
    <w:rsid w:val="00102EB8"/>
    <w:rsid w:val="001033DF"/>
    <w:rsid w:val="00103C42"/>
    <w:rsid w:val="00103E95"/>
    <w:rsid w:val="00103F65"/>
    <w:rsid w:val="00104049"/>
    <w:rsid w:val="0010452E"/>
    <w:rsid w:val="00104EB2"/>
    <w:rsid w:val="001053E2"/>
    <w:rsid w:val="00105AE2"/>
    <w:rsid w:val="00105B5C"/>
    <w:rsid w:val="00105BFF"/>
    <w:rsid w:val="00105DAC"/>
    <w:rsid w:val="00105DAF"/>
    <w:rsid w:val="001060C6"/>
    <w:rsid w:val="001063C7"/>
    <w:rsid w:val="00106B80"/>
    <w:rsid w:val="00106DA4"/>
    <w:rsid w:val="00107372"/>
    <w:rsid w:val="00107A2A"/>
    <w:rsid w:val="00107D8A"/>
    <w:rsid w:val="00110173"/>
    <w:rsid w:val="0011032E"/>
    <w:rsid w:val="001103D7"/>
    <w:rsid w:val="001110C5"/>
    <w:rsid w:val="00111480"/>
    <w:rsid w:val="00111483"/>
    <w:rsid w:val="00111A51"/>
    <w:rsid w:val="001124FE"/>
    <w:rsid w:val="0011318C"/>
    <w:rsid w:val="0011348B"/>
    <w:rsid w:val="0011377D"/>
    <w:rsid w:val="00113FBC"/>
    <w:rsid w:val="00114974"/>
    <w:rsid w:val="00114F62"/>
    <w:rsid w:val="00115749"/>
    <w:rsid w:val="001158F3"/>
    <w:rsid w:val="00115982"/>
    <w:rsid w:val="0011599C"/>
    <w:rsid w:val="00116332"/>
    <w:rsid w:val="00116481"/>
    <w:rsid w:val="001165DB"/>
    <w:rsid w:val="00116790"/>
    <w:rsid w:val="001168E7"/>
    <w:rsid w:val="00116C53"/>
    <w:rsid w:val="00117094"/>
    <w:rsid w:val="001203A6"/>
    <w:rsid w:val="0012094D"/>
    <w:rsid w:val="00120A75"/>
    <w:rsid w:val="00120F49"/>
    <w:rsid w:val="00121250"/>
    <w:rsid w:val="0012165C"/>
    <w:rsid w:val="00121799"/>
    <w:rsid w:val="00122036"/>
    <w:rsid w:val="001222FC"/>
    <w:rsid w:val="00123236"/>
    <w:rsid w:val="001236A2"/>
    <w:rsid w:val="00123902"/>
    <w:rsid w:val="00123A30"/>
    <w:rsid w:val="00123A56"/>
    <w:rsid w:val="00123BD3"/>
    <w:rsid w:val="00124634"/>
    <w:rsid w:val="001247DC"/>
    <w:rsid w:val="00124A44"/>
    <w:rsid w:val="00124A51"/>
    <w:rsid w:val="00125754"/>
    <w:rsid w:val="00125DEA"/>
    <w:rsid w:val="0012602A"/>
    <w:rsid w:val="001261C4"/>
    <w:rsid w:val="0012633D"/>
    <w:rsid w:val="0012652B"/>
    <w:rsid w:val="00126621"/>
    <w:rsid w:val="00126898"/>
    <w:rsid w:val="00126B1D"/>
    <w:rsid w:val="00127227"/>
    <w:rsid w:val="001278EA"/>
    <w:rsid w:val="001301E9"/>
    <w:rsid w:val="00130290"/>
    <w:rsid w:val="001303E8"/>
    <w:rsid w:val="0013075B"/>
    <w:rsid w:val="0013088D"/>
    <w:rsid w:val="00130A46"/>
    <w:rsid w:val="00130D16"/>
    <w:rsid w:val="00130EA3"/>
    <w:rsid w:val="001312EA"/>
    <w:rsid w:val="0013134E"/>
    <w:rsid w:val="00131609"/>
    <w:rsid w:val="00131B15"/>
    <w:rsid w:val="00131BAE"/>
    <w:rsid w:val="00131D82"/>
    <w:rsid w:val="00132138"/>
    <w:rsid w:val="00132158"/>
    <w:rsid w:val="001327AD"/>
    <w:rsid w:val="00132A24"/>
    <w:rsid w:val="00132B22"/>
    <w:rsid w:val="00132BE3"/>
    <w:rsid w:val="00132FB0"/>
    <w:rsid w:val="00133590"/>
    <w:rsid w:val="00133D36"/>
    <w:rsid w:val="00134686"/>
    <w:rsid w:val="00134F6F"/>
    <w:rsid w:val="00135793"/>
    <w:rsid w:val="00135E3E"/>
    <w:rsid w:val="00136214"/>
    <w:rsid w:val="0013686C"/>
    <w:rsid w:val="00136992"/>
    <w:rsid w:val="00136EF8"/>
    <w:rsid w:val="00137384"/>
    <w:rsid w:val="00137645"/>
    <w:rsid w:val="00137C53"/>
    <w:rsid w:val="0014015A"/>
    <w:rsid w:val="0014048C"/>
    <w:rsid w:val="001404B7"/>
    <w:rsid w:val="00140D67"/>
    <w:rsid w:val="00140E99"/>
    <w:rsid w:val="00141153"/>
    <w:rsid w:val="001411B4"/>
    <w:rsid w:val="00141558"/>
    <w:rsid w:val="001416EF"/>
    <w:rsid w:val="00141BA4"/>
    <w:rsid w:val="00142820"/>
    <w:rsid w:val="00143830"/>
    <w:rsid w:val="001438E5"/>
    <w:rsid w:val="001439D3"/>
    <w:rsid w:val="00143CDB"/>
    <w:rsid w:val="00143F67"/>
    <w:rsid w:val="0014479B"/>
    <w:rsid w:val="00144A76"/>
    <w:rsid w:val="00144CC8"/>
    <w:rsid w:val="00144F61"/>
    <w:rsid w:val="00144F66"/>
    <w:rsid w:val="0014541E"/>
    <w:rsid w:val="00145540"/>
    <w:rsid w:val="0014566E"/>
    <w:rsid w:val="001456B0"/>
    <w:rsid w:val="00145F66"/>
    <w:rsid w:val="0014613D"/>
    <w:rsid w:val="0014624B"/>
    <w:rsid w:val="001463DD"/>
    <w:rsid w:val="001466D5"/>
    <w:rsid w:val="00146BAC"/>
    <w:rsid w:val="00146E8E"/>
    <w:rsid w:val="001474E4"/>
    <w:rsid w:val="001476F5"/>
    <w:rsid w:val="00147C73"/>
    <w:rsid w:val="00150228"/>
    <w:rsid w:val="0015028F"/>
    <w:rsid w:val="00151454"/>
    <w:rsid w:val="001516C3"/>
    <w:rsid w:val="001516F9"/>
    <w:rsid w:val="00151899"/>
    <w:rsid w:val="00152472"/>
    <w:rsid w:val="001532E1"/>
    <w:rsid w:val="00153A87"/>
    <w:rsid w:val="00153E20"/>
    <w:rsid w:val="001541E8"/>
    <w:rsid w:val="001544F3"/>
    <w:rsid w:val="001547F3"/>
    <w:rsid w:val="0015542F"/>
    <w:rsid w:val="001554FA"/>
    <w:rsid w:val="00155752"/>
    <w:rsid w:val="0015598C"/>
    <w:rsid w:val="00155A5A"/>
    <w:rsid w:val="00155E84"/>
    <w:rsid w:val="001569B8"/>
    <w:rsid w:val="00156F8F"/>
    <w:rsid w:val="00157130"/>
    <w:rsid w:val="001576B1"/>
    <w:rsid w:val="00157872"/>
    <w:rsid w:val="0015791A"/>
    <w:rsid w:val="00160076"/>
    <w:rsid w:val="00160205"/>
    <w:rsid w:val="00160424"/>
    <w:rsid w:val="0016047B"/>
    <w:rsid w:val="001604F1"/>
    <w:rsid w:val="00160A4C"/>
    <w:rsid w:val="0016178E"/>
    <w:rsid w:val="00161FA8"/>
    <w:rsid w:val="00162378"/>
    <w:rsid w:val="00162913"/>
    <w:rsid w:val="001629C1"/>
    <w:rsid w:val="00162BF7"/>
    <w:rsid w:val="00162C53"/>
    <w:rsid w:val="0016329B"/>
    <w:rsid w:val="001632BC"/>
    <w:rsid w:val="00163583"/>
    <w:rsid w:val="00163EFF"/>
    <w:rsid w:val="00163F66"/>
    <w:rsid w:val="00163F8A"/>
    <w:rsid w:val="00163FC2"/>
    <w:rsid w:val="00164D27"/>
    <w:rsid w:val="00164E98"/>
    <w:rsid w:val="00165183"/>
    <w:rsid w:val="00165B25"/>
    <w:rsid w:val="00165BE5"/>
    <w:rsid w:val="00165EC2"/>
    <w:rsid w:val="00165F22"/>
    <w:rsid w:val="001661FB"/>
    <w:rsid w:val="00166288"/>
    <w:rsid w:val="00166866"/>
    <w:rsid w:val="00166B4A"/>
    <w:rsid w:val="001671A0"/>
    <w:rsid w:val="0016767F"/>
    <w:rsid w:val="001676A8"/>
    <w:rsid w:val="0016777C"/>
    <w:rsid w:val="00167884"/>
    <w:rsid w:val="001678DC"/>
    <w:rsid w:val="00167990"/>
    <w:rsid w:val="00167D10"/>
    <w:rsid w:val="00170670"/>
    <w:rsid w:val="001708C9"/>
    <w:rsid w:val="001709A1"/>
    <w:rsid w:val="00170F13"/>
    <w:rsid w:val="00170F85"/>
    <w:rsid w:val="00171056"/>
    <w:rsid w:val="0017111B"/>
    <w:rsid w:val="0017115A"/>
    <w:rsid w:val="00171626"/>
    <w:rsid w:val="00171C65"/>
    <w:rsid w:val="00171F53"/>
    <w:rsid w:val="001721AE"/>
    <w:rsid w:val="001724F6"/>
    <w:rsid w:val="001728E6"/>
    <w:rsid w:val="00172A52"/>
    <w:rsid w:val="00172A7F"/>
    <w:rsid w:val="00172D22"/>
    <w:rsid w:val="0017342F"/>
    <w:rsid w:val="00173565"/>
    <w:rsid w:val="001736FF"/>
    <w:rsid w:val="00173B07"/>
    <w:rsid w:val="0017432E"/>
    <w:rsid w:val="0017439D"/>
    <w:rsid w:val="00174436"/>
    <w:rsid w:val="00174466"/>
    <w:rsid w:val="0017475A"/>
    <w:rsid w:val="001750AB"/>
    <w:rsid w:val="001751FA"/>
    <w:rsid w:val="00175968"/>
    <w:rsid w:val="001769C2"/>
    <w:rsid w:val="00176C65"/>
    <w:rsid w:val="00176F49"/>
    <w:rsid w:val="001776C3"/>
    <w:rsid w:val="00177DB6"/>
    <w:rsid w:val="00177DC4"/>
    <w:rsid w:val="00177E8A"/>
    <w:rsid w:val="00180083"/>
    <w:rsid w:val="00180886"/>
    <w:rsid w:val="00180C13"/>
    <w:rsid w:val="00180C5C"/>
    <w:rsid w:val="00180FA8"/>
    <w:rsid w:val="001810EB"/>
    <w:rsid w:val="00181241"/>
    <w:rsid w:val="00181338"/>
    <w:rsid w:val="00181D9C"/>
    <w:rsid w:val="001829A3"/>
    <w:rsid w:val="00182AFA"/>
    <w:rsid w:val="00182CF5"/>
    <w:rsid w:val="00182D8B"/>
    <w:rsid w:val="00182E6E"/>
    <w:rsid w:val="001833FB"/>
    <w:rsid w:val="001836AB"/>
    <w:rsid w:val="001836FE"/>
    <w:rsid w:val="001838E3"/>
    <w:rsid w:val="00183984"/>
    <w:rsid w:val="0018447D"/>
    <w:rsid w:val="001845A1"/>
    <w:rsid w:val="00184B0E"/>
    <w:rsid w:val="00184CBF"/>
    <w:rsid w:val="00184D20"/>
    <w:rsid w:val="0018500C"/>
    <w:rsid w:val="0018524D"/>
    <w:rsid w:val="00185F37"/>
    <w:rsid w:val="00186075"/>
    <w:rsid w:val="001860BF"/>
    <w:rsid w:val="0018610E"/>
    <w:rsid w:val="00186596"/>
    <w:rsid w:val="00186A8A"/>
    <w:rsid w:val="00186D2A"/>
    <w:rsid w:val="00186D8B"/>
    <w:rsid w:val="00186FEE"/>
    <w:rsid w:val="001873C7"/>
    <w:rsid w:val="0018752F"/>
    <w:rsid w:val="00187681"/>
    <w:rsid w:val="00187D71"/>
    <w:rsid w:val="00187F59"/>
    <w:rsid w:val="0019053D"/>
    <w:rsid w:val="00190671"/>
    <w:rsid w:val="00190E5B"/>
    <w:rsid w:val="001916B6"/>
    <w:rsid w:val="00191AD7"/>
    <w:rsid w:val="00191C8C"/>
    <w:rsid w:val="0019280B"/>
    <w:rsid w:val="00192E42"/>
    <w:rsid w:val="001930A8"/>
    <w:rsid w:val="001934F0"/>
    <w:rsid w:val="00193679"/>
    <w:rsid w:val="00193838"/>
    <w:rsid w:val="00193AB4"/>
    <w:rsid w:val="00193BFF"/>
    <w:rsid w:val="0019424A"/>
    <w:rsid w:val="00194512"/>
    <w:rsid w:val="00194522"/>
    <w:rsid w:val="001946DE"/>
    <w:rsid w:val="00194AD8"/>
    <w:rsid w:val="00194B5D"/>
    <w:rsid w:val="00194D1A"/>
    <w:rsid w:val="00194E6A"/>
    <w:rsid w:val="00195222"/>
    <w:rsid w:val="001952FE"/>
    <w:rsid w:val="00195837"/>
    <w:rsid w:val="00196258"/>
    <w:rsid w:val="00196333"/>
    <w:rsid w:val="001969D9"/>
    <w:rsid w:val="00196ED2"/>
    <w:rsid w:val="00196F09"/>
    <w:rsid w:val="001975D8"/>
    <w:rsid w:val="001976F8"/>
    <w:rsid w:val="00197D2F"/>
    <w:rsid w:val="001A00E1"/>
    <w:rsid w:val="001A01F4"/>
    <w:rsid w:val="001A0789"/>
    <w:rsid w:val="001A122F"/>
    <w:rsid w:val="001A13C7"/>
    <w:rsid w:val="001A163D"/>
    <w:rsid w:val="001A178E"/>
    <w:rsid w:val="001A21AE"/>
    <w:rsid w:val="001A221D"/>
    <w:rsid w:val="001A2363"/>
    <w:rsid w:val="001A2623"/>
    <w:rsid w:val="001A2CBC"/>
    <w:rsid w:val="001A2FE9"/>
    <w:rsid w:val="001A383A"/>
    <w:rsid w:val="001A38D5"/>
    <w:rsid w:val="001A39FA"/>
    <w:rsid w:val="001A3F6A"/>
    <w:rsid w:val="001A43FA"/>
    <w:rsid w:val="001A47C5"/>
    <w:rsid w:val="001A48EC"/>
    <w:rsid w:val="001A4D00"/>
    <w:rsid w:val="001A51D6"/>
    <w:rsid w:val="001A53B7"/>
    <w:rsid w:val="001A571D"/>
    <w:rsid w:val="001A59FB"/>
    <w:rsid w:val="001A5E9E"/>
    <w:rsid w:val="001A6354"/>
    <w:rsid w:val="001A6366"/>
    <w:rsid w:val="001A6599"/>
    <w:rsid w:val="001A7559"/>
    <w:rsid w:val="001A7560"/>
    <w:rsid w:val="001A7639"/>
    <w:rsid w:val="001A7731"/>
    <w:rsid w:val="001A7AE8"/>
    <w:rsid w:val="001A7F41"/>
    <w:rsid w:val="001B02EC"/>
    <w:rsid w:val="001B0C0A"/>
    <w:rsid w:val="001B0D77"/>
    <w:rsid w:val="001B0FDA"/>
    <w:rsid w:val="001B10F5"/>
    <w:rsid w:val="001B16FF"/>
    <w:rsid w:val="001B1852"/>
    <w:rsid w:val="001B18CA"/>
    <w:rsid w:val="001B1E9B"/>
    <w:rsid w:val="001B204E"/>
    <w:rsid w:val="001B2372"/>
    <w:rsid w:val="001B2B2F"/>
    <w:rsid w:val="001B2B71"/>
    <w:rsid w:val="001B330D"/>
    <w:rsid w:val="001B3443"/>
    <w:rsid w:val="001B3505"/>
    <w:rsid w:val="001B35A2"/>
    <w:rsid w:val="001B3822"/>
    <w:rsid w:val="001B3E31"/>
    <w:rsid w:val="001B413A"/>
    <w:rsid w:val="001B4D20"/>
    <w:rsid w:val="001B521B"/>
    <w:rsid w:val="001B5B81"/>
    <w:rsid w:val="001B6B89"/>
    <w:rsid w:val="001B6C4D"/>
    <w:rsid w:val="001B72DD"/>
    <w:rsid w:val="001B7352"/>
    <w:rsid w:val="001B757A"/>
    <w:rsid w:val="001B787F"/>
    <w:rsid w:val="001B7E11"/>
    <w:rsid w:val="001C0012"/>
    <w:rsid w:val="001C00DD"/>
    <w:rsid w:val="001C0286"/>
    <w:rsid w:val="001C032C"/>
    <w:rsid w:val="001C0341"/>
    <w:rsid w:val="001C039B"/>
    <w:rsid w:val="001C088B"/>
    <w:rsid w:val="001C09C5"/>
    <w:rsid w:val="001C0AFE"/>
    <w:rsid w:val="001C0FF0"/>
    <w:rsid w:val="001C1845"/>
    <w:rsid w:val="001C21B6"/>
    <w:rsid w:val="001C25C9"/>
    <w:rsid w:val="001C2A9B"/>
    <w:rsid w:val="001C2C67"/>
    <w:rsid w:val="001C2D0A"/>
    <w:rsid w:val="001C33E8"/>
    <w:rsid w:val="001C3B0E"/>
    <w:rsid w:val="001C4236"/>
    <w:rsid w:val="001C4299"/>
    <w:rsid w:val="001C43F3"/>
    <w:rsid w:val="001C454E"/>
    <w:rsid w:val="001C4874"/>
    <w:rsid w:val="001C513C"/>
    <w:rsid w:val="001C5423"/>
    <w:rsid w:val="001C5547"/>
    <w:rsid w:val="001C575F"/>
    <w:rsid w:val="001C5868"/>
    <w:rsid w:val="001C589A"/>
    <w:rsid w:val="001C596E"/>
    <w:rsid w:val="001C5C10"/>
    <w:rsid w:val="001C5D05"/>
    <w:rsid w:val="001C5F94"/>
    <w:rsid w:val="001C6020"/>
    <w:rsid w:val="001C61B3"/>
    <w:rsid w:val="001C62C3"/>
    <w:rsid w:val="001C634C"/>
    <w:rsid w:val="001C6E01"/>
    <w:rsid w:val="001C6E66"/>
    <w:rsid w:val="001C70B5"/>
    <w:rsid w:val="001C70F9"/>
    <w:rsid w:val="001C754A"/>
    <w:rsid w:val="001C77E3"/>
    <w:rsid w:val="001D01C8"/>
    <w:rsid w:val="001D1100"/>
    <w:rsid w:val="001D1385"/>
    <w:rsid w:val="001D1391"/>
    <w:rsid w:val="001D1A44"/>
    <w:rsid w:val="001D1D66"/>
    <w:rsid w:val="001D22AE"/>
    <w:rsid w:val="001D230B"/>
    <w:rsid w:val="001D248C"/>
    <w:rsid w:val="001D25D7"/>
    <w:rsid w:val="001D262C"/>
    <w:rsid w:val="001D2A4C"/>
    <w:rsid w:val="001D2B3F"/>
    <w:rsid w:val="001D2F4C"/>
    <w:rsid w:val="001D316E"/>
    <w:rsid w:val="001D3182"/>
    <w:rsid w:val="001D340C"/>
    <w:rsid w:val="001D3BA6"/>
    <w:rsid w:val="001D402B"/>
    <w:rsid w:val="001D429D"/>
    <w:rsid w:val="001D42E8"/>
    <w:rsid w:val="001D4816"/>
    <w:rsid w:val="001D50B2"/>
    <w:rsid w:val="001D54A6"/>
    <w:rsid w:val="001D5509"/>
    <w:rsid w:val="001D5948"/>
    <w:rsid w:val="001D5AE4"/>
    <w:rsid w:val="001D5B8F"/>
    <w:rsid w:val="001D6263"/>
    <w:rsid w:val="001D6735"/>
    <w:rsid w:val="001D7017"/>
    <w:rsid w:val="001D7093"/>
    <w:rsid w:val="001D70EA"/>
    <w:rsid w:val="001D760F"/>
    <w:rsid w:val="001D7645"/>
    <w:rsid w:val="001D7E83"/>
    <w:rsid w:val="001D7F66"/>
    <w:rsid w:val="001E02EC"/>
    <w:rsid w:val="001E0F76"/>
    <w:rsid w:val="001E1574"/>
    <w:rsid w:val="001E1704"/>
    <w:rsid w:val="001E18E5"/>
    <w:rsid w:val="001E1A36"/>
    <w:rsid w:val="001E1CFF"/>
    <w:rsid w:val="001E1E86"/>
    <w:rsid w:val="001E20EE"/>
    <w:rsid w:val="001E218E"/>
    <w:rsid w:val="001E2191"/>
    <w:rsid w:val="001E238E"/>
    <w:rsid w:val="001E23D8"/>
    <w:rsid w:val="001E2483"/>
    <w:rsid w:val="001E2B1E"/>
    <w:rsid w:val="001E2BCC"/>
    <w:rsid w:val="001E2C27"/>
    <w:rsid w:val="001E2CFF"/>
    <w:rsid w:val="001E2F24"/>
    <w:rsid w:val="001E30D4"/>
    <w:rsid w:val="001E3180"/>
    <w:rsid w:val="001E34DF"/>
    <w:rsid w:val="001E366A"/>
    <w:rsid w:val="001E3D04"/>
    <w:rsid w:val="001E3EEC"/>
    <w:rsid w:val="001E4526"/>
    <w:rsid w:val="001E4CC8"/>
    <w:rsid w:val="001E52EB"/>
    <w:rsid w:val="001E5E13"/>
    <w:rsid w:val="001E61D2"/>
    <w:rsid w:val="001E67A2"/>
    <w:rsid w:val="001E6D95"/>
    <w:rsid w:val="001E7252"/>
    <w:rsid w:val="001E740C"/>
    <w:rsid w:val="001E778B"/>
    <w:rsid w:val="001E798B"/>
    <w:rsid w:val="001E7AF5"/>
    <w:rsid w:val="001E7B59"/>
    <w:rsid w:val="001E7C1F"/>
    <w:rsid w:val="001F006C"/>
    <w:rsid w:val="001F0CCA"/>
    <w:rsid w:val="001F1235"/>
    <w:rsid w:val="001F1452"/>
    <w:rsid w:val="001F1A90"/>
    <w:rsid w:val="001F1CB3"/>
    <w:rsid w:val="001F1FD8"/>
    <w:rsid w:val="001F2A3E"/>
    <w:rsid w:val="001F2AB7"/>
    <w:rsid w:val="001F2DE4"/>
    <w:rsid w:val="001F3261"/>
    <w:rsid w:val="001F3379"/>
    <w:rsid w:val="001F38B5"/>
    <w:rsid w:val="001F39FF"/>
    <w:rsid w:val="001F3C91"/>
    <w:rsid w:val="001F3ED8"/>
    <w:rsid w:val="001F4081"/>
    <w:rsid w:val="001F4E58"/>
    <w:rsid w:val="001F51D7"/>
    <w:rsid w:val="001F537E"/>
    <w:rsid w:val="001F53E5"/>
    <w:rsid w:val="001F5870"/>
    <w:rsid w:val="001F58DB"/>
    <w:rsid w:val="001F5A2C"/>
    <w:rsid w:val="001F5FDC"/>
    <w:rsid w:val="001F612B"/>
    <w:rsid w:val="001F6569"/>
    <w:rsid w:val="001F6BA3"/>
    <w:rsid w:val="001F6FA7"/>
    <w:rsid w:val="001F728A"/>
    <w:rsid w:val="001F728E"/>
    <w:rsid w:val="001F7361"/>
    <w:rsid w:val="001F7911"/>
    <w:rsid w:val="001F79F3"/>
    <w:rsid w:val="001F7A3C"/>
    <w:rsid w:val="0020005B"/>
    <w:rsid w:val="002000FB"/>
    <w:rsid w:val="0020026A"/>
    <w:rsid w:val="002003C4"/>
    <w:rsid w:val="00200EF8"/>
    <w:rsid w:val="002011B0"/>
    <w:rsid w:val="00201275"/>
    <w:rsid w:val="00201544"/>
    <w:rsid w:val="002018E5"/>
    <w:rsid w:val="002019C2"/>
    <w:rsid w:val="00201C7C"/>
    <w:rsid w:val="00201DCA"/>
    <w:rsid w:val="002028AB"/>
    <w:rsid w:val="00202A1A"/>
    <w:rsid w:val="00202B7E"/>
    <w:rsid w:val="00203181"/>
    <w:rsid w:val="00203783"/>
    <w:rsid w:val="0020385F"/>
    <w:rsid w:val="00204054"/>
    <w:rsid w:val="002042D6"/>
    <w:rsid w:val="0020448A"/>
    <w:rsid w:val="002047AE"/>
    <w:rsid w:val="00204B49"/>
    <w:rsid w:val="00204B94"/>
    <w:rsid w:val="00204F38"/>
    <w:rsid w:val="0020511B"/>
    <w:rsid w:val="0020522A"/>
    <w:rsid w:val="002056B4"/>
    <w:rsid w:val="002056BA"/>
    <w:rsid w:val="00205864"/>
    <w:rsid w:val="002058D8"/>
    <w:rsid w:val="002064DE"/>
    <w:rsid w:val="002068A0"/>
    <w:rsid w:val="00207021"/>
    <w:rsid w:val="0020732F"/>
    <w:rsid w:val="002073A9"/>
    <w:rsid w:val="00207D00"/>
    <w:rsid w:val="00210109"/>
    <w:rsid w:val="00210175"/>
    <w:rsid w:val="00210389"/>
    <w:rsid w:val="002105C1"/>
    <w:rsid w:val="00211300"/>
    <w:rsid w:val="002116B6"/>
    <w:rsid w:val="00211BE5"/>
    <w:rsid w:val="00211E0E"/>
    <w:rsid w:val="002120F1"/>
    <w:rsid w:val="00212ECE"/>
    <w:rsid w:val="00213A9B"/>
    <w:rsid w:val="00213DCC"/>
    <w:rsid w:val="00213EF5"/>
    <w:rsid w:val="00213F63"/>
    <w:rsid w:val="0021469D"/>
    <w:rsid w:val="00214772"/>
    <w:rsid w:val="002147B3"/>
    <w:rsid w:val="00215336"/>
    <w:rsid w:val="00215783"/>
    <w:rsid w:val="00216A6B"/>
    <w:rsid w:val="00216BF5"/>
    <w:rsid w:val="00216C99"/>
    <w:rsid w:val="002172DD"/>
    <w:rsid w:val="00217611"/>
    <w:rsid w:val="0021785E"/>
    <w:rsid w:val="00217A25"/>
    <w:rsid w:val="00217B04"/>
    <w:rsid w:val="00217B9D"/>
    <w:rsid w:val="00220938"/>
    <w:rsid w:val="0022096F"/>
    <w:rsid w:val="00220A84"/>
    <w:rsid w:val="00221340"/>
    <w:rsid w:val="0022179D"/>
    <w:rsid w:val="002217B6"/>
    <w:rsid w:val="0022211C"/>
    <w:rsid w:val="002223D8"/>
    <w:rsid w:val="002223F8"/>
    <w:rsid w:val="00222590"/>
    <w:rsid w:val="00222A45"/>
    <w:rsid w:val="00222A46"/>
    <w:rsid w:val="00222BFD"/>
    <w:rsid w:val="0022365D"/>
    <w:rsid w:val="00223B49"/>
    <w:rsid w:val="00223D5A"/>
    <w:rsid w:val="00224443"/>
    <w:rsid w:val="00224D81"/>
    <w:rsid w:val="00224DD4"/>
    <w:rsid w:val="00224E11"/>
    <w:rsid w:val="00225861"/>
    <w:rsid w:val="0022596F"/>
    <w:rsid w:val="00225B42"/>
    <w:rsid w:val="00225E54"/>
    <w:rsid w:val="00225F24"/>
    <w:rsid w:val="0022619D"/>
    <w:rsid w:val="00226415"/>
    <w:rsid w:val="00226557"/>
    <w:rsid w:val="0022661F"/>
    <w:rsid w:val="0022684B"/>
    <w:rsid w:val="002268A3"/>
    <w:rsid w:val="00226964"/>
    <w:rsid w:val="00226D7E"/>
    <w:rsid w:val="0022702D"/>
    <w:rsid w:val="00227075"/>
    <w:rsid w:val="002271F0"/>
    <w:rsid w:val="002278A0"/>
    <w:rsid w:val="0022798C"/>
    <w:rsid w:val="00227BB2"/>
    <w:rsid w:val="002300CC"/>
    <w:rsid w:val="002307CB"/>
    <w:rsid w:val="002309CC"/>
    <w:rsid w:val="00230C85"/>
    <w:rsid w:val="00230DB1"/>
    <w:rsid w:val="00230E1D"/>
    <w:rsid w:val="00230F36"/>
    <w:rsid w:val="00231034"/>
    <w:rsid w:val="002311F5"/>
    <w:rsid w:val="0023197E"/>
    <w:rsid w:val="00231D5B"/>
    <w:rsid w:val="00231DBA"/>
    <w:rsid w:val="00231F92"/>
    <w:rsid w:val="00231FAF"/>
    <w:rsid w:val="0023209F"/>
    <w:rsid w:val="002324B5"/>
    <w:rsid w:val="00232D53"/>
    <w:rsid w:val="00233C01"/>
    <w:rsid w:val="0023413C"/>
    <w:rsid w:val="002346F0"/>
    <w:rsid w:val="00235222"/>
    <w:rsid w:val="00235375"/>
    <w:rsid w:val="002359B7"/>
    <w:rsid w:val="00235B85"/>
    <w:rsid w:val="00235CEB"/>
    <w:rsid w:val="00235EBA"/>
    <w:rsid w:val="0023629D"/>
    <w:rsid w:val="00236B53"/>
    <w:rsid w:val="00236E3F"/>
    <w:rsid w:val="00237255"/>
    <w:rsid w:val="002373AD"/>
    <w:rsid w:val="0023768D"/>
    <w:rsid w:val="00237946"/>
    <w:rsid w:val="00237DB9"/>
    <w:rsid w:val="00240012"/>
    <w:rsid w:val="002406C1"/>
    <w:rsid w:val="00240875"/>
    <w:rsid w:val="0024087F"/>
    <w:rsid w:val="002408D8"/>
    <w:rsid w:val="0024094F"/>
    <w:rsid w:val="00240BFE"/>
    <w:rsid w:val="00241237"/>
    <w:rsid w:val="00241854"/>
    <w:rsid w:val="00241AE0"/>
    <w:rsid w:val="002424AF"/>
    <w:rsid w:val="00242B1E"/>
    <w:rsid w:val="00242E2F"/>
    <w:rsid w:val="00242F01"/>
    <w:rsid w:val="00242F28"/>
    <w:rsid w:val="00242F3C"/>
    <w:rsid w:val="00243417"/>
    <w:rsid w:val="00243571"/>
    <w:rsid w:val="002439DC"/>
    <w:rsid w:val="002441D2"/>
    <w:rsid w:val="002448C0"/>
    <w:rsid w:val="00244DC8"/>
    <w:rsid w:val="0024518F"/>
    <w:rsid w:val="002457B3"/>
    <w:rsid w:val="002458BA"/>
    <w:rsid w:val="00245AC7"/>
    <w:rsid w:val="00245B7C"/>
    <w:rsid w:val="00245CE9"/>
    <w:rsid w:val="00246119"/>
    <w:rsid w:val="00246132"/>
    <w:rsid w:val="0024631F"/>
    <w:rsid w:val="00246326"/>
    <w:rsid w:val="0024636C"/>
    <w:rsid w:val="00246631"/>
    <w:rsid w:val="00246845"/>
    <w:rsid w:val="00246A2B"/>
    <w:rsid w:val="0024721E"/>
    <w:rsid w:val="00247925"/>
    <w:rsid w:val="00247D58"/>
    <w:rsid w:val="00250184"/>
    <w:rsid w:val="002507B6"/>
    <w:rsid w:val="00251006"/>
    <w:rsid w:val="0025123E"/>
    <w:rsid w:val="002521DD"/>
    <w:rsid w:val="002524D5"/>
    <w:rsid w:val="00252587"/>
    <w:rsid w:val="00252DDC"/>
    <w:rsid w:val="002531FC"/>
    <w:rsid w:val="002533F9"/>
    <w:rsid w:val="002535A4"/>
    <w:rsid w:val="00253700"/>
    <w:rsid w:val="0025385C"/>
    <w:rsid w:val="002538D3"/>
    <w:rsid w:val="002538D8"/>
    <w:rsid w:val="002539DD"/>
    <w:rsid w:val="00253A0F"/>
    <w:rsid w:val="00253A46"/>
    <w:rsid w:val="00253B1D"/>
    <w:rsid w:val="00254077"/>
    <w:rsid w:val="0025426A"/>
    <w:rsid w:val="00254287"/>
    <w:rsid w:val="0025471B"/>
    <w:rsid w:val="002549CC"/>
    <w:rsid w:val="00254DCF"/>
    <w:rsid w:val="00254FF7"/>
    <w:rsid w:val="0025503B"/>
    <w:rsid w:val="0025534B"/>
    <w:rsid w:val="00255520"/>
    <w:rsid w:val="002557BE"/>
    <w:rsid w:val="00255AFA"/>
    <w:rsid w:val="00255BB7"/>
    <w:rsid w:val="00256719"/>
    <w:rsid w:val="00256BC5"/>
    <w:rsid w:val="00256CC9"/>
    <w:rsid w:val="0025723F"/>
    <w:rsid w:val="00257541"/>
    <w:rsid w:val="00257A39"/>
    <w:rsid w:val="00257AC4"/>
    <w:rsid w:val="00257E9A"/>
    <w:rsid w:val="00260010"/>
    <w:rsid w:val="0026128A"/>
    <w:rsid w:val="002615BD"/>
    <w:rsid w:val="00261881"/>
    <w:rsid w:val="00261CAB"/>
    <w:rsid w:val="00261E00"/>
    <w:rsid w:val="00261E7F"/>
    <w:rsid w:val="00261EEF"/>
    <w:rsid w:val="00261F4C"/>
    <w:rsid w:val="00262197"/>
    <w:rsid w:val="00262276"/>
    <w:rsid w:val="002623F9"/>
    <w:rsid w:val="0026274D"/>
    <w:rsid w:val="00262A1A"/>
    <w:rsid w:val="00262A87"/>
    <w:rsid w:val="00262BCC"/>
    <w:rsid w:val="002648AF"/>
    <w:rsid w:val="00264B68"/>
    <w:rsid w:val="00264C88"/>
    <w:rsid w:val="00264D26"/>
    <w:rsid w:val="00265C31"/>
    <w:rsid w:val="00265CFA"/>
    <w:rsid w:val="00265CFF"/>
    <w:rsid w:val="002660ED"/>
    <w:rsid w:val="002664D4"/>
    <w:rsid w:val="002665A2"/>
    <w:rsid w:val="002666D0"/>
    <w:rsid w:val="00266CE5"/>
    <w:rsid w:val="00266DE9"/>
    <w:rsid w:val="00267184"/>
    <w:rsid w:val="002671C8"/>
    <w:rsid w:val="00267642"/>
    <w:rsid w:val="002679AC"/>
    <w:rsid w:val="00267A93"/>
    <w:rsid w:val="00267AEA"/>
    <w:rsid w:val="002700E6"/>
    <w:rsid w:val="00270A56"/>
    <w:rsid w:val="002713D0"/>
    <w:rsid w:val="00271552"/>
    <w:rsid w:val="00271964"/>
    <w:rsid w:val="00271C44"/>
    <w:rsid w:val="00271DAA"/>
    <w:rsid w:val="00272331"/>
    <w:rsid w:val="002726D7"/>
    <w:rsid w:val="00272866"/>
    <w:rsid w:val="0027294B"/>
    <w:rsid w:val="0027371A"/>
    <w:rsid w:val="00273EB4"/>
    <w:rsid w:val="002741B2"/>
    <w:rsid w:val="002742B6"/>
    <w:rsid w:val="00274682"/>
    <w:rsid w:val="00274AA5"/>
    <w:rsid w:val="002755A8"/>
    <w:rsid w:val="00275BC2"/>
    <w:rsid w:val="00275C5A"/>
    <w:rsid w:val="00275E6D"/>
    <w:rsid w:val="002761AB"/>
    <w:rsid w:val="0027622A"/>
    <w:rsid w:val="00276849"/>
    <w:rsid w:val="002769E0"/>
    <w:rsid w:val="00277838"/>
    <w:rsid w:val="00277B3A"/>
    <w:rsid w:val="00277E61"/>
    <w:rsid w:val="002804C0"/>
    <w:rsid w:val="002805C1"/>
    <w:rsid w:val="00280643"/>
    <w:rsid w:val="00280AF4"/>
    <w:rsid w:val="00280B62"/>
    <w:rsid w:val="00281014"/>
    <w:rsid w:val="002816E2"/>
    <w:rsid w:val="00281C1D"/>
    <w:rsid w:val="00281F40"/>
    <w:rsid w:val="00281F94"/>
    <w:rsid w:val="0028209F"/>
    <w:rsid w:val="002820F6"/>
    <w:rsid w:val="00282440"/>
    <w:rsid w:val="002824A9"/>
    <w:rsid w:val="002828D6"/>
    <w:rsid w:val="00282BD0"/>
    <w:rsid w:val="002836B6"/>
    <w:rsid w:val="00283983"/>
    <w:rsid w:val="00283A0F"/>
    <w:rsid w:val="00283B42"/>
    <w:rsid w:val="00284977"/>
    <w:rsid w:val="00285BEF"/>
    <w:rsid w:val="00285F58"/>
    <w:rsid w:val="00285FD5"/>
    <w:rsid w:val="0028618F"/>
    <w:rsid w:val="0028630A"/>
    <w:rsid w:val="00286338"/>
    <w:rsid w:val="0028665D"/>
    <w:rsid w:val="002866D5"/>
    <w:rsid w:val="00286ABE"/>
    <w:rsid w:val="00286C16"/>
    <w:rsid w:val="00286F3D"/>
    <w:rsid w:val="002870C8"/>
    <w:rsid w:val="0028762A"/>
    <w:rsid w:val="00287728"/>
    <w:rsid w:val="00287748"/>
    <w:rsid w:val="002901D3"/>
    <w:rsid w:val="002902A4"/>
    <w:rsid w:val="002906B9"/>
    <w:rsid w:val="00290D4F"/>
    <w:rsid w:val="00290EE7"/>
    <w:rsid w:val="00291075"/>
    <w:rsid w:val="00291197"/>
    <w:rsid w:val="00291304"/>
    <w:rsid w:val="00291560"/>
    <w:rsid w:val="002915A5"/>
    <w:rsid w:val="00291A84"/>
    <w:rsid w:val="00291F44"/>
    <w:rsid w:val="0029211E"/>
    <w:rsid w:val="00292926"/>
    <w:rsid w:val="00292FF0"/>
    <w:rsid w:val="0029374A"/>
    <w:rsid w:val="00293788"/>
    <w:rsid w:val="002937F8"/>
    <w:rsid w:val="002938D4"/>
    <w:rsid w:val="002939C4"/>
    <w:rsid w:val="00293E85"/>
    <w:rsid w:val="002948F7"/>
    <w:rsid w:val="0029519F"/>
    <w:rsid w:val="002954C8"/>
    <w:rsid w:val="00295AE5"/>
    <w:rsid w:val="00295F65"/>
    <w:rsid w:val="00296C94"/>
    <w:rsid w:val="00296FB7"/>
    <w:rsid w:val="00297149"/>
    <w:rsid w:val="00297BB7"/>
    <w:rsid w:val="00297C20"/>
    <w:rsid w:val="00297C3B"/>
    <w:rsid w:val="002A049D"/>
    <w:rsid w:val="002A08FC"/>
    <w:rsid w:val="002A0B1D"/>
    <w:rsid w:val="002A14AB"/>
    <w:rsid w:val="002A1912"/>
    <w:rsid w:val="002A1C80"/>
    <w:rsid w:val="002A29C0"/>
    <w:rsid w:val="002A2A6A"/>
    <w:rsid w:val="002A2ADE"/>
    <w:rsid w:val="002A2BD6"/>
    <w:rsid w:val="002A2D7C"/>
    <w:rsid w:val="002A2F50"/>
    <w:rsid w:val="002A325C"/>
    <w:rsid w:val="002A378D"/>
    <w:rsid w:val="002A3836"/>
    <w:rsid w:val="002A3F0E"/>
    <w:rsid w:val="002A4316"/>
    <w:rsid w:val="002A47B7"/>
    <w:rsid w:val="002A4A2B"/>
    <w:rsid w:val="002A4F7E"/>
    <w:rsid w:val="002A4FA6"/>
    <w:rsid w:val="002A5F7E"/>
    <w:rsid w:val="002A6278"/>
    <w:rsid w:val="002A6E67"/>
    <w:rsid w:val="002A7455"/>
    <w:rsid w:val="002A76E2"/>
    <w:rsid w:val="002A796C"/>
    <w:rsid w:val="002A79E1"/>
    <w:rsid w:val="002A7D8F"/>
    <w:rsid w:val="002B05A1"/>
    <w:rsid w:val="002B0660"/>
    <w:rsid w:val="002B09A4"/>
    <w:rsid w:val="002B0C16"/>
    <w:rsid w:val="002B0C5D"/>
    <w:rsid w:val="002B11F3"/>
    <w:rsid w:val="002B154E"/>
    <w:rsid w:val="002B1741"/>
    <w:rsid w:val="002B18EB"/>
    <w:rsid w:val="002B1C1F"/>
    <w:rsid w:val="002B26F6"/>
    <w:rsid w:val="002B2CDE"/>
    <w:rsid w:val="002B2F09"/>
    <w:rsid w:val="002B2F76"/>
    <w:rsid w:val="002B3477"/>
    <w:rsid w:val="002B34BF"/>
    <w:rsid w:val="002B39F2"/>
    <w:rsid w:val="002B3FF1"/>
    <w:rsid w:val="002B4006"/>
    <w:rsid w:val="002B4078"/>
    <w:rsid w:val="002B432F"/>
    <w:rsid w:val="002B4355"/>
    <w:rsid w:val="002B48B3"/>
    <w:rsid w:val="002B4DDC"/>
    <w:rsid w:val="002B4EB5"/>
    <w:rsid w:val="002B515F"/>
    <w:rsid w:val="002B51BE"/>
    <w:rsid w:val="002B58BC"/>
    <w:rsid w:val="002B58E5"/>
    <w:rsid w:val="002B5BDA"/>
    <w:rsid w:val="002B5D17"/>
    <w:rsid w:val="002B6044"/>
    <w:rsid w:val="002B6053"/>
    <w:rsid w:val="002B619F"/>
    <w:rsid w:val="002B62B3"/>
    <w:rsid w:val="002B63A6"/>
    <w:rsid w:val="002B6754"/>
    <w:rsid w:val="002B69B9"/>
    <w:rsid w:val="002B69DD"/>
    <w:rsid w:val="002B6CCE"/>
    <w:rsid w:val="002B6E55"/>
    <w:rsid w:val="002B7587"/>
    <w:rsid w:val="002B7670"/>
    <w:rsid w:val="002B772B"/>
    <w:rsid w:val="002B7D0A"/>
    <w:rsid w:val="002C03C2"/>
    <w:rsid w:val="002C0D53"/>
    <w:rsid w:val="002C0DB9"/>
    <w:rsid w:val="002C0E6F"/>
    <w:rsid w:val="002C1045"/>
    <w:rsid w:val="002C1705"/>
    <w:rsid w:val="002C204B"/>
    <w:rsid w:val="002C211D"/>
    <w:rsid w:val="002C2396"/>
    <w:rsid w:val="002C2510"/>
    <w:rsid w:val="002C2775"/>
    <w:rsid w:val="002C27C1"/>
    <w:rsid w:val="002C27DD"/>
    <w:rsid w:val="002C29B4"/>
    <w:rsid w:val="002C2A2E"/>
    <w:rsid w:val="002C2B29"/>
    <w:rsid w:val="002C2D10"/>
    <w:rsid w:val="002C30E5"/>
    <w:rsid w:val="002C3514"/>
    <w:rsid w:val="002C36C5"/>
    <w:rsid w:val="002C3C89"/>
    <w:rsid w:val="002C409E"/>
    <w:rsid w:val="002C43F9"/>
    <w:rsid w:val="002C4768"/>
    <w:rsid w:val="002C4A97"/>
    <w:rsid w:val="002C5099"/>
    <w:rsid w:val="002C5206"/>
    <w:rsid w:val="002C5889"/>
    <w:rsid w:val="002C5A3A"/>
    <w:rsid w:val="002C6514"/>
    <w:rsid w:val="002C6682"/>
    <w:rsid w:val="002C71A1"/>
    <w:rsid w:val="002C71CE"/>
    <w:rsid w:val="002C7232"/>
    <w:rsid w:val="002C77DA"/>
    <w:rsid w:val="002C7BE2"/>
    <w:rsid w:val="002D050D"/>
    <w:rsid w:val="002D089D"/>
    <w:rsid w:val="002D08F8"/>
    <w:rsid w:val="002D09E9"/>
    <w:rsid w:val="002D0F33"/>
    <w:rsid w:val="002D0FC7"/>
    <w:rsid w:val="002D1032"/>
    <w:rsid w:val="002D105D"/>
    <w:rsid w:val="002D144E"/>
    <w:rsid w:val="002D18BD"/>
    <w:rsid w:val="002D1A94"/>
    <w:rsid w:val="002D1B81"/>
    <w:rsid w:val="002D2143"/>
    <w:rsid w:val="002D24C0"/>
    <w:rsid w:val="002D28AE"/>
    <w:rsid w:val="002D28EA"/>
    <w:rsid w:val="002D2EE9"/>
    <w:rsid w:val="002D55CC"/>
    <w:rsid w:val="002D577C"/>
    <w:rsid w:val="002D5B84"/>
    <w:rsid w:val="002D5FBF"/>
    <w:rsid w:val="002D67BE"/>
    <w:rsid w:val="002D6D31"/>
    <w:rsid w:val="002D6F3A"/>
    <w:rsid w:val="002D6FD4"/>
    <w:rsid w:val="002D75CB"/>
    <w:rsid w:val="002D7615"/>
    <w:rsid w:val="002E0246"/>
    <w:rsid w:val="002E0769"/>
    <w:rsid w:val="002E07C3"/>
    <w:rsid w:val="002E07EE"/>
    <w:rsid w:val="002E1071"/>
    <w:rsid w:val="002E10BF"/>
    <w:rsid w:val="002E121F"/>
    <w:rsid w:val="002E15B9"/>
    <w:rsid w:val="002E1C4F"/>
    <w:rsid w:val="002E2158"/>
    <w:rsid w:val="002E2F9F"/>
    <w:rsid w:val="002E31DA"/>
    <w:rsid w:val="002E34C3"/>
    <w:rsid w:val="002E353E"/>
    <w:rsid w:val="002E38AA"/>
    <w:rsid w:val="002E3C3D"/>
    <w:rsid w:val="002E3F3C"/>
    <w:rsid w:val="002E4031"/>
    <w:rsid w:val="002E46ED"/>
    <w:rsid w:val="002E473F"/>
    <w:rsid w:val="002E4944"/>
    <w:rsid w:val="002E494E"/>
    <w:rsid w:val="002E4F02"/>
    <w:rsid w:val="002E56F3"/>
    <w:rsid w:val="002E5C6A"/>
    <w:rsid w:val="002E5FE5"/>
    <w:rsid w:val="002E6527"/>
    <w:rsid w:val="002E6953"/>
    <w:rsid w:val="002E6D5B"/>
    <w:rsid w:val="002E6EBF"/>
    <w:rsid w:val="002E70FB"/>
    <w:rsid w:val="002E757A"/>
    <w:rsid w:val="002E7722"/>
    <w:rsid w:val="002E7BAB"/>
    <w:rsid w:val="002E7F63"/>
    <w:rsid w:val="002F01F5"/>
    <w:rsid w:val="002F02C7"/>
    <w:rsid w:val="002F02F0"/>
    <w:rsid w:val="002F047F"/>
    <w:rsid w:val="002F07BA"/>
    <w:rsid w:val="002F0AF4"/>
    <w:rsid w:val="002F0DA9"/>
    <w:rsid w:val="002F1014"/>
    <w:rsid w:val="002F152F"/>
    <w:rsid w:val="002F18E4"/>
    <w:rsid w:val="002F1BE9"/>
    <w:rsid w:val="002F224D"/>
    <w:rsid w:val="002F268B"/>
    <w:rsid w:val="002F2B66"/>
    <w:rsid w:val="002F2CCF"/>
    <w:rsid w:val="002F369D"/>
    <w:rsid w:val="002F4558"/>
    <w:rsid w:val="002F4875"/>
    <w:rsid w:val="002F5510"/>
    <w:rsid w:val="002F55F7"/>
    <w:rsid w:val="002F565A"/>
    <w:rsid w:val="002F59A5"/>
    <w:rsid w:val="002F5CD1"/>
    <w:rsid w:val="002F5F80"/>
    <w:rsid w:val="002F6018"/>
    <w:rsid w:val="002F643C"/>
    <w:rsid w:val="002F6672"/>
    <w:rsid w:val="002F6F1C"/>
    <w:rsid w:val="002F703D"/>
    <w:rsid w:val="002F71C0"/>
    <w:rsid w:val="002F72A1"/>
    <w:rsid w:val="002F74F1"/>
    <w:rsid w:val="002F797D"/>
    <w:rsid w:val="00300021"/>
    <w:rsid w:val="00300425"/>
    <w:rsid w:val="0030058C"/>
    <w:rsid w:val="003007FE"/>
    <w:rsid w:val="00300B76"/>
    <w:rsid w:val="00300CF0"/>
    <w:rsid w:val="00301017"/>
    <w:rsid w:val="0030129C"/>
    <w:rsid w:val="00301327"/>
    <w:rsid w:val="0030155F"/>
    <w:rsid w:val="00301988"/>
    <w:rsid w:val="0030205E"/>
    <w:rsid w:val="00302147"/>
    <w:rsid w:val="00302307"/>
    <w:rsid w:val="003025B8"/>
    <w:rsid w:val="00302934"/>
    <w:rsid w:val="00302B36"/>
    <w:rsid w:val="00302B82"/>
    <w:rsid w:val="00302E0D"/>
    <w:rsid w:val="00302E13"/>
    <w:rsid w:val="003031BE"/>
    <w:rsid w:val="0030327A"/>
    <w:rsid w:val="003035BE"/>
    <w:rsid w:val="0030362A"/>
    <w:rsid w:val="00303838"/>
    <w:rsid w:val="00303B12"/>
    <w:rsid w:val="00303F18"/>
    <w:rsid w:val="00304931"/>
    <w:rsid w:val="00305234"/>
    <w:rsid w:val="003054D9"/>
    <w:rsid w:val="00305534"/>
    <w:rsid w:val="0030587B"/>
    <w:rsid w:val="00306D98"/>
    <w:rsid w:val="003073B1"/>
    <w:rsid w:val="0030741B"/>
    <w:rsid w:val="003074E5"/>
    <w:rsid w:val="0030772F"/>
    <w:rsid w:val="0030786C"/>
    <w:rsid w:val="003078E1"/>
    <w:rsid w:val="00307F5A"/>
    <w:rsid w:val="003101BC"/>
    <w:rsid w:val="0031031A"/>
    <w:rsid w:val="00310981"/>
    <w:rsid w:val="00310C6E"/>
    <w:rsid w:val="003114F5"/>
    <w:rsid w:val="0031155C"/>
    <w:rsid w:val="00311576"/>
    <w:rsid w:val="00311772"/>
    <w:rsid w:val="00311827"/>
    <w:rsid w:val="003120CA"/>
    <w:rsid w:val="003121A7"/>
    <w:rsid w:val="003121D7"/>
    <w:rsid w:val="0031221F"/>
    <w:rsid w:val="003122B0"/>
    <w:rsid w:val="003124D9"/>
    <w:rsid w:val="00312594"/>
    <w:rsid w:val="003125FD"/>
    <w:rsid w:val="00312EE4"/>
    <w:rsid w:val="003133F1"/>
    <w:rsid w:val="003142C4"/>
    <w:rsid w:val="003144A0"/>
    <w:rsid w:val="00314B9C"/>
    <w:rsid w:val="00314C7C"/>
    <w:rsid w:val="00314F5A"/>
    <w:rsid w:val="00315482"/>
    <w:rsid w:val="00315498"/>
    <w:rsid w:val="00315A92"/>
    <w:rsid w:val="00315F80"/>
    <w:rsid w:val="00316474"/>
    <w:rsid w:val="00316580"/>
    <w:rsid w:val="00316FFC"/>
    <w:rsid w:val="00317D71"/>
    <w:rsid w:val="00317DD1"/>
    <w:rsid w:val="00317F26"/>
    <w:rsid w:val="00320201"/>
    <w:rsid w:val="00320680"/>
    <w:rsid w:val="003210DB"/>
    <w:rsid w:val="00321C83"/>
    <w:rsid w:val="00322107"/>
    <w:rsid w:val="003222D2"/>
    <w:rsid w:val="00322355"/>
    <w:rsid w:val="00322846"/>
    <w:rsid w:val="00322973"/>
    <w:rsid w:val="00322B5F"/>
    <w:rsid w:val="00322B92"/>
    <w:rsid w:val="00322C1E"/>
    <w:rsid w:val="00322C31"/>
    <w:rsid w:val="003232F9"/>
    <w:rsid w:val="003232FE"/>
    <w:rsid w:val="00323398"/>
    <w:rsid w:val="003237E8"/>
    <w:rsid w:val="003238EC"/>
    <w:rsid w:val="00323986"/>
    <w:rsid w:val="00323AB2"/>
    <w:rsid w:val="003244E8"/>
    <w:rsid w:val="0032453C"/>
    <w:rsid w:val="003247E2"/>
    <w:rsid w:val="00324CCD"/>
    <w:rsid w:val="00324EC2"/>
    <w:rsid w:val="003250AE"/>
    <w:rsid w:val="0032510E"/>
    <w:rsid w:val="00325C81"/>
    <w:rsid w:val="00326782"/>
    <w:rsid w:val="0032693C"/>
    <w:rsid w:val="00326946"/>
    <w:rsid w:val="00326A16"/>
    <w:rsid w:val="00326DA7"/>
    <w:rsid w:val="00327083"/>
    <w:rsid w:val="0032709A"/>
    <w:rsid w:val="003270C2"/>
    <w:rsid w:val="003270E4"/>
    <w:rsid w:val="0032762E"/>
    <w:rsid w:val="003278B9"/>
    <w:rsid w:val="00327FE4"/>
    <w:rsid w:val="00330032"/>
    <w:rsid w:val="00330485"/>
    <w:rsid w:val="00330DAA"/>
    <w:rsid w:val="00330F5C"/>
    <w:rsid w:val="00330FB8"/>
    <w:rsid w:val="0033149B"/>
    <w:rsid w:val="003316C9"/>
    <w:rsid w:val="003321D1"/>
    <w:rsid w:val="003326A7"/>
    <w:rsid w:val="003328F2"/>
    <w:rsid w:val="00332932"/>
    <w:rsid w:val="00332999"/>
    <w:rsid w:val="003329BB"/>
    <w:rsid w:val="003330B9"/>
    <w:rsid w:val="003332AA"/>
    <w:rsid w:val="003333FE"/>
    <w:rsid w:val="003339B0"/>
    <w:rsid w:val="00333ADF"/>
    <w:rsid w:val="00333E2D"/>
    <w:rsid w:val="0033449F"/>
    <w:rsid w:val="0033483D"/>
    <w:rsid w:val="00334B5E"/>
    <w:rsid w:val="003358E9"/>
    <w:rsid w:val="00335D05"/>
    <w:rsid w:val="00335D95"/>
    <w:rsid w:val="00335DF3"/>
    <w:rsid w:val="00335ED0"/>
    <w:rsid w:val="00336233"/>
    <w:rsid w:val="0033652D"/>
    <w:rsid w:val="003366C9"/>
    <w:rsid w:val="003367AB"/>
    <w:rsid w:val="003369EF"/>
    <w:rsid w:val="003371B0"/>
    <w:rsid w:val="0033776E"/>
    <w:rsid w:val="00337CB7"/>
    <w:rsid w:val="00337D03"/>
    <w:rsid w:val="00337DEB"/>
    <w:rsid w:val="00340267"/>
    <w:rsid w:val="00340DF1"/>
    <w:rsid w:val="003417CD"/>
    <w:rsid w:val="00341841"/>
    <w:rsid w:val="0034229F"/>
    <w:rsid w:val="003424A6"/>
    <w:rsid w:val="00342671"/>
    <w:rsid w:val="00342B06"/>
    <w:rsid w:val="00342F73"/>
    <w:rsid w:val="00343270"/>
    <w:rsid w:val="00343B14"/>
    <w:rsid w:val="003442DA"/>
    <w:rsid w:val="00344328"/>
    <w:rsid w:val="00344A42"/>
    <w:rsid w:val="00344B10"/>
    <w:rsid w:val="00344F19"/>
    <w:rsid w:val="003454DC"/>
    <w:rsid w:val="00345B1F"/>
    <w:rsid w:val="00345C27"/>
    <w:rsid w:val="00345C89"/>
    <w:rsid w:val="00345D24"/>
    <w:rsid w:val="00345D46"/>
    <w:rsid w:val="0034633E"/>
    <w:rsid w:val="0034640B"/>
    <w:rsid w:val="00346FEB"/>
    <w:rsid w:val="00347002"/>
    <w:rsid w:val="00347322"/>
    <w:rsid w:val="0034735D"/>
    <w:rsid w:val="00347601"/>
    <w:rsid w:val="00347C15"/>
    <w:rsid w:val="00347CF3"/>
    <w:rsid w:val="00350420"/>
    <w:rsid w:val="00350BC3"/>
    <w:rsid w:val="00350CB2"/>
    <w:rsid w:val="00350F76"/>
    <w:rsid w:val="003517F9"/>
    <w:rsid w:val="00351959"/>
    <w:rsid w:val="00351BA9"/>
    <w:rsid w:val="0035209A"/>
    <w:rsid w:val="003527DC"/>
    <w:rsid w:val="003528F8"/>
    <w:rsid w:val="00352D12"/>
    <w:rsid w:val="00352E7C"/>
    <w:rsid w:val="00353051"/>
    <w:rsid w:val="003535A4"/>
    <w:rsid w:val="003542D5"/>
    <w:rsid w:val="0035434C"/>
    <w:rsid w:val="00354A5A"/>
    <w:rsid w:val="00354A6F"/>
    <w:rsid w:val="00354C8F"/>
    <w:rsid w:val="00354F64"/>
    <w:rsid w:val="00354FBC"/>
    <w:rsid w:val="00355202"/>
    <w:rsid w:val="00355499"/>
    <w:rsid w:val="0035557E"/>
    <w:rsid w:val="00355747"/>
    <w:rsid w:val="00355861"/>
    <w:rsid w:val="00355A42"/>
    <w:rsid w:val="00355DF3"/>
    <w:rsid w:val="00356159"/>
    <w:rsid w:val="00356171"/>
    <w:rsid w:val="0035620E"/>
    <w:rsid w:val="0035625F"/>
    <w:rsid w:val="003563C2"/>
    <w:rsid w:val="00356403"/>
    <w:rsid w:val="0035662D"/>
    <w:rsid w:val="003568C4"/>
    <w:rsid w:val="00356D10"/>
    <w:rsid w:val="00357536"/>
    <w:rsid w:val="00357999"/>
    <w:rsid w:val="00357A79"/>
    <w:rsid w:val="00357F11"/>
    <w:rsid w:val="00360345"/>
    <w:rsid w:val="0036034D"/>
    <w:rsid w:val="00360450"/>
    <w:rsid w:val="003604B0"/>
    <w:rsid w:val="0036092A"/>
    <w:rsid w:val="00360C29"/>
    <w:rsid w:val="00360C60"/>
    <w:rsid w:val="003618F1"/>
    <w:rsid w:val="00361A05"/>
    <w:rsid w:val="00361AF9"/>
    <w:rsid w:val="00361B5D"/>
    <w:rsid w:val="00361FA2"/>
    <w:rsid w:val="00362351"/>
    <w:rsid w:val="003624C4"/>
    <w:rsid w:val="003625B1"/>
    <w:rsid w:val="003625D1"/>
    <w:rsid w:val="00362DD4"/>
    <w:rsid w:val="003634CD"/>
    <w:rsid w:val="00363526"/>
    <w:rsid w:val="00363B00"/>
    <w:rsid w:val="00364991"/>
    <w:rsid w:val="00364C77"/>
    <w:rsid w:val="00364F42"/>
    <w:rsid w:val="003650FB"/>
    <w:rsid w:val="00365388"/>
    <w:rsid w:val="003653AB"/>
    <w:rsid w:val="003653F9"/>
    <w:rsid w:val="00365482"/>
    <w:rsid w:val="003654AC"/>
    <w:rsid w:val="00365E66"/>
    <w:rsid w:val="00366D18"/>
    <w:rsid w:val="00366D39"/>
    <w:rsid w:val="00366DBD"/>
    <w:rsid w:val="00366DC8"/>
    <w:rsid w:val="0036786A"/>
    <w:rsid w:val="00367ECE"/>
    <w:rsid w:val="00370219"/>
    <w:rsid w:val="00370565"/>
    <w:rsid w:val="00370588"/>
    <w:rsid w:val="00370ED2"/>
    <w:rsid w:val="003710CF"/>
    <w:rsid w:val="00371707"/>
    <w:rsid w:val="0037170C"/>
    <w:rsid w:val="00371855"/>
    <w:rsid w:val="00371B3E"/>
    <w:rsid w:val="003721A6"/>
    <w:rsid w:val="0037232F"/>
    <w:rsid w:val="0037236B"/>
    <w:rsid w:val="003723EB"/>
    <w:rsid w:val="003733AF"/>
    <w:rsid w:val="0037358A"/>
    <w:rsid w:val="0037360D"/>
    <w:rsid w:val="0037364B"/>
    <w:rsid w:val="00373D40"/>
    <w:rsid w:val="003740D7"/>
    <w:rsid w:val="00374237"/>
    <w:rsid w:val="003746D5"/>
    <w:rsid w:val="00374B6F"/>
    <w:rsid w:val="00374E5F"/>
    <w:rsid w:val="003750F6"/>
    <w:rsid w:val="00375A1A"/>
    <w:rsid w:val="003760FC"/>
    <w:rsid w:val="003765A6"/>
    <w:rsid w:val="003777A0"/>
    <w:rsid w:val="00377ABD"/>
    <w:rsid w:val="00377E75"/>
    <w:rsid w:val="00380713"/>
    <w:rsid w:val="003809EF"/>
    <w:rsid w:val="00380FA2"/>
    <w:rsid w:val="00381120"/>
    <w:rsid w:val="003812E3"/>
    <w:rsid w:val="0038144E"/>
    <w:rsid w:val="003817C5"/>
    <w:rsid w:val="00381B62"/>
    <w:rsid w:val="00382037"/>
    <w:rsid w:val="0038223C"/>
    <w:rsid w:val="0038293D"/>
    <w:rsid w:val="00382961"/>
    <w:rsid w:val="00382A89"/>
    <w:rsid w:val="00382B79"/>
    <w:rsid w:val="0038365C"/>
    <w:rsid w:val="0038369B"/>
    <w:rsid w:val="00383927"/>
    <w:rsid w:val="00383B78"/>
    <w:rsid w:val="00383CAE"/>
    <w:rsid w:val="00383D9B"/>
    <w:rsid w:val="00383F44"/>
    <w:rsid w:val="003844B5"/>
    <w:rsid w:val="00384C82"/>
    <w:rsid w:val="00384F54"/>
    <w:rsid w:val="00384FA4"/>
    <w:rsid w:val="003854DF"/>
    <w:rsid w:val="00385730"/>
    <w:rsid w:val="00385A9D"/>
    <w:rsid w:val="00385BF2"/>
    <w:rsid w:val="00386096"/>
    <w:rsid w:val="0038664B"/>
    <w:rsid w:val="00386FA1"/>
    <w:rsid w:val="00387032"/>
    <w:rsid w:val="003872A3"/>
    <w:rsid w:val="003872D6"/>
    <w:rsid w:val="0038744C"/>
    <w:rsid w:val="00387731"/>
    <w:rsid w:val="00387D34"/>
    <w:rsid w:val="00387D99"/>
    <w:rsid w:val="00387ECF"/>
    <w:rsid w:val="00390078"/>
    <w:rsid w:val="003900DA"/>
    <w:rsid w:val="003902B1"/>
    <w:rsid w:val="00390510"/>
    <w:rsid w:val="00390513"/>
    <w:rsid w:val="00390693"/>
    <w:rsid w:val="0039114A"/>
    <w:rsid w:val="003914CB"/>
    <w:rsid w:val="0039179C"/>
    <w:rsid w:val="00392A40"/>
    <w:rsid w:val="00392BDC"/>
    <w:rsid w:val="00393027"/>
    <w:rsid w:val="00393292"/>
    <w:rsid w:val="00393482"/>
    <w:rsid w:val="00393B66"/>
    <w:rsid w:val="00393CAD"/>
    <w:rsid w:val="00394274"/>
    <w:rsid w:val="003945CF"/>
    <w:rsid w:val="00395274"/>
    <w:rsid w:val="003954BE"/>
    <w:rsid w:val="00395A42"/>
    <w:rsid w:val="00395D88"/>
    <w:rsid w:val="00395DB3"/>
    <w:rsid w:val="00395EF5"/>
    <w:rsid w:val="00395F23"/>
    <w:rsid w:val="00396046"/>
    <w:rsid w:val="00396896"/>
    <w:rsid w:val="00396AAF"/>
    <w:rsid w:val="00396FD0"/>
    <w:rsid w:val="00397274"/>
    <w:rsid w:val="0039765C"/>
    <w:rsid w:val="003977BC"/>
    <w:rsid w:val="00397855"/>
    <w:rsid w:val="00397CF9"/>
    <w:rsid w:val="00397E20"/>
    <w:rsid w:val="003A1A7A"/>
    <w:rsid w:val="003A1B1F"/>
    <w:rsid w:val="003A21E4"/>
    <w:rsid w:val="003A2392"/>
    <w:rsid w:val="003A2831"/>
    <w:rsid w:val="003A2B55"/>
    <w:rsid w:val="003A2BF7"/>
    <w:rsid w:val="003A2BFC"/>
    <w:rsid w:val="003A2DDC"/>
    <w:rsid w:val="003A34B7"/>
    <w:rsid w:val="003A3973"/>
    <w:rsid w:val="003A3CB6"/>
    <w:rsid w:val="003A3ED1"/>
    <w:rsid w:val="003A3EE7"/>
    <w:rsid w:val="003A443B"/>
    <w:rsid w:val="003A44DB"/>
    <w:rsid w:val="003A4E5A"/>
    <w:rsid w:val="003A5726"/>
    <w:rsid w:val="003A5FF2"/>
    <w:rsid w:val="003A731D"/>
    <w:rsid w:val="003A7738"/>
    <w:rsid w:val="003A7B5F"/>
    <w:rsid w:val="003A7F95"/>
    <w:rsid w:val="003B0078"/>
    <w:rsid w:val="003B0A1B"/>
    <w:rsid w:val="003B0D96"/>
    <w:rsid w:val="003B122F"/>
    <w:rsid w:val="003B166F"/>
    <w:rsid w:val="003B167D"/>
    <w:rsid w:val="003B1B9D"/>
    <w:rsid w:val="003B1C17"/>
    <w:rsid w:val="003B28B8"/>
    <w:rsid w:val="003B2C1C"/>
    <w:rsid w:val="003B2EBD"/>
    <w:rsid w:val="003B3118"/>
    <w:rsid w:val="003B3151"/>
    <w:rsid w:val="003B322B"/>
    <w:rsid w:val="003B32E3"/>
    <w:rsid w:val="003B3971"/>
    <w:rsid w:val="003B3BEF"/>
    <w:rsid w:val="003B3C47"/>
    <w:rsid w:val="003B3C57"/>
    <w:rsid w:val="003B4119"/>
    <w:rsid w:val="003B415C"/>
    <w:rsid w:val="003B49D6"/>
    <w:rsid w:val="003B521A"/>
    <w:rsid w:val="003B5242"/>
    <w:rsid w:val="003B556D"/>
    <w:rsid w:val="003B55D1"/>
    <w:rsid w:val="003B55ED"/>
    <w:rsid w:val="003B58E0"/>
    <w:rsid w:val="003B5A77"/>
    <w:rsid w:val="003B5B61"/>
    <w:rsid w:val="003B5F81"/>
    <w:rsid w:val="003B626E"/>
    <w:rsid w:val="003B633E"/>
    <w:rsid w:val="003B64EE"/>
    <w:rsid w:val="003B6634"/>
    <w:rsid w:val="003B6791"/>
    <w:rsid w:val="003B6816"/>
    <w:rsid w:val="003B6AB3"/>
    <w:rsid w:val="003B70FA"/>
    <w:rsid w:val="003B73F7"/>
    <w:rsid w:val="003B7605"/>
    <w:rsid w:val="003B7C1F"/>
    <w:rsid w:val="003C01A0"/>
    <w:rsid w:val="003C0804"/>
    <w:rsid w:val="003C127C"/>
    <w:rsid w:val="003C1654"/>
    <w:rsid w:val="003C1B18"/>
    <w:rsid w:val="003C1D37"/>
    <w:rsid w:val="003C34C2"/>
    <w:rsid w:val="003C3843"/>
    <w:rsid w:val="003C3876"/>
    <w:rsid w:val="003C389B"/>
    <w:rsid w:val="003C51B4"/>
    <w:rsid w:val="003C5204"/>
    <w:rsid w:val="003C532C"/>
    <w:rsid w:val="003C5459"/>
    <w:rsid w:val="003C5542"/>
    <w:rsid w:val="003C595A"/>
    <w:rsid w:val="003C65AF"/>
    <w:rsid w:val="003C6C83"/>
    <w:rsid w:val="003C6C94"/>
    <w:rsid w:val="003C71E9"/>
    <w:rsid w:val="003C7527"/>
    <w:rsid w:val="003C76D9"/>
    <w:rsid w:val="003C78CF"/>
    <w:rsid w:val="003C790A"/>
    <w:rsid w:val="003C7A73"/>
    <w:rsid w:val="003C7BBE"/>
    <w:rsid w:val="003C7D19"/>
    <w:rsid w:val="003C7D2F"/>
    <w:rsid w:val="003C7E04"/>
    <w:rsid w:val="003C7E1F"/>
    <w:rsid w:val="003D002D"/>
    <w:rsid w:val="003D07A9"/>
    <w:rsid w:val="003D0B01"/>
    <w:rsid w:val="003D0C05"/>
    <w:rsid w:val="003D10C4"/>
    <w:rsid w:val="003D13B7"/>
    <w:rsid w:val="003D142E"/>
    <w:rsid w:val="003D146C"/>
    <w:rsid w:val="003D1828"/>
    <w:rsid w:val="003D1DE4"/>
    <w:rsid w:val="003D1DF1"/>
    <w:rsid w:val="003D1E9A"/>
    <w:rsid w:val="003D1F28"/>
    <w:rsid w:val="003D2422"/>
    <w:rsid w:val="003D25CE"/>
    <w:rsid w:val="003D28C1"/>
    <w:rsid w:val="003D2A81"/>
    <w:rsid w:val="003D2CD3"/>
    <w:rsid w:val="003D2F32"/>
    <w:rsid w:val="003D31EF"/>
    <w:rsid w:val="003D39A1"/>
    <w:rsid w:val="003D3A39"/>
    <w:rsid w:val="003D3D92"/>
    <w:rsid w:val="003D3FBF"/>
    <w:rsid w:val="003D40C7"/>
    <w:rsid w:val="003D413C"/>
    <w:rsid w:val="003D43D5"/>
    <w:rsid w:val="003D4A30"/>
    <w:rsid w:val="003D52CA"/>
    <w:rsid w:val="003D5313"/>
    <w:rsid w:val="003D54D0"/>
    <w:rsid w:val="003D55A4"/>
    <w:rsid w:val="003D5E44"/>
    <w:rsid w:val="003D5F44"/>
    <w:rsid w:val="003D6108"/>
    <w:rsid w:val="003D61A9"/>
    <w:rsid w:val="003D6862"/>
    <w:rsid w:val="003D7452"/>
    <w:rsid w:val="003D79BB"/>
    <w:rsid w:val="003D7A91"/>
    <w:rsid w:val="003D7B7B"/>
    <w:rsid w:val="003D7C98"/>
    <w:rsid w:val="003D7D9D"/>
    <w:rsid w:val="003E0122"/>
    <w:rsid w:val="003E0244"/>
    <w:rsid w:val="003E0543"/>
    <w:rsid w:val="003E0560"/>
    <w:rsid w:val="003E0AEE"/>
    <w:rsid w:val="003E0F87"/>
    <w:rsid w:val="003E12AE"/>
    <w:rsid w:val="003E135D"/>
    <w:rsid w:val="003E13B6"/>
    <w:rsid w:val="003E14FE"/>
    <w:rsid w:val="003E2719"/>
    <w:rsid w:val="003E2B65"/>
    <w:rsid w:val="003E338E"/>
    <w:rsid w:val="003E33E2"/>
    <w:rsid w:val="003E33FE"/>
    <w:rsid w:val="003E4121"/>
    <w:rsid w:val="003E4440"/>
    <w:rsid w:val="003E4662"/>
    <w:rsid w:val="003E4BE0"/>
    <w:rsid w:val="003E4D28"/>
    <w:rsid w:val="003E55E3"/>
    <w:rsid w:val="003E6634"/>
    <w:rsid w:val="003E675A"/>
    <w:rsid w:val="003E696F"/>
    <w:rsid w:val="003E71FB"/>
    <w:rsid w:val="003E7280"/>
    <w:rsid w:val="003E749E"/>
    <w:rsid w:val="003E785E"/>
    <w:rsid w:val="003F0AC0"/>
    <w:rsid w:val="003F104E"/>
    <w:rsid w:val="003F15BE"/>
    <w:rsid w:val="003F181B"/>
    <w:rsid w:val="003F1CFD"/>
    <w:rsid w:val="003F2B48"/>
    <w:rsid w:val="003F2D3B"/>
    <w:rsid w:val="003F2DFF"/>
    <w:rsid w:val="003F30C4"/>
    <w:rsid w:val="003F3481"/>
    <w:rsid w:val="003F3D7D"/>
    <w:rsid w:val="003F3F5A"/>
    <w:rsid w:val="003F4156"/>
    <w:rsid w:val="003F43B0"/>
    <w:rsid w:val="003F4E26"/>
    <w:rsid w:val="003F5424"/>
    <w:rsid w:val="003F5ADF"/>
    <w:rsid w:val="003F6098"/>
    <w:rsid w:val="003F6125"/>
    <w:rsid w:val="003F6BCD"/>
    <w:rsid w:val="003F7155"/>
    <w:rsid w:val="003F729A"/>
    <w:rsid w:val="003F7495"/>
    <w:rsid w:val="003F75B6"/>
    <w:rsid w:val="003F75E4"/>
    <w:rsid w:val="003F7AED"/>
    <w:rsid w:val="00400247"/>
    <w:rsid w:val="00400735"/>
    <w:rsid w:val="0040080C"/>
    <w:rsid w:val="004009E8"/>
    <w:rsid w:val="00400B15"/>
    <w:rsid w:val="00400B29"/>
    <w:rsid w:val="00400BD6"/>
    <w:rsid w:val="004014E9"/>
    <w:rsid w:val="00401509"/>
    <w:rsid w:val="0040160A"/>
    <w:rsid w:val="00401E1D"/>
    <w:rsid w:val="00401E32"/>
    <w:rsid w:val="0040252E"/>
    <w:rsid w:val="004028FC"/>
    <w:rsid w:val="004029C7"/>
    <w:rsid w:val="004030D8"/>
    <w:rsid w:val="004036C5"/>
    <w:rsid w:val="004040CD"/>
    <w:rsid w:val="004046BE"/>
    <w:rsid w:val="00404C31"/>
    <w:rsid w:val="0040504B"/>
    <w:rsid w:val="00405607"/>
    <w:rsid w:val="0040580E"/>
    <w:rsid w:val="004059F4"/>
    <w:rsid w:val="00406168"/>
    <w:rsid w:val="00406C7B"/>
    <w:rsid w:val="0040796D"/>
    <w:rsid w:val="004079D6"/>
    <w:rsid w:val="00407FE5"/>
    <w:rsid w:val="004101B0"/>
    <w:rsid w:val="00410311"/>
    <w:rsid w:val="00410326"/>
    <w:rsid w:val="00410542"/>
    <w:rsid w:val="00410708"/>
    <w:rsid w:val="00410C60"/>
    <w:rsid w:val="00410EC7"/>
    <w:rsid w:val="004111F9"/>
    <w:rsid w:val="00411B39"/>
    <w:rsid w:val="00411D73"/>
    <w:rsid w:val="00411F3E"/>
    <w:rsid w:val="004127A7"/>
    <w:rsid w:val="00412F90"/>
    <w:rsid w:val="004134ED"/>
    <w:rsid w:val="00413A1E"/>
    <w:rsid w:val="00413C99"/>
    <w:rsid w:val="00414476"/>
    <w:rsid w:val="00414850"/>
    <w:rsid w:val="00414863"/>
    <w:rsid w:val="0041499E"/>
    <w:rsid w:val="00414C2E"/>
    <w:rsid w:val="004151CF"/>
    <w:rsid w:val="00415353"/>
    <w:rsid w:val="004154C0"/>
    <w:rsid w:val="0041598B"/>
    <w:rsid w:val="00416364"/>
    <w:rsid w:val="004166B6"/>
    <w:rsid w:val="00416B2F"/>
    <w:rsid w:val="00416E5D"/>
    <w:rsid w:val="00417307"/>
    <w:rsid w:val="004173DB"/>
    <w:rsid w:val="00417994"/>
    <w:rsid w:val="00417BB2"/>
    <w:rsid w:val="00420058"/>
    <w:rsid w:val="0042047F"/>
    <w:rsid w:val="0042069B"/>
    <w:rsid w:val="00420710"/>
    <w:rsid w:val="00420AA6"/>
    <w:rsid w:val="00420B06"/>
    <w:rsid w:val="00420B9F"/>
    <w:rsid w:val="00420D2F"/>
    <w:rsid w:val="00421789"/>
    <w:rsid w:val="0042192C"/>
    <w:rsid w:val="00421F14"/>
    <w:rsid w:val="00422040"/>
    <w:rsid w:val="004220E6"/>
    <w:rsid w:val="00422260"/>
    <w:rsid w:val="00422885"/>
    <w:rsid w:val="004229BD"/>
    <w:rsid w:val="0042344F"/>
    <w:rsid w:val="00423C25"/>
    <w:rsid w:val="00423DA9"/>
    <w:rsid w:val="004240F8"/>
    <w:rsid w:val="0042413F"/>
    <w:rsid w:val="00424256"/>
    <w:rsid w:val="00424BF9"/>
    <w:rsid w:val="00424FA4"/>
    <w:rsid w:val="00425598"/>
    <w:rsid w:val="00425692"/>
    <w:rsid w:val="00425CE5"/>
    <w:rsid w:val="00426414"/>
    <w:rsid w:val="0042667F"/>
    <w:rsid w:val="00426EB9"/>
    <w:rsid w:val="0043023B"/>
    <w:rsid w:val="0043067E"/>
    <w:rsid w:val="00431116"/>
    <w:rsid w:val="004316FB"/>
    <w:rsid w:val="00431923"/>
    <w:rsid w:val="004319F8"/>
    <w:rsid w:val="00431E55"/>
    <w:rsid w:val="00431EE4"/>
    <w:rsid w:val="00431F8A"/>
    <w:rsid w:val="004321F6"/>
    <w:rsid w:val="00432533"/>
    <w:rsid w:val="004327AB"/>
    <w:rsid w:val="00432A6E"/>
    <w:rsid w:val="00432E6D"/>
    <w:rsid w:val="0043303F"/>
    <w:rsid w:val="00433044"/>
    <w:rsid w:val="004330DF"/>
    <w:rsid w:val="0043311F"/>
    <w:rsid w:val="0043356C"/>
    <w:rsid w:val="004337F0"/>
    <w:rsid w:val="0043396F"/>
    <w:rsid w:val="00434088"/>
    <w:rsid w:val="0043496A"/>
    <w:rsid w:val="00434ECC"/>
    <w:rsid w:val="00434FFD"/>
    <w:rsid w:val="00435932"/>
    <w:rsid w:val="00435BA6"/>
    <w:rsid w:val="00436319"/>
    <w:rsid w:val="00436547"/>
    <w:rsid w:val="004366D2"/>
    <w:rsid w:val="00436E57"/>
    <w:rsid w:val="0043734F"/>
    <w:rsid w:val="004375B9"/>
    <w:rsid w:val="00437930"/>
    <w:rsid w:val="00437C22"/>
    <w:rsid w:val="00437C8F"/>
    <w:rsid w:val="00437D6C"/>
    <w:rsid w:val="00437D84"/>
    <w:rsid w:val="004401AE"/>
    <w:rsid w:val="00440D46"/>
    <w:rsid w:val="00441119"/>
    <w:rsid w:val="0044137B"/>
    <w:rsid w:val="00441521"/>
    <w:rsid w:val="004416CF"/>
    <w:rsid w:val="00441C5E"/>
    <w:rsid w:val="00442206"/>
    <w:rsid w:val="00442822"/>
    <w:rsid w:val="00442853"/>
    <w:rsid w:val="004428D0"/>
    <w:rsid w:val="004429AE"/>
    <w:rsid w:val="00442A9C"/>
    <w:rsid w:val="00442D4E"/>
    <w:rsid w:val="00442E30"/>
    <w:rsid w:val="004430D9"/>
    <w:rsid w:val="0044346B"/>
    <w:rsid w:val="004440D7"/>
    <w:rsid w:val="00444185"/>
    <w:rsid w:val="004443A7"/>
    <w:rsid w:val="0044442C"/>
    <w:rsid w:val="004448DB"/>
    <w:rsid w:val="00444A22"/>
    <w:rsid w:val="00444DB0"/>
    <w:rsid w:val="00444DC1"/>
    <w:rsid w:val="00445670"/>
    <w:rsid w:val="004458B2"/>
    <w:rsid w:val="00445941"/>
    <w:rsid w:val="00445EF4"/>
    <w:rsid w:val="004463D2"/>
    <w:rsid w:val="004464EB"/>
    <w:rsid w:val="00446773"/>
    <w:rsid w:val="00446ED7"/>
    <w:rsid w:val="0044700E"/>
    <w:rsid w:val="004470C9"/>
    <w:rsid w:val="004471F8"/>
    <w:rsid w:val="00447248"/>
    <w:rsid w:val="0044751D"/>
    <w:rsid w:val="0044767A"/>
    <w:rsid w:val="00447C6B"/>
    <w:rsid w:val="00447D26"/>
    <w:rsid w:val="00447DFC"/>
    <w:rsid w:val="00450580"/>
    <w:rsid w:val="00450927"/>
    <w:rsid w:val="004510C6"/>
    <w:rsid w:val="00451613"/>
    <w:rsid w:val="00451747"/>
    <w:rsid w:val="00451756"/>
    <w:rsid w:val="00451854"/>
    <w:rsid w:val="00451936"/>
    <w:rsid w:val="00451CA5"/>
    <w:rsid w:val="004533E2"/>
    <w:rsid w:val="004539AB"/>
    <w:rsid w:val="00453C2C"/>
    <w:rsid w:val="00453CA4"/>
    <w:rsid w:val="00453D4A"/>
    <w:rsid w:val="00453D4F"/>
    <w:rsid w:val="00453DC0"/>
    <w:rsid w:val="00453E48"/>
    <w:rsid w:val="00453FFC"/>
    <w:rsid w:val="00454187"/>
    <w:rsid w:val="0045461E"/>
    <w:rsid w:val="00454927"/>
    <w:rsid w:val="00454ADD"/>
    <w:rsid w:val="00454BE9"/>
    <w:rsid w:val="00454F50"/>
    <w:rsid w:val="004558CA"/>
    <w:rsid w:val="00455CBA"/>
    <w:rsid w:val="00455D45"/>
    <w:rsid w:val="0045629A"/>
    <w:rsid w:val="00456FA8"/>
    <w:rsid w:val="004576BB"/>
    <w:rsid w:val="00457927"/>
    <w:rsid w:val="00457A05"/>
    <w:rsid w:val="00457A79"/>
    <w:rsid w:val="00457B8B"/>
    <w:rsid w:val="00460D20"/>
    <w:rsid w:val="004613BA"/>
    <w:rsid w:val="004615B8"/>
    <w:rsid w:val="00461E42"/>
    <w:rsid w:val="004625DC"/>
    <w:rsid w:val="0046266E"/>
    <w:rsid w:val="00463351"/>
    <w:rsid w:val="004634C0"/>
    <w:rsid w:val="004635EB"/>
    <w:rsid w:val="00463BAA"/>
    <w:rsid w:val="0046435D"/>
    <w:rsid w:val="00464595"/>
    <w:rsid w:val="004648EF"/>
    <w:rsid w:val="00464954"/>
    <w:rsid w:val="004658B5"/>
    <w:rsid w:val="00466299"/>
    <w:rsid w:val="004669C1"/>
    <w:rsid w:val="00466CEA"/>
    <w:rsid w:val="00466CF9"/>
    <w:rsid w:val="00467037"/>
    <w:rsid w:val="004673A3"/>
    <w:rsid w:val="00467CF7"/>
    <w:rsid w:val="0047014E"/>
    <w:rsid w:val="004702E1"/>
    <w:rsid w:val="00470405"/>
    <w:rsid w:val="00470470"/>
    <w:rsid w:val="004709C7"/>
    <w:rsid w:val="004709DF"/>
    <w:rsid w:val="00470A05"/>
    <w:rsid w:val="00470BE2"/>
    <w:rsid w:val="00470C41"/>
    <w:rsid w:val="004715C8"/>
    <w:rsid w:val="00471EA5"/>
    <w:rsid w:val="00471F9F"/>
    <w:rsid w:val="00472362"/>
    <w:rsid w:val="00472A79"/>
    <w:rsid w:val="00472AAC"/>
    <w:rsid w:val="00472CD9"/>
    <w:rsid w:val="00472F90"/>
    <w:rsid w:val="004731F9"/>
    <w:rsid w:val="00473309"/>
    <w:rsid w:val="00473855"/>
    <w:rsid w:val="00473CB9"/>
    <w:rsid w:val="00473D31"/>
    <w:rsid w:val="00473F19"/>
    <w:rsid w:val="0047421E"/>
    <w:rsid w:val="0047425E"/>
    <w:rsid w:val="00474282"/>
    <w:rsid w:val="004745D7"/>
    <w:rsid w:val="00474781"/>
    <w:rsid w:val="00474871"/>
    <w:rsid w:val="00474E0D"/>
    <w:rsid w:val="00474F3E"/>
    <w:rsid w:val="0047521C"/>
    <w:rsid w:val="004756BF"/>
    <w:rsid w:val="00475900"/>
    <w:rsid w:val="00475998"/>
    <w:rsid w:val="004759AC"/>
    <w:rsid w:val="00475E22"/>
    <w:rsid w:val="00476198"/>
    <w:rsid w:val="004761D2"/>
    <w:rsid w:val="00476352"/>
    <w:rsid w:val="00476448"/>
    <w:rsid w:val="00476C2E"/>
    <w:rsid w:val="00476FBF"/>
    <w:rsid w:val="00477235"/>
    <w:rsid w:val="0047723F"/>
    <w:rsid w:val="004774D9"/>
    <w:rsid w:val="0047779E"/>
    <w:rsid w:val="00477A09"/>
    <w:rsid w:val="00477F3B"/>
    <w:rsid w:val="00480262"/>
    <w:rsid w:val="00480783"/>
    <w:rsid w:val="0048088E"/>
    <w:rsid w:val="00480BBA"/>
    <w:rsid w:val="00480F2B"/>
    <w:rsid w:val="0048105B"/>
    <w:rsid w:val="0048150A"/>
    <w:rsid w:val="004820B3"/>
    <w:rsid w:val="004823E1"/>
    <w:rsid w:val="00482720"/>
    <w:rsid w:val="004828FF"/>
    <w:rsid w:val="004830C9"/>
    <w:rsid w:val="004835E7"/>
    <w:rsid w:val="00483C75"/>
    <w:rsid w:val="0048406F"/>
    <w:rsid w:val="004841DB"/>
    <w:rsid w:val="0048455C"/>
    <w:rsid w:val="0048462F"/>
    <w:rsid w:val="00484CE8"/>
    <w:rsid w:val="00484D0F"/>
    <w:rsid w:val="0048530E"/>
    <w:rsid w:val="0048542F"/>
    <w:rsid w:val="0048545B"/>
    <w:rsid w:val="00485554"/>
    <w:rsid w:val="00486779"/>
    <w:rsid w:val="004867E2"/>
    <w:rsid w:val="00487586"/>
    <w:rsid w:val="00487664"/>
    <w:rsid w:val="00487835"/>
    <w:rsid w:val="00487ACE"/>
    <w:rsid w:val="00487C27"/>
    <w:rsid w:val="004900B2"/>
    <w:rsid w:val="00490194"/>
    <w:rsid w:val="004904BF"/>
    <w:rsid w:val="00490610"/>
    <w:rsid w:val="004906D1"/>
    <w:rsid w:val="004907ED"/>
    <w:rsid w:val="004908D8"/>
    <w:rsid w:val="00490953"/>
    <w:rsid w:val="00490996"/>
    <w:rsid w:val="00490B17"/>
    <w:rsid w:val="00491325"/>
    <w:rsid w:val="004916F7"/>
    <w:rsid w:val="0049179E"/>
    <w:rsid w:val="00491B3A"/>
    <w:rsid w:val="00491F8C"/>
    <w:rsid w:val="00492572"/>
    <w:rsid w:val="004928CA"/>
    <w:rsid w:val="00492CFD"/>
    <w:rsid w:val="00493560"/>
    <w:rsid w:val="0049365B"/>
    <w:rsid w:val="00493A34"/>
    <w:rsid w:val="00493A9A"/>
    <w:rsid w:val="004940EA"/>
    <w:rsid w:val="00494207"/>
    <w:rsid w:val="00494510"/>
    <w:rsid w:val="0049460B"/>
    <w:rsid w:val="004947D4"/>
    <w:rsid w:val="00494CA3"/>
    <w:rsid w:val="00494DD5"/>
    <w:rsid w:val="00495129"/>
    <w:rsid w:val="0049564B"/>
    <w:rsid w:val="00495A67"/>
    <w:rsid w:val="00495F52"/>
    <w:rsid w:val="004961AE"/>
    <w:rsid w:val="004962D2"/>
    <w:rsid w:val="00496852"/>
    <w:rsid w:val="00496A5C"/>
    <w:rsid w:val="00496E57"/>
    <w:rsid w:val="00497062"/>
    <w:rsid w:val="004978B0"/>
    <w:rsid w:val="00497B56"/>
    <w:rsid w:val="00497E9D"/>
    <w:rsid w:val="00497EB7"/>
    <w:rsid w:val="004A0261"/>
    <w:rsid w:val="004A0390"/>
    <w:rsid w:val="004A0795"/>
    <w:rsid w:val="004A09F1"/>
    <w:rsid w:val="004A0BBB"/>
    <w:rsid w:val="004A0DA1"/>
    <w:rsid w:val="004A0F2F"/>
    <w:rsid w:val="004A1209"/>
    <w:rsid w:val="004A13D6"/>
    <w:rsid w:val="004A249B"/>
    <w:rsid w:val="004A2889"/>
    <w:rsid w:val="004A2C1D"/>
    <w:rsid w:val="004A2F63"/>
    <w:rsid w:val="004A2F89"/>
    <w:rsid w:val="004A312A"/>
    <w:rsid w:val="004A3143"/>
    <w:rsid w:val="004A39E0"/>
    <w:rsid w:val="004A3C3C"/>
    <w:rsid w:val="004A3FFF"/>
    <w:rsid w:val="004A4457"/>
    <w:rsid w:val="004A4921"/>
    <w:rsid w:val="004A4B03"/>
    <w:rsid w:val="004A4D1A"/>
    <w:rsid w:val="004A4E1C"/>
    <w:rsid w:val="004A51ED"/>
    <w:rsid w:val="004A52E9"/>
    <w:rsid w:val="004A530D"/>
    <w:rsid w:val="004A5759"/>
    <w:rsid w:val="004A6040"/>
    <w:rsid w:val="004A6597"/>
    <w:rsid w:val="004A6679"/>
    <w:rsid w:val="004A6F35"/>
    <w:rsid w:val="004A7211"/>
    <w:rsid w:val="004A7454"/>
    <w:rsid w:val="004A7623"/>
    <w:rsid w:val="004A7642"/>
    <w:rsid w:val="004A7848"/>
    <w:rsid w:val="004A7F60"/>
    <w:rsid w:val="004A7FC3"/>
    <w:rsid w:val="004B0496"/>
    <w:rsid w:val="004B04D1"/>
    <w:rsid w:val="004B0968"/>
    <w:rsid w:val="004B0A3D"/>
    <w:rsid w:val="004B0B60"/>
    <w:rsid w:val="004B0C59"/>
    <w:rsid w:val="004B0D02"/>
    <w:rsid w:val="004B0D91"/>
    <w:rsid w:val="004B1CB4"/>
    <w:rsid w:val="004B1CCA"/>
    <w:rsid w:val="004B1FC0"/>
    <w:rsid w:val="004B2084"/>
    <w:rsid w:val="004B2264"/>
    <w:rsid w:val="004B282C"/>
    <w:rsid w:val="004B2F18"/>
    <w:rsid w:val="004B306A"/>
    <w:rsid w:val="004B32FD"/>
    <w:rsid w:val="004B347E"/>
    <w:rsid w:val="004B38DE"/>
    <w:rsid w:val="004B3DDB"/>
    <w:rsid w:val="004B3FF0"/>
    <w:rsid w:val="004B44FD"/>
    <w:rsid w:val="004B46D8"/>
    <w:rsid w:val="004B49C5"/>
    <w:rsid w:val="004B4B7F"/>
    <w:rsid w:val="004B4BE5"/>
    <w:rsid w:val="004B4C8F"/>
    <w:rsid w:val="004B535C"/>
    <w:rsid w:val="004B5645"/>
    <w:rsid w:val="004B5CFC"/>
    <w:rsid w:val="004B5FA3"/>
    <w:rsid w:val="004B5FAB"/>
    <w:rsid w:val="004B6E3C"/>
    <w:rsid w:val="004B6E63"/>
    <w:rsid w:val="004B6EE3"/>
    <w:rsid w:val="004B6EF7"/>
    <w:rsid w:val="004B6F79"/>
    <w:rsid w:val="004B7704"/>
    <w:rsid w:val="004B774D"/>
    <w:rsid w:val="004B780A"/>
    <w:rsid w:val="004B7831"/>
    <w:rsid w:val="004B7AE3"/>
    <w:rsid w:val="004B7EDC"/>
    <w:rsid w:val="004C0455"/>
    <w:rsid w:val="004C05E5"/>
    <w:rsid w:val="004C0A35"/>
    <w:rsid w:val="004C0D36"/>
    <w:rsid w:val="004C0EF4"/>
    <w:rsid w:val="004C0F58"/>
    <w:rsid w:val="004C198F"/>
    <w:rsid w:val="004C29FF"/>
    <w:rsid w:val="004C2B4B"/>
    <w:rsid w:val="004C2BC1"/>
    <w:rsid w:val="004C2F66"/>
    <w:rsid w:val="004C3379"/>
    <w:rsid w:val="004C337B"/>
    <w:rsid w:val="004C38E6"/>
    <w:rsid w:val="004C3D05"/>
    <w:rsid w:val="004C3F62"/>
    <w:rsid w:val="004C46C6"/>
    <w:rsid w:val="004C4AED"/>
    <w:rsid w:val="004C4F94"/>
    <w:rsid w:val="004C5218"/>
    <w:rsid w:val="004C54AE"/>
    <w:rsid w:val="004C561B"/>
    <w:rsid w:val="004C56AF"/>
    <w:rsid w:val="004C5E84"/>
    <w:rsid w:val="004C5F66"/>
    <w:rsid w:val="004C627D"/>
    <w:rsid w:val="004C6673"/>
    <w:rsid w:val="004C6DB6"/>
    <w:rsid w:val="004C75BC"/>
    <w:rsid w:val="004D00EE"/>
    <w:rsid w:val="004D0159"/>
    <w:rsid w:val="004D03BD"/>
    <w:rsid w:val="004D0435"/>
    <w:rsid w:val="004D0BCA"/>
    <w:rsid w:val="004D0FEC"/>
    <w:rsid w:val="004D13FF"/>
    <w:rsid w:val="004D15A1"/>
    <w:rsid w:val="004D1A8F"/>
    <w:rsid w:val="004D1DCE"/>
    <w:rsid w:val="004D1F3F"/>
    <w:rsid w:val="004D2114"/>
    <w:rsid w:val="004D2489"/>
    <w:rsid w:val="004D2BB2"/>
    <w:rsid w:val="004D2C2D"/>
    <w:rsid w:val="004D2EB7"/>
    <w:rsid w:val="004D332E"/>
    <w:rsid w:val="004D35EE"/>
    <w:rsid w:val="004D3C2B"/>
    <w:rsid w:val="004D4041"/>
    <w:rsid w:val="004D4508"/>
    <w:rsid w:val="004D4857"/>
    <w:rsid w:val="004D489C"/>
    <w:rsid w:val="004D4BBD"/>
    <w:rsid w:val="004D53F5"/>
    <w:rsid w:val="004D590F"/>
    <w:rsid w:val="004D5938"/>
    <w:rsid w:val="004D5BF8"/>
    <w:rsid w:val="004D69B5"/>
    <w:rsid w:val="004D6BD2"/>
    <w:rsid w:val="004D7227"/>
    <w:rsid w:val="004D738A"/>
    <w:rsid w:val="004D76AD"/>
    <w:rsid w:val="004D7DE1"/>
    <w:rsid w:val="004E0BDB"/>
    <w:rsid w:val="004E0E7F"/>
    <w:rsid w:val="004E0EB8"/>
    <w:rsid w:val="004E18E9"/>
    <w:rsid w:val="004E1AC3"/>
    <w:rsid w:val="004E21C6"/>
    <w:rsid w:val="004E2546"/>
    <w:rsid w:val="004E2547"/>
    <w:rsid w:val="004E27E0"/>
    <w:rsid w:val="004E2A77"/>
    <w:rsid w:val="004E2ADC"/>
    <w:rsid w:val="004E2F64"/>
    <w:rsid w:val="004E33B2"/>
    <w:rsid w:val="004E3418"/>
    <w:rsid w:val="004E34CE"/>
    <w:rsid w:val="004E3648"/>
    <w:rsid w:val="004E37C9"/>
    <w:rsid w:val="004E37D2"/>
    <w:rsid w:val="004E430B"/>
    <w:rsid w:val="004E43B2"/>
    <w:rsid w:val="004E5C29"/>
    <w:rsid w:val="004E5F3E"/>
    <w:rsid w:val="004E6371"/>
    <w:rsid w:val="004E63F5"/>
    <w:rsid w:val="004E6535"/>
    <w:rsid w:val="004E7831"/>
    <w:rsid w:val="004E78F2"/>
    <w:rsid w:val="004F00AD"/>
    <w:rsid w:val="004F088F"/>
    <w:rsid w:val="004F0C88"/>
    <w:rsid w:val="004F19FA"/>
    <w:rsid w:val="004F1C7B"/>
    <w:rsid w:val="004F1D02"/>
    <w:rsid w:val="004F1DF5"/>
    <w:rsid w:val="004F20DF"/>
    <w:rsid w:val="004F235E"/>
    <w:rsid w:val="004F2597"/>
    <w:rsid w:val="004F2679"/>
    <w:rsid w:val="004F27E5"/>
    <w:rsid w:val="004F29A8"/>
    <w:rsid w:val="004F2D68"/>
    <w:rsid w:val="004F2F21"/>
    <w:rsid w:val="004F317E"/>
    <w:rsid w:val="004F327A"/>
    <w:rsid w:val="004F367B"/>
    <w:rsid w:val="004F3769"/>
    <w:rsid w:val="004F3DE5"/>
    <w:rsid w:val="004F4399"/>
    <w:rsid w:val="004F53C5"/>
    <w:rsid w:val="004F59A3"/>
    <w:rsid w:val="004F5A16"/>
    <w:rsid w:val="004F5CC2"/>
    <w:rsid w:val="004F5D7D"/>
    <w:rsid w:val="004F5EC7"/>
    <w:rsid w:val="004F64CB"/>
    <w:rsid w:val="004F68AA"/>
    <w:rsid w:val="004F6913"/>
    <w:rsid w:val="004F6DAC"/>
    <w:rsid w:val="004F6F24"/>
    <w:rsid w:val="004F70BA"/>
    <w:rsid w:val="004F733D"/>
    <w:rsid w:val="004F73F7"/>
    <w:rsid w:val="004F7865"/>
    <w:rsid w:val="004F7CC5"/>
    <w:rsid w:val="005012E4"/>
    <w:rsid w:val="00501383"/>
    <w:rsid w:val="005014D5"/>
    <w:rsid w:val="0050174E"/>
    <w:rsid w:val="00501854"/>
    <w:rsid w:val="00501DBC"/>
    <w:rsid w:val="00502166"/>
    <w:rsid w:val="0050219B"/>
    <w:rsid w:val="005024FC"/>
    <w:rsid w:val="00502519"/>
    <w:rsid w:val="00502EDE"/>
    <w:rsid w:val="0050351B"/>
    <w:rsid w:val="00503F17"/>
    <w:rsid w:val="005041A4"/>
    <w:rsid w:val="00504911"/>
    <w:rsid w:val="00504A46"/>
    <w:rsid w:val="00504B7E"/>
    <w:rsid w:val="00504CF5"/>
    <w:rsid w:val="00504D6D"/>
    <w:rsid w:val="005050EE"/>
    <w:rsid w:val="0050550C"/>
    <w:rsid w:val="00505736"/>
    <w:rsid w:val="005057CD"/>
    <w:rsid w:val="0050592F"/>
    <w:rsid w:val="00505F63"/>
    <w:rsid w:val="00506081"/>
    <w:rsid w:val="00506446"/>
    <w:rsid w:val="0050647F"/>
    <w:rsid w:val="005065A9"/>
    <w:rsid w:val="00506928"/>
    <w:rsid w:val="00506D3B"/>
    <w:rsid w:val="00506FAB"/>
    <w:rsid w:val="0050740D"/>
    <w:rsid w:val="00507726"/>
    <w:rsid w:val="005077EF"/>
    <w:rsid w:val="0050785A"/>
    <w:rsid w:val="00507929"/>
    <w:rsid w:val="0051014B"/>
    <w:rsid w:val="005101D6"/>
    <w:rsid w:val="005106FF"/>
    <w:rsid w:val="005107BA"/>
    <w:rsid w:val="00510E71"/>
    <w:rsid w:val="005112AE"/>
    <w:rsid w:val="00511AD5"/>
    <w:rsid w:val="00511D2A"/>
    <w:rsid w:val="00511DC7"/>
    <w:rsid w:val="00511FA1"/>
    <w:rsid w:val="00512942"/>
    <w:rsid w:val="00512D15"/>
    <w:rsid w:val="005131DD"/>
    <w:rsid w:val="00513212"/>
    <w:rsid w:val="00513787"/>
    <w:rsid w:val="005137C3"/>
    <w:rsid w:val="00513AF7"/>
    <w:rsid w:val="00513BFC"/>
    <w:rsid w:val="00513C1C"/>
    <w:rsid w:val="005142C5"/>
    <w:rsid w:val="00514370"/>
    <w:rsid w:val="00514ACF"/>
    <w:rsid w:val="00514D97"/>
    <w:rsid w:val="00514E64"/>
    <w:rsid w:val="0051501B"/>
    <w:rsid w:val="00515197"/>
    <w:rsid w:val="005152B5"/>
    <w:rsid w:val="00515518"/>
    <w:rsid w:val="00515CE5"/>
    <w:rsid w:val="00515FA9"/>
    <w:rsid w:val="005167C0"/>
    <w:rsid w:val="00516D9E"/>
    <w:rsid w:val="00516EE0"/>
    <w:rsid w:val="0051752F"/>
    <w:rsid w:val="00517A9D"/>
    <w:rsid w:val="00520727"/>
    <w:rsid w:val="00520B8C"/>
    <w:rsid w:val="00520EA1"/>
    <w:rsid w:val="0052123C"/>
    <w:rsid w:val="00521319"/>
    <w:rsid w:val="005213E5"/>
    <w:rsid w:val="005215B1"/>
    <w:rsid w:val="00521B85"/>
    <w:rsid w:val="00521C7A"/>
    <w:rsid w:val="005226B4"/>
    <w:rsid w:val="00522842"/>
    <w:rsid w:val="00522A97"/>
    <w:rsid w:val="00522BC8"/>
    <w:rsid w:val="0052350D"/>
    <w:rsid w:val="0052369F"/>
    <w:rsid w:val="00523AD8"/>
    <w:rsid w:val="00523C28"/>
    <w:rsid w:val="00524588"/>
    <w:rsid w:val="00524D1F"/>
    <w:rsid w:val="00525346"/>
    <w:rsid w:val="005257F5"/>
    <w:rsid w:val="00525B47"/>
    <w:rsid w:val="00525CD5"/>
    <w:rsid w:val="00526385"/>
    <w:rsid w:val="0052642D"/>
    <w:rsid w:val="00526B48"/>
    <w:rsid w:val="00526E32"/>
    <w:rsid w:val="005270E9"/>
    <w:rsid w:val="005271BA"/>
    <w:rsid w:val="005276BA"/>
    <w:rsid w:val="00527BAC"/>
    <w:rsid w:val="00527DB1"/>
    <w:rsid w:val="005305C6"/>
    <w:rsid w:val="00530ED8"/>
    <w:rsid w:val="0053108C"/>
    <w:rsid w:val="00531162"/>
    <w:rsid w:val="0053176B"/>
    <w:rsid w:val="0053181E"/>
    <w:rsid w:val="00531824"/>
    <w:rsid w:val="00531CBE"/>
    <w:rsid w:val="00531CE7"/>
    <w:rsid w:val="00531FF1"/>
    <w:rsid w:val="0053216E"/>
    <w:rsid w:val="00532432"/>
    <w:rsid w:val="00532D6F"/>
    <w:rsid w:val="00533048"/>
    <w:rsid w:val="005334D4"/>
    <w:rsid w:val="005337CC"/>
    <w:rsid w:val="00533FED"/>
    <w:rsid w:val="00534198"/>
    <w:rsid w:val="00535CC7"/>
    <w:rsid w:val="005366C5"/>
    <w:rsid w:val="00536978"/>
    <w:rsid w:val="00536A5C"/>
    <w:rsid w:val="00536F42"/>
    <w:rsid w:val="00537182"/>
    <w:rsid w:val="005375C7"/>
    <w:rsid w:val="00537B99"/>
    <w:rsid w:val="00537D66"/>
    <w:rsid w:val="00537EF1"/>
    <w:rsid w:val="005407D4"/>
    <w:rsid w:val="0054080B"/>
    <w:rsid w:val="005414B6"/>
    <w:rsid w:val="0054153F"/>
    <w:rsid w:val="00541586"/>
    <w:rsid w:val="00541B4C"/>
    <w:rsid w:val="00541EDD"/>
    <w:rsid w:val="00542120"/>
    <w:rsid w:val="00542532"/>
    <w:rsid w:val="00542743"/>
    <w:rsid w:val="00542967"/>
    <w:rsid w:val="00542C2D"/>
    <w:rsid w:val="0054308A"/>
    <w:rsid w:val="005430E9"/>
    <w:rsid w:val="00543A95"/>
    <w:rsid w:val="00543FBB"/>
    <w:rsid w:val="005443B1"/>
    <w:rsid w:val="005449FD"/>
    <w:rsid w:val="00544A61"/>
    <w:rsid w:val="00544D1A"/>
    <w:rsid w:val="005451CD"/>
    <w:rsid w:val="005453B4"/>
    <w:rsid w:val="0054563B"/>
    <w:rsid w:val="00545660"/>
    <w:rsid w:val="005457D8"/>
    <w:rsid w:val="00545C18"/>
    <w:rsid w:val="0054607F"/>
    <w:rsid w:val="005460CD"/>
    <w:rsid w:val="00546A75"/>
    <w:rsid w:val="0054720E"/>
    <w:rsid w:val="005472D3"/>
    <w:rsid w:val="0054750D"/>
    <w:rsid w:val="00547551"/>
    <w:rsid w:val="005478BD"/>
    <w:rsid w:val="00547965"/>
    <w:rsid w:val="005479E3"/>
    <w:rsid w:val="00547F6D"/>
    <w:rsid w:val="005506B3"/>
    <w:rsid w:val="005509ED"/>
    <w:rsid w:val="00551207"/>
    <w:rsid w:val="005517CE"/>
    <w:rsid w:val="00551985"/>
    <w:rsid w:val="00551BF3"/>
    <w:rsid w:val="00551DA5"/>
    <w:rsid w:val="00551EAB"/>
    <w:rsid w:val="00551FCE"/>
    <w:rsid w:val="00552BD3"/>
    <w:rsid w:val="00552C66"/>
    <w:rsid w:val="00552E1F"/>
    <w:rsid w:val="00552FB5"/>
    <w:rsid w:val="005532A0"/>
    <w:rsid w:val="00553A8A"/>
    <w:rsid w:val="00553DDA"/>
    <w:rsid w:val="005540D0"/>
    <w:rsid w:val="00555094"/>
    <w:rsid w:val="00555109"/>
    <w:rsid w:val="005555DD"/>
    <w:rsid w:val="005560F3"/>
    <w:rsid w:val="005561C1"/>
    <w:rsid w:val="0055665B"/>
    <w:rsid w:val="00556B35"/>
    <w:rsid w:val="00556D78"/>
    <w:rsid w:val="00556FD8"/>
    <w:rsid w:val="00557021"/>
    <w:rsid w:val="00557104"/>
    <w:rsid w:val="005572A7"/>
    <w:rsid w:val="0055741A"/>
    <w:rsid w:val="00557793"/>
    <w:rsid w:val="00557A97"/>
    <w:rsid w:val="00557E61"/>
    <w:rsid w:val="005605D6"/>
    <w:rsid w:val="00560731"/>
    <w:rsid w:val="00560DA6"/>
    <w:rsid w:val="00560E08"/>
    <w:rsid w:val="00560FB0"/>
    <w:rsid w:val="00560FC9"/>
    <w:rsid w:val="005611B7"/>
    <w:rsid w:val="0056128A"/>
    <w:rsid w:val="005615A7"/>
    <w:rsid w:val="005618D4"/>
    <w:rsid w:val="00561BE8"/>
    <w:rsid w:val="00561C9A"/>
    <w:rsid w:val="00561D93"/>
    <w:rsid w:val="00561E38"/>
    <w:rsid w:val="0056224E"/>
    <w:rsid w:val="005627C0"/>
    <w:rsid w:val="00562AC9"/>
    <w:rsid w:val="00562C4A"/>
    <w:rsid w:val="00562E03"/>
    <w:rsid w:val="0056364E"/>
    <w:rsid w:val="00564178"/>
    <w:rsid w:val="00564E39"/>
    <w:rsid w:val="00565616"/>
    <w:rsid w:val="0056591E"/>
    <w:rsid w:val="005659CD"/>
    <w:rsid w:val="00565DF0"/>
    <w:rsid w:val="00565F0D"/>
    <w:rsid w:val="0056654A"/>
    <w:rsid w:val="005666B5"/>
    <w:rsid w:val="00566911"/>
    <w:rsid w:val="0056696F"/>
    <w:rsid w:val="00566A6B"/>
    <w:rsid w:val="00567309"/>
    <w:rsid w:val="00567C16"/>
    <w:rsid w:val="00567F8A"/>
    <w:rsid w:val="00570312"/>
    <w:rsid w:val="00570935"/>
    <w:rsid w:val="00570CD2"/>
    <w:rsid w:val="00570D7D"/>
    <w:rsid w:val="00571277"/>
    <w:rsid w:val="0057176D"/>
    <w:rsid w:val="00571935"/>
    <w:rsid w:val="005719DF"/>
    <w:rsid w:val="00571D7E"/>
    <w:rsid w:val="00572269"/>
    <w:rsid w:val="0057244A"/>
    <w:rsid w:val="005725E9"/>
    <w:rsid w:val="005729C0"/>
    <w:rsid w:val="00572F26"/>
    <w:rsid w:val="0057333F"/>
    <w:rsid w:val="005742FC"/>
    <w:rsid w:val="00574758"/>
    <w:rsid w:val="005750C5"/>
    <w:rsid w:val="005752BB"/>
    <w:rsid w:val="005752DE"/>
    <w:rsid w:val="00575457"/>
    <w:rsid w:val="005754B5"/>
    <w:rsid w:val="005755B4"/>
    <w:rsid w:val="005757B2"/>
    <w:rsid w:val="00575D8D"/>
    <w:rsid w:val="00576065"/>
    <w:rsid w:val="0057606C"/>
    <w:rsid w:val="0057692A"/>
    <w:rsid w:val="00576972"/>
    <w:rsid w:val="00576D64"/>
    <w:rsid w:val="005775B4"/>
    <w:rsid w:val="00577AE1"/>
    <w:rsid w:val="00577CF7"/>
    <w:rsid w:val="00577E80"/>
    <w:rsid w:val="00577EBF"/>
    <w:rsid w:val="00577FD7"/>
    <w:rsid w:val="00580874"/>
    <w:rsid w:val="005808EE"/>
    <w:rsid w:val="00580ABE"/>
    <w:rsid w:val="00580E5A"/>
    <w:rsid w:val="005812FC"/>
    <w:rsid w:val="00581599"/>
    <w:rsid w:val="00581673"/>
    <w:rsid w:val="00581ABE"/>
    <w:rsid w:val="00581C7B"/>
    <w:rsid w:val="00581FC7"/>
    <w:rsid w:val="0058229B"/>
    <w:rsid w:val="00582A40"/>
    <w:rsid w:val="005832D7"/>
    <w:rsid w:val="00583699"/>
    <w:rsid w:val="00584005"/>
    <w:rsid w:val="00584975"/>
    <w:rsid w:val="00584B54"/>
    <w:rsid w:val="00584C97"/>
    <w:rsid w:val="00585881"/>
    <w:rsid w:val="00585A0C"/>
    <w:rsid w:val="00585CDD"/>
    <w:rsid w:val="00586131"/>
    <w:rsid w:val="005861B9"/>
    <w:rsid w:val="00586298"/>
    <w:rsid w:val="005862C7"/>
    <w:rsid w:val="00586D7C"/>
    <w:rsid w:val="00587058"/>
    <w:rsid w:val="00587924"/>
    <w:rsid w:val="00587DA0"/>
    <w:rsid w:val="00590145"/>
    <w:rsid w:val="00590504"/>
    <w:rsid w:val="00590912"/>
    <w:rsid w:val="00590AA8"/>
    <w:rsid w:val="00590FBA"/>
    <w:rsid w:val="00591957"/>
    <w:rsid w:val="00591EFE"/>
    <w:rsid w:val="00591F57"/>
    <w:rsid w:val="005920AD"/>
    <w:rsid w:val="00592142"/>
    <w:rsid w:val="005924BC"/>
    <w:rsid w:val="00592ED5"/>
    <w:rsid w:val="00593072"/>
    <w:rsid w:val="0059322F"/>
    <w:rsid w:val="005936CE"/>
    <w:rsid w:val="00593EA3"/>
    <w:rsid w:val="00594127"/>
    <w:rsid w:val="00594961"/>
    <w:rsid w:val="00594BCF"/>
    <w:rsid w:val="0059520A"/>
    <w:rsid w:val="00595558"/>
    <w:rsid w:val="00595AD4"/>
    <w:rsid w:val="005963A0"/>
    <w:rsid w:val="0059659E"/>
    <w:rsid w:val="00596773"/>
    <w:rsid w:val="00596BEC"/>
    <w:rsid w:val="00596C4B"/>
    <w:rsid w:val="00596C70"/>
    <w:rsid w:val="00596C90"/>
    <w:rsid w:val="00597563"/>
    <w:rsid w:val="00597916"/>
    <w:rsid w:val="005979A2"/>
    <w:rsid w:val="005979FB"/>
    <w:rsid w:val="00597BF9"/>
    <w:rsid w:val="005A0281"/>
    <w:rsid w:val="005A07F1"/>
    <w:rsid w:val="005A0C60"/>
    <w:rsid w:val="005A0EA8"/>
    <w:rsid w:val="005A120E"/>
    <w:rsid w:val="005A150B"/>
    <w:rsid w:val="005A1DBE"/>
    <w:rsid w:val="005A1FB1"/>
    <w:rsid w:val="005A22AF"/>
    <w:rsid w:val="005A2762"/>
    <w:rsid w:val="005A2FFE"/>
    <w:rsid w:val="005A309A"/>
    <w:rsid w:val="005A3271"/>
    <w:rsid w:val="005A3314"/>
    <w:rsid w:val="005A373D"/>
    <w:rsid w:val="005A3998"/>
    <w:rsid w:val="005A3CFA"/>
    <w:rsid w:val="005A4500"/>
    <w:rsid w:val="005A4A79"/>
    <w:rsid w:val="005A4C49"/>
    <w:rsid w:val="005A519C"/>
    <w:rsid w:val="005A5317"/>
    <w:rsid w:val="005A5434"/>
    <w:rsid w:val="005A5741"/>
    <w:rsid w:val="005A5D83"/>
    <w:rsid w:val="005A6CAE"/>
    <w:rsid w:val="005A6DB6"/>
    <w:rsid w:val="005A7063"/>
    <w:rsid w:val="005A77E3"/>
    <w:rsid w:val="005B077C"/>
    <w:rsid w:val="005B0A9A"/>
    <w:rsid w:val="005B0B58"/>
    <w:rsid w:val="005B0DB7"/>
    <w:rsid w:val="005B1133"/>
    <w:rsid w:val="005B163B"/>
    <w:rsid w:val="005B1663"/>
    <w:rsid w:val="005B1883"/>
    <w:rsid w:val="005B1D42"/>
    <w:rsid w:val="005B2194"/>
    <w:rsid w:val="005B29A7"/>
    <w:rsid w:val="005B358C"/>
    <w:rsid w:val="005B3BFA"/>
    <w:rsid w:val="005B4016"/>
    <w:rsid w:val="005B4267"/>
    <w:rsid w:val="005B4481"/>
    <w:rsid w:val="005B487B"/>
    <w:rsid w:val="005B4D29"/>
    <w:rsid w:val="005B4D43"/>
    <w:rsid w:val="005B4E53"/>
    <w:rsid w:val="005B5857"/>
    <w:rsid w:val="005B6985"/>
    <w:rsid w:val="005B6A2A"/>
    <w:rsid w:val="005B6A9D"/>
    <w:rsid w:val="005B75F3"/>
    <w:rsid w:val="005B767D"/>
    <w:rsid w:val="005C15FC"/>
    <w:rsid w:val="005C16B3"/>
    <w:rsid w:val="005C1ADB"/>
    <w:rsid w:val="005C1B83"/>
    <w:rsid w:val="005C1EC5"/>
    <w:rsid w:val="005C1EC7"/>
    <w:rsid w:val="005C25FF"/>
    <w:rsid w:val="005C292D"/>
    <w:rsid w:val="005C2B57"/>
    <w:rsid w:val="005C2BAB"/>
    <w:rsid w:val="005C2D55"/>
    <w:rsid w:val="005C346B"/>
    <w:rsid w:val="005C363E"/>
    <w:rsid w:val="005C3B32"/>
    <w:rsid w:val="005C3E47"/>
    <w:rsid w:val="005C3EB0"/>
    <w:rsid w:val="005C4361"/>
    <w:rsid w:val="005C4719"/>
    <w:rsid w:val="005C493F"/>
    <w:rsid w:val="005C4A2A"/>
    <w:rsid w:val="005C5225"/>
    <w:rsid w:val="005C5755"/>
    <w:rsid w:val="005C5D8C"/>
    <w:rsid w:val="005C640E"/>
    <w:rsid w:val="005C6715"/>
    <w:rsid w:val="005C6CE5"/>
    <w:rsid w:val="005C7567"/>
    <w:rsid w:val="005C75E1"/>
    <w:rsid w:val="005C76D4"/>
    <w:rsid w:val="005D044D"/>
    <w:rsid w:val="005D0ABD"/>
    <w:rsid w:val="005D0FCA"/>
    <w:rsid w:val="005D18AD"/>
    <w:rsid w:val="005D196B"/>
    <w:rsid w:val="005D1DE2"/>
    <w:rsid w:val="005D2052"/>
    <w:rsid w:val="005D20DF"/>
    <w:rsid w:val="005D2220"/>
    <w:rsid w:val="005D26B4"/>
    <w:rsid w:val="005D2E7E"/>
    <w:rsid w:val="005D2F25"/>
    <w:rsid w:val="005D312D"/>
    <w:rsid w:val="005D3234"/>
    <w:rsid w:val="005D336A"/>
    <w:rsid w:val="005D3792"/>
    <w:rsid w:val="005D3954"/>
    <w:rsid w:val="005D4432"/>
    <w:rsid w:val="005D5260"/>
    <w:rsid w:val="005D5793"/>
    <w:rsid w:val="005D592B"/>
    <w:rsid w:val="005D6431"/>
    <w:rsid w:val="005D6761"/>
    <w:rsid w:val="005D6A9E"/>
    <w:rsid w:val="005D73C2"/>
    <w:rsid w:val="005D78E7"/>
    <w:rsid w:val="005E001F"/>
    <w:rsid w:val="005E003C"/>
    <w:rsid w:val="005E02FC"/>
    <w:rsid w:val="005E050E"/>
    <w:rsid w:val="005E07F2"/>
    <w:rsid w:val="005E0B75"/>
    <w:rsid w:val="005E0CD1"/>
    <w:rsid w:val="005E1169"/>
    <w:rsid w:val="005E174F"/>
    <w:rsid w:val="005E1BFC"/>
    <w:rsid w:val="005E1DF2"/>
    <w:rsid w:val="005E1E88"/>
    <w:rsid w:val="005E213D"/>
    <w:rsid w:val="005E220B"/>
    <w:rsid w:val="005E2499"/>
    <w:rsid w:val="005E2643"/>
    <w:rsid w:val="005E2C27"/>
    <w:rsid w:val="005E2D60"/>
    <w:rsid w:val="005E313F"/>
    <w:rsid w:val="005E388F"/>
    <w:rsid w:val="005E395B"/>
    <w:rsid w:val="005E3E06"/>
    <w:rsid w:val="005E4030"/>
    <w:rsid w:val="005E425A"/>
    <w:rsid w:val="005E4DFD"/>
    <w:rsid w:val="005E5214"/>
    <w:rsid w:val="005E5255"/>
    <w:rsid w:val="005E59A9"/>
    <w:rsid w:val="005E5A78"/>
    <w:rsid w:val="005E5C25"/>
    <w:rsid w:val="005E5EC0"/>
    <w:rsid w:val="005E6CBC"/>
    <w:rsid w:val="005E72FF"/>
    <w:rsid w:val="005E73C0"/>
    <w:rsid w:val="005E73F0"/>
    <w:rsid w:val="005E7955"/>
    <w:rsid w:val="005F042F"/>
    <w:rsid w:val="005F0DDC"/>
    <w:rsid w:val="005F0F53"/>
    <w:rsid w:val="005F11BF"/>
    <w:rsid w:val="005F179C"/>
    <w:rsid w:val="005F26EE"/>
    <w:rsid w:val="005F2706"/>
    <w:rsid w:val="005F2867"/>
    <w:rsid w:val="005F3266"/>
    <w:rsid w:val="005F33B5"/>
    <w:rsid w:val="005F37D3"/>
    <w:rsid w:val="005F3E5A"/>
    <w:rsid w:val="005F419F"/>
    <w:rsid w:val="005F4A04"/>
    <w:rsid w:val="005F4D67"/>
    <w:rsid w:val="005F51DC"/>
    <w:rsid w:val="005F57D6"/>
    <w:rsid w:val="005F5AA6"/>
    <w:rsid w:val="005F5F26"/>
    <w:rsid w:val="005F5FC6"/>
    <w:rsid w:val="005F606D"/>
    <w:rsid w:val="005F6A8F"/>
    <w:rsid w:val="005F6BB7"/>
    <w:rsid w:val="005F6C48"/>
    <w:rsid w:val="005F6EBC"/>
    <w:rsid w:val="005F6FEB"/>
    <w:rsid w:val="005F7588"/>
    <w:rsid w:val="005F796D"/>
    <w:rsid w:val="0060017D"/>
    <w:rsid w:val="006009F3"/>
    <w:rsid w:val="00600BB3"/>
    <w:rsid w:val="00600DF5"/>
    <w:rsid w:val="0060119E"/>
    <w:rsid w:val="006014AD"/>
    <w:rsid w:val="006014E4"/>
    <w:rsid w:val="006016AC"/>
    <w:rsid w:val="00601736"/>
    <w:rsid w:val="00601B6E"/>
    <w:rsid w:val="00602242"/>
    <w:rsid w:val="00602F41"/>
    <w:rsid w:val="00602FDC"/>
    <w:rsid w:val="0060316C"/>
    <w:rsid w:val="00603182"/>
    <w:rsid w:val="00603473"/>
    <w:rsid w:val="006034FA"/>
    <w:rsid w:val="0060357F"/>
    <w:rsid w:val="0060370E"/>
    <w:rsid w:val="00603DB9"/>
    <w:rsid w:val="006045FB"/>
    <w:rsid w:val="006047C6"/>
    <w:rsid w:val="00604D06"/>
    <w:rsid w:val="00604FE2"/>
    <w:rsid w:val="006052B0"/>
    <w:rsid w:val="00605698"/>
    <w:rsid w:val="006058FC"/>
    <w:rsid w:val="00606173"/>
    <w:rsid w:val="00606FBA"/>
    <w:rsid w:val="00607669"/>
    <w:rsid w:val="0060767A"/>
    <w:rsid w:val="006076F4"/>
    <w:rsid w:val="00607807"/>
    <w:rsid w:val="00607AFD"/>
    <w:rsid w:val="00607B72"/>
    <w:rsid w:val="00607FB9"/>
    <w:rsid w:val="0061016E"/>
    <w:rsid w:val="00610737"/>
    <w:rsid w:val="00610C99"/>
    <w:rsid w:val="00610E8E"/>
    <w:rsid w:val="00611693"/>
    <w:rsid w:val="006118AA"/>
    <w:rsid w:val="00612530"/>
    <w:rsid w:val="006125D4"/>
    <w:rsid w:val="00612652"/>
    <w:rsid w:val="0061275A"/>
    <w:rsid w:val="0061288E"/>
    <w:rsid w:val="00612F97"/>
    <w:rsid w:val="0061345D"/>
    <w:rsid w:val="006137F5"/>
    <w:rsid w:val="00614583"/>
    <w:rsid w:val="00614723"/>
    <w:rsid w:val="00614795"/>
    <w:rsid w:val="00614BEC"/>
    <w:rsid w:val="006152B6"/>
    <w:rsid w:val="0061549B"/>
    <w:rsid w:val="00615543"/>
    <w:rsid w:val="006159F1"/>
    <w:rsid w:val="00615A4B"/>
    <w:rsid w:val="00615D01"/>
    <w:rsid w:val="00616223"/>
    <w:rsid w:val="006163D6"/>
    <w:rsid w:val="006166EB"/>
    <w:rsid w:val="00616786"/>
    <w:rsid w:val="00616802"/>
    <w:rsid w:val="00616CE3"/>
    <w:rsid w:val="0061784A"/>
    <w:rsid w:val="00617C79"/>
    <w:rsid w:val="00617E12"/>
    <w:rsid w:val="00617F99"/>
    <w:rsid w:val="006202F4"/>
    <w:rsid w:val="00620490"/>
    <w:rsid w:val="00620B40"/>
    <w:rsid w:val="00620C25"/>
    <w:rsid w:val="00621477"/>
    <w:rsid w:val="00621ADA"/>
    <w:rsid w:val="00621AF0"/>
    <w:rsid w:val="00621BE5"/>
    <w:rsid w:val="00621E6A"/>
    <w:rsid w:val="00622335"/>
    <w:rsid w:val="006223FE"/>
    <w:rsid w:val="006227A9"/>
    <w:rsid w:val="0062294D"/>
    <w:rsid w:val="00622D90"/>
    <w:rsid w:val="00622DA8"/>
    <w:rsid w:val="00622F7E"/>
    <w:rsid w:val="00622FD1"/>
    <w:rsid w:val="0062302C"/>
    <w:rsid w:val="00623200"/>
    <w:rsid w:val="0062328C"/>
    <w:rsid w:val="00623867"/>
    <w:rsid w:val="00623F7B"/>
    <w:rsid w:val="006244BD"/>
    <w:rsid w:val="006245F0"/>
    <w:rsid w:val="00624A85"/>
    <w:rsid w:val="00624C16"/>
    <w:rsid w:val="00625654"/>
    <w:rsid w:val="00625809"/>
    <w:rsid w:val="006259CE"/>
    <w:rsid w:val="00625A7A"/>
    <w:rsid w:val="00625AD7"/>
    <w:rsid w:val="00625CD0"/>
    <w:rsid w:val="00625F43"/>
    <w:rsid w:val="006264E2"/>
    <w:rsid w:val="006265A2"/>
    <w:rsid w:val="00626645"/>
    <w:rsid w:val="00627460"/>
    <w:rsid w:val="00627771"/>
    <w:rsid w:val="00627803"/>
    <w:rsid w:val="006278B3"/>
    <w:rsid w:val="006279FF"/>
    <w:rsid w:val="00627A2E"/>
    <w:rsid w:val="00627C67"/>
    <w:rsid w:val="006301A7"/>
    <w:rsid w:val="00630383"/>
    <w:rsid w:val="00630399"/>
    <w:rsid w:val="0063066A"/>
    <w:rsid w:val="006306C4"/>
    <w:rsid w:val="00630CA8"/>
    <w:rsid w:val="00630E39"/>
    <w:rsid w:val="00631487"/>
    <w:rsid w:val="0063158F"/>
    <w:rsid w:val="006318FE"/>
    <w:rsid w:val="0063197E"/>
    <w:rsid w:val="00631D6B"/>
    <w:rsid w:val="00632183"/>
    <w:rsid w:val="006324D5"/>
    <w:rsid w:val="00632BE9"/>
    <w:rsid w:val="006330A1"/>
    <w:rsid w:val="006330EC"/>
    <w:rsid w:val="00633FC6"/>
    <w:rsid w:val="006341B5"/>
    <w:rsid w:val="0063447B"/>
    <w:rsid w:val="0063479F"/>
    <w:rsid w:val="006349AD"/>
    <w:rsid w:val="00634A1A"/>
    <w:rsid w:val="006353F0"/>
    <w:rsid w:val="006357B5"/>
    <w:rsid w:val="00635BAB"/>
    <w:rsid w:val="0063631E"/>
    <w:rsid w:val="006364A1"/>
    <w:rsid w:val="0063678E"/>
    <w:rsid w:val="006367B6"/>
    <w:rsid w:val="00636EA6"/>
    <w:rsid w:val="006371B8"/>
    <w:rsid w:val="00637B55"/>
    <w:rsid w:val="00637BFD"/>
    <w:rsid w:val="00637C49"/>
    <w:rsid w:val="00637CEF"/>
    <w:rsid w:val="00637E3D"/>
    <w:rsid w:val="00637EAE"/>
    <w:rsid w:val="00637FC9"/>
    <w:rsid w:val="00637FEE"/>
    <w:rsid w:val="006402B2"/>
    <w:rsid w:val="00640501"/>
    <w:rsid w:val="00640655"/>
    <w:rsid w:val="0064081D"/>
    <w:rsid w:val="00640972"/>
    <w:rsid w:val="00640AD3"/>
    <w:rsid w:val="00640CDA"/>
    <w:rsid w:val="00641199"/>
    <w:rsid w:val="00641A3F"/>
    <w:rsid w:val="00641A7B"/>
    <w:rsid w:val="00641B2D"/>
    <w:rsid w:val="00641B3E"/>
    <w:rsid w:val="00641C4E"/>
    <w:rsid w:val="00641FB3"/>
    <w:rsid w:val="00642252"/>
    <w:rsid w:val="006428CC"/>
    <w:rsid w:val="00642CE0"/>
    <w:rsid w:val="00642F59"/>
    <w:rsid w:val="00643691"/>
    <w:rsid w:val="00643A7D"/>
    <w:rsid w:val="0064434C"/>
    <w:rsid w:val="00644768"/>
    <w:rsid w:val="006448D6"/>
    <w:rsid w:val="00644AC0"/>
    <w:rsid w:val="00644C6F"/>
    <w:rsid w:val="00644F0D"/>
    <w:rsid w:val="00645298"/>
    <w:rsid w:val="006452E6"/>
    <w:rsid w:val="006452EE"/>
    <w:rsid w:val="00645B05"/>
    <w:rsid w:val="00645FE8"/>
    <w:rsid w:val="00645FF9"/>
    <w:rsid w:val="00646936"/>
    <w:rsid w:val="006471CC"/>
    <w:rsid w:val="006472C9"/>
    <w:rsid w:val="00647353"/>
    <w:rsid w:val="0064747D"/>
    <w:rsid w:val="00647679"/>
    <w:rsid w:val="00647A29"/>
    <w:rsid w:val="006500AE"/>
    <w:rsid w:val="00650161"/>
    <w:rsid w:val="0065079F"/>
    <w:rsid w:val="00650E98"/>
    <w:rsid w:val="006518FB"/>
    <w:rsid w:val="00652391"/>
    <w:rsid w:val="006527CF"/>
    <w:rsid w:val="00652A28"/>
    <w:rsid w:val="00652EF5"/>
    <w:rsid w:val="006531B2"/>
    <w:rsid w:val="006532C4"/>
    <w:rsid w:val="0065379F"/>
    <w:rsid w:val="0065390A"/>
    <w:rsid w:val="00653A81"/>
    <w:rsid w:val="00653FD4"/>
    <w:rsid w:val="006541BE"/>
    <w:rsid w:val="00655569"/>
    <w:rsid w:val="00655592"/>
    <w:rsid w:val="006559F7"/>
    <w:rsid w:val="00656188"/>
    <w:rsid w:val="00656369"/>
    <w:rsid w:val="006565B0"/>
    <w:rsid w:val="00656D11"/>
    <w:rsid w:val="0065715A"/>
    <w:rsid w:val="00657460"/>
    <w:rsid w:val="006577C1"/>
    <w:rsid w:val="00657AF0"/>
    <w:rsid w:val="006601EF"/>
    <w:rsid w:val="00660EBF"/>
    <w:rsid w:val="006610F1"/>
    <w:rsid w:val="00661C6B"/>
    <w:rsid w:val="00661D1A"/>
    <w:rsid w:val="00661E3A"/>
    <w:rsid w:val="00661FF0"/>
    <w:rsid w:val="006624BD"/>
    <w:rsid w:val="006624FE"/>
    <w:rsid w:val="006626C7"/>
    <w:rsid w:val="00662809"/>
    <w:rsid w:val="006633A6"/>
    <w:rsid w:val="006635C1"/>
    <w:rsid w:val="00663B7A"/>
    <w:rsid w:val="0066402F"/>
    <w:rsid w:val="00664D4C"/>
    <w:rsid w:val="00665185"/>
    <w:rsid w:val="006652C3"/>
    <w:rsid w:val="00665417"/>
    <w:rsid w:val="0067064A"/>
    <w:rsid w:val="00670D7F"/>
    <w:rsid w:val="00670DF3"/>
    <w:rsid w:val="00671004"/>
    <w:rsid w:val="006710DE"/>
    <w:rsid w:val="00671761"/>
    <w:rsid w:val="00671E56"/>
    <w:rsid w:val="00672196"/>
    <w:rsid w:val="006721ED"/>
    <w:rsid w:val="0067223D"/>
    <w:rsid w:val="006724A9"/>
    <w:rsid w:val="00672646"/>
    <w:rsid w:val="00672E2B"/>
    <w:rsid w:val="00672F89"/>
    <w:rsid w:val="006737A3"/>
    <w:rsid w:val="00673A73"/>
    <w:rsid w:val="00673FE7"/>
    <w:rsid w:val="0067435C"/>
    <w:rsid w:val="00674372"/>
    <w:rsid w:val="0067445C"/>
    <w:rsid w:val="00674D1F"/>
    <w:rsid w:val="00674DE2"/>
    <w:rsid w:val="00674E42"/>
    <w:rsid w:val="006760E7"/>
    <w:rsid w:val="006762BB"/>
    <w:rsid w:val="0067699C"/>
    <w:rsid w:val="00676B0A"/>
    <w:rsid w:val="00677053"/>
    <w:rsid w:val="0067761B"/>
    <w:rsid w:val="006777E0"/>
    <w:rsid w:val="00680039"/>
    <w:rsid w:val="00680193"/>
    <w:rsid w:val="00680598"/>
    <w:rsid w:val="00680812"/>
    <w:rsid w:val="00680C88"/>
    <w:rsid w:val="00680E78"/>
    <w:rsid w:val="0068119B"/>
    <w:rsid w:val="006813F8"/>
    <w:rsid w:val="006814FF"/>
    <w:rsid w:val="00681528"/>
    <w:rsid w:val="00681993"/>
    <w:rsid w:val="00682112"/>
    <w:rsid w:val="00682BA6"/>
    <w:rsid w:val="00683598"/>
    <w:rsid w:val="0068375D"/>
    <w:rsid w:val="00683932"/>
    <w:rsid w:val="00683E5E"/>
    <w:rsid w:val="00684121"/>
    <w:rsid w:val="006843A4"/>
    <w:rsid w:val="00684559"/>
    <w:rsid w:val="00684765"/>
    <w:rsid w:val="00684822"/>
    <w:rsid w:val="00684D15"/>
    <w:rsid w:val="00684E4B"/>
    <w:rsid w:val="00685F81"/>
    <w:rsid w:val="006860AD"/>
    <w:rsid w:val="006860D0"/>
    <w:rsid w:val="006863AD"/>
    <w:rsid w:val="006866AB"/>
    <w:rsid w:val="00686957"/>
    <w:rsid w:val="00686BAA"/>
    <w:rsid w:val="006872BA"/>
    <w:rsid w:val="00687F4B"/>
    <w:rsid w:val="00690108"/>
    <w:rsid w:val="00690795"/>
    <w:rsid w:val="00690ED7"/>
    <w:rsid w:val="00690EE8"/>
    <w:rsid w:val="00691648"/>
    <w:rsid w:val="006917D7"/>
    <w:rsid w:val="00691C20"/>
    <w:rsid w:val="00691E1A"/>
    <w:rsid w:val="00691F3A"/>
    <w:rsid w:val="00691FC9"/>
    <w:rsid w:val="00692051"/>
    <w:rsid w:val="0069234A"/>
    <w:rsid w:val="00692C52"/>
    <w:rsid w:val="00692D93"/>
    <w:rsid w:val="0069434C"/>
    <w:rsid w:val="00694DE6"/>
    <w:rsid w:val="00694F44"/>
    <w:rsid w:val="00695163"/>
    <w:rsid w:val="00695A48"/>
    <w:rsid w:val="00695CD3"/>
    <w:rsid w:val="00695D8A"/>
    <w:rsid w:val="00696336"/>
    <w:rsid w:val="00696435"/>
    <w:rsid w:val="006965F1"/>
    <w:rsid w:val="00696F51"/>
    <w:rsid w:val="006979A5"/>
    <w:rsid w:val="00697DFA"/>
    <w:rsid w:val="00697EB1"/>
    <w:rsid w:val="006A0106"/>
    <w:rsid w:val="006A012A"/>
    <w:rsid w:val="006A04C7"/>
    <w:rsid w:val="006A0A87"/>
    <w:rsid w:val="006A1845"/>
    <w:rsid w:val="006A1B47"/>
    <w:rsid w:val="006A1DB0"/>
    <w:rsid w:val="006A1E5A"/>
    <w:rsid w:val="006A23BD"/>
    <w:rsid w:val="006A24DC"/>
    <w:rsid w:val="006A2AA2"/>
    <w:rsid w:val="006A2B37"/>
    <w:rsid w:val="006A2BE1"/>
    <w:rsid w:val="006A351E"/>
    <w:rsid w:val="006A3533"/>
    <w:rsid w:val="006A49D1"/>
    <w:rsid w:val="006A4ADE"/>
    <w:rsid w:val="006A4CA2"/>
    <w:rsid w:val="006A53CE"/>
    <w:rsid w:val="006A5841"/>
    <w:rsid w:val="006A5B87"/>
    <w:rsid w:val="006A6303"/>
    <w:rsid w:val="006A6601"/>
    <w:rsid w:val="006A6A05"/>
    <w:rsid w:val="006A6B99"/>
    <w:rsid w:val="006A6F22"/>
    <w:rsid w:val="006A73E6"/>
    <w:rsid w:val="006A7E5F"/>
    <w:rsid w:val="006A7FBC"/>
    <w:rsid w:val="006B08FB"/>
    <w:rsid w:val="006B0911"/>
    <w:rsid w:val="006B10C5"/>
    <w:rsid w:val="006B1B3E"/>
    <w:rsid w:val="006B1E35"/>
    <w:rsid w:val="006B22E1"/>
    <w:rsid w:val="006B24F6"/>
    <w:rsid w:val="006B261B"/>
    <w:rsid w:val="006B2A08"/>
    <w:rsid w:val="006B2C00"/>
    <w:rsid w:val="006B2C90"/>
    <w:rsid w:val="006B2F64"/>
    <w:rsid w:val="006B3588"/>
    <w:rsid w:val="006B35E6"/>
    <w:rsid w:val="006B37D3"/>
    <w:rsid w:val="006B3AAF"/>
    <w:rsid w:val="006B40E1"/>
    <w:rsid w:val="006B429C"/>
    <w:rsid w:val="006B44B6"/>
    <w:rsid w:val="006B465A"/>
    <w:rsid w:val="006B494F"/>
    <w:rsid w:val="006B49FC"/>
    <w:rsid w:val="006B4E56"/>
    <w:rsid w:val="006B5496"/>
    <w:rsid w:val="006B5A72"/>
    <w:rsid w:val="006B5AC2"/>
    <w:rsid w:val="006B5B5F"/>
    <w:rsid w:val="006B64C8"/>
    <w:rsid w:val="006B696E"/>
    <w:rsid w:val="006B6B53"/>
    <w:rsid w:val="006B6BA2"/>
    <w:rsid w:val="006B6DD0"/>
    <w:rsid w:val="006B7837"/>
    <w:rsid w:val="006B7C97"/>
    <w:rsid w:val="006B7F8B"/>
    <w:rsid w:val="006C034E"/>
    <w:rsid w:val="006C0399"/>
    <w:rsid w:val="006C0413"/>
    <w:rsid w:val="006C0908"/>
    <w:rsid w:val="006C13AC"/>
    <w:rsid w:val="006C191B"/>
    <w:rsid w:val="006C1C96"/>
    <w:rsid w:val="006C21FF"/>
    <w:rsid w:val="006C2A8E"/>
    <w:rsid w:val="006C2FE7"/>
    <w:rsid w:val="006C3184"/>
    <w:rsid w:val="006C3255"/>
    <w:rsid w:val="006C35C6"/>
    <w:rsid w:val="006C3631"/>
    <w:rsid w:val="006C398D"/>
    <w:rsid w:val="006C3A1A"/>
    <w:rsid w:val="006C3B03"/>
    <w:rsid w:val="006C3DC0"/>
    <w:rsid w:val="006C3F26"/>
    <w:rsid w:val="006C4302"/>
    <w:rsid w:val="006C43F3"/>
    <w:rsid w:val="006C49F5"/>
    <w:rsid w:val="006C4A43"/>
    <w:rsid w:val="006C4B50"/>
    <w:rsid w:val="006C4DF6"/>
    <w:rsid w:val="006C4EC4"/>
    <w:rsid w:val="006C4FD7"/>
    <w:rsid w:val="006C5298"/>
    <w:rsid w:val="006C55A9"/>
    <w:rsid w:val="006C570B"/>
    <w:rsid w:val="006C576B"/>
    <w:rsid w:val="006C5DED"/>
    <w:rsid w:val="006C5F3C"/>
    <w:rsid w:val="006C61CF"/>
    <w:rsid w:val="006C675B"/>
    <w:rsid w:val="006C732A"/>
    <w:rsid w:val="006C750B"/>
    <w:rsid w:val="006C766E"/>
    <w:rsid w:val="006C7B48"/>
    <w:rsid w:val="006D00F2"/>
    <w:rsid w:val="006D034A"/>
    <w:rsid w:val="006D09A5"/>
    <w:rsid w:val="006D0D08"/>
    <w:rsid w:val="006D0D17"/>
    <w:rsid w:val="006D0E40"/>
    <w:rsid w:val="006D0FDD"/>
    <w:rsid w:val="006D12E9"/>
    <w:rsid w:val="006D14A9"/>
    <w:rsid w:val="006D1B04"/>
    <w:rsid w:val="006D228B"/>
    <w:rsid w:val="006D23E5"/>
    <w:rsid w:val="006D2AEB"/>
    <w:rsid w:val="006D2B4C"/>
    <w:rsid w:val="006D2D93"/>
    <w:rsid w:val="006D33E9"/>
    <w:rsid w:val="006D3BFD"/>
    <w:rsid w:val="006D3C7D"/>
    <w:rsid w:val="006D3DB5"/>
    <w:rsid w:val="006D3E62"/>
    <w:rsid w:val="006D3F44"/>
    <w:rsid w:val="006D3FD7"/>
    <w:rsid w:val="006D459C"/>
    <w:rsid w:val="006D4618"/>
    <w:rsid w:val="006D4659"/>
    <w:rsid w:val="006D4C1A"/>
    <w:rsid w:val="006D4CEF"/>
    <w:rsid w:val="006D54E2"/>
    <w:rsid w:val="006D58F7"/>
    <w:rsid w:val="006D5A92"/>
    <w:rsid w:val="006D5D5F"/>
    <w:rsid w:val="006D5E6E"/>
    <w:rsid w:val="006D60AD"/>
    <w:rsid w:val="006D647D"/>
    <w:rsid w:val="006D688F"/>
    <w:rsid w:val="006D68FB"/>
    <w:rsid w:val="006D6901"/>
    <w:rsid w:val="006D6A14"/>
    <w:rsid w:val="006E006E"/>
    <w:rsid w:val="006E01C5"/>
    <w:rsid w:val="006E0CDE"/>
    <w:rsid w:val="006E0D40"/>
    <w:rsid w:val="006E0F0D"/>
    <w:rsid w:val="006E117D"/>
    <w:rsid w:val="006E173A"/>
    <w:rsid w:val="006E1935"/>
    <w:rsid w:val="006E1B44"/>
    <w:rsid w:val="006E1E8E"/>
    <w:rsid w:val="006E1F02"/>
    <w:rsid w:val="006E228B"/>
    <w:rsid w:val="006E22E7"/>
    <w:rsid w:val="006E26FB"/>
    <w:rsid w:val="006E2868"/>
    <w:rsid w:val="006E28C3"/>
    <w:rsid w:val="006E3800"/>
    <w:rsid w:val="006E3B2A"/>
    <w:rsid w:val="006E3C16"/>
    <w:rsid w:val="006E3C59"/>
    <w:rsid w:val="006E3EA4"/>
    <w:rsid w:val="006E44BF"/>
    <w:rsid w:val="006E4AB6"/>
    <w:rsid w:val="006E4EDE"/>
    <w:rsid w:val="006E4F4C"/>
    <w:rsid w:val="006E542E"/>
    <w:rsid w:val="006E5528"/>
    <w:rsid w:val="006E5AFE"/>
    <w:rsid w:val="006E5F1E"/>
    <w:rsid w:val="006E60D1"/>
    <w:rsid w:val="006E63E3"/>
    <w:rsid w:val="006E6769"/>
    <w:rsid w:val="006E6AD0"/>
    <w:rsid w:val="006E6BE5"/>
    <w:rsid w:val="006E6E92"/>
    <w:rsid w:val="006E6F99"/>
    <w:rsid w:val="006E72C9"/>
    <w:rsid w:val="006E764A"/>
    <w:rsid w:val="006E76F5"/>
    <w:rsid w:val="006E7785"/>
    <w:rsid w:val="006E79E7"/>
    <w:rsid w:val="006F065C"/>
    <w:rsid w:val="006F07C9"/>
    <w:rsid w:val="006F0819"/>
    <w:rsid w:val="006F0DBD"/>
    <w:rsid w:val="006F10B9"/>
    <w:rsid w:val="006F1DC3"/>
    <w:rsid w:val="006F1DE9"/>
    <w:rsid w:val="006F1E1D"/>
    <w:rsid w:val="006F1EF0"/>
    <w:rsid w:val="006F1F45"/>
    <w:rsid w:val="006F1FCE"/>
    <w:rsid w:val="006F2113"/>
    <w:rsid w:val="006F2CFD"/>
    <w:rsid w:val="006F2FE5"/>
    <w:rsid w:val="006F306C"/>
    <w:rsid w:val="006F32E2"/>
    <w:rsid w:val="006F3F82"/>
    <w:rsid w:val="006F4533"/>
    <w:rsid w:val="006F467B"/>
    <w:rsid w:val="006F4A88"/>
    <w:rsid w:val="006F5256"/>
    <w:rsid w:val="006F63A5"/>
    <w:rsid w:val="006F6A55"/>
    <w:rsid w:val="006F6AFB"/>
    <w:rsid w:val="006F6D75"/>
    <w:rsid w:val="006F6F27"/>
    <w:rsid w:val="006F7B65"/>
    <w:rsid w:val="006F7B77"/>
    <w:rsid w:val="006F7B9D"/>
    <w:rsid w:val="006F7CC6"/>
    <w:rsid w:val="006F7DAA"/>
    <w:rsid w:val="0070012C"/>
    <w:rsid w:val="00700A8C"/>
    <w:rsid w:val="00701245"/>
    <w:rsid w:val="0070142B"/>
    <w:rsid w:val="007014FF"/>
    <w:rsid w:val="0070162C"/>
    <w:rsid w:val="00701782"/>
    <w:rsid w:val="00701822"/>
    <w:rsid w:val="0070191F"/>
    <w:rsid w:val="007020D0"/>
    <w:rsid w:val="00702315"/>
    <w:rsid w:val="0070276E"/>
    <w:rsid w:val="007028D6"/>
    <w:rsid w:val="00702AEA"/>
    <w:rsid w:val="00702E17"/>
    <w:rsid w:val="00702F8F"/>
    <w:rsid w:val="00703538"/>
    <w:rsid w:val="00703886"/>
    <w:rsid w:val="00703A9F"/>
    <w:rsid w:val="00703E1B"/>
    <w:rsid w:val="00703EA8"/>
    <w:rsid w:val="007047D9"/>
    <w:rsid w:val="00704948"/>
    <w:rsid w:val="00704C34"/>
    <w:rsid w:val="00704E9F"/>
    <w:rsid w:val="0070506D"/>
    <w:rsid w:val="007053EE"/>
    <w:rsid w:val="00705711"/>
    <w:rsid w:val="00705AB9"/>
    <w:rsid w:val="00705C3F"/>
    <w:rsid w:val="00705C78"/>
    <w:rsid w:val="007066B1"/>
    <w:rsid w:val="007069CF"/>
    <w:rsid w:val="00706B7A"/>
    <w:rsid w:val="00706C3A"/>
    <w:rsid w:val="007073F6"/>
    <w:rsid w:val="00707558"/>
    <w:rsid w:val="007078CD"/>
    <w:rsid w:val="007079FC"/>
    <w:rsid w:val="00707FE6"/>
    <w:rsid w:val="00710A04"/>
    <w:rsid w:val="00710BA6"/>
    <w:rsid w:val="00710BFC"/>
    <w:rsid w:val="007117D1"/>
    <w:rsid w:val="00711A36"/>
    <w:rsid w:val="00711A70"/>
    <w:rsid w:val="00711ACC"/>
    <w:rsid w:val="00711B0E"/>
    <w:rsid w:val="00711EBF"/>
    <w:rsid w:val="007123D9"/>
    <w:rsid w:val="00712A48"/>
    <w:rsid w:val="00712C06"/>
    <w:rsid w:val="00713785"/>
    <w:rsid w:val="00713D9D"/>
    <w:rsid w:val="00714475"/>
    <w:rsid w:val="0071464F"/>
    <w:rsid w:val="00714B73"/>
    <w:rsid w:val="00714C26"/>
    <w:rsid w:val="00714FE7"/>
    <w:rsid w:val="007151B4"/>
    <w:rsid w:val="0071529C"/>
    <w:rsid w:val="00715345"/>
    <w:rsid w:val="0071580A"/>
    <w:rsid w:val="00715A20"/>
    <w:rsid w:val="00715AEE"/>
    <w:rsid w:val="00715F8F"/>
    <w:rsid w:val="007160B5"/>
    <w:rsid w:val="00716433"/>
    <w:rsid w:val="00716872"/>
    <w:rsid w:val="00716FB3"/>
    <w:rsid w:val="007170DA"/>
    <w:rsid w:val="007172AD"/>
    <w:rsid w:val="00717678"/>
    <w:rsid w:val="007201A2"/>
    <w:rsid w:val="00720368"/>
    <w:rsid w:val="007206EC"/>
    <w:rsid w:val="00720801"/>
    <w:rsid w:val="00720826"/>
    <w:rsid w:val="00720E28"/>
    <w:rsid w:val="007213A2"/>
    <w:rsid w:val="0072160A"/>
    <w:rsid w:val="007219E1"/>
    <w:rsid w:val="00721D3B"/>
    <w:rsid w:val="00721E55"/>
    <w:rsid w:val="00722406"/>
    <w:rsid w:val="007224BD"/>
    <w:rsid w:val="00722AAF"/>
    <w:rsid w:val="00722B1B"/>
    <w:rsid w:val="0072318B"/>
    <w:rsid w:val="00723253"/>
    <w:rsid w:val="00723288"/>
    <w:rsid w:val="007235EF"/>
    <w:rsid w:val="0072386B"/>
    <w:rsid w:val="00723C84"/>
    <w:rsid w:val="00724111"/>
    <w:rsid w:val="0072416F"/>
    <w:rsid w:val="00724585"/>
    <w:rsid w:val="007247A5"/>
    <w:rsid w:val="00724999"/>
    <w:rsid w:val="00724A4C"/>
    <w:rsid w:val="00724A92"/>
    <w:rsid w:val="00724E50"/>
    <w:rsid w:val="00724F19"/>
    <w:rsid w:val="007263DA"/>
    <w:rsid w:val="0072665D"/>
    <w:rsid w:val="0072711F"/>
    <w:rsid w:val="00727378"/>
    <w:rsid w:val="0072740E"/>
    <w:rsid w:val="00727751"/>
    <w:rsid w:val="007277DD"/>
    <w:rsid w:val="007278B8"/>
    <w:rsid w:val="007278BA"/>
    <w:rsid w:val="00727C94"/>
    <w:rsid w:val="00730008"/>
    <w:rsid w:val="0073071F"/>
    <w:rsid w:val="00730B58"/>
    <w:rsid w:val="00730CAF"/>
    <w:rsid w:val="00731195"/>
    <w:rsid w:val="00731B0A"/>
    <w:rsid w:val="00731B9F"/>
    <w:rsid w:val="00731C65"/>
    <w:rsid w:val="00731EAE"/>
    <w:rsid w:val="00732139"/>
    <w:rsid w:val="00732219"/>
    <w:rsid w:val="007328AA"/>
    <w:rsid w:val="00732C1C"/>
    <w:rsid w:val="00732C41"/>
    <w:rsid w:val="00732FF1"/>
    <w:rsid w:val="00733073"/>
    <w:rsid w:val="007330A9"/>
    <w:rsid w:val="00733105"/>
    <w:rsid w:val="007331F9"/>
    <w:rsid w:val="007332B6"/>
    <w:rsid w:val="007332F1"/>
    <w:rsid w:val="00733C0D"/>
    <w:rsid w:val="00734223"/>
    <w:rsid w:val="00735033"/>
    <w:rsid w:val="00735112"/>
    <w:rsid w:val="00735328"/>
    <w:rsid w:val="00735D55"/>
    <w:rsid w:val="00735EB6"/>
    <w:rsid w:val="00736612"/>
    <w:rsid w:val="007366C2"/>
    <w:rsid w:val="0073685B"/>
    <w:rsid w:val="00736CD1"/>
    <w:rsid w:val="007378D0"/>
    <w:rsid w:val="00737912"/>
    <w:rsid w:val="00737FAF"/>
    <w:rsid w:val="00740223"/>
    <w:rsid w:val="00740391"/>
    <w:rsid w:val="007404A0"/>
    <w:rsid w:val="007413EB"/>
    <w:rsid w:val="00741501"/>
    <w:rsid w:val="00741C31"/>
    <w:rsid w:val="00741C96"/>
    <w:rsid w:val="00741C97"/>
    <w:rsid w:val="00741CED"/>
    <w:rsid w:val="00741F42"/>
    <w:rsid w:val="007428C8"/>
    <w:rsid w:val="00742C11"/>
    <w:rsid w:val="00742F1D"/>
    <w:rsid w:val="0074330A"/>
    <w:rsid w:val="00743CC3"/>
    <w:rsid w:val="00744289"/>
    <w:rsid w:val="007448EA"/>
    <w:rsid w:val="007449BF"/>
    <w:rsid w:val="00744C74"/>
    <w:rsid w:val="00745044"/>
    <w:rsid w:val="007453DF"/>
    <w:rsid w:val="00745446"/>
    <w:rsid w:val="0074564A"/>
    <w:rsid w:val="00746013"/>
    <w:rsid w:val="00746BC0"/>
    <w:rsid w:val="00746D20"/>
    <w:rsid w:val="00746EC4"/>
    <w:rsid w:val="00746F75"/>
    <w:rsid w:val="00747348"/>
    <w:rsid w:val="00747B67"/>
    <w:rsid w:val="00747B9C"/>
    <w:rsid w:val="00747FCE"/>
    <w:rsid w:val="00750017"/>
    <w:rsid w:val="007507B8"/>
    <w:rsid w:val="00750F37"/>
    <w:rsid w:val="00751032"/>
    <w:rsid w:val="007510B4"/>
    <w:rsid w:val="0075133A"/>
    <w:rsid w:val="007517C8"/>
    <w:rsid w:val="00751820"/>
    <w:rsid w:val="00751EAB"/>
    <w:rsid w:val="00751EE7"/>
    <w:rsid w:val="00752142"/>
    <w:rsid w:val="007523F9"/>
    <w:rsid w:val="0075240A"/>
    <w:rsid w:val="00752C41"/>
    <w:rsid w:val="0075343E"/>
    <w:rsid w:val="0075357E"/>
    <w:rsid w:val="0075358A"/>
    <w:rsid w:val="00753621"/>
    <w:rsid w:val="00753839"/>
    <w:rsid w:val="00753A6E"/>
    <w:rsid w:val="00753AEC"/>
    <w:rsid w:val="00753D81"/>
    <w:rsid w:val="00753E65"/>
    <w:rsid w:val="007540DD"/>
    <w:rsid w:val="007544C3"/>
    <w:rsid w:val="00754614"/>
    <w:rsid w:val="00754869"/>
    <w:rsid w:val="00754A6F"/>
    <w:rsid w:val="00754BEA"/>
    <w:rsid w:val="00754CFD"/>
    <w:rsid w:val="00754FE1"/>
    <w:rsid w:val="007555D0"/>
    <w:rsid w:val="00755650"/>
    <w:rsid w:val="00755959"/>
    <w:rsid w:val="00755C12"/>
    <w:rsid w:val="00755F8F"/>
    <w:rsid w:val="00756241"/>
    <w:rsid w:val="00756642"/>
    <w:rsid w:val="007573E8"/>
    <w:rsid w:val="00757999"/>
    <w:rsid w:val="00757B0B"/>
    <w:rsid w:val="00760831"/>
    <w:rsid w:val="00760837"/>
    <w:rsid w:val="00760C4E"/>
    <w:rsid w:val="00760F35"/>
    <w:rsid w:val="00760F9E"/>
    <w:rsid w:val="00760FB8"/>
    <w:rsid w:val="00761023"/>
    <w:rsid w:val="00761377"/>
    <w:rsid w:val="00761D0E"/>
    <w:rsid w:val="00761E59"/>
    <w:rsid w:val="00761F41"/>
    <w:rsid w:val="007627BE"/>
    <w:rsid w:val="0076340B"/>
    <w:rsid w:val="007634F1"/>
    <w:rsid w:val="00763715"/>
    <w:rsid w:val="007639FC"/>
    <w:rsid w:val="00763E3D"/>
    <w:rsid w:val="00764140"/>
    <w:rsid w:val="00764948"/>
    <w:rsid w:val="00764F03"/>
    <w:rsid w:val="00764FE5"/>
    <w:rsid w:val="00765B1A"/>
    <w:rsid w:val="00765BF5"/>
    <w:rsid w:val="00765F0B"/>
    <w:rsid w:val="007662FF"/>
    <w:rsid w:val="00766335"/>
    <w:rsid w:val="00766345"/>
    <w:rsid w:val="007664B8"/>
    <w:rsid w:val="007669FD"/>
    <w:rsid w:val="00766AF1"/>
    <w:rsid w:val="00766F52"/>
    <w:rsid w:val="00767231"/>
    <w:rsid w:val="0076736D"/>
    <w:rsid w:val="00767960"/>
    <w:rsid w:val="00770954"/>
    <w:rsid w:val="00771112"/>
    <w:rsid w:val="007711B4"/>
    <w:rsid w:val="0077146D"/>
    <w:rsid w:val="00771749"/>
    <w:rsid w:val="00772248"/>
    <w:rsid w:val="007726FE"/>
    <w:rsid w:val="00772845"/>
    <w:rsid w:val="00772EF7"/>
    <w:rsid w:val="007736D1"/>
    <w:rsid w:val="00773798"/>
    <w:rsid w:val="0077404F"/>
    <w:rsid w:val="007741CF"/>
    <w:rsid w:val="00774443"/>
    <w:rsid w:val="0077493F"/>
    <w:rsid w:val="007755BA"/>
    <w:rsid w:val="00775E86"/>
    <w:rsid w:val="00776042"/>
    <w:rsid w:val="007763FD"/>
    <w:rsid w:val="00776C3D"/>
    <w:rsid w:val="00776E31"/>
    <w:rsid w:val="00777077"/>
    <w:rsid w:val="00777279"/>
    <w:rsid w:val="00777335"/>
    <w:rsid w:val="0077741F"/>
    <w:rsid w:val="007775E1"/>
    <w:rsid w:val="00777C43"/>
    <w:rsid w:val="00777E11"/>
    <w:rsid w:val="00777FFD"/>
    <w:rsid w:val="00780433"/>
    <w:rsid w:val="0078055C"/>
    <w:rsid w:val="00780D9E"/>
    <w:rsid w:val="00780EDE"/>
    <w:rsid w:val="007811EA"/>
    <w:rsid w:val="0078165F"/>
    <w:rsid w:val="0078189F"/>
    <w:rsid w:val="00781C32"/>
    <w:rsid w:val="00782097"/>
    <w:rsid w:val="007825F7"/>
    <w:rsid w:val="00782930"/>
    <w:rsid w:val="00783623"/>
    <w:rsid w:val="00783B7B"/>
    <w:rsid w:val="00784097"/>
    <w:rsid w:val="007843F2"/>
    <w:rsid w:val="007848B9"/>
    <w:rsid w:val="00784A0E"/>
    <w:rsid w:val="00784C99"/>
    <w:rsid w:val="007850A6"/>
    <w:rsid w:val="00785384"/>
    <w:rsid w:val="007853D9"/>
    <w:rsid w:val="00785448"/>
    <w:rsid w:val="007854DF"/>
    <w:rsid w:val="007856B2"/>
    <w:rsid w:val="007858EF"/>
    <w:rsid w:val="00785A9F"/>
    <w:rsid w:val="00785CC6"/>
    <w:rsid w:val="00785D40"/>
    <w:rsid w:val="00786180"/>
    <w:rsid w:val="00786317"/>
    <w:rsid w:val="00786AB8"/>
    <w:rsid w:val="00786BD8"/>
    <w:rsid w:val="00786F3E"/>
    <w:rsid w:val="00786FD6"/>
    <w:rsid w:val="0078718A"/>
    <w:rsid w:val="00787516"/>
    <w:rsid w:val="0078774E"/>
    <w:rsid w:val="0079025A"/>
    <w:rsid w:val="0079045C"/>
    <w:rsid w:val="007905A4"/>
    <w:rsid w:val="007909A8"/>
    <w:rsid w:val="00790AF7"/>
    <w:rsid w:val="00790D5D"/>
    <w:rsid w:val="007916C2"/>
    <w:rsid w:val="007919F2"/>
    <w:rsid w:val="00791D8D"/>
    <w:rsid w:val="00791F7C"/>
    <w:rsid w:val="00792491"/>
    <w:rsid w:val="007925DF"/>
    <w:rsid w:val="00792BD4"/>
    <w:rsid w:val="00792D51"/>
    <w:rsid w:val="00793E47"/>
    <w:rsid w:val="00794341"/>
    <w:rsid w:val="00794596"/>
    <w:rsid w:val="007946BE"/>
    <w:rsid w:val="00794DCC"/>
    <w:rsid w:val="00794EE9"/>
    <w:rsid w:val="0079540F"/>
    <w:rsid w:val="007954B1"/>
    <w:rsid w:val="007955A3"/>
    <w:rsid w:val="0079582A"/>
    <w:rsid w:val="00796004"/>
    <w:rsid w:val="0079695E"/>
    <w:rsid w:val="00796B63"/>
    <w:rsid w:val="00796EC1"/>
    <w:rsid w:val="0079748A"/>
    <w:rsid w:val="00797C5E"/>
    <w:rsid w:val="00797FC6"/>
    <w:rsid w:val="007A01F1"/>
    <w:rsid w:val="007A02AC"/>
    <w:rsid w:val="007A0612"/>
    <w:rsid w:val="007A08AA"/>
    <w:rsid w:val="007A0A12"/>
    <w:rsid w:val="007A0D16"/>
    <w:rsid w:val="007A0D2A"/>
    <w:rsid w:val="007A132D"/>
    <w:rsid w:val="007A1345"/>
    <w:rsid w:val="007A18D2"/>
    <w:rsid w:val="007A18E4"/>
    <w:rsid w:val="007A26E9"/>
    <w:rsid w:val="007A2DDB"/>
    <w:rsid w:val="007A3180"/>
    <w:rsid w:val="007A32B6"/>
    <w:rsid w:val="007A34F2"/>
    <w:rsid w:val="007A402C"/>
    <w:rsid w:val="007A4105"/>
    <w:rsid w:val="007A415B"/>
    <w:rsid w:val="007A4774"/>
    <w:rsid w:val="007A4A6B"/>
    <w:rsid w:val="007A52A6"/>
    <w:rsid w:val="007A5631"/>
    <w:rsid w:val="007A5870"/>
    <w:rsid w:val="007A6025"/>
    <w:rsid w:val="007A70BA"/>
    <w:rsid w:val="007A7A36"/>
    <w:rsid w:val="007A7A66"/>
    <w:rsid w:val="007B0711"/>
    <w:rsid w:val="007B07F2"/>
    <w:rsid w:val="007B0D68"/>
    <w:rsid w:val="007B0FC4"/>
    <w:rsid w:val="007B251D"/>
    <w:rsid w:val="007B3016"/>
    <w:rsid w:val="007B328A"/>
    <w:rsid w:val="007B3D3E"/>
    <w:rsid w:val="007B3E83"/>
    <w:rsid w:val="007B4788"/>
    <w:rsid w:val="007B47DF"/>
    <w:rsid w:val="007B48F2"/>
    <w:rsid w:val="007B4F58"/>
    <w:rsid w:val="007B528D"/>
    <w:rsid w:val="007B5487"/>
    <w:rsid w:val="007B5489"/>
    <w:rsid w:val="007B5497"/>
    <w:rsid w:val="007B5D5F"/>
    <w:rsid w:val="007B6269"/>
    <w:rsid w:val="007B63CA"/>
    <w:rsid w:val="007B63F6"/>
    <w:rsid w:val="007B6EB9"/>
    <w:rsid w:val="007B6F5D"/>
    <w:rsid w:val="007B701A"/>
    <w:rsid w:val="007B77D1"/>
    <w:rsid w:val="007B7EAD"/>
    <w:rsid w:val="007C0461"/>
    <w:rsid w:val="007C07C7"/>
    <w:rsid w:val="007C0C3B"/>
    <w:rsid w:val="007C1B96"/>
    <w:rsid w:val="007C1CD9"/>
    <w:rsid w:val="007C1D39"/>
    <w:rsid w:val="007C2197"/>
    <w:rsid w:val="007C2864"/>
    <w:rsid w:val="007C2B8F"/>
    <w:rsid w:val="007C2FD5"/>
    <w:rsid w:val="007C30F9"/>
    <w:rsid w:val="007C32EF"/>
    <w:rsid w:val="007C361D"/>
    <w:rsid w:val="007C3786"/>
    <w:rsid w:val="007C37F2"/>
    <w:rsid w:val="007C3F2E"/>
    <w:rsid w:val="007C455D"/>
    <w:rsid w:val="007C4882"/>
    <w:rsid w:val="007C48BC"/>
    <w:rsid w:val="007C4B83"/>
    <w:rsid w:val="007C4B84"/>
    <w:rsid w:val="007C4B8B"/>
    <w:rsid w:val="007C4C63"/>
    <w:rsid w:val="007C4D79"/>
    <w:rsid w:val="007C58D6"/>
    <w:rsid w:val="007C643B"/>
    <w:rsid w:val="007C70FF"/>
    <w:rsid w:val="007C72D1"/>
    <w:rsid w:val="007C77A5"/>
    <w:rsid w:val="007C7844"/>
    <w:rsid w:val="007C7C25"/>
    <w:rsid w:val="007D004F"/>
    <w:rsid w:val="007D02E6"/>
    <w:rsid w:val="007D0A76"/>
    <w:rsid w:val="007D0B38"/>
    <w:rsid w:val="007D157A"/>
    <w:rsid w:val="007D1A07"/>
    <w:rsid w:val="007D1FF6"/>
    <w:rsid w:val="007D23C8"/>
    <w:rsid w:val="007D2527"/>
    <w:rsid w:val="007D2935"/>
    <w:rsid w:val="007D2E58"/>
    <w:rsid w:val="007D310D"/>
    <w:rsid w:val="007D33EB"/>
    <w:rsid w:val="007D3459"/>
    <w:rsid w:val="007D38BA"/>
    <w:rsid w:val="007D43C9"/>
    <w:rsid w:val="007D4840"/>
    <w:rsid w:val="007D4DE5"/>
    <w:rsid w:val="007D5440"/>
    <w:rsid w:val="007D5699"/>
    <w:rsid w:val="007D569D"/>
    <w:rsid w:val="007D5D54"/>
    <w:rsid w:val="007D63D7"/>
    <w:rsid w:val="007D66DC"/>
    <w:rsid w:val="007D670F"/>
    <w:rsid w:val="007D67EA"/>
    <w:rsid w:val="007D69EB"/>
    <w:rsid w:val="007D6A95"/>
    <w:rsid w:val="007D732D"/>
    <w:rsid w:val="007D76F0"/>
    <w:rsid w:val="007D7BDC"/>
    <w:rsid w:val="007E0058"/>
    <w:rsid w:val="007E04C9"/>
    <w:rsid w:val="007E0FE5"/>
    <w:rsid w:val="007E0FFE"/>
    <w:rsid w:val="007E128F"/>
    <w:rsid w:val="007E1B93"/>
    <w:rsid w:val="007E1EBC"/>
    <w:rsid w:val="007E2453"/>
    <w:rsid w:val="007E2EB4"/>
    <w:rsid w:val="007E2ED4"/>
    <w:rsid w:val="007E39A4"/>
    <w:rsid w:val="007E3D0E"/>
    <w:rsid w:val="007E3F71"/>
    <w:rsid w:val="007E402D"/>
    <w:rsid w:val="007E4151"/>
    <w:rsid w:val="007E41F6"/>
    <w:rsid w:val="007E478D"/>
    <w:rsid w:val="007E4879"/>
    <w:rsid w:val="007E49E3"/>
    <w:rsid w:val="007E50E5"/>
    <w:rsid w:val="007E564A"/>
    <w:rsid w:val="007E56BD"/>
    <w:rsid w:val="007E5B31"/>
    <w:rsid w:val="007E6202"/>
    <w:rsid w:val="007E654C"/>
    <w:rsid w:val="007E684D"/>
    <w:rsid w:val="007E6BDC"/>
    <w:rsid w:val="007E706D"/>
    <w:rsid w:val="007E758D"/>
    <w:rsid w:val="007E76C4"/>
    <w:rsid w:val="007E7B5F"/>
    <w:rsid w:val="007E7E3C"/>
    <w:rsid w:val="007E7E8D"/>
    <w:rsid w:val="007E7E94"/>
    <w:rsid w:val="007F0171"/>
    <w:rsid w:val="007F057A"/>
    <w:rsid w:val="007F09DA"/>
    <w:rsid w:val="007F09FC"/>
    <w:rsid w:val="007F0C9C"/>
    <w:rsid w:val="007F1017"/>
    <w:rsid w:val="007F1CB5"/>
    <w:rsid w:val="007F1E91"/>
    <w:rsid w:val="007F1EBA"/>
    <w:rsid w:val="007F2BDD"/>
    <w:rsid w:val="007F2C9B"/>
    <w:rsid w:val="007F2CCF"/>
    <w:rsid w:val="007F2D39"/>
    <w:rsid w:val="007F2D8B"/>
    <w:rsid w:val="007F34F6"/>
    <w:rsid w:val="007F3694"/>
    <w:rsid w:val="007F389C"/>
    <w:rsid w:val="007F4173"/>
    <w:rsid w:val="007F496F"/>
    <w:rsid w:val="007F4A3F"/>
    <w:rsid w:val="007F4A4F"/>
    <w:rsid w:val="007F4A61"/>
    <w:rsid w:val="007F4FD5"/>
    <w:rsid w:val="007F514B"/>
    <w:rsid w:val="007F521D"/>
    <w:rsid w:val="007F5255"/>
    <w:rsid w:val="007F56CC"/>
    <w:rsid w:val="007F61AB"/>
    <w:rsid w:val="007F61C2"/>
    <w:rsid w:val="007F6CE7"/>
    <w:rsid w:val="007F70AF"/>
    <w:rsid w:val="007F78B8"/>
    <w:rsid w:val="007F799E"/>
    <w:rsid w:val="007F7F71"/>
    <w:rsid w:val="008000C0"/>
    <w:rsid w:val="00800106"/>
    <w:rsid w:val="00800226"/>
    <w:rsid w:val="00800254"/>
    <w:rsid w:val="0080090B"/>
    <w:rsid w:val="00800C0D"/>
    <w:rsid w:val="0080119E"/>
    <w:rsid w:val="00801923"/>
    <w:rsid w:val="00801FD7"/>
    <w:rsid w:val="00801FD9"/>
    <w:rsid w:val="0080205D"/>
    <w:rsid w:val="008028DD"/>
    <w:rsid w:val="00802961"/>
    <w:rsid w:val="00802C1C"/>
    <w:rsid w:val="00803588"/>
    <w:rsid w:val="00803990"/>
    <w:rsid w:val="00804099"/>
    <w:rsid w:val="008041CD"/>
    <w:rsid w:val="0080440D"/>
    <w:rsid w:val="0080472F"/>
    <w:rsid w:val="00805142"/>
    <w:rsid w:val="00805171"/>
    <w:rsid w:val="008058FD"/>
    <w:rsid w:val="00805E2E"/>
    <w:rsid w:val="00805FCE"/>
    <w:rsid w:val="008062B2"/>
    <w:rsid w:val="00806419"/>
    <w:rsid w:val="008068AD"/>
    <w:rsid w:val="00806ED1"/>
    <w:rsid w:val="00806F71"/>
    <w:rsid w:val="00806F72"/>
    <w:rsid w:val="0080700F"/>
    <w:rsid w:val="00807A8B"/>
    <w:rsid w:val="00807E19"/>
    <w:rsid w:val="00810156"/>
    <w:rsid w:val="00810174"/>
    <w:rsid w:val="00810444"/>
    <w:rsid w:val="00810850"/>
    <w:rsid w:val="00811176"/>
    <w:rsid w:val="00811383"/>
    <w:rsid w:val="00811548"/>
    <w:rsid w:val="00812149"/>
    <w:rsid w:val="0081226C"/>
    <w:rsid w:val="008122C9"/>
    <w:rsid w:val="008123A4"/>
    <w:rsid w:val="008127EB"/>
    <w:rsid w:val="00812BCA"/>
    <w:rsid w:val="00812C98"/>
    <w:rsid w:val="00812CAC"/>
    <w:rsid w:val="00812E7B"/>
    <w:rsid w:val="0081302E"/>
    <w:rsid w:val="008139A5"/>
    <w:rsid w:val="00813F6C"/>
    <w:rsid w:val="008142D6"/>
    <w:rsid w:val="00814FE9"/>
    <w:rsid w:val="0081595E"/>
    <w:rsid w:val="00815B2E"/>
    <w:rsid w:val="00815F8A"/>
    <w:rsid w:val="008160E4"/>
    <w:rsid w:val="00816361"/>
    <w:rsid w:val="008166EF"/>
    <w:rsid w:val="008167E3"/>
    <w:rsid w:val="0081694F"/>
    <w:rsid w:val="00816B84"/>
    <w:rsid w:val="00816C4E"/>
    <w:rsid w:val="00816D50"/>
    <w:rsid w:val="00816DBE"/>
    <w:rsid w:val="00816FEF"/>
    <w:rsid w:val="008172AF"/>
    <w:rsid w:val="008172B3"/>
    <w:rsid w:val="00817549"/>
    <w:rsid w:val="008175CE"/>
    <w:rsid w:val="00817B22"/>
    <w:rsid w:val="008202D1"/>
    <w:rsid w:val="00820A54"/>
    <w:rsid w:val="00820A8C"/>
    <w:rsid w:val="00820AA4"/>
    <w:rsid w:val="00820D5C"/>
    <w:rsid w:val="0082139D"/>
    <w:rsid w:val="008215FB"/>
    <w:rsid w:val="00821758"/>
    <w:rsid w:val="008222C3"/>
    <w:rsid w:val="00822748"/>
    <w:rsid w:val="00822F04"/>
    <w:rsid w:val="00823140"/>
    <w:rsid w:val="0082314B"/>
    <w:rsid w:val="00823174"/>
    <w:rsid w:val="008232CF"/>
    <w:rsid w:val="008233BE"/>
    <w:rsid w:val="008234A5"/>
    <w:rsid w:val="008237E0"/>
    <w:rsid w:val="00823B20"/>
    <w:rsid w:val="00823C5E"/>
    <w:rsid w:val="00823C73"/>
    <w:rsid w:val="00823C7F"/>
    <w:rsid w:val="00824915"/>
    <w:rsid w:val="00825381"/>
    <w:rsid w:val="00825751"/>
    <w:rsid w:val="00825F07"/>
    <w:rsid w:val="00826136"/>
    <w:rsid w:val="00826159"/>
    <w:rsid w:val="008264EB"/>
    <w:rsid w:val="00826C04"/>
    <w:rsid w:val="00826D71"/>
    <w:rsid w:val="00827298"/>
    <w:rsid w:val="0082795B"/>
    <w:rsid w:val="00827B0D"/>
    <w:rsid w:val="00827FF4"/>
    <w:rsid w:val="008307DE"/>
    <w:rsid w:val="00830E53"/>
    <w:rsid w:val="00831248"/>
    <w:rsid w:val="00831C5E"/>
    <w:rsid w:val="00831EDA"/>
    <w:rsid w:val="0083228F"/>
    <w:rsid w:val="0083248B"/>
    <w:rsid w:val="00832930"/>
    <w:rsid w:val="00832C71"/>
    <w:rsid w:val="00833B05"/>
    <w:rsid w:val="0083456E"/>
    <w:rsid w:val="00834647"/>
    <w:rsid w:val="00834923"/>
    <w:rsid w:val="00834A0A"/>
    <w:rsid w:val="00835904"/>
    <w:rsid w:val="00835AED"/>
    <w:rsid w:val="008362B4"/>
    <w:rsid w:val="0083667B"/>
    <w:rsid w:val="008367E0"/>
    <w:rsid w:val="008367E9"/>
    <w:rsid w:val="00836922"/>
    <w:rsid w:val="00836A80"/>
    <w:rsid w:val="008370C8"/>
    <w:rsid w:val="008371DB"/>
    <w:rsid w:val="00837225"/>
    <w:rsid w:val="00837F84"/>
    <w:rsid w:val="008400F0"/>
    <w:rsid w:val="008404C3"/>
    <w:rsid w:val="00840CA2"/>
    <w:rsid w:val="00841231"/>
    <w:rsid w:val="00841FE9"/>
    <w:rsid w:val="00842125"/>
    <w:rsid w:val="008424AF"/>
    <w:rsid w:val="00843602"/>
    <w:rsid w:val="0084374F"/>
    <w:rsid w:val="00843EAA"/>
    <w:rsid w:val="00844354"/>
    <w:rsid w:val="00844A22"/>
    <w:rsid w:val="00844E5E"/>
    <w:rsid w:val="00844F1F"/>
    <w:rsid w:val="00845286"/>
    <w:rsid w:val="00845305"/>
    <w:rsid w:val="00845654"/>
    <w:rsid w:val="0084598B"/>
    <w:rsid w:val="00845BCB"/>
    <w:rsid w:val="0084654A"/>
    <w:rsid w:val="008465FB"/>
    <w:rsid w:val="008466E1"/>
    <w:rsid w:val="00846B81"/>
    <w:rsid w:val="008473DC"/>
    <w:rsid w:val="00847703"/>
    <w:rsid w:val="00847DF5"/>
    <w:rsid w:val="00850092"/>
    <w:rsid w:val="00850799"/>
    <w:rsid w:val="0085085E"/>
    <w:rsid w:val="00850EA4"/>
    <w:rsid w:val="0085148F"/>
    <w:rsid w:val="00851492"/>
    <w:rsid w:val="0085170A"/>
    <w:rsid w:val="00851BB3"/>
    <w:rsid w:val="0085235B"/>
    <w:rsid w:val="00852372"/>
    <w:rsid w:val="0085309D"/>
    <w:rsid w:val="008530D5"/>
    <w:rsid w:val="008535F1"/>
    <w:rsid w:val="00853CCA"/>
    <w:rsid w:val="008541F0"/>
    <w:rsid w:val="00854DEF"/>
    <w:rsid w:val="00855805"/>
    <w:rsid w:val="00855BA7"/>
    <w:rsid w:val="00856897"/>
    <w:rsid w:val="00856E9A"/>
    <w:rsid w:val="00857091"/>
    <w:rsid w:val="008573CB"/>
    <w:rsid w:val="0085747D"/>
    <w:rsid w:val="008577F7"/>
    <w:rsid w:val="0085789E"/>
    <w:rsid w:val="008578FF"/>
    <w:rsid w:val="00857A73"/>
    <w:rsid w:val="00857DDB"/>
    <w:rsid w:val="00857F9A"/>
    <w:rsid w:val="008600DA"/>
    <w:rsid w:val="0086075D"/>
    <w:rsid w:val="00860D8B"/>
    <w:rsid w:val="00861043"/>
    <w:rsid w:val="00861299"/>
    <w:rsid w:val="0086185E"/>
    <w:rsid w:val="00861E70"/>
    <w:rsid w:val="008621F4"/>
    <w:rsid w:val="008623B3"/>
    <w:rsid w:val="0086240F"/>
    <w:rsid w:val="00862502"/>
    <w:rsid w:val="008628E3"/>
    <w:rsid w:val="00862A52"/>
    <w:rsid w:val="00862CC1"/>
    <w:rsid w:val="0086328E"/>
    <w:rsid w:val="008636CF"/>
    <w:rsid w:val="008638D1"/>
    <w:rsid w:val="008639BA"/>
    <w:rsid w:val="00863C5E"/>
    <w:rsid w:val="00864350"/>
    <w:rsid w:val="008645CF"/>
    <w:rsid w:val="00864914"/>
    <w:rsid w:val="00864969"/>
    <w:rsid w:val="00864988"/>
    <w:rsid w:val="00865248"/>
    <w:rsid w:val="00865E0B"/>
    <w:rsid w:val="008660D4"/>
    <w:rsid w:val="008661E6"/>
    <w:rsid w:val="00866BCB"/>
    <w:rsid w:val="00867023"/>
    <w:rsid w:val="00867D68"/>
    <w:rsid w:val="008708DA"/>
    <w:rsid w:val="00870A55"/>
    <w:rsid w:val="00870CDB"/>
    <w:rsid w:val="008712E3"/>
    <w:rsid w:val="00871303"/>
    <w:rsid w:val="00871A4E"/>
    <w:rsid w:val="00871CA8"/>
    <w:rsid w:val="00871EBA"/>
    <w:rsid w:val="00871FA9"/>
    <w:rsid w:val="008728E9"/>
    <w:rsid w:val="008739AE"/>
    <w:rsid w:val="00873AE5"/>
    <w:rsid w:val="00874E34"/>
    <w:rsid w:val="00875057"/>
    <w:rsid w:val="008752C3"/>
    <w:rsid w:val="0087543B"/>
    <w:rsid w:val="008755D1"/>
    <w:rsid w:val="00875991"/>
    <w:rsid w:val="00875C75"/>
    <w:rsid w:val="00875E47"/>
    <w:rsid w:val="00876058"/>
    <w:rsid w:val="00876088"/>
    <w:rsid w:val="0087612A"/>
    <w:rsid w:val="00876A0C"/>
    <w:rsid w:val="00877648"/>
    <w:rsid w:val="00877D6B"/>
    <w:rsid w:val="008808FF"/>
    <w:rsid w:val="00880D25"/>
    <w:rsid w:val="008813FA"/>
    <w:rsid w:val="00881650"/>
    <w:rsid w:val="008816A9"/>
    <w:rsid w:val="00881BAE"/>
    <w:rsid w:val="00881FED"/>
    <w:rsid w:val="008824A1"/>
    <w:rsid w:val="00882673"/>
    <w:rsid w:val="00882874"/>
    <w:rsid w:val="00882A8A"/>
    <w:rsid w:val="00882BD7"/>
    <w:rsid w:val="00882E3C"/>
    <w:rsid w:val="00883163"/>
    <w:rsid w:val="0088327C"/>
    <w:rsid w:val="00883787"/>
    <w:rsid w:val="00884136"/>
    <w:rsid w:val="008844BC"/>
    <w:rsid w:val="008844F2"/>
    <w:rsid w:val="008848FF"/>
    <w:rsid w:val="00884E9C"/>
    <w:rsid w:val="008855E4"/>
    <w:rsid w:val="00886044"/>
    <w:rsid w:val="008868DA"/>
    <w:rsid w:val="00886927"/>
    <w:rsid w:val="00886BAF"/>
    <w:rsid w:val="00886CD2"/>
    <w:rsid w:val="00886CDF"/>
    <w:rsid w:val="00887835"/>
    <w:rsid w:val="0089008C"/>
    <w:rsid w:val="0089048E"/>
    <w:rsid w:val="008905E0"/>
    <w:rsid w:val="008906FE"/>
    <w:rsid w:val="00890F06"/>
    <w:rsid w:val="0089161E"/>
    <w:rsid w:val="0089184F"/>
    <w:rsid w:val="008919A9"/>
    <w:rsid w:val="00891B06"/>
    <w:rsid w:val="00891C56"/>
    <w:rsid w:val="00891E6F"/>
    <w:rsid w:val="00891FB1"/>
    <w:rsid w:val="0089275D"/>
    <w:rsid w:val="00892A36"/>
    <w:rsid w:val="00892AD9"/>
    <w:rsid w:val="0089300E"/>
    <w:rsid w:val="00893239"/>
    <w:rsid w:val="0089325E"/>
    <w:rsid w:val="0089325F"/>
    <w:rsid w:val="008943DA"/>
    <w:rsid w:val="00894489"/>
    <w:rsid w:val="0089463F"/>
    <w:rsid w:val="00894921"/>
    <w:rsid w:val="00894DA2"/>
    <w:rsid w:val="00895B49"/>
    <w:rsid w:val="00895F42"/>
    <w:rsid w:val="008960FB"/>
    <w:rsid w:val="008963A5"/>
    <w:rsid w:val="0089659D"/>
    <w:rsid w:val="00896668"/>
    <w:rsid w:val="008969AB"/>
    <w:rsid w:val="008969DD"/>
    <w:rsid w:val="00896D5D"/>
    <w:rsid w:val="0089750F"/>
    <w:rsid w:val="008976A3"/>
    <w:rsid w:val="00897B3B"/>
    <w:rsid w:val="00897CB4"/>
    <w:rsid w:val="00897EEA"/>
    <w:rsid w:val="008A0A31"/>
    <w:rsid w:val="008A1207"/>
    <w:rsid w:val="008A12DB"/>
    <w:rsid w:val="008A1483"/>
    <w:rsid w:val="008A1555"/>
    <w:rsid w:val="008A165D"/>
    <w:rsid w:val="008A3189"/>
    <w:rsid w:val="008A328D"/>
    <w:rsid w:val="008A32DA"/>
    <w:rsid w:val="008A332F"/>
    <w:rsid w:val="008A3363"/>
    <w:rsid w:val="008A3371"/>
    <w:rsid w:val="008A33F1"/>
    <w:rsid w:val="008A3B39"/>
    <w:rsid w:val="008A3C3A"/>
    <w:rsid w:val="008A3C3E"/>
    <w:rsid w:val="008A41EF"/>
    <w:rsid w:val="008A427C"/>
    <w:rsid w:val="008A4639"/>
    <w:rsid w:val="008A474E"/>
    <w:rsid w:val="008A4906"/>
    <w:rsid w:val="008A4C91"/>
    <w:rsid w:val="008A53F4"/>
    <w:rsid w:val="008A5511"/>
    <w:rsid w:val="008A62C7"/>
    <w:rsid w:val="008A6A14"/>
    <w:rsid w:val="008A6FD9"/>
    <w:rsid w:val="008A7195"/>
    <w:rsid w:val="008A727E"/>
    <w:rsid w:val="008A72A8"/>
    <w:rsid w:val="008A79DE"/>
    <w:rsid w:val="008A7BD9"/>
    <w:rsid w:val="008A7C2E"/>
    <w:rsid w:val="008B01F9"/>
    <w:rsid w:val="008B0519"/>
    <w:rsid w:val="008B08AD"/>
    <w:rsid w:val="008B0EDA"/>
    <w:rsid w:val="008B0F31"/>
    <w:rsid w:val="008B15F6"/>
    <w:rsid w:val="008B169E"/>
    <w:rsid w:val="008B1757"/>
    <w:rsid w:val="008B17E4"/>
    <w:rsid w:val="008B1C3F"/>
    <w:rsid w:val="008B1EBA"/>
    <w:rsid w:val="008B1FA9"/>
    <w:rsid w:val="008B2484"/>
    <w:rsid w:val="008B264D"/>
    <w:rsid w:val="008B2EF8"/>
    <w:rsid w:val="008B2FF8"/>
    <w:rsid w:val="008B31C7"/>
    <w:rsid w:val="008B3258"/>
    <w:rsid w:val="008B32EB"/>
    <w:rsid w:val="008B3419"/>
    <w:rsid w:val="008B3439"/>
    <w:rsid w:val="008B3452"/>
    <w:rsid w:val="008B357B"/>
    <w:rsid w:val="008B364C"/>
    <w:rsid w:val="008B380D"/>
    <w:rsid w:val="008B3A69"/>
    <w:rsid w:val="008B4B08"/>
    <w:rsid w:val="008B5322"/>
    <w:rsid w:val="008B57A9"/>
    <w:rsid w:val="008B5AA0"/>
    <w:rsid w:val="008B5D5B"/>
    <w:rsid w:val="008B5F49"/>
    <w:rsid w:val="008B61D3"/>
    <w:rsid w:val="008B6686"/>
    <w:rsid w:val="008B6A8B"/>
    <w:rsid w:val="008B6AD9"/>
    <w:rsid w:val="008B6BA1"/>
    <w:rsid w:val="008B72DF"/>
    <w:rsid w:val="008B7555"/>
    <w:rsid w:val="008B7992"/>
    <w:rsid w:val="008B7D7E"/>
    <w:rsid w:val="008B7F9A"/>
    <w:rsid w:val="008C001A"/>
    <w:rsid w:val="008C03F6"/>
    <w:rsid w:val="008C0ECD"/>
    <w:rsid w:val="008C1B95"/>
    <w:rsid w:val="008C2054"/>
    <w:rsid w:val="008C22D8"/>
    <w:rsid w:val="008C2734"/>
    <w:rsid w:val="008C2C0F"/>
    <w:rsid w:val="008C2E2C"/>
    <w:rsid w:val="008C309A"/>
    <w:rsid w:val="008C30A1"/>
    <w:rsid w:val="008C34A2"/>
    <w:rsid w:val="008C3BFD"/>
    <w:rsid w:val="008C4548"/>
    <w:rsid w:val="008C4EC2"/>
    <w:rsid w:val="008C4F0C"/>
    <w:rsid w:val="008C5520"/>
    <w:rsid w:val="008C5610"/>
    <w:rsid w:val="008C5739"/>
    <w:rsid w:val="008C58C7"/>
    <w:rsid w:val="008C5F92"/>
    <w:rsid w:val="008C6083"/>
    <w:rsid w:val="008C60A2"/>
    <w:rsid w:val="008C65ED"/>
    <w:rsid w:val="008C6AA2"/>
    <w:rsid w:val="008C6B24"/>
    <w:rsid w:val="008C6C13"/>
    <w:rsid w:val="008C7C8F"/>
    <w:rsid w:val="008C7ECB"/>
    <w:rsid w:val="008D013F"/>
    <w:rsid w:val="008D0E14"/>
    <w:rsid w:val="008D1358"/>
    <w:rsid w:val="008D13B6"/>
    <w:rsid w:val="008D1C3D"/>
    <w:rsid w:val="008D1F3B"/>
    <w:rsid w:val="008D259B"/>
    <w:rsid w:val="008D262E"/>
    <w:rsid w:val="008D2BFC"/>
    <w:rsid w:val="008D2C2A"/>
    <w:rsid w:val="008D3095"/>
    <w:rsid w:val="008D363F"/>
    <w:rsid w:val="008D3AC8"/>
    <w:rsid w:val="008D3B86"/>
    <w:rsid w:val="008D3C43"/>
    <w:rsid w:val="008D4123"/>
    <w:rsid w:val="008D4251"/>
    <w:rsid w:val="008D443C"/>
    <w:rsid w:val="008D4755"/>
    <w:rsid w:val="008D47BC"/>
    <w:rsid w:val="008D481E"/>
    <w:rsid w:val="008D4C3D"/>
    <w:rsid w:val="008D5475"/>
    <w:rsid w:val="008D5A68"/>
    <w:rsid w:val="008D5A9C"/>
    <w:rsid w:val="008D5C6C"/>
    <w:rsid w:val="008D6166"/>
    <w:rsid w:val="008D61AF"/>
    <w:rsid w:val="008D743C"/>
    <w:rsid w:val="008E03C5"/>
    <w:rsid w:val="008E0D3C"/>
    <w:rsid w:val="008E0D5C"/>
    <w:rsid w:val="008E13BF"/>
    <w:rsid w:val="008E1506"/>
    <w:rsid w:val="008E164B"/>
    <w:rsid w:val="008E1663"/>
    <w:rsid w:val="008E16BB"/>
    <w:rsid w:val="008E180C"/>
    <w:rsid w:val="008E1B9E"/>
    <w:rsid w:val="008E2B33"/>
    <w:rsid w:val="008E2EAE"/>
    <w:rsid w:val="008E30F3"/>
    <w:rsid w:val="008E31FA"/>
    <w:rsid w:val="008E3837"/>
    <w:rsid w:val="008E4A7E"/>
    <w:rsid w:val="008E4B29"/>
    <w:rsid w:val="008E4BDA"/>
    <w:rsid w:val="008E500F"/>
    <w:rsid w:val="008E536B"/>
    <w:rsid w:val="008E53AE"/>
    <w:rsid w:val="008E55AB"/>
    <w:rsid w:val="008E5B55"/>
    <w:rsid w:val="008E629E"/>
    <w:rsid w:val="008E6C62"/>
    <w:rsid w:val="008E74D0"/>
    <w:rsid w:val="008E74D5"/>
    <w:rsid w:val="008E7799"/>
    <w:rsid w:val="008E7A51"/>
    <w:rsid w:val="008F0F93"/>
    <w:rsid w:val="008F10F9"/>
    <w:rsid w:val="008F120A"/>
    <w:rsid w:val="008F1600"/>
    <w:rsid w:val="008F20F5"/>
    <w:rsid w:val="008F27E0"/>
    <w:rsid w:val="008F298E"/>
    <w:rsid w:val="008F2DCD"/>
    <w:rsid w:val="008F33AB"/>
    <w:rsid w:val="008F346D"/>
    <w:rsid w:val="008F3758"/>
    <w:rsid w:val="008F399F"/>
    <w:rsid w:val="008F3ECD"/>
    <w:rsid w:val="008F4196"/>
    <w:rsid w:val="008F42B5"/>
    <w:rsid w:val="008F4511"/>
    <w:rsid w:val="008F4534"/>
    <w:rsid w:val="008F48A3"/>
    <w:rsid w:val="008F48EB"/>
    <w:rsid w:val="008F492E"/>
    <w:rsid w:val="008F4F0B"/>
    <w:rsid w:val="008F511E"/>
    <w:rsid w:val="008F552D"/>
    <w:rsid w:val="008F5AC9"/>
    <w:rsid w:val="008F5E16"/>
    <w:rsid w:val="008F62C8"/>
    <w:rsid w:val="008F64B9"/>
    <w:rsid w:val="008F64BF"/>
    <w:rsid w:val="008F693E"/>
    <w:rsid w:val="008F6A65"/>
    <w:rsid w:val="008F6E6D"/>
    <w:rsid w:val="008F6FCF"/>
    <w:rsid w:val="008F7718"/>
    <w:rsid w:val="008F7D3F"/>
    <w:rsid w:val="008F7E37"/>
    <w:rsid w:val="008F7EC1"/>
    <w:rsid w:val="009001E0"/>
    <w:rsid w:val="00900209"/>
    <w:rsid w:val="00900865"/>
    <w:rsid w:val="00900ED0"/>
    <w:rsid w:val="009010ED"/>
    <w:rsid w:val="00901217"/>
    <w:rsid w:val="009012A6"/>
    <w:rsid w:val="00901A85"/>
    <w:rsid w:val="00901D66"/>
    <w:rsid w:val="00902642"/>
    <w:rsid w:val="009026FF"/>
    <w:rsid w:val="00902C04"/>
    <w:rsid w:val="009030C5"/>
    <w:rsid w:val="0090342C"/>
    <w:rsid w:val="00903969"/>
    <w:rsid w:val="00903A9C"/>
    <w:rsid w:val="00903AEE"/>
    <w:rsid w:val="00904306"/>
    <w:rsid w:val="009046C4"/>
    <w:rsid w:val="00904877"/>
    <w:rsid w:val="0090497F"/>
    <w:rsid w:val="00904B8F"/>
    <w:rsid w:val="00906096"/>
    <w:rsid w:val="009060BD"/>
    <w:rsid w:val="009062A5"/>
    <w:rsid w:val="009064FC"/>
    <w:rsid w:val="009069DD"/>
    <w:rsid w:val="00906D70"/>
    <w:rsid w:val="00906EC6"/>
    <w:rsid w:val="009076C7"/>
    <w:rsid w:val="00907922"/>
    <w:rsid w:val="00907964"/>
    <w:rsid w:val="00910597"/>
    <w:rsid w:val="009105D5"/>
    <w:rsid w:val="00910C8D"/>
    <w:rsid w:val="00910CFE"/>
    <w:rsid w:val="00910D3B"/>
    <w:rsid w:val="00910FA7"/>
    <w:rsid w:val="00911072"/>
    <w:rsid w:val="00911272"/>
    <w:rsid w:val="00911316"/>
    <w:rsid w:val="00911843"/>
    <w:rsid w:val="00911CCC"/>
    <w:rsid w:val="00911D94"/>
    <w:rsid w:val="009121B8"/>
    <w:rsid w:val="009124C5"/>
    <w:rsid w:val="00912868"/>
    <w:rsid w:val="00912B28"/>
    <w:rsid w:val="00912F92"/>
    <w:rsid w:val="009135D6"/>
    <w:rsid w:val="009137C1"/>
    <w:rsid w:val="009137D7"/>
    <w:rsid w:val="00913F10"/>
    <w:rsid w:val="00914150"/>
    <w:rsid w:val="00914497"/>
    <w:rsid w:val="00914719"/>
    <w:rsid w:val="00914BC1"/>
    <w:rsid w:val="00914C77"/>
    <w:rsid w:val="00915666"/>
    <w:rsid w:val="00915C3A"/>
    <w:rsid w:val="00915C51"/>
    <w:rsid w:val="0091608D"/>
    <w:rsid w:val="00916846"/>
    <w:rsid w:val="009168CA"/>
    <w:rsid w:val="00916E1F"/>
    <w:rsid w:val="00916E21"/>
    <w:rsid w:val="009172EF"/>
    <w:rsid w:val="0092040C"/>
    <w:rsid w:val="009212C3"/>
    <w:rsid w:val="00921404"/>
    <w:rsid w:val="0092165A"/>
    <w:rsid w:val="0092184F"/>
    <w:rsid w:val="009219C8"/>
    <w:rsid w:val="00921ACB"/>
    <w:rsid w:val="00921EB3"/>
    <w:rsid w:val="00921EE9"/>
    <w:rsid w:val="0092225C"/>
    <w:rsid w:val="0092237A"/>
    <w:rsid w:val="00922AAB"/>
    <w:rsid w:val="00922AD3"/>
    <w:rsid w:val="00922EC4"/>
    <w:rsid w:val="009233C8"/>
    <w:rsid w:val="0092369B"/>
    <w:rsid w:val="009236FA"/>
    <w:rsid w:val="00923E4F"/>
    <w:rsid w:val="00923EBC"/>
    <w:rsid w:val="0092401F"/>
    <w:rsid w:val="00924384"/>
    <w:rsid w:val="00925524"/>
    <w:rsid w:val="00925614"/>
    <w:rsid w:val="00925C1F"/>
    <w:rsid w:val="00925DEE"/>
    <w:rsid w:val="00925E99"/>
    <w:rsid w:val="00927094"/>
    <w:rsid w:val="009272D4"/>
    <w:rsid w:val="009279A7"/>
    <w:rsid w:val="00927FE1"/>
    <w:rsid w:val="009307DF"/>
    <w:rsid w:val="009311F6"/>
    <w:rsid w:val="0093143A"/>
    <w:rsid w:val="00931B7D"/>
    <w:rsid w:val="00931C5A"/>
    <w:rsid w:val="00931CD7"/>
    <w:rsid w:val="00931E67"/>
    <w:rsid w:val="00932F19"/>
    <w:rsid w:val="00932F64"/>
    <w:rsid w:val="00932FB0"/>
    <w:rsid w:val="009331BB"/>
    <w:rsid w:val="0093320B"/>
    <w:rsid w:val="0093396E"/>
    <w:rsid w:val="00933E6D"/>
    <w:rsid w:val="00933EF7"/>
    <w:rsid w:val="00933F62"/>
    <w:rsid w:val="00933FA9"/>
    <w:rsid w:val="00934988"/>
    <w:rsid w:val="009349A5"/>
    <w:rsid w:val="00934A82"/>
    <w:rsid w:val="00934FFF"/>
    <w:rsid w:val="00935E40"/>
    <w:rsid w:val="009363AA"/>
    <w:rsid w:val="00936C8F"/>
    <w:rsid w:val="00936E74"/>
    <w:rsid w:val="00937089"/>
    <w:rsid w:val="00937748"/>
    <w:rsid w:val="00937D70"/>
    <w:rsid w:val="009400C2"/>
    <w:rsid w:val="00940AE6"/>
    <w:rsid w:val="00941672"/>
    <w:rsid w:val="0094167E"/>
    <w:rsid w:val="00941939"/>
    <w:rsid w:val="0094195D"/>
    <w:rsid w:val="00941A87"/>
    <w:rsid w:val="00941AD0"/>
    <w:rsid w:val="0094244B"/>
    <w:rsid w:val="0094254D"/>
    <w:rsid w:val="00942FBF"/>
    <w:rsid w:val="00943194"/>
    <w:rsid w:val="00944124"/>
    <w:rsid w:val="009441EF"/>
    <w:rsid w:val="0094447E"/>
    <w:rsid w:val="00944F8A"/>
    <w:rsid w:val="00945242"/>
    <w:rsid w:val="009456D6"/>
    <w:rsid w:val="009457E9"/>
    <w:rsid w:val="009459B1"/>
    <w:rsid w:val="00945A96"/>
    <w:rsid w:val="00945F8C"/>
    <w:rsid w:val="00945FD2"/>
    <w:rsid w:val="0094639C"/>
    <w:rsid w:val="00946689"/>
    <w:rsid w:val="0094670F"/>
    <w:rsid w:val="00946E84"/>
    <w:rsid w:val="00946EE5"/>
    <w:rsid w:val="009504E5"/>
    <w:rsid w:val="00950771"/>
    <w:rsid w:val="009510A2"/>
    <w:rsid w:val="0095184F"/>
    <w:rsid w:val="00952106"/>
    <w:rsid w:val="0095212F"/>
    <w:rsid w:val="009522CF"/>
    <w:rsid w:val="00952365"/>
    <w:rsid w:val="00952691"/>
    <w:rsid w:val="00953257"/>
    <w:rsid w:val="00953440"/>
    <w:rsid w:val="00953B3F"/>
    <w:rsid w:val="00953C66"/>
    <w:rsid w:val="00953C6A"/>
    <w:rsid w:val="00954336"/>
    <w:rsid w:val="009545F3"/>
    <w:rsid w:val="0095474C"/>
    <w:rsid w:val="00954E9B"/>
    <w:rsid w:val="0095553D"/>
    <w:rsid w:val="009558CA"/>
    <w:rsid w:val="00955D90"/>
    <w:rsid w:val="00955EF1"/>
    <w:rsid w:val="00956AE6"/>
    <w:rsid w:val="0095717A"/>
    <w:rsid w:val="0095718B"/>
    <w:rsid w:val="0095720A"/>
    <w:rsid w:val="009575BB"/>
    <w:rsid w:val="009576AD"/>
    <w:rsid w:val="00957CD8"/>
    <w:rsid w:val="009601B6"/>
    <w:rsid w:val="0096080A"/>
    <w:rsid w:val="00961019"/>
    <w:rsid w:val="0096199C"/>
    <w:rsid w:val="00961BDC"/>
    <w:rsid w:val="00961C39"/>
    <w:rsid w:val="00961C86"/>
    <w:rsid w:val="009625AA"/>
    <w:rsid w:val="00962CB9"/>
    <w:rsid w:val="00963B07"/>
    <w:rsid w:val="00964312"/>
    <w:rsid w:val="009648A8"/>
    <w:rsid w:val="00964936"/>
    <w:rsid w:val="00964A7C"/>
    <w:rsid w:val="00964FA0"/>
    <w:rsid w:val="00965B03"/>
    <w:rsid w:val="00965B8A"/>
    <w:rsid w:val="009661BC"/>
    <w:rsid w:val="0096625C"/>
    <w:rsid w:val="00966597"/>
    <w:rsid w:val="009667F2"/>
    <w:rsid w:val="00967374"/>
    <w:rsid w:val="009677E3"/>
    <w:rsid w:val="00967B1C"/>
    <w:rsid w:val="00967E92"/>
    <w:rsid w:val="00967E9C"/>
    <w:rsid w:val="00967F36"/>
    <w:rsid w:val="0097053B"/>
    <w:rsid w:val="0097071F"/>
    <w:rsid w:val="00971551"/>
    <w:rsid w:val="00971783"/>
    <w:rsid w:val="00971792"/>
    <w:rsid w:val="009717AC"/>
    <w:rsid w:val="0097180D"/>
    <w:rsid w:val="009719A6"/>
    <w:rsid w:val="00971B6E"/>
    <w:rsid w:val="00971EAD"/>
    <w:rsid w:val="00972454"/>
    <w:rsid w:val="0097282B"/>
    <w:rsid w:val="00972915"/>
    <w:rsid w:val="00972CB7"/>
    <w:rsid w:val="00972E3F"/>
    <w:rsid w:val="009732F0"/>
    <w:rsid w:val="0097374F"/>
    <w:rsid w:val="009739D2"/>
    <w:rsid w:val="00973B7A"/>
    <w:rsid w:val="00974248"/>
    <w:rsid w:val="0097499A"/>
    <w:rsid w:val="00974A70"/>
    <w:rsid w:val="009751C1"/>
    <w:rsid w:val="009753C9"/>
    <w:rsid w:val="0097544E"/>
    <w:rsid w:val="00975773"/>
    <w:rsid w:val="009760BA"/>
    <w:rsid w:val="00976465"/>
    <w:rsid w:val="009771A6"/>
    <w:rsid w:val="009777D1"/>
    <w:rsid w:val="00977A54"/>
    <w:rsid w:val="0098038E"/>
    <w:rsid w:val="009806C6"/>
    <w:rsid w:val="009811F1"/>
    <w:rsid w:val="009812B4"/>
    <w:rsid w:val="009813C4"/>
    <w:rsid w:val="0098140F"/>
    <w:rsid w:val="00981472"/>
    <w:rsid w:val="00981603"/>
    <w:rsid w:val="00981960"/>
    <w:rsid w:val="00981D9B"/>
    <w:rsid w:val="00981F04"/>
    <w:rsid w:val="009821BE"/>
    <w:rsid w:val="00982C36"/>
    <w:rsid w:val="00983440"/>
    <w:rsid w:val="009834C2"/>
    <w:rsid w:val="009835B0"/>
    <w:rsid w:val="009838A8"/>
    <w:rsid w:val="00983A04"/>
    <w:rsid w:val="00983E57"/>
    <w:rsid w:val="00983E7A"/>
    <w:rsid w:val="00983F13"/>
    <w:rsid w:val="009842AB"/>
    <w:rsid w:val="0098453A"/>
    <w:rsid w:val="0098476E"/>
    <w:rsid w:val="0098479A"/>
    <w:rsid w:val="00984CA3"/>
    <w:rsid w:val="00984DDC"/>
    <w:rsid w:val="00985BF5"/>
    <w:rsid w:val="00985DE2"/>
    <w:rsid w:val="00985FFD"/>
    <w:rsid w:val="00986142"/>
    <w:rsid w:val="00986183"/>
    <w:rsid w:val="00986348"/>
    <w:rsid w:val="0098675D"/>
    <w:rsid w:val="00986C27"/>
    <w:rsid w:val="00986EB4"/>
    <w:rsid w:val="0098720D"/>
    <w:rsid w:val="0098785D"/>
    <w:rsid w:val="00987B16"/>
    <w:rsid w:val="0099022E"/>
    <w:rsid w:val="00990797"/>
    <w:rsid w:val="00990918"/>
    <w:rsid w:val="00990C0C"/>
    <w:rsid w:val="00990C74"/>
    <w:rsid w:val="00990EF6"/>
    <w:rsid w:val="009917AF"/>
    <w:rsid w:val="00991D09"/>
    <w:rsid w:val="00991D89"/>
    <w:rsid w:val="00992626"/>
    <w:rsid w:val="009926E0"/>
    <w:rsid w:val="00992B69"/>
    <w:rsid w:val="00992E1F"/>
    <w:rsid w:val="0099379E"/>
    <w:rsid w:val="00993FFF"/>
    <w:rsid w:val="00994178"/>
    <w:rsid w:val="0099451E"/>
    <w:rsid w:val="00994C98"/>
    <w:rsid w:val="00995EEA"/>
    <w:rsid w:val="00996B1A"/>
    <w:rsid w:val="00997D78"/>
    <w:rsid w:val="00997FD2"/>
    <w:rsid w:val="009A01B1"/>
    <w:rsid w:val="009A0365"/>
    <w:rsid w:val="009A0A08"/>
    <w:rsid w:val="009A0DF0"/>
    <w:rsid w:val="009A1025"/>
    <w:rsid w:val="009A130E"/>
    <w:rsid w:val="009A189C"/>
    <w:rsid w:val="009A1E44"/>
    <w:rsid w:val="009A1FBE"/>
    <w:rsid w:val="009A2131"/>
    <w:rsid w:val="009A291B"/>
    <w:rsid w:val="009A2B64"/>
    <w:rsid w:val="009A2D4B"/>
    <w:rsid w:val="009A2DCC"/>
    <w:rsid w:val="009A2E2C"/>
    <w:rsid w:val="009A3143"/>
    <w:rsid w:val="009A38EC"/>
    <w:rsid w:val="009A38EE"/>
    <w:rsid w:val="009A3925"/>
    <w:rsid w:val="009A4379"/>
    <w:rsid w:val="009A4AED"/>
    <w:rsid w:val="009A4B47"/>
    <w:rsid w:val="009A4CD6"/>
    <w:rsid w:val="009A4E90"/>
    <w:rsid w:val="009A5A7E"/>
    <w:rsid w:val="009A5ABC"/>
    <w:rsid w:val="009A64F6"/>
    <w:rsid w:val="009A65A9"/>
    <w:rsid w:val="009A6A33"/>
    <w:rsid w:val="009A6B79"/>
    <w:rsid w:val="009A6C1A"/>
    <w:rsid w:val="009A73FC"/>
    <w:rsid w:val="009A7697"/>
    <w:rsid w:val="009A7C61"/>
    <w:rsid w:val="009A7E18"/>
    <w:rsid w:val="009A7F10"/>
    <w:rsid w:val="009B0020"/>
    <w:rsid w:val="009B0234"/>
    <w:rsid w:val="009B1BC7"/>
    <w:rsid w:val="009B1CE6"/>
    <w:rsid w:val="009B1D17"/>
    <w:rsid w:val="009B1DE6"/>
    <w:rsid w:val="009B2084"/>
    <w:rsid w:val="009B2214"/>
    <w:rsid w:val="009B2311"/>
    <w:rsid w:val="009B250F"/>
    <w:rsid w:val="009B2AD0"/>
    <w:rsid w:val="009B33E6"/>
    <w:rsid w:val="009B34C7"/>
    <w:rsid w:val="009B3882"/>
    <w:rsid w:val="009B3E26"/>
    <w:rsid w:val="009B3F03"/>
    <w:rsid w:val="009B4537"/>
    <w:rsid w:val="009B4C39"/>
    <w:rsid w:val="009B4F7A"/>
    <w:rsid w:val="009B564C"/>
    <w:rsid w:val="009B58F5"/>
    <w:rsid w:val="009B59EE"/>
    <w:rsid w:val="009B67C3"/>
    <w:rsid w:val="009B6A7B"/>
    <w:rsid w:val="009B7065"/>
    <w:rsid w:val="009B78CD"/>
    <w:rsid w:val="009B7C78"/>
    <w:rsid w:val="009C0DA0"/>
    <w:rsid w:val="009C0ED8"/>
    <w:rsid w:val="009C0EE9"/>
    <w:rsid w:val="009C1072"/>
    <w:rsid w:val="009C10FF"/>
    <w:rsid w:val="009C122B"/>
    <w:rsid w:val="009C1374"/>
    <w:rsid w:val="009C13B9"/>
    <w:rsid w:val="009C1917"/>
    <w:rsid w:val="009C1B81"/>
    <w:rsid w:val="009C1C9F"/>
    <w:rsid w:val="009C1EC3"/>
    <w:rsid w:val="009C26BF"/>
    <w:rsid w:val="009C28C2"/>
    <w:rsid w:val="009C28E3"/>
    <w:rsid w:val="009C2C01"/>
    <w:rsid w:val="009C34A6"/>
    <w:rsid w:val="009C3706"/>
    <w:rsid w:val="009C38CC"/>
    <w:rsid w:val="009C3A3A"/>
    <w:rsid w:val="009C3C39"/>
    <w:rsid w:val="009C4020"/>
    <w:rsid w:val="009C4305"/>
    <w:rsid w:val="009C4608"/>
    <w:rsid w:val="009C4A3E"/>
    <w:rsid w:val="009C4A57"/>
    <w:rsid w:val="009C4AC2"/>
    <w:rsid w:val="009C52CA"/>
    <w:rsid w:val="009C5736"/>
    <w:rsid w:val="009C5994"/>
    <w:rsid w:val="009C5A55"/>
    <w:rsid w:val="009C5B88"/>
    <w:rsid w:val="009C5F9A"/>
    <w:rsid w:val="009C6CEA"/>
    <w:rsid w:val="009C712C"/>
    <w:rsid w:val="009C7207"/>
    <w:rsid w:val="009C735E"/>
    <w:rsid w:val="009C7B85"/>
    <w:rsid w:val="009D0254"/>
    <w:rsid w:val="009D09B8"/>
    <w:rsid w:val="009D11F5"/>
    <w:rsid w:val="009D13CA"/>
    <w:rsid w:val="009D1A64"/>
    <w:rsid w:val="009D1EB4"/>
    <w:rsid w:val="009D2601"/>
    <w:rsid w:val="009D2C61"/>
    <w:rsid w:val="009D37ED"/>
    <w:rsid w:val="009D3D22"/>
    <w:rsid w:val="009D4358"/>
    <w:rsid w:val="009D4369"/>
    <w:rsid w:val="009D4AEF"/>
    <w:rsid w:val="009D4B0F"/>
    <w:rsid w:val="009D5356"/>
    <w:rsid w:val="009D5B91"/>
    <w:rsid w:val="009D5D54"/>
    <w:rsid w:val="009D5FD0"/>
    <w:rsid w:val="009D66F3"/>
    <w:rsid w:val="009D77B2"/>
    <w:rsid w:val="009D7844"/>
    <w:rsid w:val="009D792E"/>
    <w:rsid w:val="009E0DFE"/>
    <w:rsid w:val="009E0EBA"/>
    <w:rsid w:val="009E1636"/>
    <w:rsid w:val="009E1ADD"/>
    <w:rsid w:val="009E1D6F"/>
    <w:rsid w:val="009E245C"/>
    <w:rsid w:val="009E2506"/>
    <w:rsid w:val="009E2EC1"/>
    <w:rsid w:val="009E306F"/>
    <w:rsid w:val="009E3075"/>
    <w:rsid w:val="009E31F6"/>
    <w:rsid w:val="009E331A"/>
    <w:rsid w:val="009E34D3"/>
    <w:rsid w:val="009E39FE"/>
    <w:rsid w:val="009E3FAC"/>
    <w:rsid w:val="009E4090"/>
    <w:rsid w:val="009E46FC"/>
    <w:rsid w:val="009E4A7F"/>
    <w:rsid w:val="009E4AF6"/>
    <w:rsid w:val="009E4C07"/>
    <w:rsid w:val="009E4F44"/>
    <w:rsid w:val="009E501A"/>
    <w:rsid w:val="009E54B4"/>
    <w:rsid w:val="009E55C6"/>
    <w:rsid w:val="009E59A7"/>
    <w:rsid w:val="009E5A4C"/>
    <w:rsid w:val="009E5ED3"/>
    <w:rsid w:val="009E5FFA"/>
    <w:rsid w:val="009E616A"/>
    <w:rsid w:val="009E683E"/>
    <w:rsid w:val="009E6AC7"/>
    <w:rsid w:val="009E6C3C"/>
    <w:rsid w:val="009E6F78"/>
    <w:rsid w:val="009E7998"/>
    <w:rsid w:val="009F05C4"/>
    <w:rsid w:val="009F17E1"/>
    <w:rsid w:val="009F194A"/>
    <w:rsid w:val="009F198A"/>
    <w:rsid w:val="009F1B91"/>
    <w:rsid w:val="009F28B4"/>
    <w:rsid w:val="009F2A49"/>
    <w:rsid w:val="009F39E3"/>
    <w:rsid w:val="009F3C70"/>
    <w:rsid w:val="009F3ED9"/>
    <w:rsid w:val="009F4283"/>
    <w:rsid w:val="009F4B9E"/>
    <w:rsid w:val="009F50A4"/>
    <w:rsid w:val="009F5215"/>
    <w:rsid w:val="009F5493"/>
    <w:rsid w:val="009F5F37"/>
    <w:rsid w:val="009F62C1"/>
    <w:rsid w:val="009F63B0"/>
    <w:rsid w:val="009F687F"/>
    <w:rsid w:val="009F6910"/>
    <w:rsid w:val="009F6CB9"/>
    <w:rsid w:val="009F75AF"/>
    <w:rsid w:val="009F7A3F"/>
    <w:rsid w:val="009F7B6A"/>
    <w:rsid w:val="009F7C8A"/>
    <w:rsid w:val="00A00562"/>
    <w:rsid w:val="00A00899"/>
    <w:rsid w:val="00A008CE"/>
    <w:rsid w:val="00A00A37"/>
    <w:rsid w:val="00A01184"/>
    <w:rsid w:val="00A01641"/>
    <w:rsid w:val="00A01910"/>
    <w:rsid w:val="00A01B87"/>
    <w:rsid w:val="00A01E0D"/>
    <w:rsid w:val="00A01F6F"/>
    <w:rsid w:val="00A02350"/>
    <w:rsid w:val="00A024BB"/>
    <w:rsid w:val="00A0265F"/>
    <w:rsid w:val="00A02A49"/>
    <w:rsid w:val="00A02A6A"/>
    <w:rsid w:val="00A02A73"/>
    <w:rsid w:val="00A03018"/>
    <w:rsid w:val="00A03217"/>
    <w:rsid w:val="00A0333D"/>
    <w:rsid w:val="00A0366A"/>
    <w:rsid w:val="00A0378A"/>
    <w:rsid w:val="00A037C2"/>
    <w:rsid w:val="00A037E2"/>
    <w:rsid w:val="00A03D43"/>
    <w:rsid w:val="00A03E4D"/>
    <w:rsid w:val="00A04380"/>
    <w:rsid w:val="00A04C8D"/>
    <w:rsid w:val="00A05472"/>
    <w:rsid w:val="00A054C3"/>
    <w:rsid w:val="00A05C32"/>
    <w:rsid w:val="00A05DC3"/>
    <w:rsid w:val="00A061E3"/>
    <w:rsid w:val="00A063F0"/>
    <w:rsid w:val="00A0653F"/>
    <w:rsid w:val="00A06917"/>
    <w:rsid w:val="00A06952"/>
    <w:rsid w:val="00A07512"/>
    <w:rsid w:val="00A0777E"/>
    <w:rsid w:val="00A079E1"/>
    <w:rsid w:val="00A07F1C"/>
    <w:rsid w:val="00A102AE"/>
    <w:rsid w:val="00A10C4B"/>
    <w:rsid w:val="00A10ED7"/>
    <w:rsid w:val="00A11256"/>
    <w:rsid w:val="00A11642"/>
    <w:rsid w:val="00A11CD0"/>
    <w:rsid w:val="00A12588"/>
    <w:rsid w:val="00A12616"/>
    <w:rsid w:val="00A1288E"/>
    <w:rsid w:val="00A128F7"/>
    <w:rsid w:val="00A12A71"/>
    <w:rsid w:val="00A13846"/>
    <w:rsid w:val="00A13921"/>
    <w:rsid w:val="00A13948"/>
    <w:rsid w:val="00A141AE"/>
    <w:rsid w:val="00A1445B"/>
    <w:rsid w:val="00A145A9"/>
    <w:rsid w:val="00A148B5"/>
    <w:rsid w:val="00A1528D"/>
    <w:rsid w:val="00A1555B"/>
    <w:rsid w:val="00A155C5"/>
    <w:rsid w:val="00A15887"/>
    <w:rsid w:val="00A159A4"/>
    <w:rsid w:val="00A15F06"/>
    <w:rsid w:val="00A1642C"/>
    <w:rsid w:val="00A16515"/>
    <w:rsid w:val="00A16AC7"/>
    <w:rsid w:val="00A16AC8"/>
    <w:rsid w:val="00A16AD8"/>
    <w:rsid w:val="00A16AFB"/>
    <w:rsid w:val="00A171A7"/>
    <w:rsid w:val="00A1779B"/>
    <w:rsid w:val="00A17D32"/>
    <w:rsid w:val="00A2038F"/>
    <w:rsid w:val="00A2081C"/>
    <w:rsid w:val="00A2095C"/>
    <w:rsid w:val="00A20D9C"/>
    <w:rsid w:val="00A21C95"/>
    <w:rsid w:val="00A21CF3"/>
    <w:rsid w:val="00A21ECF"/>
    <w:rsid w:val="00A22A8B"/>
    <w:rsid w:val="00A22F92"/>
    <w:rsid w:val="00A2314E"/>
    <w:rsid w:val="00A232F7"/>
    <w:rsid w:val="00A23A65"/>
    <w:rsid w:val="00A23D4F"/>
    <w:rsid w:val="00A23DCF"/>
    <w:rsid w:val="00A23F0A"/>
    <w:rsid w:val="00A2465A"/>
    <w:rsid w:val="00A24813"/>
    <w:rsid w:val="00A25431"/>
    <w:rsid w:val="00A254F0"/>
    <w:rsid w:val="00A25537"/>
    <w:rsid w:val="00A25561"/>
    <w:rsid w:val="00A26EE5"/>
    <w:rsid w:val="00A27128"/>
    <w:rsid w:val="00A2719F"/>
    <w:rsid w:val="00A27A0A"/>
    <w:rsid w:val="00A27A0F"/>
    <w:rsid w:val="00A27AEC"/>
    <w:rsid w:val="00A27F63"/>
    <w:rsid w:val="00A30349"/>
    <w:rsid w:val="00A3068D"/>
    <w:rsid w:val="00A30EA8"/>
    <w:rsid w:val="00A30F1D"/>
    <w:rsid w:val="00A31F12"/>
    <w:rsid w:val="00A320DB"/>
    <w:rsid w:val="00A321FB"/>
    <w:rsid w:val="00A32501"/>
    <w:rsid w:val="00A32A2F"/>
    <w:rsid w:val="00A32B90"/>
    <w:rsid w:val="00A32FB9"/>
    <w:rsid w:val="00A3380B"/>
    <w:rsid w:val="00A33FCE"/>
    <w:rsid w:val="00A34385"/>
    <w:rsid w:val="00A34525"/>
    <w:rsid w:val="00A347E3"/>
    <w:rsid w:val="00A348BC"/>
    <w:rsid w:val="00A34DF2"/>
    <w:rsid w:val="00A35987"/>
    <w:rsid w:val="00A35D16"/>
    <w:rsid w:val="00A35D7F"/>
    <w:rsid w:val="00A36B0A"/>
    <w:rsid w:val="00A36F7A"/>
    <w:rsid w:val="00A371E0"/>
    <w:rsid w:val="00A373DD"/>
    <w:rsid w:val="00A37B2B"/>
    <w:rsid w:val="00A37BC7"/>
    <w:rsid w:val="00A37BCD"/>
    <w:rsid w:val="00A37E56"/>
    <w:rsid w:val="00A40193"/>
    <w:rsid w:val="00A401D9"/>
    <w:rsid w:val="00A405C1"/>
    <w:rsid w:val="00A40684"/>
    <w:rsid w:val="00A40AB7"/>
    <w:rsid w:val="00A40C71"/>
    <w:rsid w:val="00A41192"/>
    <w:rsid w:val="00A41689"/>
    <w:rsid w:val="00A417C3"/>
    <w:rsid w:val="00A41EB6"/>
    <w:rsid w:val="00A4219D"/>
    <w:rsid w:val="00A4252D"/>
    <w:rsid w:val="00A42592"/>
    <w:rsid w:val="00A42B63"/>
    <w:rsid w:val="00A42C6D"/>
    <w:rsid w:val="00A43178"/>
    <w:rsid w:val="00A43474"/>
    <w:rsid w:val="00A43C59"/>
    <w:rsid w:val="00A43DBB"/>
    <w:rsid w:val="00A440AC"/>
    <w:rsid w:val="00A44B6E"/>
    <w:rsid w:val="00A4560A"/>
    <w:rsid w:val="00A45751"/>
    <w:rsid w:val="00A457EE"/>
    <w:rsid w:val="00A45EBD"/>
    <w:rsid w:val="00A46678"/>
    <w:rsid w:val="00A467CF"/>
    <w:rsid w:val="00A469B2"/>
    <w:rsid w:val="00A469DD"/>
    <w:rsid w:val="00A47646"/>
    <w:rsid w:val="00A5035E"/>
    <w:rsid w:val="00A50CA4"/>
    <w:rsid w:val="00A50D1F"/>
    <w:rsid w:val="00A50ECD"/>
    <w:rsid w:val="00A518F3"/>
    <w:rsid w:val="00A51B80"/>
    <w:rsid w:val="00A51E64"/>
    <w:rsid w:val="00A524A6"/>
    <w:rsid w:val="00A525C6"/>
    <w:rsid w:val="00A52729"/>
    <w:rsid w:val="00A53675"/>
    <w:rsid w:val="00A53792"/>
    <w:rsid w:val="00A53864"/>
    <w:rsid w:val="00A53B41"/>
    <w:rsid w:val="00A53E8E"/>
    <w:rsid w:val="00A54393"/>
    <w:rsid w:val="00A54CB2"/>
    <w:rsid w:val="00A54F8E"/>
    <w:rsid w:val="00A54FA4"/>
    <w:rsid w:val="00A55068"/>
    <w:rsid w:val="00A5577F"/>
    <w:rsid w:val="00A55877"/>
    <w:rsid w:val="00A56443"/>
    <w:rsid w:val="00A564B3"/>
    <w:rsid w:val="00A564D7"/>
    <w:rsid w:val="00A56B6A"/>
    <w:rsid w:val="00A56B7E"/>
    <w:rsid w:val="00A56FB6"/>
    <w:rsid w:val="00A578DC"/>
    <w:rsid w:val="00A579FE"/>
    <w:rsid w:val="00A60C5A"/>
    <w:rsid w:val="00A60FA8"/>
    <w:rsid w:val="00A616A5"/>
    <w:rsid w:val="00A61867"/>
    <w:rsid w:val="00A61A0E"/>
    <w:rsid w:val="00A621D8"/>
    <w:rsid w:val="00A625AD"/>
    <w:rsid w:val="00A62B42"/>
    <w:rsid w:val="00A62C0A"/>
    <w:rsid w:val="00A62F46"/>
    <w:rsid w:val="00A6386C"/>
    <w:rsid w:val="00A638CB"/>
    <w:rsid w:val="00A63B37"/>
    <w:rsid w:val="00A640E2"/>
    <w:rsid w:val="00A64484"/>
    <w:rsid w:val="00A6449C"/>
    <w:rsid w:val="00A64D65"/>
    <w:rsid w:val="00A650A2"/>
    <w:rsid w:val="00A65CF0"/>
    <w:rsid w:val="00A66278"/>
    <w:rsid w:val="00A66C19"/>
    <w:rsid w:val="00A6725B"/>
    <w:rsid w:val="00A6763B"/>
    <w:rsid w:val="00A6768C"/>
    <w:rsid w:val="00A67A0D"/>
    <w:rsid w:val="00A67EBB"/>
    <w:rsid w:val="00A67FD7"/>
    <w:rsid w:val="00A70316"/>
    <w:rsid w:val="00A70477"/>
    <w:rsid w:val="00A70605"/>
    <w:rsid w:val="00A70B83"/>
    <w:rsid w:val="00A71641"/>
    <w:rsid w:val="00A71AEC"/>
    <w:rsid w:val="00A72DA4"/>
    <w:rsid w:val="00A73087"/>
    <w:rsid w:val="00A73134"/>
    <w:rsid w:val="00A73175"/>
    <w:rsid w:val="00A733A0"/>
    <w:rsid w:val="00A7384D"/>
    <w:rsid w:val="00A73ACF"/>
    <w:rsid w:val="00A73FA5"/>
    <w:rsid w:val="00A7469E"/>
    <w:rsid w:val="00A74BA1"/>
    <w:rsid w:val="00A74DB2"/>
    <w:rsid w:val="00A74FA9"/>
    <w:rsid w:val="00A759DA"/>
    <w:rsid w:val="00A75A01"/>
    <w:rsid w:val="00A75DAE"/>
    <w:rsid w:val="00A75DEB"/>
    <w:rsid w:val="00A76001"/>
    <w:rsid w:val="00A76A1C"/>
    <w:rsid w:val="00A76F90"/>
    <w:rsid w:val="00A7735B"/>
    <w:rsid w:val="00A777B2"/>
    <w:rsid w:val="00A77BAD"/>
    <w:rsid w:val="00A77CA3"/>
    <w:rsid w:val="00A77E74"/>
    <w:rsid w:val="00A77F1E"/>
    <w:rsid w:val="00A804C7"/>
    <w:rsid w:val="00A809B0"/>
    <w:rsid w:val="00A80A13"/>
    <w:rsid w:val="00A80C58"/>
    <w:rsid w:val="00A814E7"/>
    <w:rsid w:val="00A82521"/>
    <w:rsid w:val="00A825D4"/>
    <w:rsid w:val="00A828F6"/>
    <w:rsid w:val="00A82929"/>
    <w:rsid w:val="00A82B56"/>
    <w:rsid w:val="00A82B73"/>
    <w:rsid w:val="00A83026"/>
    <w:rsid w:val="00A8324F"/>
    <w:rsid w:val="00A8355E"/>
    <w:rsid w:val="00A835EA"/>
    <w:rsid w:val="00A83E4D"/>
    <w:rsid w:val="00A83EAE"/>
    <w:rsid w:val="00A83EDE"/>
    <w:rsid w:val="00A84586"/>
    <w:rsid w:val="00A84890"/>
    <w:rsid w:val="00A85940"/>
    <w:rsid w:val="00A85BF3"/>
    <w:rsid w:val="00A86062"/>
    <w:rsid w:val="00A868D2"/>
    <w:rsid w:val="00A86A59"/>
    <w:rsid w:val="00A86E8B"/>
    <w:rsid w:val="00A87164"/>
    <w:rsid w:val="00A8753E"/>
    <w:rsid w:val="00A87963"/>
    <w:rsid w:val="00A87CDB"/>
    <w:rsid w:val="00A87FC1"/>
    <w:rsid w:val="00A90631"/>
    <w:rsid w:val="00A90909"/>
    <w:rsid w:val="00A90C64"/>
    <w:rsid w:val="00A90D45"/>
    <w:rsid w:val="00A90FA1"/>
    <w:rsid w:val="00A9123E"/>
    <w:rsid w:val="00A91649"/>
    <w:rsid w:val="00A91D00"/>
    <w:rsid w:val="00A91E99"/>
    <w:rsid w:val="00A91EEC"/>
    <w:rsid w:val="00A92780"/>
    <w:rsid w:val="00A92FB4"/>
    <w:rsid w:val="00A93072"/>
    <w:rsid w:val="00A9383E"/>
    <w:rsid w:val="00A938BD"/>
    <w:rsid w:val="00A93953"/>
    <w:rsid w:val="00A94E53"/>
    <w:rsid w:val="00A94FA2"/>
    <w:rsid w:val="00A9542C"/>
    <w:rsid w:val="00A95566"/>
    <w:rsid w:val="00A955D8"/>
    <w:rsid w:val="00A957ED"/>
    <w:rsid w:val="00A959D8"/>
    <w:rsid w:val="00A95BAD"/>
    <w:rsid w:val="00A96AA5"/>
    <w:rsid w:val="00A96B2F"/>
    <w:rsid w:val="00A97555"/>
    <w:rsid w:val="00A97B61"/>
    <w:rsid w:val="00AA113D"/>
    <w:rsid w:val="00AA16FC"/>
    <w:rsid w:val="00AA1F14"/>
    <w:rsid w:val="00AA245D"/>
    <w:rsid w:val="00AA277A"/>
    <w:rsid w:val="00AA28B4"/>
    <w:rsid w:val="00AA291A"/>
    <w:rsid w:val="00AA2BA7"/>
    <w:rsid w:val="00AA2D3F"/>
    <w:rsid w:val="00AA2F75"/>
    <w:rsid w:val="00AA2FB0"/>
    <w:rsid w:val="00AA2FF8"/>
    <w:rsid w:val="00AA314B"/>
    <w:rsid w:val="00AA3C24"/>
    <w:rsid w:val="00AA3CDB"/>
    <w:rsid w:val="00AA4256"/>
    <w:rsid w:val="00AA4507"/>
    <w:rsid w:val="00AA48FE"/>
    <w:rsid w:val="00AA4A35"/>
    <w:rsid w:val="00AA50C5"/>
    <w:rsid w:val="00AA5583"/>
    <w:rsid w:val="00AA62E9"/>
    <w:rsid w:val="00AA64C1"/>
    <w:rsid w:val="00AA66CF"/>
    <w:rsid w:val="00AA6BD5"/>
    <w:rsid w:val="00AA6BD8"/>
    <w:rsid w:val="00AA6C7D"/>
    <w:rsid w:val="00AA72FA"/>
    <w:rsid w:val="00AA74E6"/>
    <w:rsid w:val="00AA76F9"/>
    <w:rsid w:val="00AA7B07"/>
    <w:rsid w:val="00AA7FD6"/>
    <w:rsid w:val="00AB0422"/>
    <w:rsid w:val="00AB042A"/>
    <w:rsid w:val="00AB0EF0"/>
    <w:rsid w:val="00AB141B"/>
    <w:rsid w:val="00AB19EF"/>
    <w:rsid w:val="00AB1AE2"/>
    <w:rsid w:val="00AB1C29"/>
    <w:rsid w:val="00AB21A1"/>
    <w:rsid w:val="00AB231C"/>
    <w:rsid w:val="00AB2D34"/>
    <w:rsid w:val="00AB2E37"/>
    <w:rsid w:val="00AB3430"/>
    <w:rsid w:val="00AB37B9"/>
    <w:rsid w:val="00AB3A9C"/>
    <w:rsid w:val="00AB3CB3"/>
    <w:rsid w:val="00AB4557"/>
    <w:rsid w:val="00AB45AE"/>
    <w:rsid w:val="00AB478C"/>
    <w:rsid w:val="00AB4A18"/>
    <w:rsid w:val="00AB4AD1"/>
    <w:rsid w:val="00AB52FB"/>
    <w:rsid w:val="00AB55BC"/>
    <w:rsid w:val="00AB5E07"/>
    <w:rsid w:val="00AB5ED2"/>
    <w:rsid w:val="00AB631E"/>
    <w:rsid w:val="00AB6D49"/>
    <w:rsid w:val="00AB6D87"/>
    <w:rsid w:val="00AB7AB7"/>
    <w:rsid w:val="00AB7CFA"/>
    <w:rsid w:val="00AB7EE9"/>
    <w:rsid w:val="00AC0024"/>
    <w:rsid w:val="00AC08C2"/>
    <w:rsid w:val="00AC1228"/>
    <w:rsid w:val="00AC1234"/>
    <w:rsid w:val="00AC15C2"/>
    <w:rsid w:val="00AC2182"/>
    <w:rsid w:val="00AC3496"/>
    <w:rsid w:val="00AC36E1"/>
    <w:rsid w:val="00AC3D54"/>
    <w:rsid w:val="00AC49C2"/>
    <w:rsid w:val="00AC4B74"/>
    <w:rsid w:val="00AC4F1F"/>
    <w:rsid w:val="00AC4F70"/>
    <w:rsid w:val="00AC5455"/>
    <w:rsid w:val="00AC55F9"/>
    <w:rsid w:val="00AC5AD9"/>
    <w:rsid w:val="00AC5B48"/>
    <w:rsid w:val="00AC604F"/>
    <w:rsid w:val="00AC618A"/>
    <w:rsid w:val="00AC648F"/>
    <w:rsid w:val="00AC6504"/>
    <w:rsid w:val="00AC68AE"/>
    <w:rsid w:val="00AC6CA6"/>
    <w:rsid w:val="00AC7614"/>
    <w:rsid w:val="00AC7AC0"/>
    <w:rsid w:val="00AC7C8E"/>
    <w:rsid w:val="00AD1450"/>
    <w:rsid w:val="00AD1DEE"/>
    <w:rsid w:val="00AD20B5"/>
    <w:rsid w:val="00AD22F3"/>
    <w:rsid w:val="00AD284F"/>
    <w:rsid w:val="00AD2DFA"/>
    <w:rsid w:val="00AD2FEF"/>
    <w:rsid w:val="00AD38F3"/>
    <w:rsid w:val="00AD3DE1"/>
    <w:rsid w:val="00AD3DF0"/>
    <w:rsid w:val="00AD3F74"/>
    <w:rsid w:val="00AD3F79"/>
    <w:rsid w:val="00AD43E2"/>
    <w:rsid w:val="00AD47CC"/>
    <w:rsid w:val="00AD4FA9"/>
    <w:rsid w:val="00AD5045"/>
    <w:rsid w:val="00AD53F3"/>
    <w:rsid w:val="00AD5749"/>
    <w:rsid w:val="00AD6502"/>
    <w:rsid w:val="00AD6514"/>
    <w:rsid w:val="00AD69F8"/>
    <w:rsid w:val="00AD6AD3"/>
    <w:rsid w:val="00AD6C38"/>
    <w:rsid w:val="00AD6CA1"/>
    <w:rsid w:val="00AD6DF9"/>
    <w:rsid w:val="00AD6F09"/>
    <w:rsid w:val="00AD75CF"/>
    <w:rsid w:val="00AD7732"/>
    <w:rsid w:val="00AD77E2"/>
    <w:rsid w:val="00AD7F67"/>
    <w:rsid w:val="00AE003C"/>
    <w:rsid w:val="00AE0670"/>
    <w:rsid w:val="00AE0695"/>
    <w:rsid w:val="00AE082F"/>
    <w:rsid w:val="00AE0834"/>
    <w:rsid w:val="00AE0BF3"/>
    <w:rsid w:val="00AE0C70"/>
    <w:rsid w:val="00AE1017"/>
    <w:rsid w:val="00AE106F"/>
    <w:rsid w:val="00AE16C0"/>
    <w:rsid w:val="00AE2D0E"/>
    <w:rsid w:val="00AE35D3"/>
    <w:rsid w:val="00AE3B29"/>
    <w:rsid w:val="00AE3CBC"/>
    <w:rsid w:val="00AE3E3B"/>
    <w:rsid w:val="00AE3E7E"/>
    <w:rsid w:val="00AE3F50"/>
    <w:rsid w:val="00AE45C4"/>
    <w:rsid w:val="00AE4B2A"/>
    <w:rsid w:val="00AE59C4"/>
    <w:rsid w:val="00AE5A07"/>
    <w:rsid w:val="00AE5B7C"/>
    <w:rsid w:val="00AE687B"/>
    <w:rsid w:val="00AE6977"/>
    <w:rsid w:val="00AE72CB"/>
    <w:rsid w:val="00AF00CD"/>
    <w:rsid w:val="00AF02BB"/>
    <w:rsid w:val="00AF0502"/>
    <w:rsid w:val="00AF0743"/>
    <w:rsid w:val="00AF0CD5"/>
    <w:rsid w:val="00AF0FEF"/>
    <w:rsid w:val="00AF1315"/>
    <w:rsid w:val="00AF1325"/>
    <w:rsid w:val="00AF19BF"/>
    <w:rsid w:val="00AF228A"/>
    <w:rsid w:val="00AF26F8"/>
    <w:rsid w:val="00AF2DC3"/>
    <w:rsid w:val="00AF2DFE"/>
    <w:rsid w:val="00AF3165"/>
    <w:rsid w:val="00AF3284"/>
    <w:rsid w:val="00AF3FAB"/>
    <w:rsid w:val="00AF427D"/>
    <w:rsid w:val="00AF4405"/>
    <w:rsid w:val="00AF4507"/>
    <w:rsid w:val="00AF462D"/>
    <w:rsid w:val="00AF4E40"/>
    <w:rsid w:val="00AF514D"/>
    <w:rsid w:val="00AF5211"/>
    <w:rsid w:val="00AF5303"/>
    <w:rsid w:val="00AF5FAC"/>
    <w:rsid w:val="00AF62FE"/>
    <w:rsid w:val="00AF6D29"/>
    <w:rsid w:val="00AF7DEB"/>
    <w:rsid w:val="00B000EF"/>
    <w:rsid w:val="00B006C5"/>
    <w:rsid w:val="00B008E9"/>
    <w:rsid w:val="00B00A18"/>
    <w:rsid w:val="00B00B7E"/>
    <w:rsid w:val="00B011CC"/>
    <w:rsid w:val="00B02173"/>
    <w:rsid w:val="00B0240B"/>
    <w:rsid w:val="00B02477"/>
    <w:rsid w:val="00B02724"/>
    <w:rsid w:val="00B0282E"/>
    <w:rsid w:val="00B02A73"/>
    <w:rsid w:val="00B02CAC"/>
    <w:rsid w:val="00B02F3F"/>
    <w:rsid w:val="00B031B9"/>
    <w:rsid w:val="00B03214"/>
    <w:rsid w:val="00B033E5"/>
    <w:rsid w:val="00B03551"/>
    <w:rsid w:val="00B035A7"/>
    <w:rsid w:val="00B036D7"/>
    <w:rsid w:val="00B03A63"/>
    <w:rsid w:val="00B03DD1"/>
    <w:rsid w:val="00B03EC9"/>
    <w:rsid w:val="00B052F1"/>
    <w:rsid w:val="00B05473"/>
    <w:rsid w:val="00B06037"/>
    <w:rsid w:val="00B062BE"/>
    <w:rsid w:val="00B06B1B"/>
    <w:rsid w:val="00B06E76"/>
    <w:rsid w:val="00B07369"/>
    <w:rsid w:val="00B075B1"/>
    <w:rsid w:val="00B07774"/>
    <w:rsid w:val="00B077B8"/>
    <w:rsid w:val="00B077DD"/>
    <w:rsid w:val="00B07C7A"/>
    <w:rsid w:val="00B10197"/>
    <w:rsid w:val="00B101BD"/>
    <w:rsid w:val="00B101C5"/>
    <w:rsid w:val="00B10559"/>
    <w:rsid w:val="00B10B3F"/>
    <w:rsid w:val="00B10E3D"/>
    <w:rsid w:val="00B111B0"/>
    <w:rsid w:val="00B111BF"/>
    <w:rsid w:val="00B1164A"/>
    <w:rsid w:val="00B11865"/>
    <w:rsid w:val="00B11A2F"/>
    <w:rsid w:val="00B1251C"/>
    <w:rsid w:val="00B12ABE"/>
    <w:rsid w:val="00B12AEB"/>
    <w:rsid w:val="00B12BBD"/>
    <w:rsid w:val="00B12CCD"/>
    <w:rsid w:val="00B1302E"/>
    <w:rsid w:val="00B13224"/>
    <w:rsid w:val="00B1345A"/>
    <w:rsid w:val="00B13AF1"/>
    <w:rsid w:val="00B14323"/>
    <w:rsid w:val="00B15502"/>
    <w:rsid w:val="00B1564A"/>
    <w:rsid w:val="00B1566A"/>
    <w:rsid w:val="00B15767"/>
    <w:rsid w:val="00B15884"/>
    <w:rsid w:val="00B1590F"/>
    <w:rsid w:val="00B1665D"/>
    <w:rsid w:val="00B166BB"/>
    <w:rsid w:val="00B16A10"/>
    <w:rsid w:val="00B16A35"/>
    <w:rsid w:val="00B16D41"/>
    <w:rsid w:val="00B17AD3"/>
    <w:rsid w:val="00B17AFC"/>
    <w:rsid w:val="00B17E2A"/>
    <w:rsid w:val="00B201A4"/>
    <w:rsid w:val="00B201D1"/>
    <w:rsid w:val="00B20D65"/>
    <w:rsid w:val="00B20EEB"/>
    <w:rsid w:val="00B213A6"/>
    <w:rsid w:val="00B21647"/>
    <w:rsid w:val="00B21EC4"/>
    <w:rsid w:val="00B220CE"/>
    <w:rsid w:val="00B220F9"/>
    <w:rsid w:val="00B22526"/>
    <w:rsid w:val="00B22623"/>
    <w:rsid w:val="00B2282A"/>
    <w:rsid w:val="00B22991"/>
    <w:rsid w:val="00B23293"/>
    <w:rsid w:val="00B2348E"/>
    <w:rsid w:val="00B235A1"/>
    <w:rsid w:val="00B235B0"/>
    <w:rsid w:val="00B236C4"/>
    <w:rsid w:val="00B237A6"/>
    <w:rsid w:val="00B23B52"/>
    <w:rsid w:val="00B23BD6"/>
    <w:rsid w:val="00B243D8"/>
    <w:rsid w:val="00B24956"/>
    <w:rsid w:val="00B24BBC"/>
    <w:rsid w:val="00B24DF6"/>
    <w:rsid w:val="00B24FC0"/>
    <w:rsid w:val="00B255FA"/>
    <w:rsid w:val="00B258A5"/>
    <w:rsid w:val="00B25BE2"/>
    <w:rsid w:val="00B26468"/>
    <w:rsid w:val="00B265B5"/>
    <w:rsid w:val="00B2679C"/>
    <w:rsid w:val="00B26BBC"/>
    <w:rsid w:val="00B273DD"/>
    <w:rsid w:val="00B27E59"/>
    <w:rsid w:val="00B308CA"/>
    <w:rsid w:val="00B3103E"/>
    <w:rsid w:val="00B31065"/>
    <w:rsid w:val="00B312EB"/>
    <w:rsid w:val="00B31501"/>
    <w:rsid w:val="00B31A2E"/>
    <w:rsid w:val="00B31ACC"/>
    <w:rsid w:val="00B3237A"/>
    <w:rsid w:val="00B32906"/>
    <w:rsid w:val="00B32A64"/>
    <w:rsid w:val="00B32C65"/>
    <w:rsid w:val="00B32FB5"/>
    <w:rsid w:val="00B335FF"/>
    <w:rsid w:val="00B3395F"/>
    <w:rsid w:val="00B33D3C"/>
    <w:rsid w:val="00B34E7E"/>
    <w:rsid w:val="00B34FE2"/>
    <w:rsid w:val="00B35049"/>
    <w:rsid w:val="00B35166"/>
    <w:rsid w:val="00B357D8"/>
    <w:rsid w:val="00B35D34"/>
    <w:rsid w:val="00B360F4"/>
    <w:rsid w:val="00B361A6"/>
    <w:rsid w:val="00B362C6"/>
    <w:rsid w:val="00B364DC"/>
    <w:rsid w:val="00B36A00"/>
    <w:rsid w:val="00B3756D"/>
    <w:rsid w:val="00B375F6"/>
    <w:rsid w:val="00B37787"/>
    <w:rsid w:val="00B37BFC"/>
    <w:rsid w:val="00B37EBA"/>
    <w:rsid w:val="00B40002"/>
    <w:rsid w:val="00B40358"/>
    <w:rsid w:val="00B40AAB"/>
    <w:rsid w:val="00B40CEA"/>
    <w:rsid w:val="00B41049"/>
    <w:rsid w:val="00B412A8"/>
    <w:rsid w:val="00B41477"/>
    <w:rsid w:val="00B41614"/>
    <w:rsid w:val="00B41AD5"/>
    <w:rsid w:val="00B41B94"/>
    <w:rsid w:val="00B4254E"/>
    <w:rsid w:val="00B42851"/>
    <w:rsid w:val="00B42F80"/>
    <w:rsid w:val="00B431E0"/>
    <w:rsid w:val="00B435CB"/>
    <w:rsid w:val="00B43A83"/>
    <w:rsid w:val="00B43C88"/>
    <w:rsid w:val="00B441B1"/>
    <w:rsid w:val="00B441DD"/>
    <w:rsid w:val="00B4539A"/>
    <w:rsid w:val="00B453CD"/>
    <w:rsid w:val="00B45B82"/>
    <w:rsid w:val="00B45C34"/>
    <w:rsid w:val="00B4615C"/>
    <w:rsid w:val="00B461A3"/>
    <w:rsid w:val="00B46971"/>
    <w:rsid w:val="00B469C3"/>
    <w:rsid w:val="00B503FD"/>
    <w:rsid w:val="00B505C8"/>
    <w:rsid w:val="00B50942"/>
    <w:rsid w:val="00B50C49"/>
    <w:rsid w:val="00B50DB8"/>
    <w:rsid w:val="00B50E54"/>
    <w:rsid w:val="00B50F42"/>
    <w:rsid w:val="00B50F7B"/>
    <w:rsid w:val="00B510DD"/>
    <w:rsid w:val="00B51105"/>
    <w:rsid w:val="00B51246"/>
    <w:rsid w:val="00B51253"/>
    <w:rsid w:val="00B515C0"/>
    <w:rsid w:val="00B51684"/>
    <w:rsid w:val="00B517D6"/>
    <w:rsid w:val="00B52D7C"/>
    <w:rsid w:val="00B5306A"/>
    <w:rsid w:val="00B53654"/>
    <w:rsid w:val="00B53905"/>
    <w:rsid w:val="00B539E1"/>
    <w:rsid w:val="00B547A7"/>
    <w:rsid w:val="00B54B43"/>
    <w:rsid w:val="00B54B5B"/>
    <w:rsid w:val="00B54F44"/>
    <w:rsid w:val="00B54FBB"/>
    <w:rsid w:val="00B5562E"/>
    <w:rsid w:val="00B55644"/>
    <w:rsid w:val="00B55A78"/>
    <w:rsid w:val="00B55B60"/>
    <w:rsid w:val="00B55D65"/>
    <w:rsid w:val="00B55DFB"/>
    <w:rsid w:val="00B55E42"/>
    <w:rsid w:val="00B566EB"/>
    <w:rsid w:val="00B56CEA"/>
    <w:rsid w:val="00B56F21"/>
    <w:rsid w:val="00B57000"/>
    <w:rsid w:val="00B572F6"/>
    <w:rsid w:val="00B57670"/>
    <w:rsid w:val="00B5775B"/>
    <w:rsid w:val="00B57BD3"/>
    <w:rsid w:val="00B600F5"/>
    <w:rsid w:val="00B60939"/>
    <w:rsid w:val="00B6098C"/>
    <w:rsid w:val="00B60AFD"/>
    <w:rsid w:val="00B610BE"/>
    <w:rsid w:val="00B61109"/>
    <w:rsid w:val="00B61506"/>
    <w:rsid w:val="00B6210A"/>
    <w:rsid w:val="00B621E3"/>
    <w:rsid w:val="00B623B6"/>
    <w:rsid w:val="00B62715"/>
    <w:rsid w:val="00B62931"/>
    <w:rsid w:val="00B63484"/>
    <w:rsid w:val="00B635C9"/>
    <w:rsid w:val="00B63816"/>
    <w:rsid w:val="00B64795"/>
    <w:rsid w:val="00B65105"/>
    <w:rsid w:val="00B65293"/>
    <w:rsid w:val="00B653D2"/>
    <w:rsid w:val="00B65611"/>
    <w:rsid w:val="00B65763"/>
    <w:rsid w:val="00B65966"/>
    <w:rsid w:val="00B65A4E"/>
    <w:rsid w:val="00B65B4F"/>
    <w:rsid w:val="00B65C3B"/>
    <w:rsid w:val="00B6648D"/>
    <w:rsid w:val="00B665DE"/>
    <w:rsid w:val="00B667CE"/>
    <w:rsid w:val="00B669D0"/>
    <w:rsid w:val="00B676A2"/>
    <w:rsid w:val="00B67AD0"/>
    <w:rsid w:val="00B67D0D"/>
    <w:rsid w:val="00B67DB3"/>
    <w:rsid w:val="00B70342"/>
    <w:rsid w:val="00B70E8E"/>
    <w:rsid w:val="00B71154"/>
    <w:rsid w:val="00B7149A"/>
    <w:rsid w:val="00B71858"/>
    <w:rsid w:val="00B71A17"/>
    <w:rsid w:val="00B71B52"/>
    <w:rsid w:val="00B71BC3"/>
    <w:rsid w:val="00B7214D"/>
    <w:rsid w:val="00B72213"/>
    <w:rsid w:val="00B722F1"/>
    <w:rsid w:val="00B72828"/>
    <w:rsid w:val="00B72C24"/>
    <w:rsid w:val="00B72EBD"/>
    <w:rsid w:val="00B732D9"/>
    <w:rsid w:val="00B73725"/>
    <w:rsid w:val="00B73ED5"/>
    <w:rsid w:val="00B74162"/>
    <w:rsid w:val="00B747BF"/>
    <w:rsid w:val="00B749FA"/>
    <w:rsid w:val="00B74A27"/>
    <w:rsid w:val="00B74C64"/>
    <w:rsid w:val="00B74C83"/>
    <w:rsid w:val="00B74CDB"/>
    <w:rsid w:val="00B756C3"/>
    <w:rsid w:val="00B7572B"/>
    <w:rsid w:val="00B760F0"/>
    <w:rsid w:val="00B76487"/>
    <w:rsid w:val="00B76C92"/>
    <w:rsid w:val="00B7798E"/>
    <w:rsid w:val="00B77BA2"/>
    <w:rsid w:val="00B77BFC"/>
    <w:rsid w:val="00B77CCB"/>
    <w:rsid w:val="00B77D4C"/>
    <w:rsid w:val="00B80002"/>
    <w:rsid w:val="00B8038D"/>
    <w:rsid w:val="00B80543"/>
    <w:rsid w:val="00B80DD5"/>
    <w:rsid w:val="00B80FB4"/>
    <w:rsid w:val="00B8130A"/>
    <w:rsid w:val="00B8157A"/>
    <w:rsid w:val="00B81831"/>
    <w:rsid w:val="00B818A4"/>
    <w:rsid w:val="00B82160"/>
    <w:rsid w:val="00B82734"/>
    <w:rsid w:val="00B828C9"/>
    <w:rsid w:val="00B82D72"/>
    <w:rsid w:val="00B83092"/>
    <w:rsid w:val="00B83560"/>
    <w:rsid w:val="00B83B02"/>
    <w:rsid w:val="00B83B94"/>
    <w:rsid w:val="00B840B5"/>
    <w:rsid w:val="00B84117"/>
    <w:rsid w:val="00B8419D"/>
    <w:rsid w:val="00B84273"/>
    <w:rsid w:val="00B8445F"/>
    <w:rsid w:val="00B84647"/>
    <w:rsid w:val="00B85163"/>
    <w:rsid w:val="00B85463"/>
    <w:rsid w:val="00B854C4"/>
    <w:rsid w:val="00B858F0"/>
    <w:rsid w:val="00B85AA2"/>
    <w:rsid w:val="00B85E4B"/>
    <w:rsid w:val="00B8649C"/>
    <w:rsid w:val="00B8695D"/>
    <w:rsid w:val="00B87155"/>
    <w:rsid w:val="00B8726D"/>
    <w:rsid w:val="00B87572"/>
    <w:rsid w:val="00B8786C"/>
    <w:rsid w:val="00B8789E"/>
    <w:rsid w:val="00B87AC6"/>
    <w:rsid w:val="00B87DF0"/>
    <w:rsid w:val="00B87F0A"/>
    <w:rsid w:val="00B90B74"/>
    <w:rsid w:val="00B90F93"/>
    <w:rsid w:val="00B9126E"/>
    <w:rsid w:val="00B91586"/>
    <w:rsid w:val="00B91857"/>
    <w:rsid w:val="00B91F37"/>
    <w:rsid w:val="00B92248"/>
    <w:rsid w:val="00B922AE"/>
    <w:rsid w:val="00B923A0"/>
    <w:rsid w:val="00B929D8"/>
    <w:rsid w:val="00B92D0B"/>
    <w:rsid w:val="00B92DB4"/>
    <w:rsid w:val="00B92F5E"/>
    <w:rsid w:val="00B92FB6"/>
    <w:rsid w:val="00B93495"/>
    <w:rsid w:val="00B937B0"/>
    <w:rsid w:val="00B940A6"/>
    <w:rsid w:val="00B94118"/>
    <w:rsid w:val="00B9458F"/>
    <w:rsid w:val="00B94945"/>
    <w:rsid w:val="00B9496C"/>
    <w:rsid w:val="00B94DD6"/>
    <w:rsid w:val="00B9530E"/>
    <w:rsid w:val="00B956C8"/>
    <w:rsid w:val="00B9570E"/>
    <w:rsid w:val="00B95913"/>
    <w:rsid w:val="00B9631C"/>
    <w:rsid w:val="00B96708"/>
    <w:rsid w:val="00B97518"/>
    <w:rsid w:val="00B97BC7"/>
    <w:rsid w:val="00BA0047"/>
    <w:rsid w:val="00BA088F"/>
    <w:rsid w:val="00BA0996"/>
    <w:rsid w:val="00BA0B95"/>
    <w:rsid w:val="00BA0F19"/>
    <w:rsid w:val="00BA1054"/>
    <w:rsid w:val="00BA10D2"/>
    <w:rsid w:val="00BA173F"/>
    <w:rsid w:val="00BA1A78"/>
    <w:rsid w:val="00BA2570"/>
    <w:rsid w:val="00BA28DC"/>
    <w:rsid w:val="00BA2B14"/>
    <w:rsid w:val="00BA2C92"/>
    <w:rsid w:val="00BA322D"/>
    <w:rsid w:val="00BA363F"/>
    <w:rsid w:val="00BA3DAB"/>
    <w:rsid w:val="00BA450E"/>
    <w:rsid w:val="00BA4901"/>
    <w:rsid w:val="00BA4B89"/>
    <w:rsid w:val="00BA4D54"/>
    <w:rsid w:val="00BA4E1F"/>
    <w:rsid w:val="00BA4EB5"/>
    <w:rsid w:val="00BA5350"/>
    <w:rsid w:val="00BA5376"/>
    <w:rsid w:val="00BA5500"/>
    <w:rsid w:val="00BA5BB1"/>
    <w:rsid w:val="00BA5CA0"/>
    <w:rsid w:val="00BA639A"/>
    <w:rsid w:val="00BA63FA"/>
    <w:rsid w:val="00BA6547"/>
    <w:rsid w:val="00BA6670"/>
    <w:rsid w:val="00BA66DA"/>
    <w:rsid w:val="00BA6730"/>
    <w:rsid w:val="00BA7118"/>
    <w:rsid w:val="00BB00B3"/>
    <w:rsid w:val="00BB01BD"/>
    <w:rsid w:val="00BB0BDD"/>
    <w:rsid w:val="00BB0BFD"/>
    <w:rsid w:val="00BB138E"/>
    <w:rsid w:val="00BB176C"/>
    <w:rsid w:val="00BB1C2C"/>
    <w:rsid w:val="00BB1E6D"/>
    <w:rsid w:val="00BB2256"/>
    <w:rsid w:val="00BB229E"/>
    <w:rsid w:val="00BB28C6"/>
    <w:rsid w:val="00BB2A73"/>
    <w:rsid w:val="00BB3A45"/>
    <w:rsid w:val="00BB3C3B"/>
    <w:rsid w:val="00BB416D"/>
    <w:rsid w:val="00BB43A0"/>
    <w:rsid w:val="00BB46CA"/>
    <w:rsid w:val="00BB4ACC"/>
    <w:rsid w:val="00BB50F1"/>
    <w:rsid w:val="00BB5202"/>
    <w:rsid w:val="00BB6344"/>
    <w:rsid w:val="00BB6635"/>
    <w:rsid w:val="00BB6949"/>
    <w:rsid w:val="00BB6B65"/>
    <w:rsid w:val="00BB6DDB"/>
    <w:rsid w:val="00BB703E"/>
    <w:rsid w:val="00BB70FC"/>
    <w:rsid w:val="00BB732D"/>
    <w:rsid w:val="00BB7405"/>
    <w:rsid w:val="00BC0236"/>
    <w:rsid w:val="00BC0646"/>
    <w:rsid w:val="00BC0A0A"/>
    <w:rsid w:val="00BC0E57"/>
    <w:rsid w:val="00BC0F57"/>
    <w:rsid w:val="00BC181E"/>
    <w:rsid w:val="00BC1F59"/>
    <w:rsid w:val="00BC2257"/>
    <w:rsid w:val="00BC2309"/>
    <w:rsid w:val="00BC2751"/>
    <w:rsid w:val="00BC293A"/>
    <w:rsid w:val="00BC2B1A"/>
    <w:rsid w:val="00BC2C68"/>
    <w:rsid w:val="00BC2ED8"/>
    <w:rsid w:val="00BC33E1"/>
    <w:rsid w:val="00BC35E6"/>
    <w:rsid w:val="00BC3631"/>
    <w:rsid w:val="00BC3722"/>
    <w:rsid w:val="00BC3B73"/>
    <w:rsid w:val="00BC3C58"/>
    <w:rsid w:val="00BC4063"/>
    <w:rsid w:val="00BC4607"/>
    <w:rsid w:val="00BC4FF5"/>
    <w:rsid w:val="00BC522F"/>
    <w:rsid w:val="00BC5271"/>
    <w:rsid w:val="00BC5382"/>
    <w:rsid w:val="00BC591F"/>
    <w:rsid w:val="00BC5964"/>
    <w:rsid w:val="00BC65B4"/>
    <w:rsid w:val="00BC66CF"/>
    <w:rsid w:val="00BC7259"/>
    <w:rsid w:val="00BC7896"/>
    <w:rsid w:val="00BC7D6D"/>
    <w:rsid w:val="00BD05DB"/>
    <w:rsid w:val="00BD0688"/>
    <w:rsid w:val="00BD0F1B"/>
    <w:rsid w:val="00BD153D"/>
    <w:rsid w:val="00BD184D"/>
    <w:rsid w:val="00BD1B30"/>
    <w:rsid w:val="00BD1B50"/>
    <w:rsid w:val="00BD1DC7"/>
    <w:rsid w:val="00BD2108"/>
    <w:rsid w:val="00BD2860"/>
    <w:rsid w:val="00BD2B37"/>
    <w:rsid w:val="00BD2C42"/>
    <w:rsid w:val="00BD2FFC"/>
    <w:rsid w:val="00BD3049"/>
    <w:rsid w:val="00BD341B"/>
    <w:rsid w:val="00BD3AD5"/>
    <w:rsid w:val="00BD3ECD"/>
    <w:rsid w:val="00BD440C"/>
    <w:rsid w:val="00BD4821"/>
    <w:rsid w:val="00BD486A"/>
    <w:rsid w:val="00BD4DE9"/>
    <w:rsid w:val="00BD5091"/>
    <w:rsid w:val="00BD5538"/>
    <w:rsid w:val="00BD559A"/>
    <w:rsid w:val="00BD591A"/>
    <w:rsid w:val="00BD615B"/>
    <w:rsid w:val="00BD6260"/>
    <w:rsid w:val="00BD64EE"/>
    <w:rsid w:val="00BD68A3"/>
    <w:rsid w:val="00BD6938"/>
    <w:rsid w:val="00BD6CE6"/>
    <w:rsid w:val="00BD6CF3"/>
    <w:rsid w:val="00BD743A"/>
    <w:rsid w:val="00BD7F44"/>
    <w:rsid w:val="00BE0ECA"/>
    <w:rsid w:val="00BE0FB7"/>
    <w:rsid w:val="00BE0FF0"/>
    <w:rsid w:val="00BE1037"/>
    <w:rsid w:val="00BE10E3"/>
    <w:rsid w:val="00BE151C"/>
    <w:rsid w:val="00BE16FD"/>
    <w:rsid w:val="00BE1905"/>
    <w:rsid w:val="00BE194D"/>
    <w:rsid w:val="00BE1E94"/>
    <w:rsid w:val="00BE2180"/>
    <w:rsid w:val="00BE21F2"/>
    <w:rsid w:val="00BE3197"/>
    <w:rsid w:val="00BE3435"/>
    <w:rsid w:val="00BE3657"/>
    <w:rsid w:val="00BE4275"/>
    <w:rsid w:val="00BE46C3"/>
    <w:rsid w:val="00BE4874"/>
    <w:rsid w:val="00BE4886"/>
    <w:rsid w:val="00BE498E"/>
    <w:rsid w:val="00BE4A95"/>
    <w:rsid w:val="00BE5324"/>
    <w:rsid w:val="00BE631E"/>
    <w:rsid w:val="00BE6473"/>
    <w:rsid w:val="00BE6493"/>
    <w:rsid w:val="00BE675F"/>
    <w:rsid w:val="00BE702C"/>
    <w:rsid w:val="00BE733E"/>
    <w:rsid w:val="00BE73D4"/>
    <w:rsid w:val="00BE75AB"/>
    <w:rsid w:val="00BF0564"/>
    <w:rsid w:val="00BF064B"/>
    <w:rsid w:val="00BF06AE"/>
    <w:rsid w:val="00BF09A5"/>
    <w:rsid w:val="00BF0F95"/>
    <w:rsid w:val="00BF108A"/>
    <w:rsid w:val="00BF120A"/>
    <w:rsid w:val="00BF142E"/>
    <w:rsid w:val="00BF1902"/>
    <w:rsid w:val="00BF1A3C"/>
    <w:rsid w:val="00BF1F94"/>
    <w:rsid w:val="00BF2433"/>
    <w:rsid w:val="00BF2A98"/>
    <w:rsid w:val="00BF2BF3"/>
    <w:rsid w:val="00BF39D4"/>
    <w:rsid w:val="00BF3C21"/>
    <w:rsid w:val="00BF3C8C"/>
    <w:rsid w:val="00BF3E33"/>
    <w:rsid w:val="00BF400A"/>
    <w:rsid w:val="00BF40AC"/>
    <w:rsid w:val="00BF42CF"/>
    <w:rsid w:val="00BF465C"/>
    <w:rsid w:val="00BF4734"/>
    <w:rsid w:val="00BF4DA6"/>
    <w:rsid w:val="00BF52D4"/>
    <w:rsid w:val="00BF5388"/>
    <w:rsid w:val="00BF557C"/>
    <w:rsid w:val="00BF5618"/>
    <w:rsid w:val="00BF5660"/>
    <w:rsid w:val="00BF5C51"/>
    <w:rsid w:val="00BF5D0E"/>
    <w:rsid w:val="00BF5F76"/>
    <w:rsid w:val="00BF61C9"/>
    <w:rsid w:val="00BF62AD"/>
    <w:rsid w:val="00BF6662"/>
    <w:rsid w:val="00BF6C94"/>
    <w:rsid w:val="00BF76A9"/>
    <w:rsid w:val="00C00424"/>
    <w:rsid w:val="00C00428"/>
    <w:rsid w:val="00C0086C"/>
    <w:rsid w:val="00C00A04"/>
    <w:rsid w:val="00C00EDD"/>
    <w:rsid w:val="00C01647"/>
    <w:rsid w:val="00C01689"/>
    <w:rsid w:val="00C01C68"/>
    <w:rsid w:val="00C02066"/>
    <w:rsid w:val="00C025E6"/>
    <w:rsid w:val="00C028A7"/>
    <w:rsid w:val="00C02917"/>
    <w:rsid w:val="00C02D76"/>
    <w:rsid w:val="00C035F9"/>
    <w:rsid w:val="00C03705"/>
    <w:rsid w:val="00C03D5A"/>
    <w:rsid w:val="00C03FF4"/>
    <w:rsid w:val="00C047BC"/>
    <w:rsid w:val="00C0493C"/>
    <w:rsid w:val="00C050B2"/>
    <w:rsid w:val="00C0515E"/>
    <w:rsid w:val="00C051FD"/>
    <w:rsid w:val="00C053BD"/>
    <w:rsid w:val="00C05DD5"/>
    <w:rsid w:val="00C0677E"/>
    <w:rsid w:val="00C068EA"/>
    <w:rsid w:val="00C069B6"/>
    <w:rsid w:val="00C0791A"/>
    <w:rsid w:val="00C104CC"/>
    <w:rsid w:val="00C10975"/>
    <w:rsid w:val="00C10C25"/>
    <w:rsid w:val="00C1111F"/>
    <w:rsid w:val="00C115E7"/>
    <w:rsid w:val="00C1179F"/>
    <w:rsid w:val="00C117D2"/>
    <w:rsid w:val="00C11879"/>
    <w:rsid w:val="00C1191F"/>
    <w:rsid w:val="00C119AE"/>
    <w:rsid w:val="00C11E4B"/>
    <w:rsid w:val="00C123D9"/>
    <w:rsid w:val="00C12462"/>
    <w:rsid w:val="00C12C14"/>
    <w:rsid w:val="00C12CBF"/>
    <w:rsid w:val="00C137FE"/>
    <w:rsid w:val="00C1410A"/>
    <w:rsid w:val="00C14179"/>
    <w:rsid w:val="00C1480C"/>
    <w:rsid w:val="00C148DD"/>
    <w:rsid w:val="00C14983"/>
    <w:rsid w:val="00C14CF2"/>
    <w:rsid w:val="00C150D8"/>
    <w:rsid w:val="00C15413"/>
    <w:rsid w:val="00C15F04"/>
    <w:rsid w:val="00C16556"/>
    <w:rsid w:val="00C1665F"/>
    <w:rsid w:val="00C16685"/>
    <w:rsid w:val="00C17147"/>
    <w:rsid w:val="00C17535"/>
    <w:rsid w:val="00C17915"/>
    <w:rsid w:val="00C179B3"/>
    <w:rsid w:val="00C17B2F"/>
    <w:rsid w:val="00C17B72"/>
    <w:rsid w:val="00C17E3F"/>
    <w:rsid w:val="00C200AA"/>
    <w:rsid w:val="00C202EB"/>
    <w:rsid w:val="00C206F4"/>
    <w:rsid w:val="00C20CCD"/>
    <w:rsid w:val="00C21498"/>
    <w:rsid w:val="00C21CEF"/>
    <w:rsid w:val="00C2250A"/>
    <w:rsid w:val="00C2259E"/>
    <w:rsid w:val="00C2292D"/>
    <w:rsid w:val="00C2297C"/>
    <w:rsid w:val="00C2310B"/>
    <w:rsid w:val="00C23432"/>
    <w:rsid w:val="00C237ED"/>
    <w:rsid w:val="00C24388"/>
    <w:rsid w:val="00C245B3"/>
    <w:rsid w:val="00C24632"/>
    <w:rsid w:val="00C246B1"/>
    <w:rsid w:val="00C24BD2"/>
    <w:rsid w:val="00C250C8"/>
    <w:rsid w:val="00C25418"/>
    <w:rsid w:val="00C25691"/>
    <w:rsid w:val="00C25D9C"/>
    <w:rsid w:val="00C266D9"/>
    <w:rsid w:val="00C2687F"/>
    <w:rsid w:val="00C26E23"/>
    <w:rsid w:val="00C26FDD"/>
    <w:rsid w:val="00C273B5"/>
    <w:rsid w:val="00C2763C"/>
    <w:rsid w:val="00C2778B"/>
    <w:rsid w:val="00C30946"/>
    <w:rsid w:val="00C30AEA"/>
    <w:rsid w:val="00C30BBF"/>
    <w:rsid w:val="00C30C75"/>
    <w:rsid w:val="00C31200"/>
    <w:rsid w:val="00C312FB"/>
    <w:rsid w:val="00C314DE"/>
    <w:rsid w:val="00C31649"/>
    <w:rsid w:val="00C31AF9"/>
    <w:rsid w:val="00C31CAE"/>
    <w:rsid w:val="00C32165"/>
    <w:rsid w:val="00C32385"/>
    <w:rsid w:val="00C325F8"/>
    <w:rsid w:val="00C32AFA"/>
    <w:rsid w:val="00C32EB8"/>
    <w:rsid w:val="00C33151"/>
    <w:rsid w:val="00C334D4"/>
    <w:rsid w:val="00C3372D"/>
    <w:rsid w:val="00C33A6B"/>
    <w:rsid w:val="00C34115"/>
    <w:rsid w:val="00C34241"/>
    <w:rsid w:val="00C3434C"/>
    <w:rsid w:val="00C34BE5"/>
    <w:rsid w:val="00C3561C"/>
    <w:rsid w:val="00C35885"/>
    <w:rsid w:val="00C35BD7"/>
    <w:rsid w:val="00C35CFD"/>
    <w:rsid w:val="00C3689C"/>
    <w:rsid w:val="00C36C43"/>
    <w:rsid w:val="00C40338"/>
    <w:rsid w:val="00C40385"/>
    <w:rsid w:val="00C4163A"/>
    <w:rsid w:val="00C41768"/>
    <w:rsid w:val="00C41790"/>
    <w:rsid w:val="00C41977"/>
    <w:rsid w:val="00C41A5E"/>
    <w:rsid w:val="00C41CEB"/>
    <w:rsid w:val="00C42003"/>
    <w:rsid w:val="00C4273F"/>
    <w:rsid w:val="00C4296F"/>
    <w:rsid w:val="00C43021"/>
    <w:rsid w:val="00C4444B"/>
    <w:rsid w:val="00C44732"/>
    <w:rsid w:val="00C45064"/>
    <w:rsid w:val="00C45514"/>
    <w:rsid w:val="00C45CA1"/>
    <w:rsid w:val="00C45CB6"/>
    <w:rsid w:val="00C45FF6"/>
    <w:rsid w:val="00C464B8"/>
    <w:rsid w:val="00C46BDA"/>
    <w:rsid w:val="00C46C8D"/>
    <w:rsid w:val="00C471E2"/>
    <w:rsid w:val="00C475AA"/>
    <w:rsid w:val="00C5064C"/>
    <w:rsid w:val="00C50B23"/>
    <w:rsid w:val="00C50D5C"/>
    <w:rsid w:val="00C51134"/>
    <w:rsid w:val="00C51822"/>
    <w:rsid w:val="00C51AF5"/>
    <w:rsid w:val="00C521E9"/>
    <w:rsid w:val="00C525A8"/>
    <w:rsid w:val="00C529CE"/>
    <w:rsid w:val="00C53216"/>
    <w:rsid w:val="00C53232"/>
    <w:rsid w:val="00C53BBF"/>
    <w:rsid w:val="00C53C98"/>
    <w:rsid w:val="00C53D49"/>
    <w:rsid w:val="00C54711"/>
    <w:rsid w:val="00C548D8"/>
    <w:rsid w:val="00C54990"/>
    <w:rsid w:val="00C54D12"/>
    <w:rsid w:val="00C5515F"/>
    <w:rsid w:val="00C55BFC"/>
    <w:rsid w:val="00C56087"/>
    <w:rsid w:val="00C56FCF"/>
    <w:rsid w:val="00C5711E"/>
    <w:rsid w:val="00C57509"/>
    <w:rsid w:val="00C57932"/>
    <w:rsid w:val="00C57ACF"/>
    <w:rsid w:val="00C57B6C"/>
    <w:rsid w:val="00C57DEB"/>
    <w:rsid w:val="00C57FDA"/>
    <w:rsid w:val="00C60279"/>
    <w:rsid w:val="00C6037F"/>
    <w:rsid w:val="00C6054F"/>
    <w:rsid w:val="00C606B3"/>
    <w:rsid w:val="00C60768"/>
    <w:rsid w:val="00C607E8"/>
    <w:rsid w:val="00C61252"/>
    <w:rsid w:val="00C61A5E"/>
    <w:rsid w:val="00C61AAF"/>
    <w:rsid w:val="00C61C7D"/>
    <w:rsid w:val="00C61FB5"/>
    <w:rsid w:val="00C621B8"/>
    <w:rsid w:val="00C6245C"/>
    <w:rsid w:val="00C628A6"/>
    <w:rsid w:val="00C629B2"/>
    <w:rsid w:val="00C632FF"/>
    <w:rsid w:val="00C6330F"/>
    <w:rsid w:val="00C63632"/>
    <w:rsid w:val="00C6374A"/>
    <w:rsid w:val="00C63D53"/>
    <w:rsid w:val="00C63FF1"/>
    <w:rsid w:val="00C64344"/>
    <w:rsid w:val="00C6464A"/>
    <w:rsid w:val="00C64714"/>
    <w:rsid w:val="00C65032"/>
    <w:rsid w:val="00C65108"/>
    <w:rsid w:val="00C6513A"/>
    <w:rsid w:val="00C65277"/>
    <w:rsid w:val="00C65576"/>
    <w:rsid w:val="00C65731"/>
    <w:rsid w:val="00C6579E"/>
    <w:rsid w:val="00C65EF8"/>
    <w:rsid w:val="00C66165"/>
    <w:rsid w:val="00C66511"/>
    <w:rsid w:val="00C66790"/>
    <w:rsid w:val="00C6698F"/>
    <w:rsid w:val="00C66AAB"/>
    <w:rsid w:val="00C66BB2"/>
    <w:rsid w:val="00C66E5E"/>
    <w:rsid w:val="00C6706D"/>
    <w:rsid w:val="00C67336"/>
    <w:rsid w:val="00C67F65"/>
    <w:rsid w:val="00C700B4"/>
    <w:rsid w:val="00C7029F"/>
    <w:rsid w:val="00C704C9"/>
    <w:rsid w:val="00C704DD"/>
    <w:rsid w:val="00C7060A"/>
    <w:rsid w:val="00C709F6"/>
    <w:rsid w:val="00C70D57"/>
    <w:rsid w:val="00C71062"/>
    <w:rsid w:val="00C71388"/>
    <w:rsid w:val="00C7151A"/>
    <w:rsid w:val="00C717E3"/>
    <w:rsid w:val="00C71F60"/>
    <w:rsid w:val="00C72241"/>
    <w:rsid w:val="00C72299"/>
    <w:rsid w:val="00C723E7"/>
    <w:rsid w:val="00C72815"/>
    <w:rsid w:val="00C729BE"/>
    <w:rsid w:val="00C7339E"/>
    <w:rsid w:val="00C735BC"/>
    <w:rsid w:val="00C73B1B"/>
    <w:rsid w:val="00C73ECE"/>
    <w:rsid w:val="00C7401E"/>
    <w:rsid w:val="00C750C8"/>
    <w:rsid w:val="00C7560F"/>
    <w:rsid w:val="00C763C8"/>
    <w:rsid w:val="00C76C97"/>
    <w:rsid w:val="00C76D56"/>
    <w:rsid w:val="00C76E89"/>
    <w:rsid w:val="00C776B7"/>
    <w:rsid w:val="00C779DD"/>
    <w:rsid w:val="00C779FB"/>
    <w:rsid w:val="00C800E4"/>
    <w:rsid w:val="00C801C0"/>
    <w:rsid w:val="00C803E3"/>
    <w:rsid w:val="00C809AD"/>
    <w:rsid w:val="00C80A0E"/>
    <w:rsid w:val="00C80BA8"/>
    <w:rsid w:val="00C80BFE"/>
    <w:rsid w:val="00C80CF1"/>
    <w:rsid w:val="00C8213F"/>
    <w:rsid w:val="00C82385"/>
    <w:rsid w:val="00C825C4"/>
    <w:rsid w:val="00C827B5"/>
    <w:rsid w:val="00C83236"/>
    <w:rsid w:val="00C832F1"/>
    <w:rsid w:val="00C835D7"/>
    <w:rsid w:val="00C83E54"/>
    <w:rsid w:val="00C83E5A"/>
    <w:rsid w:val="00C85154"/>
    <w:rsid w:val="00C8594F"/>
    <w:rsid w:val="00C85B50"/>
    <w:rsid w:val="00C8606C"/>
    <w:rsid w:val="00C867A1"/>
    <w:rsid w:val="00C868B0"/>
    <w:rsid w:val="00C868C8"/>
    <w:rsid w:val="00C86B82"/>
    <w:rsid w:val="00C86C26"/>
    <w:rsid w:val="00C874A9"/>
    <w:rsid w:val="00C8797A"/>
    <w:rsid w:val="00C87B8F"/>
    <w:rsid w:val="00C900B8"/>
    <w:rsid w:val="00C90115"/>
    <w:rsid w:val="00C90220"/>
    <w:rsid w:val="00C90C71"/>
    <w:rsid w:val="00C911D6"/>
    <w:rsid w:val="00C915CF"/>
    <w:rsid w:val="00C91FD1"/>
    <w:rsid w:val="00C92168"/>
    <w:rsid w:val="00C925CD"/>
    <w:rsid w:val="00C92792"/>
    <w:rsid w:val="00C92885"/>
    <w:rsid w:val="00C92C45"/>
    <w:rsid w:val="00C93036"/>
    <w:rsid w:val="00C93155"/>
    <w:rsid w:val="00C931CF"/>
    <w:rsid w:val="00C93286"/>
    <w:rsid w:val="00C938CF"/>
    <w:rsid w:val="00C94053"/>
    <w:rsid w:val="00C943E4"/>
    <w:rsid w:val="00C9449A"/>
    <w:rsid w:val="00C94A9E"/>
    <w:rsid w:val="00C95102"/>
    <w:rsid w:val="00C952AA"/>
    <w:rsid w:val="00C95DEB"/>
    <w:rsid w:val="00C9624D"/>
    <w:rsid w:val="00C96533"/>
    <w:rsid w:val="00C966D2"/>
    <w:rsid w:val="00C969DA"/>
    <w:rsid w:val="00C96AC3"/>
    <w:rsid w:val="00C96B08"/>
    <w:rsid w:val="00C96B95"/>
    <w:rsid w:val="00C975E0"/>
    <w:rsid w:val="00C97C6C"/>
    <w:rsid w:val="00C97E05"/>
    <w:rsid w:val="00CA08CB"/>
    <w:rsid w:val="00CA1033"/>
    <w:rsid w:val="00CA14AC"/>
    <w:rsid w:val="00CA178C"/>
    <w:rsid w:val="00CA1893"/>
    <w:rsid w:val="00CA1A3F"/>
    <w:rsid w:val="00CA1C41"/>
    <w:rsid w:val="00CA1D87"/>
    <w:rsid w:val="00CA1EE0"/>
    <w:rsid w:val="00CA2023"/>
    <w:rsid w:val="00CA25E0"/>
    <w:rsid w:val="00CA2884"/>
    <w:rsid w:val="00CA28BC"/>
    <w:rsid w:val="00CA2B0A"/>
    <w:rsid w:val="00CA2C77"/>
    <w:rsid w:val="00CA2DC9"/>
    <w:rsid w:val="00CA30B7"/>
    <w:rsid w:val="00CA3778"/>
    <w:rsid w:val="00CA3BEA"/>
    <w:rsid w:val="00CA444F"/>
    <w:rsid w:val="00CA44D0"/>
    <w:rsid w:val="00CA479C"/>
    <w:rsid w:val="00CA47EC"/>
    <w:rsid w:val="00CA5245"/>
    <w:rsid w:val="00CA55A0"/>
    <w:rsid w:val="00CA62FF"/>
    <w:rsid w:val="00CA635E"/>
    <w:rsid w:val="00CA63A0"/>
    <w:rsid w:val="00CA63C9"/>
    <w:rsid w:val="00CA64F3"/>
    <w:rsid w:val="00CA68F9"/>
    <w:rsid w:val="00CA6A31"/>
    <w:rsid w:val="00CA71F4"/>
    <w:rsid w:val="00CA74E9"/>
    <w:rsid w:val="00CA75C6"/>
    <w:rsid w:val="00CA75C9"/>
    <w:rsid w:val="00CA763C"/>
    <w:rsid w:val="00CA7B09"/>
    <w:rsid w:val="00CA7C55"/>
    <w:rsid w:val="00CB004A"/>
    <w:rsid w:val="00CB0052"/>
    <w:rsid w:val="00CB03E7"/>
    <w:rsid w:val="00CB08AD"/>
    <w:rsid w:val="00CB0BE5"/>
    <w:rsid w:val="00CB11A7"/>
    <w:rsid w:val="00CB12A5"/>
    <w:rsid w:val="00CB16FB"/>
    <w:rsid w:val="00CB1C60"/>
    <w:rsid w:val="00CB1CAC"/>
    <w:rsid w:val="00CB1E8D"/>
    <w:rsid w:val="00CB22F8"/>
    <w:rsid w:val="00CB26B8"/>
    <w:rsid w:val="00CB2E01"/>
    <w:rsid w:val="00CB2F2A"/>
    <w:rsid w:val="00CB322C"/>
    <w:rsid w:val="00CB33D1"/>
    <w:rsid w:val="00CB376A"/>
    <w:rsid w:val="00CB3952"/>
    <w:rsid w:val="00CB3A7E"/>
    <w:rsid w:val="00CB3C9F"/>
    <w:rsid w:val="00CB3E5B"/>
    <w:rsid w:val="00CB4252"/>
    <w:rsid w:val="00CB4534"/>
    <w:rsid w:val="00CB5109"/>
    <w:rsid w:val="00CB5544"/>
    <w:rsid w:val="00CB5949"/>
    <w:rsid w:val="00CB5B1A"/>
    <w:rsid w:val="00CB5CD2"/>
    <w:rsid w:val="00CB5D32"/>
    <w:rsid w:val="00CB5D5E"/>
    <w:rsid w:val="00CB5EF5"/>
    <w:rsid w:val="00CB607B"/>
    <w:rsid w:val="00CB625A"/>
    <w:rsid w:val="00CB6424"/>
    <w:rsid w:val="00CB6427"/>
    <w:rsid w:val="00CB6B22"/>
    <w:rsid w:val="00CB7198"/>
    <w:rsid w:val="00CB72B1"/>
    <w:rsid w:val="00CB734F"/>
    <w:rsid w:val="00CB752C"/>
    <w:rsid w:val="00CB7564"/>
    <w:rsid w:val="00CB7A15"/>
    <w:rsid w:val="00CB7F5F"/>
    <w:rsid w:val="00CB7FCA"/>
    <w:rsid w:val="00CC00A9"/>
    <w:rsid w:val="00CC0105"/>
    <w:rsid w:val="00CC0788"/>
    <w:rsid w:val="00CC095F"/>
    <w:rsid w:val="00CC0BA2"/>
    <w:rsid w:val="00CC114A"/>
    <w:rsid w:val="00CC14A3"/>
    <w:rsid w:val="00CC14B3"/>
    <w:rsid w:val="00CC1673"/>
    <w:rsid w:val="00CC19EC"/>
    <w:rsid w:val="00CC1B39"/>
    <w:rsid w:val="00CC1E3A"/>
    <w:rsid w:val="00CC1E89"/>
    <w:rsid w:val="00CC20CB"/>
    <w:rsid w:val="00CC31C0"/>
    <w:rsid w:val="00CC35EA"/>
    <w:rsid w:val="00CC3848"/>
    <w:rsid w:val="00CC3FEC"/>
    <w:rsid w:val="00CC43CF"/>
    <w:rsid w:val="00CC4532"/>
    <w:rsid w:val="00CC5294"/>
    <w:rsid w:val="00CC569C"/>
    <w:rsid w:val="00CC6501"/>
    <w:rsid w:val="00CC6E44"/>
    <w:rsid w:val="00CC6E6F"/>
    <w:rsid w:val="00CC6FA2"/>
    <w:rsid w:val="00CC6FFC"/>
    <w:rsid w:val="00CC72DC"/>
    <w:rsid w:val="00CC7916"/>
    <w:rsid w:val="00CD018D"/>
    <w:rsid w:val="00CD0925"/>
    <w:rsid w:val="00CD0E40"/>
    <w:rsid w:val="00CD0F08"/>
    <w:rsid w:val="00CD1D85"/>
    <w:rsid w:val="00CD2323"/>
    <w:rsid w:val="00CD2CE6"/>
    <w:rsid w:val="00CD2E5B"/>
    <w:rsid w:val="00CD2EEB"/>
    <w:rsid w:val="00CD32ED"/>
    <w:rsid w:val="00CD3557"/>
    <w:rsid w:val="00CD38C4"/>
    <w:rsid w:val="00CD3C25"/>
    <w:rsid w:val="00CD3F77"/>
    <w:rsid w:val="00CD49BA"/>
    <w:rsid w:val="00CD4EA7"/>
    <w:rsid w:val="00CD4FBF"/>
    <w:rsid w:val="00CD5010"/>
    <w:rsid w:val="00CD5604"/>
    <w:rsid w:val="00CD5CFB"/>
    <w:rsid w:val="00CD5DE0"/>
    <w:rsid w:val="00CD6ADC"/>
    <w:rsid w:val="00CD6CBB"/>
    <w:rsid w:val="00CD6E7D"/>
    <w:rsid w:val="00CD7193"/>
    <w:rsid w:val="00CD74C2"/>
    <w:rsid w:val="00CD79C4"/>
    <w:rsid w:val="00CD7A09"/>
    <w:rsid w:val="00CD7B00"/>
    <w:rsid w:val="00CE0703"/>
    <w:rsid w:val="00CE0C8B"/>
    <w:rsid w:val="00CE0D99"/>
    <w:rsid w:val="00CE188B"/>
    <w:rsid w:val="00CE1D08"/>
    <w:rsid w:val="00CE269C"/>
    <w:rsid w:val="00CE280F"/>
    <w:rsid w:val="00CE28F6"/>
    <w:rsid w:val="00CE2BC7"/>
    <w:rsid w:val="00CE2EC5"/>
    <w:rsid w:val="00CE32E9"/>
    <w:rsid w:val="00CE37CA"/>
    <w:rsid w:val="00CE38C8"/>
    <w:rsid w:val="00CE3E7E"/>
    <w:rsid w:val="00CE427C"/>
    <w:rsid w:val="00CE4BCA"/>
    <w:rsid w:val="00CE4D61"/>
    <w:rsid w:val="00CE52DE"/>
    <w:rsid w:val="00CE616D"/>
    <w:rsid w:val="00CE6274"/>
    <w:rsid w:val="00CE630F"/>
    <w:rsid w:val="00CE6418"/>
    <w:rsid w:val="00CE6775"/>
    <w:rsid w:val="00CE69B2"/>
    <w:rsid w:val="00CE6F66"/>
    <w:rsid w:val="00CE706D"/>
    <w:rsid w:val="00CE7366"/>
    <w:rsid w:val="00CE73EA"/>
    <w:rsid w:val="00CE77B6"/>
    <w:rsid w:val="00CE7890"/>
    <w:rsid w:val="00CE7947"/>
    <w:rsid w:val="00CE7959"/>
    <w:rsid w:val="00CF0147"/>
    <w:rsid w:val="00CF0EAA"/>
    <w:rsid w:val="00CF1227"/>
    <w:rsid w:val="00CF151B"/>
    <w:rsid w:val="00CF1543"/>
    <w:rsid w:val="00CF17F8"/>
    <w:rsid w:val="00CF19F5"/>
    <w:rsid w:val="00CF1D01"/>
    <w:rsid w:val="00CF1DB7"/>
    <w:rsid w:val="00CF23F1"/>
    <w:rsid w:val="00CF2ACE"/>
    <w:rsid w:val="00CF2B8D"/>
    <w:rsid w:val="00CF2D47"/>
    <w:rsid w:val="00CF2E9D"/>
    <w:rsid w:val="00CF3DB5"/>
    <w:rsid w:val="00CF3DCB"/>
    <w:rsid w:val="00CF4029"/>
    <w:rsid w:val="00CF4107"/>
    <w:rsid w:val="00CF43BA"/>
    <w:rsid w:val="00CF456B"/>
    <w:rsid w:val="00CF4933"/>
    <w:rsid w:val="00CF4B25"/>
    <w:rsid w:val="00CF4D2F"/>
    <w:rsid w:val="00CF5A22"/>
    <w:rsid w:val="00CF6A58"/>
    <w:rsid w:val="00CF6B24"/>
    <w:rsid w:val="00CF6BB5"/>
    <w:rsid w:val="00CF6C7A"/>
    <w:rsid w:val="00CF6CDB"/>
    <w:rsid w:val="00CF7186"/>
    <w:rsid w:val="00D00224"/>
    <w:rsid w:val="00D0037A"/>
    <w:rsid w:val="00D004CC"/>
    <w:rsid w:val="00D00A6F"/>
    <w:rsid w:val="00D00F08"/>
    <w:rsid w:val="00D01138"/>
    <w:rsid w:val="00D0131E"/>
    <w:rsid w:val="00D013C4"/>
    <w:rsid w:val="00D01717"/>
    <w:rsid w:val="00D0197F"/>
    <w:rsid w:val="00D01BC4"/>
    <w:rsid w:val="00D01F58"/>
    <w:rsid w:val="00D0205F"/>
    <w:rsid w:val="00D0262E"/>
    <w:rsid w:val="00D02D41"/>
    <w:rsid w:val="00D02E07"/>
    <w:rsid w:val="00D03164"/>
    <w:rsid w:val="00D03380"/>
    <w:rsid w:val="00D03505"/>
    <w:rsid w:val="00D03C23"/>
    <w:rsid w:val="00D03C39"/>
    <w:rsid w:val="00D03C66"/>
    <w:rsid w:val="00D0452A"/>
    <w:rsid w:val="00D04BD6"/>
    <w:rsid w:val="00D04D18"/>
    <w:rsid w:val="00D04DA4"/>
    <w:rsid w:val="00D05056"/>
    <w:rsid w:val="00D05461"/>
    <w:rsid w:val="00D05C3F"/>
    <w:rsid w:val="00D05E3D"/>
    <w:rsid w:val="00D06139"/>
    <w:rsid w:val="00D06269"/>
    <w:rsid w:val="00D0644C"/>
    <w:rsid w:val="00D06854"/>
    <w:rsid w:val="00D0726B"/>
    <w:rsid w:val="00D07394"/>
    <w:rsid w:val="00D07D65"/>
    <w:rsid w:val="00D07F7E"/>
    <w:rsid w:val="00D104A9"/>
    <w:rsid w:val="00D109D7"/>
    <w:rsid w:val="00D11081"/>
    <w:rsid w:val="00D110BD"/>
    <w:rsid w:val="00D117B0"/>
    <w:rsid w:val="00D119F8"/>
    <w:rsid w:val="00D11DE6"/>
    <w:rsid w:val="00D1228E"/>
    <w:rsid w:val="00D1242F"/>
    <w:rsid w:val="00D1248D"/>
    <w:rsid w:val="00D12695"/>
    <w:rsid w:val="00D12711"/>
    <w:rsid w:val="00D12893"/>
    <w:rsid w:val="00D12B39"/>
    <w:rsid w:val="00D130FA"/>
    <w:rsid w:val="00D13675"/>
    <w:rsid w:val="00D13801"/>
    <w:rsid w:val="00D13832"/>
    <w:rsid w:val="00D13E74"/>
    <w:rsid w:val="00D13F25"/>
    <w:rsid w:val="00D14131"/>
    <w:rsid w:val="00D141E1"/>
    <w:rsid w:val="00D14679"/>
    <w:rsid w:val="00D14BD8"/>
    <w:rsid w:val="00D14E83"/>
    <w:rsid w:val="00D15314"/>
    <w:rsid w:val="00D15B0A"/>
    <w:rsid w:val="00D15CBA"/>
    <w:rsid w:val="00D16055"/>
    <w:rsid w:val="00D16625"/>
    <w:rsid w:val="00D172F7"/>
    <w:rsid w:val="00D173CD"/>
    <w:rsid w:val="00D17533"/>
    <w:rsid w:val="00D17656"/>
    <w:rsid w:val="00D17D6C"/>
    <w:rsid w:val="00D200C4"/>
    <w:rsid w:val="00D2105A"/>
    <w:rsid w:val="00D2155B"/>
    <w:rsid w:val="00D21B71"/>
    <w:rsid w:val="00D21BC6"/>
    <w:rsid w:val="00D2225F"/>
    <w:rsid w:val="00D22854"/>
    <w:rsid w:val="00D2296A"/>
    <w:rsid w:val="00D22979"/>
    <w:rsid w:val="00D22A68"/>
    <w:rsid w:val="00D22C6C"/>
    <w:rsid w:val="00D22E07"/>
    <w:rsid w:val="00D235FC"/>
    <w:rsid w:val="00D23952"/>
    <w:rsid w:val="00D23A7C"/>
    <w:rsid w:val="00D23C8B"/>
    <w:rsid w:val="00D23D11"/>
    <w:rsid w:val="00D23EAD"/>
    <w:rsid w:val="00D244B6"/>
    <w:rsid w:val="00D244E0"/>
    <w:rsid w:val="00D24779"/>
    <w:rsid w:val="00D24B53"/>
    <w:rsid w:val="00D24D8B"/>
    <w:rsid w:val="00D2533F"/>
    <w:rsid w:val="00D25B0B"/>
    <w:rsid w:val="00D263CC"/>
    <w:rsid w:val="00D26EDA"/>
    <w:rsid w:val="00D26F01"/>
    <w:rsid w:val="00D270F8"/>
    <w:rsid w:val="00D272DC"/>
    <w:rsid w:val="00D27412"/>
    <w:rsid w:val="00D2754D"/>
    <w:rsid w:val="00D275C5"/>
    <w:rsid w:val="00D27B27"/>
    <w:rsid w:val="00D3012D"/>
    <w:rsid w:val="00D3037C"/>
    <w:rsid w:val="00D30E18"/>
    <w:rsid w:val="00D31AEA"/>
    <w:rsid w:val="00D325B7"/>
    <w:rsid w:val="00D33030"/>
    <w:rsid w:val="00D338A5"/>
    <w:rsid w:val="00D33BE9"/>
    <w:rsid w:val="00D33F84"/>
    <w:rsid w:val="00D33F93"/>
    <w:rsid w:val="00D34501"/>
    <w:rsid w:val="00D349E3"/>
    <w:rsid w:val="00D34D87"/>
    <w:rsid w:val="00D34F7C"/>
    <w:rsid w:val="00D357FF"/>
    <w:rsid w:val="00D359B5"/>
    <w:rsid w:val="00D359FE"/>
    <w:rsid w:val="00D36150"/>
    <w:rsid w:val="00D36247"/>
    <w:rsid w:val="00D366B3"/>
    <w:rsid w:val="00D36991"/>
    <w:rsid w:val="00D36B0C"/>
    <w:rsid w:val="00D3735F"/>
    <w:rsid w:val="00D3762D"/>
    <w:rsid w:val="00D37D77"/>
    <w:rsid w:val="00D40168"/>
    <w:rsid w:val="00D402A8"/>
    <w:rsid w:val="00D4119E"/>
    <w:rsid w:val="00D41C4B"/>
    <w:rsid w:val="00D42053"/>
    <w:rsid w:val="00D422AB"/>
    <w:rsid w:val="00D424C7"/>
    <w:rsid w:val="00D42524"/>
    <w:rsid w:val="00D42F9D"/>
    <w:rsid w:val="00D431D1"/>
    <w:rsid w:val="00D432A5"/>
    <w:rsid w:val="00D43412"/>
    <w:rsid w:val="00D43792"/>
    <w:rsid w:val="00D43B2A"/>
    <w:rsid w:val="00D43D83"/>
    <w:rsid w:val="00D44A41"/>
    <w:rsid w:val="00D45214"/>
    <w:rsid w:val="00D45224"/>
    <w:rsid w:val="00D4552D"/>
    <w:rsid w:val="00D45B2F"/>
    <w:rsid w:val="00D47056"/>
    <w:rsid w:val="00D470FA"/>
    <w:rsid w:val="00D4744A"/>
    <w:rsid w:val="00D47575"/>
    <w:rsid w:val="00D475AC"/>
    <w:rsid w:val="00D47B72"/>
    <w:rsid w:val="00D50676"/>
    <w:rsid w:val="00D509D1"/>
    <w:rsid w:val="00D50C41"/>
    <w:rsid w:val="00D50F00"/>
    <w:rsid w:val="00D50F77"/>
    <w:rsid w:val="00D5138A"/>
    <w:rsid w:val="00D51653"/>
    <w:rsid w:val="00D51879"/>
    <w:rsid w:val="00D51FC9"/>
    <w:rsid w:val="00D52175"/>
    <w:rsid w:val="00D5243B"/>
    <w:rsid w:val="00D5265F"/>
    <w:rsid w:val="00D52FDB"/>
    <w:rsid w:val="00D53105"/>
    <w:rsid w:val="00D533EC"/>
    <w:rsid w:val="00D53656"/>
    <w:rsid w:val="00D5395D"/>
    <w:rsid w:val="00D53DED"/>
    <w:rsid w:val="00D53FAB"/>
    <w:rsid w:val="00D5430E"/>
    <w:rsid w:val="00D54472"/>
    <w:rsid w:val="00D54826"/>
    <w:rsid w:val="00D54D36"/>
    <w:rsid w:val="00D55738"/>
    <w:rsid w:val="00D55F7C"/>
    <w:rsid w:val="00D5648D"/>
    <w:rsid w:val="00D56759"/>
    <w:rsid w:val="00D567B3"/>
    <w:rsid w:val="00D56A95"/>
    <w:rsid w:val="00D5756C"/>
    <w:rsid w:val="00D57871"/>
    <w:rsid w:val="00D578DF"/>
    <w:rsid w:val="00D601E4"/>
    <w:rsid w:val="00D60513"/>
    <w:rsid w:val="00D606C2"/>
    <w:rsid w:val="00D6071C"/>
    <w:rsid w:val="00D609AA"/>
    <w:rsid w:val="00D609EB"/>
    <w:rsid w:val="00D60E50"/>
    <w:rsid w:val="00D6103A"/>
    <w:rsid w:val="00D61089"/>
    <w:rsid w:val="00D61886"/>
    <w:rsid w:val="00D61AD5"/>
    <w:rsid w:val="00D61F72"/>
    <w:rsid w:val="00D62059"/>
    <w:rsid w:val="00D6232A"/>
    <w:rsid w:val="00D62B9D"/>
    <w:rsid w:val="00D62CED"/>
    <w:rsid w:val="00D63365"/>
    <w:rsid w:val="00D6348E"/>
    <w:rsid w:val="00D634A7"/>
    <w:rsid w:val="00D63CF3"/>
    <w:rsid w:val="00D63E70"/>
    <w:rsid w:val="00D63F2A"/>
    <w:rsid w:val="00D6415D"/>
    <w:rsid w:val="00D644F3"/>
    <w:rsid w:val="00D64A68"/>
    <w:rsid w:val="00D6500E"/>
    <w:rsid w:val="00D65363"/>
    <w:rsid w:val="00D65379"/>
    <w:rsid w:val="00D65522"/>
    <w:rsid w:val="00D65584"/>
    <w:rsid w:val="00D65C32"/>
    <w:rsid w:val="00D66479"/>
    <w:rsid w:val="00D66874"/>
    <w:rsid w:val="00D66D34"/>
    <w:rsid w:val="00D67218"/>
    <w:rsid w:val="00D67500"/>
    <w:rsid w:val="00D679E6"/>
    <w:rsid w:val="00D67A5B"/>
    <w:rsid w:val="00D67ACE"/>
    <w:rsid w:val="00D67AFB"/>
    <w:rsid w:val="00D67B87"/>
    <w:rsid w:val="00D67C17"/>
    <w:rsid w:val="00D7072A"/>
    <w:rsid w:val="00D70E52"/>
    <w:rsid w:val="00D70F16"/>
    <w:rsid w:val="00D71148"/>
    <w:rsid w:val="00D71523"/>
    <w:rsid w:val="00D715CC"/>
    <w:rsid w:val="00D72E91"/>
    <w:rsid w:val="00D72F00"/>
    <w:rsid w:val="00D72F57"/>
    <w:rsid w:val="00D73C54"/>
    <w:rsid w:val="00D73FDD"/>
    <w:rsid w:val="00D74AB2"/>
    <w:rsid w:val="00D74AC8"/>
    <w:rsid w:val="00D75F11"/>
    <w:rsid w:val="00D76164"/>
    <w:rsid w:val="00D762D7"/>
    <w:rsid w:val="00D768A3"/>
    <w:rsid w:val="00D76A44"/>
    <w:rsid w:val="00D76F6D"/>
    <w:rsid w:val="00D77734"/>
    <w:rsid w:val="00D77952"/>
    <w:rsid w:val="00D77D29"/>
    <w:rsid w:val="00D80386"/>
    <w:rsid w:val="00D8051C"/>
    <w:rsid w:val="00D80C19"/>
    <w:rsid w:val="00D80DB4"/>
    <w:rsid w:val="00D80E28"/>
    <w:rsid w:val="00D81253"/>
    <w:rsid w:val="00D813EF"/>
    <w:rsid w:val="00D815EF"/>
    <w:rsid w:val="00D8189B"/>
    <w:rsid w:val="00D81F26"/>
    <w:rsid w:val="00D826E9"/>
    <w:rsid w:val="00D82B95"/>
    <w:rsid w:val="00D83D74"/>
    <w:rsid w:val="00D841C5"/>
    <w:rsid w:val="00D84312"/>
    <w:rsid w:val="00D8455B"/>
    <w:rsid w:val="00D84603"/>
    <w:rsid w:val="00D84E95"/>
    <w:rsid w:val="00D8565E"/>
    <w:rsid w:val="00D85756"/>
    <w:rsid w:val="00D858BE"/>
    <w:rsid w:val="00D858F6"/>
    <w:rsid w:val="00D85E50"/>
    <w:rsid w:val="00D86231"/>
    <w:rsid w:val="00D86736"/>
    <w:rsid w:val="00D86855"/>
    <w:rsid w:val="00D87474"/>
    <w:rsid w:val="00D87A48"/>
    <w:rsid w:val="00D87C23"/>
    <w:rsid w:val="00D90039"/>
    <w:rsid w:val="00D901EA"/>
    <w:rsid w:val="00D90593"/>
    <w:rsid w:val="00D90661"/>
    <w:rsid w:val="00D90FF5"/>
    <w:rsid w:val="00D91188"/>
    <w:rsid w:val="00D91401"/>
    <w:rsid w:val="00D917F3"/>
    <w:rsid w:val="00D91923"/>
    <w:rsid w:val="00D91C6B"/>
    <w:rsid w:val="00D91E7B"/>
    <w:rsid w:val="00D92562"/>
    <w:rsid w:val="00D92CBE"/>
    <w:rsid w:val="00D92D6C"/>
    <w:rsid w:val="00D935AF"/>
    <w:rsid w:val="00D93753"/>
    <w:rsid w:val="00D93874"/>
    <w:rsid w:val="00D93CF6"/>
    <w:rsid w:val="00D93D0C"/>
    <w:rsid w:val="00D94458"/>
    <w:rsid w:val="00D94537"/>
    <w:rsid w:val="00D94A03"/>
    <w:rsid w:val="00D94C0B"/>
    <w:rsid w:val="00D94DE8"/>
    <w:rsid w:val="00D95038"/>
    <w:rsid w:val="00D95321"/>
    <w:rsid w:val="00D95394"/>
    <w:rsid w:val="00D95398"/>
    <w:rsid w:val="00D95C63"/>
    <w:rsid w:val="00D95FA1"/>
    <w:rsid w:val="00D9701A"/>
    <w:rsid w:val="00D9739B"/>
    <w:rsid w:val="00D9754E"/>
    <w:rsid w:val="00D97E20"/>
    <w:rsid w:val="00DA004D"/>
    <w:rsid w:val="00DA0ACF"/>
    <w:rsid w:val="00DA15EB"/>
    <w:rsid w:val="00DA17AC"/>
    <w:rsid w:val="00DA1A71"/>
    <w:rsid w:val="00DA1D87"/>
    <w:rsid w:val="00DA1FA4"/>
    <w:rsid w:val="00DA2247"/>
    <w:rsid w:val="00DA2267"/>
    <w:rsid w:val="00DA24AB"/>
    <w:rsid w:val="00DA255F"/>
    <w:rsid w:val="00DA25D3"/>
    <w:rsid w:val="00DA269D"/>
    <w:rsid w:val="00DA27EA"/>
    <w:rsid w:val="00DA2C11"/>
    <w:rsid w:val="00DA2DF1"/>
    <w:rsid w:val="00DA3167"/>
    <w:rsid w:val="00DA3485"/>
    <w:rsid w:val="00DA34EC"/>
    <w:rsid w:val="00DA3A11"/>
    <w:rsid w:val="00DA3AD4"/>
    <w:rsid w:val="00DA4358"/>
    <w:rsid w:val="00DA450C"/>
    <w:rsid w:val="00DA4586"/>
    <w:rsid w:val="00DA4DC3"/>
    <w:rsid w:val="00DA5B7A"/>
    <w:rsid w:val="00DA6072"/>
    <w:rsid w:val="00DA68F0"/>
    <w:rsid w:val="00DA6DB7"/>
    <w:rsid w:val="00DA6EF4"/>
    <w:rsid w:val="00DA77A5"/>
    <w:rsid w:val="00DA781D"/>
    <w:rsid w:val="00DA79CC"/>
    <w:rsid w:val="00DB0204"/>
    <w:rsid w:val="00DB0480"/>
    <w:rsid w:val="00DB078A"/>
    <w:rsid w:val="00DB0AD2"/>
    <w:rsid w:val="00DB0FA9"/>
    <w:rsid w:val="00DB117E"/>
    <w:rsid w:val="00DB121E"/>
    <w:rsid w:val="00DB1E8E"/>
    <w:rsid w:val="00DB2758"/>
    <w:rsid w:val="00DB294E"/>
    <w:rsid w:val="00DB2C5C"/>
    <w:rsid w:val="00DB31EC"/>
    <w:rsid w:val="00DB3CA0"/>
    <w:rsid w:val="00DB3DBF"/>
    <w:rsid w:val="00DB3E46"/>
    <w:rsid w:val="00DB4002"/>
    <w:rsid w:val="00DB484F"/>
    <w:rsid w:val="00DB4B59"/>
    <w:rsid w:val="00DB4C72"/>
    <w:rsid w:val="00DB51A1"/>
    <w:rsid w:val="00DB54C0"/>
    <w:rsid w:val="00DB5999"/>
    <w:rsid w:val="00DB5F81"/>
    <w:rsid w:val="00DB6230"/>
    <w:rsid w:val="00DB6857"/>
    <w:rsid w:val="00DB7A74"/>
    <w:rsid w:val="00DB7C76"/>
    <w:rsid w:val="00DB7ECC"/>
    <w:rsid w:val="00DC0175"/>
    <w:rsid w:val="00DC04F6"/>
    <w:rsid w:val="00DC05D6"/>
    <w:rsid w:val="00DC0690"/>
    <w:rsid w:val="00DC0CCF"/>
    <w:rsid w:val="00DC145D"/>
    <w:rsid w:val="00DC1D65"/>
    <w:rsid w:val="00DC2075"/>
    <w:rsid w:val="00DC2292"/>
    <w:rsid w:val="00DC245A"/>
    <w:rsid w:val="00DC249B"/>
    <w:rsid w:val="00DC24EF"/>
    <w:rsid w:val="00DC259F"/>
    <w:rsid w:val="00DC2C6B"/>
    <w:rsid w:val="00DC2CFD"/>
    <w:rsid w:val="00DC2F2B"/>
    <w:rsid w:val="00DC30C4"/>
    <w:rsid w:val="00DC372D"/>
    <w:rsid w:val="00DC3C57"/>
    <w:rsid w:val="00DC40F4"/>
    <w:rsid w:val="00DC44C2"/>
    <w:rsid w:val="00DC46B1"/>
    <w:rsid w:val="00DC4730"/>
    <w:rsid w:val="00DC53A9"/>
    <w:rsid w:val="00DC5501"/>
    <w:rsid w:val="00DC5F9E"/>
    <w:rsid w:val="00DC62A2"/>
    <w:rsid w:val="00DC6443"/>
    <w:rsid w:val="00DC6BB3"/>
    <w:rsid w:val="00DC7154"/>
    <w:rsid w:val="00DC780D"/>
    <w:rsid w:val="00DC7E8A"/>
    <w:rsid w:val="00DD06E8"/>
    <w:rsid w:val="00DD0F78"/>
    <w:rsid w:val="00DD1265"/>
    <w:rsid w:val="00DD1302"/>
    <w:rsid w:val="00DD1452"/>
    <w:rsid w:val="00DD15CA"/>
    <w:rsid w:val="00DD161F"/>
    <w:rsid w:val="00DD1AFB"/>
    <w:rsid w:val="00DD1C86"/>
    <w:rsid w:val="00DD25F5"/>
    <w:rsid w:val="00DD273C"/>
    <w:rsid w:val="00DD2869"/>
    <w:rsid w:val="00DD2B5E"/>
    <w:rsid w:val="00DD2D4A"/>
    <w:rsid w:val="00DD2DAA"/>
    <w:rsid w:val="00DD2F5F"/>
    <w:rsid w:val="00DD3527"/>
    <w:rsid w:val="00DD37A1"/>
    <w:rsid w:val="00DD3A4D"/>
    <w:rsid w:val="00DD3F28"/>
    <w:rsid w:val="00DD4033"/>
    <w:rsid w:val="00DD4537"/>
    <w:rsid w:val="00DD468C"/>
    <w:rsid w:val="00DD4AB7"/>
    <w:rsid w:val="00DD4B1A"/>
    <w:rsid w:val="00DD4C6C"/>
    <w:rsid w:val="00DD4E15"/>
    <w:rsid w:val="00DD5509"/>
    <w:rsid w:val="00DD58CA"/>
    <w:rsid w:val="00DD5A1E"/>
    <w:rsid w:val="00DD5B58"/>
    <w:rsid w:val="00DD5B69"/>
    <w:rsid w:val="00DD5D9D"/>
    <w:rsid w:val="00DD6881"/>
    <w:rsid w:val="00DD6CC8"/>
    <w:rsid w:val="00DD733C"/>
    <w:rsid w:val="00DD7738"/>
    <w:rsid w:val="00DD7866"/>
    <w:rsid w:val="00DD7A2D"/>
    <w:rsid w:val="00DD7FCC"/>
    <w:rsid w:val="00DE00CF"/>
    <w:rsid w:val="00DE02F7"/>
    <w:rsid w:val="00DE0699"/>
    <w:rsid w:val="00DE075B"/>
    <w:rsid w:val="00DE0D5C"/>
    <w:rsid w:val="00DE1063"/>
    <w:rsid w:val="00DE1684"/>
    <w:rsid w:val="00DE19ED"/>
    <w:rsid w:val="00DE1DC0"/>
    <w:rsid w:val="00DE1DE7"/>
    <w:rsid w:val="00DE2254"/>
    <w:rsid w:val="00DE2296"/>
    <w:rsid w:val="00DE2304"/>
    <w:rsid w:val="00DE2441"/>
    <w:rsid w:val="00DE258C"/>
    <w:rsid w:val="00DE261C"/>
    <w:rsid w:val="00DE2DA7"/>
    <w:rsid w:val="00DE3024"/>
    <w:rsid w:val="00DE3137"/>
    <w:rsid w:val="00DE3138"/>
    <w:rsid w:val="00DE3626"/>
    <w:rsid w:val="00DE37F8"/>
    <w:rsid w:val="00DE41AA"/>
    <w:rsid w:val="00DE4FCB"/>
    <w:rsid w:val="00DE4FCC"/>
    <w:rsid w:val="00DE5CB4"/>
    <w:rsid w:val="00DE5D07"/>
    <w:rsid w:val="00DE5DD2"/>
    <w:rsid w:val="00DE72A7"/>
    <w:rsid w:val="00DE75EC"/>
    <w:rsid w:val="00DE7716"/>
    <w:rsid w:val="00DE7832"/>
    <w:rsid w:val="00DF06C5"/>
    <w:rsid w:val="00DF18FC"/>
    <w:rsid w:val="00DF19E6"/>
    <w:rsid w:val="00DF2857"/>
    <w:rsid w:val="00DF2F6C"/>
    <w:rsid w:val="00DF38A0"/>
    <w:rsid w:val="00DF44A1"/>
    <w:rsid w:val="00DF4534"/>
    <w:rsid w:val="00DF4921"/>
    <w:rsid w:val="00DF4B08"/>
    <w:rsid w:val="00DF4E80"/>
    <w:rsid w:val="00DF505E"/>
    <w:rsid w:val="00DF594A"/>
    <w:rsid w:val="00DF5D2B"/>
    <w:rsid w:val="00DF5D41"/>
    <w:rsid w:val="00DF5F5B"/>
    <w:rsid w:val="00DF6CDF"/>
    <w:rsid w:val="00DF6F1C"/>
    <w:rsid w:val="00DF70EB"/>
    <w:rsid w:val="00DF741F"/>
    <w:rsid w:val="00DF76F3"/>
    <w:rsid w:val="00DF7CCE"/>
    <w:rsid w:val="00E005B6"/>
    <w:rsid w:val="00E0062C"/>
    <w:rsid w:val="00E0077D"/>
    <w:rsid w:val="00E0093C"/>
    <w:rsid w:val="00E00A53"/>
    <w:rsid w:val="00E00BAA"/>
    <w:rsid w:val="00E00E8E"/>
    <w:rsid w:val="00E00EF3"/>
    <w:rsid w:val="00E0156A"/>
    <w:rsid w:val="00E01631"/>
    <w:rsid w:val="00E02300"/>
    <w:rsid w:val="00E028D3"/>
    <w:rsid w:val="00E02FD2"/>
    <w:rsid w:val="00E0373B"/>
    <w:rsid w:val="00E0399F"/>
    <w:rsid w:val="00E04321"/>
    <w:rsid w:val="00E045F7"/>
    <w:rsid w:val="00E0474E"/>
    <w:rsid w:val="00E050D5"/>
    <w:rsid w:val="00E05207"/>
    <w:rsid w:val="00E052B2"/>
    <w:rsid w:val="00E05630"/>
    <w:rsid w:val="00E0573A"/>
    <w:rsid w:val="00E05901"/>
    <w:rsid w:val="00E05951"/>
    <w:rsid w:val="00E05E9D"/>
    <w:rsid w:val="00E06088"/>
    <w:rsid w:val="00E063E6"/>
    <w:rsid w:val="00E06675"/>
    <w:rsid w:val="00E069F5"/>
    <w:rsid w:val="00E06C08"/>
    <w:rsid w:val="00E06DBB"/>
    <w:rsid w:val="00E074BC"/>
    <w:rsid w:val="00E10149"/>
    <w:rsid w:val="00E10BE3"/>
    <w:rsid w:val="00E10C2F"/>
    <w:rsid w:val="00E10D44"/>
    <w:rsid w:val="00E10D74"/>
    <w:rsid w:val="00E10DD6"/>
    <w:rsid w:val="00E1110A"/>
    <w:rsid w:val="00E11340"/>
    <w:rsid w:val="00E113AD"/>
    <w:rsid w:val="00E11431"/>
    <w:rsid w:val="00E11E13"/>
    <w:rsid w:val="00E11E54"/>
    <w:rsid w:val="00E11F43"/>
    <w:rsid w:val="00E12085"/>
    <w:rsid w:val="00E122A1"/>
    <w:rsid w:val="00E12453"/>
    <w:rsid w:val="00E12460"/>
    <w:rsid w:val="00E1248A"/>
    <w:rsid w:val="00E12D21"/>
    <w:rsid w:val="00E13438"/>
    <w:rsid w:val="00E1349B"/>
    <w:rsid w:val="00E1381C"/>
    <w:rsid w:val="00E13C81"/>
    <w:rsid w:val="00E13CA9"/>
    <w:rsid w:val="00E1410F"/>
    <w:rsid w:val="00E145D1"/>
    <w:rsid w:val="00E14661"/>
    <w:rsid w:val="00E148FA"/>
    <w:rsid w:val="00E14A13"/>
    <w:rsid w:val="00E14AC9"/>
    <w:rsid w:val="00E14D61"/>
    <w:rsid w:val="00E14EBF"/>
    <w:rsid w:val="00E14F04"/>
    <w:rsid w:val="00E15AD8"/>
    <w:rsid w:val="00E15DCE"/>
    <w:rsid w:val="00E16219"/>
    <w:rsid w:val="00E16372"/>
    <w:rsid w:val="00E16CB6"/>
    <w:rsid w:val="00E17436"/>
    <w:rsid w:val="00E175A7"/>
    <w:rsid w:val="00E177E1"/>
    <w:rsid w:val="00E208A2"/>
    <w:rsid w:val="00E20CDC"/>
    <w:rsid w:val="00E20CE2"/>
    <w:rsid w:val="00E20E4D"/>
    <w:rsid w:val="00E20EC1"/>
    <w:rsid w:val="00E20ED6"/>
    <w:rsid w:val="00E21358"/>
    <w:rsid w:val="00E218CB"/>
    <w:rsid w:val="00E21A79"/>
    <w:rsid w:val="00E21AEE"/>
    <w:rsid w:val="00E22010"/>
    <w:rsid w:val="00E2249B"/>
    <w:rsid w:val="00E225AF"/>
    <w:rsid w:val="00E227CA"/>
    <w:rsid w:val="00E22A0D"/>
    <w:rsid w:val="00E231F7"/>
    <w:rsid w:val="00E232C5"/>
    <w:rsid w:val="00E238A2"/>
    <w:rsid w:val="00E238D1"/>
    <w:rsid w:val="00E239A8"/>
    <w:rsid w:val="00E23CA3"/>
    <w:rsid w:val="00E23F52"/>
    <w:rsid w:val="00E24330"/>
    <w:rsid w:val="00E244F6"/>
    <w:rsid w:val="00E24EF0"/>
    <w:rsid w:val="00E2502F"/>
    <w:rsid w:val="00E2516E"/>
    <w:rsid w:val="00E254AB"/>
    <w:rsid w:val="00E25863"/>
    <w:rsid w:val="00E25958"/>
    <w:rsid w:val="00E25A38"/>
    <w:rsid w:val="00E25B3F"/>
    <w:rsid w:val="00E26559"/>
    <w:rsid w:val="00E27180"/>
    <w:rsid w:val="00E27461"/>
    <w:rsid w:val="00E2746F"/>
    <w:rsid w:val="00E27519"/>
    <w:rsid w:val="00E2771E"/>
    <w:rsid w:val="00E27D35"/>
    <w:rsid w:val="00E30321"/>
    <w:rsid w:val="00E3089B"/>
    <w:rsid w:val="00E311EF"/>
    <w:rsid w:val="00E315CD"/>
    <w:rsid w:val="00E31B10"/>
    <w:rsid w:val="00E320CB"/>
    <w:rsid w:val="00E32180"/>
    <w:rsid w:val="00E3238D"/>
    <w:rsid w:val="00E32680"/>
    <w:rsid w:val="00E32A64"/>
    <w:rsid w:val="00E32D35"/>
    <w:rsid w:val="00E331D4"/>
    <w:rsid w:val="00E33209"/>
    <w:rsid w:val="00E333C8"/>
    <w:rsid w:val="00E33432"/>
    <w:rsid w:val="00E33A57"/>
    <w:rsid w:val="00E33C60"/>
    <w:rsid w:val="00E34113"/>
    <w:rsid w:val="00E34948"/>
    <w:rsid w:val="00E34C6F"/>
    <w:rsid w:val="00E34CF1"/>
    <w:rsid w:val="00E34E97"/>
    <w:rsid w:val="00E35AF2"/>
    <w:rsid w:val="00E35F37"/>
    <w:rsid w:val="00E360B9"/>
    <w:rsid w:val="00E3668B"/>
    <w:rsid w:val="00E369BA"/>
    <w:rsid w:val="00E37054"/>
    <w:rsid w:val="00E37220"/>
    <w:rsid w:val="00E37547"/>
    <w:rsid w:val="00E37569"/>
    <w:rsid w:val="00E37750"/>
    <w:rsid w:val="00E37753"/>
    <w:rsid w:val="00E40035"/>
    <w:rsid w:val="00E401B2"/>
    <w:rsid w:val="00E407AB"/>
    <w:rsid w:val="00E40BE9"/>
    <w:rsid w:val="00E40D81"/>
    <w:rsid w:val="00E41172"/>
    <w:rsid w:val="00E41284"/>
    <w:rsid w:val="00E413D0"/>
    <w:rsid w:val="00E414BF"/>
    <w:rsid w:val="00E418A4"/>
    <w:rsid w:val="00E41B19"/>
    <w:rsid w:val="00E41E30"/>
    <w:rsid w:val="00E42587"/>
    <w:rsid w:val="00E42875"/>
    <w:rsid w:val="00E42F73"/>
    <w:rsid w:val="00E4308F"/>
    <w:rsid w:val="00E4356C"/>
    <w:rsid w:val="00E43B1D"/>
    <w:rsid w:val="00E43D70"/>
    <w:rsid w:val="00E43E18"/>
    <w:rsid w:val="00E43F63"/>
    <w:rsid w:val="00E4446D"/>
    <w:rsid w:val="00E4447C"/>
    <w:rsid w:val="00E44948"/>
    <w:rsid w:val="00E45CCD"/>
    <w:rsid w:val="00E466F3"/>
    <w:rsid w:val="00E47759"/>
    <w:rsid w:val="00E47B2C"/>
    <w:rsid w:val="00E500B0"/>
    <w:rsid w:val="00E50150"/>
    <w:rsid w:val="00E50D7E"/>
    <w:rsid w:val="00E50E90"/>
    <w:rsid w:val="00E51173"/>
    <w:rsid w:val="00E513D4"/>
    <w:rsid w:val="00E513E7"/>
    <w:rsid w:val="00E51560"/>
    <w:rsid w:val="00E5172C"/>
    <w:rsid w:val="00E51760"/>
    <w:rsid w:val="00E51ECF"/>
    <w:rsid w:val="00E52238"/>
    <w:rsid w:val="00E5255A"/>
    <w:rsid w:val="00E52758"/>
    <w:rsid w:val="00E527E3"/>
    <w:rsid w:val="00E531D7"/>
    <w:rsid w:val="00E53E91"/>
    <w:rsid w:val="00E53EBA"/>
    <w:rsid w:val="00E53FC8"/>
    <w:rsid w:val="00E54347"/>
    <w:rsid w:val="00E54915"/>
    <w:rsid w:val="00E55144"/>
    <w:rsid w:val="00E55424"/>
    <w:rsid w:val="00E558C2"/>
    <w:rsid w:val="00E558FF"/>
    <w:rsid w:val="00E55915"/>
    <w:rsid w:val="00E55A30"/>
    <w:rsid w:val="00E55BB5"/>
    <w:rsid w:val="00E56248"/>
    <w:rsid w:val="00E56E86"/>
    <w:rsid w:val="00E574BB"/>
    <w:rsid w:val="00E5750F"/>
    <w:rsid w:val="00E57BB2"/>
    <w:rsid w:val="00E57C06"/>
    <w:rsid w:val="00E602B7"/>
    <w:rsid w:val="00E609C0"/>
    <w:rsid w:val="00E60CAC"/>
    <w:rsid w:val="00E619FD"/>
    <w:rsid w:val="00E62346"/>
    <w:rsid w:val="00E62378"/>
    <w:rsid w:val="00E62F73"/>
    <w:rsid w:val="00E6316C"/>
    <w:rsid w:val="00E63C4F"/>
    <w:rsid w:val="00E63CEE"/>
    <w:rsid w:val="00E64A63"/>
    <w:rsid w:val="00E65854"/>
    <w:rsid w:val="00E65E79"/>
    <w:rsid w:val="00E663D2"/>
    <w:rsid w:val="00E6653C"/>
    <w:rsid w:val="00E66A8B"/>
    <w:rsid w:val="00E66BA2"/>
    <w:rsid w:val="00E67416"/>
    <w:rsid w:val="00E677A3"/>
    <w:rsid w:val="00E67F7A"/>
    <w:rsid w:val="00E70278"/>
    <w:rsid w:val="00E703AC"/>
    <w:rsid w:val="00E7043E"/>
    <w:rsid w:val="00E705B0"/>
    <w:rsid w:val="00E706CB"/>
    <w:rsid w:val="00E70B95"/>
    <w:rsid w:val="00E70C0C"/>
    <w:rsid w:val="00E70DC8"/>
    <w:rsid w:val="00E713F6"/>
    <w:rsid w:val="00E71606"/>
    <w:rsid w:val="00E718B6"/>
    <w:rsid w:val="00E720AC"/>
    <w:rsid w:val="00E723BA"/>
    <w:rsid w:val="00E7288B"/>
    <w:rsid w:val="00E73581"/>
    <w:rsid w:val="00E73A15"/>
    <w:rsid w:val="00E73AC3"/>
    <w:rsid w:val="00E73C37"/>
    <w:rsid w:val="00E73F29"/>
    <w:rsid w:val="00E74051"/>
    <w:rsid w:val="00E74121"/>
    <w:rsid w:val="00E744CF"/>
    <w:rsid w:val="00E74D19"/>
    <w:rsid w:val="00E75084"/>
    <w:rsid w:val="00E75311"/>
    <w:rsid w:val="00E75762"/>
    <w:rsid w:val="00E757F1"/>
    <w:rsid w:val="00E75A58"/>
    <w:rsid w:val="00E75F18"/>
    <w:rsid w:val="00E76402"/>
    <w:rsid w:val="00E76418"/>
    <w:rsid w:val="00E767AF"/>
    <w:rsid w:val="00E76CD9"/>
    <w:rsid w:val="00E774A4"/>
    <w:rsid w:val="00E774D0"/>
    <w:rsid w:val="00E803F9"/>
    <w:rsid w:val="00E8062B"/>
    <w:rsid w:val="00E8080F"/>
    <w:rsid w:val="00E812D0"/>
    <w:rsid w:val="00E81814"/>
    <w:rsid w:val="00E823E3"/>
    <w:rsid w:val="00E8270C"/>
    <w:rsid w:val="00E82A02"/>
    <w:rsid w:val="00E82F19"/>
    <w:rsid w:val="00E833F7"/>
    <w:rsid w:val="00E836FB"/>
    <w:rsid w:val="00E83BDF"/>
    <w:rsid w:val="00E83CE8"/>
    <w:rsid w:val="00E848CC"/>
    <w:rsid w:val="00E84F43"/>
    <w:rsid w:val="00E851BC"/>
    <w:rsid w:val="00E851FF"/>
    <w:rsid w:val="00E853FD"/>
    <w:rsid w:val="00E85AC1"/>
    <w:rsid w:val="00E85F7C"/>
    <w:rsid w:val="00E8606F"/>
    <w:rsid w:val="00E878E3"/>
    <w:rsid w:val="00E87A1D"/>
    <w:rsid w:val="00E87E5C"/>
    <w:rsid w:val="00E9094A"/>
    <w:rsid w:val="00E90BEE"/>
    <w:rsid w:val="00E910F8"/>
    <w:rsid w:val="00E91133"/>
    <w:rsid w:val="00E91351"/>
    <w:rsid w:val="00E91680"/>
    <w:rsid w:val="00E91D35"/>
    <w:rsid w:val="00E91DC0"/>
    <w:rsid w:val="00E926A5"/>
    <w:rsid w:val="00E929AC"/>
    <w:rsid w:val="00E93626"/>
    <w:rsid w:val="00E936C4"/>
    <w:rsid w:val="00E938E5"/>
    <w:rsid w:val="00E93F62"/>
    <w:rsid w:val="00E940F1"/>
    <w:rsid w:val="00E9420D"/>
    <w:rsid w:val="00E9437A"/>
    <w:rsid w:val="00E9475C"/>
    <w:rsid w:val="00E94947"/>
    <w:rsid w:val="00E94C9D"/>
    <w:rsid w:val="00E9553B"/>
    <w:rsid w:val="00E95626"/>
    <w:rsid w:val="00E95AD1"/>
    <w:rsid w:val="00E95F58"/>
    <w:rsid w:val="00E96368"/>
    <w:rsid w:val="00E96386"/>
    <w:rsid w:val="00E96C82"/>
    <w:rsid w:val="00E97013"/>
    <w:rsid w:val="00E97052"/>
    <w:rsid w:val="00E9706C"/>
    <w:rsid w:val="00E97157"/>
    <w:rsid w:val="00E977AB"/>
    <w:rsid w:val="00E977E3"/>
    <w:rsid w:val="00E97FD6"/>
    <w:rsid w:val="00EA025D"/>
    <w:rsid w:val="00EA0BAB"/>
    <w:rsid w:val="00EA0DBD"/>
    <w:rsid w:val="00EA1075"/>
    <w:rsid w:val="00EA123C"/>
    <w:rsid w:val="00EA128B"/>
    <w:rsid w:val="00EA17C3"/>
    <w:rsid w:val="00EA1966"/>
    <w:rsid w:val="00EA2259"/>
    <w:rsid w:val="00EA275C"/>
    <w:rsid w:val="00EA2B2B"/>
    <w:rsid w:val="00EA2CAA"/>
    <w:rsid w:val="00EA2E65"/>
    <w:rsid w:val="00EA2EC3"/>
    <w:rsid w:val="00EA364B"/>
    <w:rsid w:val="00EA37E6"/>
    <w:rsid w:val="00EA382A"/>
    <w:rsid w:val="00EA3864"/>
    <w:rsid w:val="00EA3C6A"/>
    <w:rsid w:val="00EA4241"/>
    <w:rsid w:val="00EA43C1"/>
    <w:rsid w:val="00EA48EC"/>
    <w:rsid w:val="00EA4B02"/>
    <w:rsid w:val="00EA500C"/>
    <w:rsid w:val="00EA5EEF"/>
    <w:rsid w:val="00EA6360"/>
    <w:rsid w:val="00EA64B9"/>
    <w:rsid w:val="00EA6A76"/>
    <w:rsid w:val="00EA6B1A"/>
    <w:rsid w:val="00EA6C11"/>
    <w:rsid w:val="00EA701A"/>
    <w:rsid w:val="00EA7195"/>
    <w:rsid w:val="00EA7938"/>
    <w:rsid w:val="00EA7A60"/>
    <w:rsid w:val="00EA7F1C"/>
    <w:rsid w:val="00EB0088"/>
    <w:rsid w:val="00EB008E"/>
    <w:rsid w:val="00EB0143"/>
    <w:rsid w:val="00EB033B"/>
    <w:rsid w:val="00EB0601"/>
    <w:rsid w:val="00EB078B"/>
    <w:rsid w:val="00EB0973"/>
    <w:rsid w:val="00EB0AF7"/>
    <w:rsid w:val="00EB0BB5"/>
    <w:rsid w:val="00EB1447"/>
    <w:rsid w:val="00EB15B6"/>
    <w:rsid w:val="00EB246D"/>
    <w:rsid w:val="00EB275C"/>
    <w:rsid w:val="00EB2C31"/>
    <w:rsid w:val="00EB2F18"/>
    <w:rsid w:val="00EB32CB"/>
    <w:rsid w:val="00EB3571"/>
    <w:rsid w:val="00EB393E"/>
    <w:rsid w:val="00EB3D06"/>
    <w:rsid w:val="00EB46DE"/>
    <w:rsid w:val="00EB4916"/>
    <w:rsid w:val="00EB4BBC"/>
    <w:rsid w:val="00EB4F98"/>
    <w:rsid w:val="00EB51A5"/>
    <w:rsid w:val="00EB53D5"/>
    <w:rsid w:val="00EB6039"/>
    <w:rsid w:val="00EB6D36"/>
    <w:rsid w:val="00EB7162"/>
    <w:rsid w:val="00EC00C9"/>
    <w:rsid w:val="00EC03F7"/>
    <w:rsid w:val="00EC0425"/>
    <w:rsid w:val="00EC0562"/>
    <w:rsid w:val="00EC0CD9"/>
    <w:rsid w:val="00EC0DD9"/>
    <w:rsid w:val="00EC13F2"/>
    <w:rsid w:val="00EC1631"/>
    <w:rsid w:val="00EC19C9"/>
    <w:rsid w:val="00EC2020"/>
    <w:rsid w:val="00EC2021"/>
    <w:rsid w:val="00EC2649"/>
    <w:rsid w:val="00EC2EA4"/>
    <w:rsid w:val="00EC31ED"/>
    <w:rsid w:val="00EC358D"/>
    <w:rsid w:val="00EC3B24"/>
    <w:rsid w:val="00EC3DC8"/>
    <w:rsid w:val="00EC407C"/>
    <w:rsid w:val="00EC4107"/>
    <w:rsid w:val="00EC454C"/>
    <w:rsid w:val="00EC4F76"/>
    <w:rsid w:val="00EC53EE"/>
    <w:rsid w:val="00EC5836"/>
    <w:rsid w:val="00EC6043"/>
    <w:rsid w:val="00EC6243"/>
    <w:rsid w:val="00EC688C"/>
    <w:rsid w:val="00EC6CC6"/>
    <w:rsid w:val="00EC6D3D"/>
    <w:rsid w:val="00EC6E96"/>
    <w:rsid w:val="00EC7720"/>
    <w:rsid w:val="00ED0008"/>
    <w:rsid w:val="00ED0132"/>
    <w:rsid w:val="00ED067C"/>
    <w:rsid w:val="00ED1C2B"/>
    <w:rsid w:val="00ED2359"/>
    <w:rsid w:val="00ED25FD"/>
    <w:rsid w:val="00ED2AEB"/>
    <w:rsid w:val="00ED3BC1"/>
    <w:rsid w:val="00ED3BFD"/>
    <w:rsid w:val="00ED3DF2"/>
    <w:rsid w:val="00ED3F4B"/>
    <w:rsid w:val="00ED4421"/>
    <w:rsid w:val="00ED484C"/>
    <w:rsid w:val="00ED4C86"/>
    <w:rsid w:val="00ED5576"/>
    <w:rsid w:val="00ED57EA"/>
    <w:rsid w:val="00ED58B9"/>
    <w:rsid w:val="00ED5B1A"/>
    <w:rsid w:val="00ED5BD4"/>
    <w:rsid w:val="00ED63A1"/>
    <w:rsid w:val="00ED6569"/>
    <w:rsid w:val="00ED71FB"/>
    <w:rsid w:val="00ED7275"/>
    <w:rsid w:val="00ED7F01"/>
    <w:rsid w:val="00EE0563"/>
    <w:rsid w:val="00EE0788"/>
    <w:rsid w:val="00EE07D3"/>
    <w:rsid w:val="00EE162C"/>
    <w:rsid w:val="00EE1996"/>
    <w:rsid w:val="00EE1C01"/>
    <w:rsid w:val="00EE22AF"/>
    <w:rsid w:val="00EE243E"/>
    <w:rsid w:val="00EE26DA"/>
    <w:rsid w:val="00EE2B04"/>
    <w:rsid w:val="00EE32FF"/>
    <w:rsid w:val="00EE33D4"/>
    <w:rsid w:val="00EE3B99"/>
    <w:rsid w:val="00EE430E"/>
    <w:rsid w:val="00EE44AB"/>
    <w:rsid w:val="00EE45F1"/>
    <w:rsid w:val="00EE4C09"/>
    <w:rsid w:val="00EE50D6"/>
    <w:rsid w:val="00EE53E5"/>
    <w:rsid w:val="00EE562A"/>
    <w:rsid w:val="00EE58F0"/>
    <w:rsid w:val="00EE5936"/>
    <w:rsid w:val="00EE5C47"/>
    <w:rsid w:val="00EE5DFE"/>
    <w:rsid w:val="00EE5E0D"/>
    <w:rsid w:val="00EE6AD0"/>
    <w:rsid w:val="00EE70CC"/>
    <w:rsid w:val="00EE7314"/>
    <w:rsid w:val="00EE75E4"/>
    <w:rsid w:val="00EE7A70"/>
    <w:rsid w:val="00EF0171"/>
    <w:rsid w:val="00EF0290"/>
    <w:rsid w:val="00EF0B8E"/>
    <w:rsid w:val="00EF0D70"/>
    <w:rsid w:val="00EF0EA6"/>
    <w:rsid w:val="00EF11E3"/>
    <w:rsid w:val="00EF1927"/>
    <w:rsid w:val="00EF1A38"/>
    <w:rsid w:val="00EF1B25"/>
    <w:rsid w:val="00EF1DA0"/>
    <w:rsid w:val="00EF1E30"/>
    <w:rsid w:val="00EF1ED4"/>
    <w:rsid w:val="00EF20C8"/>
    <w:rsid w:val="00EF2873"/>
    <w:rsid w:val="00EF2913"/>
    <w:rsid w:val="00EF2B11"/>
    <w:rsid w:val="00EF2D64"/>
    <w:rsid w:val="00EF333F"/>
    <w:rsid w:val="00EF36C9"/>
    <w:rsid w:val="00EF36D1"/>
    <w:rsid w:val="00EF3A44"/>
    <w:rsid w:val="00EF3AE0"/>
    <w:rsid w:val="00EF3FEE"/>
    <w:rsid w:val="00EF4747"/>
    <w:rsid w:val="00EF48C3"/>
    <w:rsid w:val="00EF4BF8"/>
    <w:rsid w:val="00EF5094"/>
    <w:rsid w:val="00EF55E5"/>
    <w:rsid w:val="00EF5B21"/>
    <w:rsid w:val="00EF614A"/>
    <w:rsid w:val="00EF657F"/>
    <w:rsid w:val="00EF69B0"/>
    <w:rsid w:val="00EF6E04"/>
    <w:rsid w:val="00EF7768"/>
    <w:rsid w:val="00EF77B3"/>
    <w:rsid w:val="00EF783E"/>
    <w:rsid w:val="00EF7A2F"/>
    <w:rsid w:val="00EF7CD5"/>
    <w:rsid w:val="00F008F1"/>
    <w:rsid w:val="00F00FF9"/>
    <w:rsid w:val="00F01ABC"/>
    <w:rsid w:val="00F01C9F"/>
    <w:rsid w:val="00F02149"/>
    <w:rsid w:val="00F02253"/>
    <w:rsid w:val="00F02819"/>
    <w:rsid w:val="00F02B4D"/>
    <w:rsid w:val="00F02BC1"/>
    <w:rsid w:val="00F03322"/>
    <w:rsid w:val="00F03325"/>
    <w:rsid w:val="00F03803"/>
    <w:rsid w:val="00F03899"/>
    <w:rsid w:val="00F03948"/>
    <w:rsid w:val="00F03C2E"/>
    <w:rsid w:val="00F03D53"/>
    <w:rsid w:val="00F03F7D"/>
    <w:rsid w:val="00F03F8F"/>
    <w:rsid w:val="00F041C9"/>
    <w:rsid w:val="00F04586"/>
    <w:rsid w:val="00F049DE"/>
    <w:rsid w:val="00F04A57"/>
    <w:rsid w:val="00F04A66"/>
    <w:rsid w:val="00F04AE4"/>
    <w:rsid w:val="00F04B05"/>
    <w:rsid w:val="00F04B4B"/>
    <w:rsid w:val="00F050AB"/>
    <w:rsid w:val="00F0516C"/>
    <w:rsid w:val="00F05B9F"/>
    <w:rsid w:val="00F05FAF"/>
    <w:rsid w:val="00F067A2"/>
    <w:rsid w:val="00F06A98"/>
    <w:rsid w:val="00F06C03"/>
    <w:rsid w:val="00F06DB5"/>
    <w:rsid w:val="00F06EAD"/>
    <w:rsid w:val="00F07483"/>
    <w:rsid w:val="00F07B9E"/>
    <w:rsid w:val="00F07BE1"/>
    <w:rsid w:val="00F10014"/>
    <w:rsid w:val="00F10244"/>
    <w:rsid w:val="00F107BB"/>
    <w:rsid w:val="00F107F6"/>
    <w:rsid w:val="00F10921"/>
    <w:rsid w:val="00F10AF4"/>
    <w:rsid w:val="00F10C1C"/>
    <w:rsid w:val="00F1116F"/>
    <w:rsid w:val="00F12377"/>
    <w:rsid w:val="00F12459"/>
    <w:rsid w:val="00F1263A"/>
    <w:rsid w:val="00F12729"/>
    <w:rsid w:val="00F12846"/>
    <w:rsid w:val="00F12D13"/>
    <w:rsid w:val="00F1328F"/>
    <w:rsid w:val="00F1365C"/>
    <w:rsid w:val="00F137CF"/>
    <w:rsid w:val="00F13DF6"/>
    <w:rsid w:val="00F13FBE"/>
    <w:rsid w:val="00F1413C"/>
    <w:rsid w:val="00F142EB"/>
    <w:rsid w:val="00F14452"/>
    <w:rsid w:val="00F1472F"/>
    <w:rsid w:val="00F14795"/>
    <w:rsid w:val="00F14AAA"/>
    <w:rsid w:val="00F14DBF"/>
    <w:rsid w:val="00F152CB"/>
    <w:rsid w:val="00F157BA"/>
    <w:rsid w:val="00F1586A"/>
    <w:rsid w:val="00F15B77"/>
    <w:rsid w:val="00F1631E"/>
    <w:rsid w:val="00F16502"/>
    <w:rsid w:val="00F165F5"/>
    <w:rsid w:val="00F168D8"/>
    <w:rsid w:val="00F16C1B"/>
    <w:rsid w:val="00F16C74"/>
    <w:rsid w:val="00F174EF"/>
    <w:rsid w:val="00F177DB"/>
    <w:rsid w:val="00F17A01"/>
    <w:rsid w:val="00F17EDB"/>
    <w:rsid w:val="00F17F6C"/>
    <w:rsid w:val="00F2013A"/>
    <w:rsid w:val="00F2041E"/>
    <w:rsid w:val="00F20469"/>
    <w:rsid w:val="00F210A7"/>
    <w:rsid w:val="00F2128A"/>
    <w:rsid w:val="00F2168F"/>
    <w:rsid w:val="00F21908"/>
    <w:rsid w:val="00F21ACD"/>
    <w:rsid w:val="00F21CDF"/>
    <w:rsid w:val="00F22269"/>
    <w:rsid w:val="00F228B9"/>
    <w:rsid w:val="00F22BDF"/>
    <w:rsid w:val="00F22D26"/>
    <w:rsid w:val="00F232B3"/>
    <w:rsid w:val="00F23606"/>
    <w:rsid w:val="00F2379C"/>
    <w:rsid w:val="00F238BF"/>
    <w:rsid w:val="00F23A31"/>
    <w:rsid w:val="00F23BC6"/>
    <w:rsid w:val="00F23F82"/>
    <w:rsid w:val="00F2428E"/>
    <w:rsid w:val="00F24325"/>
    <w:rsid w:val="00F24837"/>
    <w:rsid w:val="00F24C9D"/>
    <w:rsid w:val="00F25121"/>
    <w:rsid w:val="00F2575F"/>
    <w:rsid w:val="00F25826"/>
    <w:rsid w:val="00F26068"/>
    <w:rsid w:val="00F2657E"/>
    <w:rsid w:val="00F267A3"/>
    <w:rsid w:val="00F26F0C"/>
    <w:rsid w:val="00F270CB"/>
    <w:rsid w:val="00F27565"/>
    <w:rsid w:val="00F27596"/>
    <w:rsid w:val="00F2765B"/>
    <w:rsid w:val="00F277EC"/>
    <w:rsid w:val="00F30166"/>
    <w:rsid w:val="00F310D4"/>
    <w:rsid w:val="00F31134"/>
    <w:rsid w:val="00F312E2"/>
    <w:rsid w:val="00F31319"/>
    <w:rsid w:val="00F315E2"/>
    <w:rsid w:val="00F31CB7"/>
    <w:rsid w:val="00F31D5A"/>
    <w:rsid w:val="00F31F0F"/>
    <w:rsid w:val="00F320A3"/>
    <w:rsid w:val="00F325BE"/>
    <w:rsid w:val="00F32840"/>
    <w:rsid w:val="00F328EF"/>
    <w:rsid w:val="00F329B9"/>
    <w:rsid w:val="00F32AD1"/>
    <w:rsid w:val="00F32B66"/>
    <w:rsid w:val="00F32CB3"/>
    <w:rsid w:val="00F32DE8"/>
    <w:rsid w:val="00F33566"/>
    <w:rsid w:val="00F3368E"/>
    <w:rsid w:val="00F33798"/>
    <w:rsid w:val="00F33807"/>
    <w:rsid w:val="00F33975"/>
    <w:rsid w:val="00F33D1C"/>
    <w:rsid w:val="00F33DE9"/>
    <w:rsid w:val="00F340D0"/>
    <w:rsid w:val="00F341CE"/>
    <w:rsid w:val="00F343C1"/>
    <w:rsid w:val="00F34ABC"/>
    <w:rsid w:val="00F34DD9"/>
    <w:rsid w:val="00F34F39"/>
    <w:rsid w:val="00F34F41"/>
    <w:rsid w:val="00F3515E"/>
    <w:rsid w:val="00F3535D"/>
    <w:rsid w:val="00F3547D"/>
    <w:rsid w:val="00F35686"/>
    <w:rsid w:val="00F35E55"/>
    <w:rsid w:val="00F35E6D"/>
    <w:rsid w:val="00F35F96"/>
    <w:rsid w:val="00F3617A"/>
    <w:rsid w:val="00F3619A"/>
    <w:rsid w:val="00F362CE"/>
    <w:rsid w:val="00F36360"/>
    <w:rsid w:val="00F36A31"/>
    <w:rsid w:val="00F36C12"/>
    <w:rsid w:val="00F36EF3"/>
    <w:rsid w:val="00F37219"/>
    <w:rsid w:val="00F37629"/>
    <w:rsid w:val="00F379AD"/>
    <w:rsid w:val="00F40917"/>
    <w:rsid w:val="00F40AAA"/>
    <w:rsid w:val="00F40BA7"/>
    <w:rsid w:val="00F40F38"/>
    <w:rsid w:val="00F40F9D"/>
    <w:rsid w:val="00F415F7"/>
    <w:rsid w:val="00F41A79"/>
    <w:rsid w:val="00F41ACD"/>
    <w:rsid w:val="00F41C7A"/>
    <w:rsid w:val="00F41D3A"/>
    <w:rsid w:val="00F42076"/>
    <w:rsid w:val="00F429C7"/>
    <w:rsid w:val="00F42BDD"/>
    <w:rsid w:val="00F42D43"/>
    <w:rsid w:val="00F42E39"/>
    <w:rsid w:val="00F432FA"/>
    <w:rsid w:val="00F438D3"/>
    <w:rsid w:val="00F43A71"/>
    <w:rsid w:val="00F43C81"/>
    <w:rsid w:val="00F44063"/>
    <w:rsid w:val="00F442B2"/>
    <w:rsid w:val="00F44353"/>
    <w:rsid w:val="00F44487"/>
    <w:rsid w:val="00F44847"/>
    <w:rsid w:val="00F44B82"/>
    <w:rsid w:val="00F44C01"/>
    <w:rsid w:val="00F44CB0"/>
    <w:rsid w:val="00F44E5A"/>
    <w:rsid w:val="00F450DD"/>
    <w:rsid w:val="00F451B4"/>
    <w:rsid w:val="00F45352"/>
    <w:rsid w:val="00F45475"/>
    <w:rsid w:val="00F45585"/>
    <w:rsid w:val="00F45843"/>
    <w:rsid w:val="00F45954"/>
    <w:rsid w:val="00F45A23"/>
    <w:rsid w:val="00F45D33"/>
    <w:rsid w:val="00F46A34"/>
    <w:rsid w:val="00F46CB6"/>
    <w:rsid w:val="00F46CCF"/>
    <w:rsid w:val="00F46D2C"/>
    <w:rsid w:val="00F472FE"/>
    <w:rsid w:val="00F4756D"/>
    <w:rsid w:val="00F47DE8"/>
    <w:rsid w:val="00F50150"/>
    <w:rsid w:val="00F502A5"/>
    <w:rsid w:val="00F50532"/>
    <w:rsid w:val="00F506C0"/>
    <w:rsid w:val="00F506E3"/>
    <w:rsid w:val="00F50B93"/>
    <w:rsid w:val="00F5131B"/>
    <w:rsid w:val="00F513DE"/>
    <w:rsid w:val="00F516E4"/>
    <w:rsid w:val="00F51D02"/>
    <w:rsid w:val="00F522CE"/>
    <w:rsid w:val="00F5264F"/>
    <w:rsid w:val="00F52A9B"/>
    <w:rsid w:val="00F52B2B"/>
    <w:rsid w:val="00F52CF5"/>
    <w:rsid w:val="00F531D1"/>
    <w:rsid w:val="00F542C1"/>
    <w:rsid w:val="00F548CE"/>
    <w:rsid w:val="00F54D3A"/>
    <w:rsid w:val="00F54D78"/>
    <w:rsid w:val="00F54E55"/>
    <w:rsid w:val="00F55C9A"/>
    <w:rsid w:val="00F55E73"/>
    <w:rsid w:val="00F55EDA"/>
    <w:rsid w:val="00F560E6"/>
    <w:rsid w:val="00F561B8"/>
    <w:rsid w:val="00F561DD"/>
    <w:rsid w:val="00F5654D"/>
    <w:rsid w:val="00F56ABB"/>
    <w:rsid w:val="00F56B4D"/>
    <w:rsid w:val="00F56C80"/>
    <w:rsid w:val="00F56C81"/>
    <w:rsid w:val="00F56FBD"/>
    <w:rsid w:val="00F57514"/>
    <w:rsid w:val="00F60092"/>
    <w:rsid w:val="00F6095A"/>
    <w:rsid w:val="00F612E8"/>
    <w:rsid w:val="00F613D1"/>
    <w:rsid w:val="00F618B2"/>
    <w:rsid w:val="00F6198B"/>
    <w:rsid w:val="00F619DE"/>
    <w:rsid w:val="00F61C18"/>
    <w:rsid w:val="00F61F73"/>
    <w:rsid w:val="00F620FE"/>
    <w:rsid w:val="00F62487"/>
    <w:rsid w:val="00F627A5"/>
    <w:rsid w:val="00F627D6"/>
    <w:rsid w:val="00F62A5B"/>
    <w:rsid w:val="00F62BE9"/>
    <w:rsid w:val="00F63027"/>
    <w:rsid w:val="00F63EC9"/>
    <w:rsid w:val="00F6408F"/>
    <w:rsid w:val="00F642FE"/>
    <w:rsid w:val="00F645C7"/>
    <w:rsid w:val="00F64BA6"/>
    <w:rsid w:val="00F64BF3"/>
    <w:rsid w:val="00F65BCC"/>
    <w:rsid w:val="00F65F4B"/>
    <w:rsid w:val="00F65F64"/>
    <w:rsid w:val="00F673E0"/>
    <w:rsid w:val="00F67617"/>
    <w:rsid w:val="00F67A69"/>
    <w:rsid w:val="00F67C6E"/>
    <w:rsid w:val="00F7072F"/>
    <w:rsid w:val="00F708FD"/>
    <w:rsid w:val="00F70BFF"/>
    <w:rsid w:val="00F70C9D"/>
    <w:rsid w:val="00F711A9"/>
    <w:rsid w:val="00F714B3"/>
    <w:rsid w:val="00F71618"/>
    <w:rsid w:val="00F718C8"/>
    <w:rsid w:val="00F71E77"/>
    <w:rsid w:val="00F71EC7"/>
    <w:rsid w:val="00F720C5"/>
    <w:rsid w:val="00F72670"/>
    <w:rsid w:val="00F72D6E"/>
    <w:rsid w:val="00F72F31"/>
    <w:rsid w:val="00F72FF4"/>
    <w:rsid w:val="00F7329D"/>
    <w:rsid w:val="00F7379D"/>
    <w:rsid w:val="00F73957"/>
    <w:rsid w:val="00F73E84"/>
    <w:rsid w:val="00F7429C"/>
    <w:rsid w:val="00F747F7"/>
    <w:rsid w:val="00F748BE"/>
    <w:rsid w:val="00F74A55"/>
    <w:rsid w:val="00F74CD9"/>
    <w:rsid w:val="00F75ED2"/>
    <w:rsid w:val="00F75F01"/>
    <w:rsid w:val="00F7634E"/>
    <w:rsid w:val="00F76519"/>
    <w:rsid w:val="00F76930"/>
    <w:rsid w:val="00F769A9"/>
    <w:rsid w:val="00F769B5"/>
    <w:rsid w:val="00F76D2B"/>
    <w:rsid w:val="00F76F0B"/>
    <w:rsid w:val="00F771CB"/>
    <w:rsid w:val="00F801B6"/>
    <w:rsid w:val="00F80219"/>
    <w:rsid w:val="00F8025D"/>
    <w:rsid w:val="00F805B0"/>
    <w:rsid w:val="00F806FB"/>
    <w:rsid w:val="00F807A1"/>
    <w:rsid w:val="00F807E4"/>
    <w:rsid w:val="00F80A7B"/>
    <w:rsid w:val="00F80BF2"/>
    <w:rsid w:val="00F80E5D"/>
    <w:rsid w:val="00F810DF"/>
    <w:rsid w:val="00F81220"/>
    <w:rsid w:val="00F81388"/>
    <w:rsid w:val="00F81E78"/>
    <w:rsid w:val="00F822EA"/>
    <w:rsid w:val="00F824D5"/>
    <w:rsid w:val="00F8255D"/>
    <w:rsid w:val="00F8260B"/>
    <w:rsid w:val="00F82DA0"/>
    <w:rsid w:val="00F82EB8"/>
    <w:rsid w:val="00F83101"/>
    <w:rsid w:val="00F84013"/>
    <w:rsid w:val="00F84176"/>
    <w:rsid w:val="00F8497F"/>
    <w:rsid w:val="00F84AAF"/>
    <w:rsid w:val="00F84D29"/>
    <w:rsid w:val="00F84D37"/>
    <w:rsid w:val="00F84F8D"/>
    <w:rsid w:val="00F850D0"/>
    <w:rsid w:val="00F851CE"/>
    <w:rsid w:val="00F85936"/>
    <w:rsid w:val="00F85954"/>
    <w:rsid w:val="00F86127"/>
    <w:rsid w:val="00F864D0"/>
    <w:rsid w:val="00F86996"/>
    <w:rsid w:val="00F869E5"/>
    <w:rsid w:val="00F86BB6"/>
    <w:rsid w:val="00F8700C"/>
    <w:rsid w:val="00F8730C"/>
    <w:rsid w:val="00F87E26"/>
    <w:rsid w:val="00F902D0"/>
    <w:rsid w:val="00F9093B"/>
    <w:rsid w:val="00F90A9E"/>
    <w:rsid w:val="00F90AE1"/>
    <w:rsid w:val="00F90DB4"/>
    <w:rsid w:val="00F91219"/>
    <w:rsid w:val="00F91541"/>
    <w:rsid w:val="00F91691"/>
    <w:rsid w:val="00F9201A"/>
    <w:rsid w:val="00F92022"/>
    <w:rsid w:val="00F920DF"/>
    <w:rsid w:val="00F92444"/>
    <w:rsid w:val="00F92446"/>
    <w:rsid w:val="00F927CE"/>
    <w:rsid w:val="00F92800"/>
    <w:rsid w:val="00F92AB1"/>
    <w:rsid w:val="00F92D06"/>
    <w:rsid w:val="00F9331F"/>
    <w:rsid w:val="00F9393E"/>
    <w:rsid w:val="00F93EB4"/>
    <w:rsid w:val="00F94073"/>
    <w:rsid w:val="00F94265"/>
    <w:rsid w:val="00F9478B"/>
    <w:rsid w:val="00F949CC"/>
    <w:rsid w:val="00F94B62"/>
    <w:rsid w:val="00F95EDE"/>
    <w:rsid w:val="00F9684E"/>
    <w:rsid w:val="00F96B72"/>
    <w:rsid w:val="00F96F51"/>
    <w:rsid w:val="00F96FD0"/>
    <w:rsid w:val="00F971C3"/>
    <w:rsid w:val="00F973EC"/>
    <w:rsid w:val="00F977CE"/>
    <w:rsid w:val="00F978B0"/>
    <w:rsid w:val="00F97A78"/>
    <w:rsid w:val="00FA0095"/>
    <w:rsid w:val="00FA0325"/>
    <w:rsid w:val="00FA0938"/>
    <w:rsid w:val="00FA0B20"/>
    <w:rsid w:val="00FA10BA"/>
    <w:rsid w:val="00FA1851"/>
    <w:rsid w:val="00FA1A17"/>
    <w:rsid w:val="00FA24E7"/>
    <w:rsid w:val="00FA294F"/>
    <w:rsid w:val="00FA2F1B"/>
    <w:rsid w:val="00FA2F6B"/>
    <w:rsid w:val="00FA33E1"/>
    <w:rsid w:val="00FA3655"/>
    <w:rsid w:val="00FA37C0"/>
    <w:rsid w:val="00FA43EE"/>
    <w:rsid w:val="00FA472F"/>
    <w:rsid w:val="00FA4AD4"/>
    <w:rsid w:val="00FA4AF7"/>
    <w:rsid w:val="00FA5A34"/>
    <w:rsid w:val="00FA5EE6"/>
    <w:rsid w:val="00FA6560"/>
    <w:rsid w:val="00FA6768"/>
    <w:rsid w:val="00FA67D3"/>
    <w:rsid w:val="00FA691C"/>
    <w:rsid w:val="00FA7276"/>
    <w:rsid w:val="00FA76AE"/>
    <w:rsid w:val="00FA7956"/>
    <w:rsid w:val="00FB0124"/>
    <w:rsid w:val="00FB0141"/>
    <w:rsid w:val="00FB07AE"/>
    <w:rsid w:val="00FB0883"/>
    <w:rsid w:val="00FB09DB"/>
    <w:rsid w:val="00FB09F2"/>
    <w:rsid w:val="00FB0C14"/>
    <w:rsid w:val="00FB109E"/>
    <w:rsid w:val="00FB10F8"/>
    <w:rsid w:val="00FB12CA"/>
    <w:rsid w:val="00FB19D9"/>
    <w:rsid w:val="00FB1C81"/>
    <w:rsid w:val="00FB1F47"/>
    <w:rsid w:val="00FB226C"/>
    <w:rsid w:val="00FB22DD"/>
    <w:rsid w:val="00FB27C6"/>
    <w:rsid w:val="00FB2D19"/>
    <w:rsid w:val="00FB2FCB"/>
    <w:rsid w:val="00FB30DE"/>
    <w:rsid w:val="00FB3137"/>
    <w:rsid w:val="00FB3157"/>
    <w:rsid w:val="00FB3279"/>
    <w:rsid w:val="00FB3F08"/>
    <w:rsid w:val="00FB465F"/>
    <w:rsid w:val="00FB53BE"/>
    <w:rsid w:val="00FB5522"/>
    <w:rsid w:val="00FB5D03"/>
    <w:rsid w:val="00FB5EC8"/>
    <w:rsid w:val="00FB6832"/>
    <w:rsid w:val="00FB7030"/>
    <w:rsid w:val="00FB7808"/>
    <w:rsid w:val="00FB7C55"/>
    <w:rsid w:val="00FB7FE5"/>
    <w:rsid w:val="00FC03F2"/>
    <w:rsid w:val="00FC03FA"/>
    <w:rsid w:val="00FC0402"/>
    <w:rsid w:val="00FC05B4"/>
    <w:rsid w:val="00FC0694"/>
    <w:rsid w:val="00FC0A37"/>
    <w:rsid w:val="00FC1074"/>
    <w:rsid w:val="00FC10B7"/>
    <w:rsid w:val="00FC118B"/>
    <w:rsid w:val="00FC11FD"/>
    <w:rsid w:val="00FC1561"/>
    <w:rsid w:val="00FC1884"/>
    <w:rsid w:val="00FC2155"/>
    <w:rsid w:val="00FC26F6"/>
    <w:rsid w:val="00FC2DC4"/>
    <w:rsid w:val="00FC2F75"/>
    <w:rsid w:val="00FC33E5"/>
    <w:rsid w:val="00FC357B"/>
    <w:rsid w:val="00FC371D"/>
    <w:rsid w:val="00FC3A7C"/>
    <w:rsid w:val="00FC3BE9"/>
    <w:rsid w:val="00FC3D48"/>
    <w:rsid w:val="00FC424B"/>
    <w:rsid w:val="00FC436B"/>
    <w:rsid w:val="00FC454C"/>
    <w:rsid w:val="00FC46E3"/>
    <w:rsid w:val="00FC4A83"/>
    <w:rsid w:val="00FC4B7F"/>
    <w:rsid w:val="00FC5334"/>
    <w:rsid w:val="00FC58DD"/>
    <w:rsid w:val="00FC5972"/>
    <w:rsid w:val="00FC5A80"/>
    <w:rsid w:val="00FC5EBB"/>
    <w:rsid w:val="00FC5F0B"/>
    <w:rsid w:val="00FC601C"/>
    <w:rsid w:val="00FC60C2"/>
    <w:rsid w:val="00FC62C4"/>
    <w:rsid w:val="00FC7441"/>
    <w:rsid w:val="00FC7534"/>
    <w:rsid w:val="00FD037F"/>
    <w:rsid w:val="00FD05EA"/>
    <w:rsid w:val="00FD07BD"/>
    <w:rsid w:val="00FD0AF7"/>
    <w:rsid w:val="00FD0BBC"/>
    <w:rsid w:val="00FD0F1F"/>
    <w:rsid w:val="00FD12EC"/>
    <w:rsid w:val="00FD13F2"/>
    <w:rsid w:val="00FD1B42"/>
    <w:rsid w:val="00FD1D0C"/>
    <w:rsid w:val="00FD1D71"/>
    <w:rsid w:val="00FD2100"/>
    <w:rsid w:val="00FD2AB6"/>
    <w:rsid w:val="00FD30D2"/>
    <w:rsid w:val="00FD36F4"/>
    <w:rsid w:val="00FD3C95"/>
    <w:rsid w:val="00FD3E7A"/>
    <w:rsid w:val="00FD436C"/>
    <w:rsid w:val="00FD446D"/>
    <w:rsid w:val="00FD4701"/>
    <w:rsid w:val="00FD4921"/>
    <w:rsid w:val="00FD4F2C"/>
    <w:rsid w:val="00FD4F5C"/>
    <w:rsid w:val="00FD53D2"/>
    <w:rsid w:val="00FD5D93"/>
    <w:rsid w:val="00FD6362"/>
    <w:rsid w:val="00FD6394"/>
    <w:rsid w:val="00FD6D98"/>
    <w:rsid w:val="00FD7200"/>
    <w:rsid w:val="00FD72D3"/>
    <w:rsid w:val="00FD7DCA"/>
    <w:rsid w:val="00FE0438"/>
    <w:rsid w:val="00FE0DA4"/>
    <w:rsid w:val="00FE0E6C"/>
    <w:rsid w:val="00FE0F48"/>
    <w:rsid w:val="00FE1033"/>
    <w:rsid w:val="00FE121A"/>
    <w:rsid w:val="00FE142A"/>
    <w:rsid w:val="00FE16DC"/>
    <w:rsid w:val="00FE1CDC"/>
    <w:rsid w:val="00FE1D8A"/>
    <w:rsid w:val="00FE1E3F"/>
    <w:rsid w:val="00FE2564"/>
    <w:rsid w:val="00FE40A1"/>
    <w:rsid w:val="00FE40D1"/>
    <w:rsid w:val="00FE460D"/>
    <w:rsid w:val="00FE4968"/>
    <w:rsid w:val="00FE4B66"/>
    <w:rsid w:val="00FE4E4B"/>
    <w:rsid w:val="00FE548C"/>
    <w:rsid w:val="00FE54BA"/>
    <w:rsid w:val="00FE62D2"/>
    <w:rsid w:val="00FE6769"/>
    <w:rsid w:val="00FE70C3"/>
    <w:rsid w:val="00FE774D"/>
    <w:rsid w:val="00FE7CA7"/>
    <w:rsid w:val="00FE7F3C"/>
    <w:rsid w:val="00FE7FFA"/>
    <w:rsid w:val="00FF03C3"/>
    <w:rsid w:val="00FF0546"/>
    <w:rsid w:val="00FF0E01"/>
    <w:rsid w:val="00FF14AD"/>
    <w:rsid w:val="00FF1F00"/>
    <w:rsid w:val="00FF2353"/>
    <w:rsid w:val="00FF2404"/>
    <w:rsid w:val="00FF26AD"/>
    <w:rsid w:val="00FF2AD9"/>
    <w:rsid w:val="00FF2CCE"/>
    <w:rsid w:val="00FF349E"/>
    <w:rsid w:val="00FF3508"/>
    <w:rsid w:val="00FF359F"/>
    <w:rsid w:val="00FF3818"/>
    <w:rsid w:val="00FF38B7"/>
    <w:rsid w:val="00FF3AA9"/>
    <w:rsid w:val="00FF3DCF"/>
    <w:rsid w:val="00FF40A3"/>
    <w:rsid w:val="00FF434B"/>
    <w:rsid w:val="00FF4372"/>
    <w:rsid w:val="00FF492C"/>
    <w:rsid w:val="00FF4A21"/>
    <w:rsid w:val="00FF5305"/>
    <w:rsid w:val="00FF567F"/>
    <w:rsid w:val="00FF5AA3"/>
    <w:rsid w:val="00FF5AD8"/>
    <w:rsid w:val="00FF5DF7"/>
    <w:rsid w:val="00FF6127"/>
    <w:rsid w:val="00FF6652"/>
    <w:rsid w:val="00FF6B7E"/>
    <w:rsid w:val="00FF6C92"/>
    <w:rsid w:val="00FF73BA"/>
    <w:rsid w:val="00FF748A"/>
    <w:rsid w:val="00FF7920"/>
    <w:rsid w:val="00FF797C"/>
    <w:rsid w:val="00FF7B51"/>
    <w:rsid w:val="00FF7ED7"/>
    <w:rsid w:val="00FF7F2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3DA"/>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B92248"/>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1"/>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basedOn w:val="Normal"/>
    <w:link w:val="HeaderChar"/>
    <w:unhideWhenUsed/>
    <w:qFormat/>
    <w:rsid w:val="009739D2"/>
    <w:pPr>
      <w:tabs>
        <w:tab w:val="center" w:pos="4513"/>
        <w:tab w:val="right" w:pos="9026"/>
      </w:tabs>
    </w:pPr>
  </w:style>
  <w:style w:type="character" w:customStyle="1" w:styleId="HeaderChar">
    <w:name w:val="Header Char"/>
    <w:basedOn w:val="DefaultParagraphFont"/>
    <w:link w:val="Header"/>
    <w:rsid w:val="009739D2"/>
    <w:rPr>
      <w:rFonts w:ascii="Calibri" w:hAnsi="Calibri" w:cs="Arial"/>
      <w:sz w:val="24"/>
      <w:szCs w:val="24"/>
    </w:rPr>
  </w:style>
  <w:style w:type="paragraph" w:styleId="Footer">
    <w:name w:val="footer"/>
    <w:basedOn w:val="Normal"/>
    <w:link w:val="FooterChar"/>
    <w:uiPriority w:val="99"/>
    <w:unhideWhenUsed/>
    <w:rsid w:val="009739D2"/>
    <w:pPr>
      <w:tabs>
        <w:tab w:val="center" w:pos="4513"/>
        <w:tab w:val="right" w:pos="9026"/>
      </w:tabs>
    </w:pPr>
  </w:style>
  <w:style w:type="character" w:customStyle="1" w:styleId="FooterChar">
    <w:name w:val="Footer Char"/>
    <w:basedOn w:val="DefaultParagraphFont"/>
    <w:link w:val="Footer"/>
    <w:uiPriority w:val="99"/>
    <w:rsid w:val="009739D2"/>
    <w:rPr>
      <w:rFonts w:ascii="Calibri" w:hAnsi="Calibri" w:cs="Arial"/>
      <w:sz w:val="24"/>
      <w:szCs w:val="24"/>
    </w:rPr>
  </w:style>
  <w:style w:type="paragraph" w:styleId="ListParagraph">
    <w:name w:val="List Paragraph"/>
    <w:aliases w:val="Styl moj,Akapit z listą1,Akapit z listą11,BulletPoints,Bullets Points,Numbered para,List Paragraph1,Bullet1,Footnote,Bullet point,List Paragraph11,Recommendation,ES Paragraph,PBAC ES Paragraph,PBAC normal points,L,Bullet Point,FooterText"/>
    <w:basedOn w:val="Normal"/>
    <w:link w:val="ListParagraphChar"/>
    <w:uiPriority w:val="34"/>
    <w:qFormat/>
    <w:rsid w:val="00E977E3"/>
    <w:pPr>
      <w:ind w:left="720"/>
      <w:contextualSpacing/>
    </w:pPr>
  </w:style>
  <w:style w:type="character" w:styleId="CommentReference">
    <w:name w:val="annotation reference"/>
    <w:basedOn w:val="DefaultParagraphFont"/>
    <w:uiPriority w:val="99"/>
    <w:semiHidden/>
    <w:unhideWhenUsed/>
    <w:rsid w:val="00AE687B"/>
    <w:rPr>
      <w:sz w:val="16"/>
      <w:szCs w:val="16"/>
    </w:rPr>
  </w:style>
  <w:style w:type="paragraph" w:styleId="CommentText">
    <w:name w:val="annotation text"/>
    <w:basedOn w:val="Normal"/>
    <w:link w:val="CommentTextChar"/>
    <w:uiPriority w:val="99"/>
    <w:unhideWhenUsed/>
    <w:rsid w:val="00AE687B"/>
    <w:rPr>
      <w:sz w:val="20"/>
      <w:szCs w:val="20"/>
    </w:rPr>
  </w:style>
  <w:style w:type="character" w:customStyle="1" w:styleId="CommentTextChar">
    <w:name w:val="Comment Text Char"/>
    <w:basedOn w:val="DefaultParagraphFont"/>
    <w:link w:val="CommentText"/>
    <w:uiPriority w:val="99"/>
    <w:rsid w:val="00AE687B"/>
    <w:rPr>
      <w:rFonts w:ascii="Calibri" w:hAnsi="Calibri" w:cs="Arial"/>
    </w:rPr>
  </w:style>
  <w:style w:type="paragraph" w:styleId="CommentSubject">
    <w:name w:val="annotation subject"/>
    <w:basedOn w:val="CommentText"/>
    <w:next w:val="CommentText"/>
    <w:link w:val="CommentSubjectChar"/>
    <w:semiHidden/>
    <w:unhideWhenUsed/>
    <w:rsid w:val="00AE687B"/>
    <w:rPr>
      <w:b/>
      <w:bCs/>
    </w:rPr>
  </w:style>
  <w:style w:type="character" w:customStyle="1" w:styleId="CommentSubjectChar">
    <w:name w:val="Comment Subject Char"/>
    <w:basedOn w:val="CommentTextChar"/>
    <w:link w:val="CommentSubject"/>
    <w:semiHidden/>
    <w:rsid w:val="00AE687B"/>
    <w:rPr>
      <w:rFonts w:ascii="Calibri" w:hAnsi="Calibri" w:cs="Arial"/>
      <w:b/>
      <w:bCs/>
    </w:rPr>
  </w:style>
  <w:style w:type="paragraph" w:customStyle="1" w:styleId="TableBullet">
    <w:name w:val="Table Bullet"/>
    <w:basedOn w:val="TableText"/>
    <w:qFormat/>
    <w:rsid w:val="00CB3A7E"/>
    <w:pPr>
      <w:keepNext w:val="0"/>
      <w:numPr>
        <w:numId w:val="5"/>
      </w:numPr>
      <w:tabs>
        <w:tab w:val="num" w:pos="360"/>
      </w:tabs>
      <w:spacing w:before="40" w:after="40"/>
      <w:ind w:left="0" w:firstLine="0"/>
    </w:pPr>
    <w:rPr>
      <w:rFonts w:eastAsia="Calibri" w:cs="Times New Roman"/>
      <w:bCs w:val="0"/>
      <w:szCs w:val="22"/>
      <w:lang w:eastAsia="en-US"/>
    </w:rPr>
  </w:style>
  <w:style w:type="character" w:customStyle="1" w:styleId="UnresolvedMention1">
    <w:name w:val="Unresolved Mention1"/>
    <w:basedOn w:val="DefaultParagraphFont"/>
    <w:uiPriority w:val="99"/>
    <w:semiHidden/>
    <w:unhideWhenUsed/>
    <w:rsid w:val="00C0677E"/>
    <w:rPr>
      <w:color w:val="605E5C"/>
      <w:shd w:val="clear" w:color="auto" w:fill="E1DFDD"/>
    </w:rPr>
  </w:style>
  <w:style w:type="character" w:customStyle="1" w:styleId="ListParagraphChar">
    <w:name w:val="List Paragraph Char"/>
    <w:aliases w:val="Styl moj Char,Akapit z listą1 Char,Akapit z listą11 Char,BulletPoints Char,Bullets Points Char,Numbered para Char,List Paragraph1 Char,Bullet1 Char,Footnote Char,Bullet point Char,List Paragraph11 Char,Recommendation Char,L Char"/>
    <w:link w:val="ListParagraph"/>
    <w:uiPriority w:val="34"/>
    <w:qFormat/>
    <w:rsid w:val="004E1AC3"/>
    <w:rPr>
      <w:rFonts w:ascii="Calibri" w:hAnsi="Calibri" w:cs="Arial"/>
      <w:sz w:val="24"/>
      <w:szCs w:val="24"/>
    </w:rPr>
  </w:style>
  <w:style w:type="paragraph" w:customStyle="1" w:styleId="TableHeading">
    <w:name w:val="Table Heading"/>
    <w:basedOn w:val="Normal"/>
    <w:link w:val="TableHeadingChar"/>
    <w:qFormat/>
    <w:rsid w:val="006E3800"/>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6E3800"/>
    <w:rPr>
      <w:rFonts w:ascii="Arial Narrow" w:eastAsiaTheme="minorHAnsi" w:hAnsi="Arial Narrow" w:cstheme="minorBidi"/>
      <w:b/>
      <w:szCs w:val="22"/>
      <w:lang w:eastAsia="en-US"/>
    </w:rPr>
  </w:style>
  <w:style w:type="character" w:customStyle="1" w:styleId="NoSpacingChar">
    <w:name w:val="No Spacing Char"/>
    <w:aliases w:val="Main text Char,Title Page text Char"/>
    <w:link w:val="NoSpacing"/>
    <w:uiPriority w:val="1"/>
    <w:locked/>
    <w:rsid w:val="00696435"/>
    <w:rPr>
      <w:rFonts w:ascii="Garamond" w:hAnsi="Garamond"/>
      <w:sz w:val="22"/>
      <w:lang w:eastAsia="en-US"/>
    </w:rPr>
  </w:style>
  <w:style w:type="paragraph" w:styleId="NoSpacing">
    <w:name w:val="No Spacing"/>
    <w:aliases w:val="Main text,Title Page text"/>
    <w:link w:val="NoSpacingChar"/>
    <w:uiPriority w:val="1"/>
    <w:qFormat/>
    <w:rsid w:val="00696435"/>
    <w:pPr>
      <w:spacing w:line="360" w:lineRule="auto"/>
      <w:jc w:val="both"/>
    </w:pPr>
    <w:rPr>
      <w:rFonts w:ascii="Garamond" w:hAnsi="Garamond"/>
      <w:sz w:val="22"/>
      <w:lang w:eastAsia="en-US"/>
    </w:rPr>
  </w:style>
  <w:style w:type="paragraph" w:customStyle="1" w:styleId="TableFooter">
    <w:name w:val="Table Footer"/>
    <w:basedOn w:val="Normal"/>
    <w:link w:val="TableFooterChar"/>
    <w:qFormat/>
    <w:rsid w:val="00F2041E"/>
    <w:pPr>
      <w:widowControl w:val="0"/>
    </w:pPr>
    <w:rPr>
      <w:rFonts w:ascii="Arial Narrow" w:hAnsi="Arial Narrow"/>
      <w:snapToGrid w:val="0"/>
      <w:sz w:val="18"/>
      <w:szCs w:val="22"/>
      <w:lang w:eastAsia="en-US"/>
    </w:rPr>
  </w:style>
  <w:style w:type="character" w:customStyle="1" w:styleId="TableFooterChar">
    <w:name w:val="Table Footer Char"/>
    <w:link w:val="TableFooter"/>
    <w:rsid w:val="00F2041E"/>
    <w:rPr>
      <w:rFonts w:ascii="Arial Narrow" w:hAnsi="Arial Narrow" w:cs="Arial"/>
      <w:snapToGrid w:val="0"/>
      <w:sz w:val="18"/>
      <w:szCs w:val="22"/>
      <w:lang w:eastAsia="en-US"/>
    </w:rPr>
  </w:style>
  <w:style w:type="table" w:customStyle="1" w:styleId="TableGrid1">
    <w:name w:val="Table Grid1"/>
    <w:basedOn w:val="TableNormal"/>
    <w:next w:val="TableGrid"/>
    <w:uiPriority w:val="39"/>
    <w:rsid w:val="00F00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C72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uiPriority w:val="59"/>
    <w:rsid w:val="003073B1"/>
    <w:rPr>
      <w:rFonts w:ascii="Arial Narrow" w:hAnsi="Arial Narro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97916"/>
    <w:pPr>
      <w:keepNext/>
      <w:keepLines/>
      <w:spacing w:before="240" w:line="259" w:lineRule="auto"/>
      <w:ind w:left="0" w:firstLine="0"/>
      <w:jc w:val="left"/>
      <w:outlineLvl w:val="9"/>
    </w:pPr>
    <w:rPr>
      <w:rFonts w:asciiTheme="majorHAnsi" w:eastAsiaTheme="majorEastAsia" w:hAnsiTheme="majorHAnsi" w:cstheme="majorBidi"/>
      <w:b w:val="0"/>
      <w:caps w:val="0"/>
      <w:color w:val="365F91" w:themeColor="accent1" w:themeShade="BF"/>
      <w:szCs w:val="32"/>
      <w:lang w:val="en-US" w:eastAsia="en-US"/>
    </w:rPr>
  </w:style>
  <w:style w:type="paragraph" w:styleId="TOC4">
    <w:name w:val="toc 4"/>
    <w:basedOn w:val="Normal"/>
    <w:next w:val="Normal"/>
    <w:autoRedefine/>
    <w:uiPriority w:val="39"/>
    <w:unhideWhenUsed/>
    <w:rsid w:val="00597916"/>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97916"/>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97916"/>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97916"/>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97916"/>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97916"/>
    <w:pPr>
      <w:spacing w:after="100" w:line="259" w:lineRule="auto"/>
      <w:ind w:left="1760"/>
      <w:jc w:val="left"/>
    </w:pPr>
    <w:rPr>
      <w:rFonts w:asciiTheme="minorHAnsi" w:eastAsiaTheme="minorEastAsia" w:hAnsiTheme="minorHAnsi" w:cstheme="minorBidi"/>
      <w:sz w:val="22"/>
      <w:szCs w:val="22"/>
    </w:rPr>
  </w:style>
  <w:style w:type="paragraph" w:customStyle="1" w:styleId="PBACHeading1">
    <w:name w:val="PBAC Heading 1"/>
    <w:qFormat/>
    <w:rsid w:val="008C34A2"/>
    <w:pPr>
      <w:ind w:left="720" w:hanging="720"/>
      <w:outlineLvl w:val="0"/>
    </w:pPr>
    <w:rPr>
      <w:rFonts w:ascii="Calibri" w:hAnsi="Calibri" w:cs="Calibri"/>
      <w:b/>
      <w:snapToGrid w:val="0"/>
      <w:sz w:val="32"/>
      <w:szCs w:val="32"/>
      <w:lang w:eastAsia="en-US"/>
    </w:rPr>
  </w:style>
  <w:style w:type="paragraph" w:styleId="Subtitle">
    <w:name w:val="Subtitle"/>
    <w:basedOn w:val="Normal"/>
    <w:link w:val="SubtitleChar"/>
    <w:qFormat/>
    <w:rsid w:val="00E513D4"/>
    <w:rPr>
      <w:rFonts w:ascii="Times New Roman" w:hAnsi="Times New Roman" w:cs="Times New Roman"/>
      <w:b/>
      <w:szCs w:val="20"/>
    </w:rPr>
  </w:style>
  <w:style w:type="character" w:customStyle="1" w:styleId="SubtitleChar">
    <w:name w:val="Subtitle Char"/>
    <w:basedOn w:val="DefaultParagraphFont"/>
    <w:link w:val="Subtitle"/>
    <w:rsid w:val="00E513D4"/>
    <w:rPr>
      <w:b/>
      <w:sz w:val="24"/>
    </w:rPr>
  </w:style>
  <w:style w:type="paragraph" w:styleId="NormalWeb">
    <w:name w:val="Normal (Web)"/>
    <w:basedOn w:val="Normal"/>
    <w:uiPriority w:val="99"/>
    <w:semiHidden/>
    <w:unhideWhenUsed/>
    <w:rsid w:val="00FE121A"/>
    <w:pPr>
      <w:spacing w:before="100" w:beforeAutospacing="1" w:after="100" w:afterAutospacing="1"/>
      <w:jc w:val="left"/>
    </w:pPr>
    <w:rPr>
      <w:rFonts w:ascii="Times New Roman" w:hAnsi="Times New Roman" w:cs="Times New Roman"/>
    </w:rPr>
  </w:style>
  <w:style w:type="paragraph" w:customStyle="1" w:styleId="3-BodyText">
    <w:name w:val="3-Body Text"/>
    <w:link w:val="3-BodyTextChar"/>
    <w:qFormat/>
    <w:rsid w:val="000A2D36"/>
    <w:pPr>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DefaultParagraphFont"/>
    <w:link w:val="3-BodyText"/>
    <w:rsid w:val="000A2D36"/>
    <w:rPr>
      <w:rFonts w:asciiTheme="minorHAnsi" w:eastAsiaTheme="minorHAnsi" w:hAnsiTheme="minorHAnsi" w:cstheme="minorBidi"/>
      <w:sz w:val="24"/>
      <w:szCs w:val="22"/>
    </w:rPr>
  </w:style>
  <w:style w:type="paragraph" w:customStyle="1" w:styleId="01BODYTEXT">
    <w:name w:val="01. BODY TEXT"/>
    <w:link w:val="01BODYTEXTChar"/>
    <w:uiPriority w:val="99"/>
    <w:qFormat/>
    <w:rsid w:val="007D0A76"/>
    <w:pPr>
      <w:spacing w:before="240"/>
    </w:pPr>
    <w:rPr>
      <w:rFonts w:ascii="Arial" w:eastAsia="Calibri" w:hAnsi="Arial"/>
      <w:sz w:val="22"/>
      <w:szCs w:val="22"/>
      <w:lang w:eastAsia="en-US"/>
    </w:rPr>
  </w:style>
  <w:style w:type="paragraph" w:customStyle="1" w:styleId="08Bulletsseriesofsentences">
    <w:name w:val="08. Bullets – series of sentences"/>
    <w:uiPriority w:val="99"/>
    <w:qFormat/>
    <w:rsid w:val="007D0A76"/>
    <w:pPr>
      <w:numPr>
        <w:numId w:val="34"/>
      </w:numPr>
      <w:spacing w:before="120"/>
    </w:pPr>
    <w:rPr>
      <w:rFonts w:ascii="Arial" w:eastAsia="Calibri" w:hAnsi="Arial"/>
      <w:sz w:val="22"/>
      <w:szCs w:val="22"/>
      <w:lang w:eastAsia="en-US"/>
    </w:rPr>
  </w:style>
  <w:style w:type="character" w:customStyle="1" w:styleId="01BODYTEXTChar">
    <w:name w:val="01. BODY TEXT Char"/>
    <w:basedOn w:val="DefaultParagraphFont"/>
    <w:link w:val="01BODYTEXT"/>
    <w:uiPriority w:val="99"/>
    <w:rsid w:val="007D0A76"/>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758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9809219">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9165836">
      <w:bodyDiv w:val="1"/>
      <w:marLeft w:val="0"/>
      <w:marRight w:val="0"/>
      <w:marTop w:val="0"/>
      <w:marBottom w:val="0"/>
      <w:divBdr>
        <w:top w:val="none" w:sz="0" w:space="0" w:color="auto"/>
        <w:left w:val="none" w:sz="0" w:space="0" w:color="auto"/>
        <w:bottom w:val="none" w:sz="0" w:space="0" w:color="auto"/>
        <w:right w:val="none" w:sz="0" w:space="0" w:color="auto"/>
      </w:divBdr>
    </w:div>
    <w:div w:id="351345285">
      <w:bodyDiv w:val="1"/>
      <w:marLeft w:val="0"/>
      <w:marRight w:val="0"/>
      <w:marTop w:val="0"/>
      <w:marBottom w:val="0"/>
      <w:divBdr>
        <w:top w:val="none" w:sz="0" w:space="0" w:color="auto"/>
        <w:left w:val="none" w:sz="0" w:space="0" w:color="auto"/>
        <w:bottom w:val="none" w:sz="0" w:space="0" w:color="auto"/>
        <w:right w:val="none" w:sz="0" w:space="0" w:color="auto"/>
      </w:divBdr>
    </w:div>
    <w:div w:id="493766231">
      <w:bodyDiv w:val="1"/>
      <w:marLeft w:val="0"/>
      <w:marRight w:val="0"/>
      <w:marTop w:val="0"/>
      <w:marBottom w:val="0"/>
      <w:divBdr>
        <w:top w:val="none" w:sz="0" w:space="0" w:color="auto"/>
        <w:left w:val="none" w:sz="0" w:space="0" w:color="auto"/>
        <w:bottom w:val="none" w:sz="0" w:space="0" w:color="auto"/>
        <w:right w:val="none" w:sz="0" w:space="0" w:color="auto"/>
      </w:divBdr>
    </w:div>
    <w:div w:id="74180269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6716">
      <w:bodyDiv w:val="1"/>
      <w:marLeft w:val="0"/>
      <w:marRight w:val="0"/>
      <w:marTop w:val="0"/>
      <w:marBottom w:val="0"/>
      <w:divBdr>
        <w:top w:val="none" w:sz="0" w:space="0" w:color="auto"/>
        <w:left w:val="none" w:sz="0" w:space="0" w:color="auto"/>
        <w:bottom w:val="none" w:sz="0" w:space="0" w:color="auto"/>
        <w:right w:val="none" w:sz="0" w:space="0" w:color="auto"/>
      </w:divBdr>
    </w:div>
    <w:div w:id="1468208204">
      <w:bodyDiv w:val="1"/>
      <w:marLeft w:val="0"/>
      <w:marRight w:val="0"/>
      <w:marTop w:val="0"/>
      <w:marBottom w:val="0"/>
      <w:divBdr>
        <w:top w:val="none" w:sz="0" w:space="0" w:color="auto"/>
        <w:left w:val="none" w:sz="0" w:space="0" w:color="auto"/>
        <w:bottom w:val="none" w:sz="0" w:space="0" w:color="auto"/>
        <w:right w:val="none" w:sz="0" w:space="0" w:color="auto"/>
      </w:divBdr>
    </w:div>
    <w:div w:id="1488479004">
      <w:bodyDiv w:val="1"/>
      <w:marLeft w:val="0"/>
      <w:marRight w:val="0"/>
      <w:marTop w:val="0"/>
      <w:marBottom w:val="0"/>
      <w:divBdr>
        <w:top w:val="none" w:sz="0" w:space="0" w:color="auto"/>
        <w:left w:val="none" w:sz="0" w:space="0" w:color="auto"/>
        <w:bottom w:val="none" w:sz="0" w:space="0" w:color="auto"/>
        <w:right w:val="none" w:sz="0" w:space="0" w:color="auto"/>
      </w:divBdr>
    </w:div>
    <w:div w:id="1491091760">
      <w:bodyDiv w:val="1"/>
      <w:marLeft w:val="0"/>
      <w:marRight w:val="0"/>
      <w:marTop w:val="0"/>
      <w:marBottom w:val="0"/>
      <w:divBdr>
        <w:top w:val="none" w:sz="0" w:space="0" w:color="auto"/>
        <w:left w:val="none" w:sz="0" w:space="0" w:color="auto"/>
        <w:bottom w:val="none" w:sz="0" w:space="0" w:color="auto"/>
        <w:right w:val="none" w:sz="0" w:space="0" w:color="auto"/>
      </w:divBdr>
    </w:div>
    <w:div w:id="175303869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24165784">
      <w:bodyDiv w:val="1"/>
      <w:marLeft w:val="0"/>
      <w:marRight w:val="0"/>
      <w:marTop w:val="0"/>
      <w:marBottom w:val="0"/>
      <w:divBdr>
        <w:top w:val="none" w:sz="0" w:space="0" w:color="auto"/>
        <w:left w:val="none" w:sz="0" w:space="0" w:color="auto"/>
        <w:bottom w:val="none" w:sz="0" w:space="0" w:color="auto"/>
        <w:right w:val="none" w:sz="0" w:space="0" w:color="auto"/>
      </w:divBdr>
      <w:divsChild>
        <w:div w:id="875778919">
          <w:marLeft w:val="1080"/>
          <w:marRight w:val="0"/>
          <w:marTop w:val="100"/>
          <w:marBottom w:val="0"/>
          <w:divBdr>
            <w:top w:val="none" w:sz="0" w:space="0" w:color="auto"/>
            <w:left w:val="none" w:sz="0" w:space="0" w:color="auto"/>
            <w:bottom w:val="none" w:sz="0" w:space="0" w:color="auto"/>
            <w:right w:val="none" w:sz="0" w:space="0" w:color="auto"/>
          </w:divBdr>
        </w:div>
        <w:div w:id="1518274667">
          <w:marLeft w:val="1080"/>
          <w:marRight w:val="0"/>
          <w:marTop w:val="100"/>
          <w:marBottom w:val="0"/>
          <w:divBdr>
            <w:top w:val="none" w:sz="0" w:space="0" w:color="auto"/>
            <w:left w:val="none" w:sz="0" w:space="0" w:color="auto"/>
            <w:bottom w:val="none" w:sz="0" w:space="0" w:color="auto"/>
            <w:right w:val="none" w:sz="0" w:space="0" w:color="auto"/>
          </w:divBdr>
        </w:div>
        <w:div w:id="2072076218">
          <w:marLeft w:val="1080"/>
          <w:marRight w:val="0"/>
          <w:marTop w:val="100"/>
          <w:marBottom w:val="0"/>
          <w:divBdr>
            <w:top w:val="none" w:sz="0" w:space="0" w:color="auto"/>
            <w:left w:val="none" w:sz="0" w:space="0" w:color="auto"/>
            <w:bottom w:val="none" w:sz="0" w:space="0" w:color="auto"/>
            <w:right w:val="none" w:sz="0" w:space="0" w:color="auto"/>
          </w:divBdr>
        </w:div>
      </w:divsChild>
    </w:div>
    <w:div w:id="2036879799">
      <w:bodyDiv w:val="1"/>
      <w:marLeft w:val="0"/>
      <w:marRight w:val="0"/>
      <w:marTop w:val="0"/>
      <w:marBottom w:val="0"/>
      <w:divBdr>
        <w:top w:val="none" w:sz="0" w:space="0" w:color="auto"/>
        <w:left w:val="none" w:sz="0" w:space="0" w:color="auto"/>
        <w:bottom w:val="none" w:sz="0" w:space="0" w:color="auto"/>
        <w:right w:val="none" w:sz="0" w:space="0" w:color="auto"/>
      </w:divBdr>
    </w:div>
    <w:div w:id="210660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463A1-C500-4698-AF83-AC99737D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20029</Words>
  <Characters>119144</Characters>
  <Application>Microsoft Office Word</Application>
  <DocSecurity>0</DocSecurity>
  <Lines>992</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2021-10-26T01:50:00Z</dcterms:created>
  <dcterms:modified xsi:type="dcterms:W3CDTF">2021-10-26T01:50:00Z</dcterms:modified>
</cp:coreProperties>
</file>