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C13F90" w:rsidRDefault="008F37C9" w:rsidP="00F958D4">
      <w:pPr>
        <w:pStyle w:val="1-MainHeading"/>
      </w:pPr>
      <w:bookmarkStart w:id="0" w:name="_Toc72312435"/>
      <w:r w:rsidRPr="00C13F90">
        <w:t>5.06</w:t>
      </w:r>
      <w:r w:rsidR="00163F66" w:rsidRPr="00C13F90">
        <w:tab/>
      </w:r>
      <w:r w:rsidR="005D6DE6" w:rsidRPr="00C13F90">
        <w:t>OPICAPONE</w:t>
      </w:r>
      <w:r w:rsidRPr="00C13F90">
        <w:t>,</w:t>
      </w:r>
      <w:r w:rsidR="00163F66" w:rsidRPr="00C13F90">
        <w:br/>
      </w:r>
      <w:r w:rsidRPr="00C13F90">
        <w:t xml:space="preserve">Capsule </w:t>
      </w:r>
      <w:r w:rsidR="005D6DE6" w:rsidRPr="00C13F90">
        <w:t>50 mg</w:t>
      </w:r>
      <w:r w:rsidR="0084766B" w:rsidRPr="00C13F90">
        <w:t>,</w:t>
      </w:r>
      <w:r w:rsidR="00163F66" w:rsidRPr="00C13F90">
        <w:br/>
      </w:r>
      <w:r w:rsidR="005D6DE6" w:rsidRPr="00C13F90">
        <w:t>Ongentys®</w:t>
      </w:r>
      <w:r w:rsidR="0084766B" w:rsidRPr="00C13F90">
        <w:t>,</w:t>
      </w:r>
      <w:r w:rsidR="004A6040" w:rsidRPr="00C13F90">
        <w:br/>
      </w:r>
      <w:r w:rsidR="00F958D4" w:rsidRPr="00C13F90">
        <w:t>MAXX Pharma</w:t>
      </w:r>
      <w:r w:rsidR="0084766B" w:rsidRPr="00C13F90">
        <w:t xml:space="preserve"> Pty Ltd.</w:t>
      </w:r>
      <w:bookmarkEnd w:id="0"/>
    </w:p>
    <w:p w:rsidR="00B50DB8" w:rsidRPr="00C13F90" w:rsidRDefault="00B50DB8" w:rsidP="004A6040">
      <w:pPr>
        <w:pStyle w:val="2-SectionHeading"/>
      </w:pPr>
      <w:bookmarkStart w:id="1" w:name="_Toc72312437"/>
      <w:r w:rsidRPr="00C13F90">
        <w:t xml:space="preserve">Purpose of </w:t>
      </w:r>
      <w:r w:rsidR="00CD7193" w:rsidRPr="00C13F90">
        <w:t>s</w:t>
      </w:r>
      <w:r w:rsidR="00BB3A45" w:rsidRPr="00C13F90">
        <w:t>ubmission</w:t>
      </w:r>
      <w:bookmarkEnd w:id="1"/>
    </w:p>
    <w:p w:rsidR="002C2775" w:rsidRPr="00C13F90" w:rsidRDefault="007170DA" w:rsidP="004E18E9">
      <w:pPr>
        <w:pStyle w:val="3-BodyText"/>
      </w:pPr>
      <w:r w:rsidRPr="00C13F90">
        <w:t>The</w:t>
      </w:r>
      <w:r w:rsidR="00C36F01">
        <w:t xml:space="preserve"> Category 2</w:t>
      </w:r>
      <w:r w:rsidR="00F703C9">
        <w:t xml:space="preserve"> </w:t>
      </w:r>
      <w:r w:rsidRPr="00C13F90">
        <w:t xml:space="preserve">submission requested </w:t>
      </w:r>
      <w:r w:rsidR="00723D97" w:rsidRPr="00C13F90">
        <w:t xml:space="preserve">a </w:t>
      </w:r>
      <w:r w:rsidR="00D753F3" w:rsidRPr="00C13F90">
        <w:t xml:space="preserve">General Schedule </w:t>
      </w:r>
      <w:r w:rsidR="008B1757" w:rsidRPr="00C13F90">
        <w:t>Restricted Benefit</w:t>
      </w:r>
      <w:r w:rsidR="00FA24B2" w:rsidRPr="00C13F90">
        <w:t xml:space="preserve"> </w:t>
      </w:r>
      <w:r w:rsidR="008B1757" w:rsidRPr="00C13F90">
        <w:t xml:space="preserve">listing for </w:t>
      </w:r>
      <w:r w:rsidR="00EE4DFD" w:rsidRPr="00C13F90">
        <w:t xml:space="preserve">Parkinson disease </w:t>
      </w:r>
      <w:r w:rsidR="00D753F3" w:rsidRPr="00C13F90">
        <w:t xml:space="preserve">as adjunctive therapy to a </w:t>
      </w:r>
      <w:r w:rsidR="00EE4DFD" w:rsidRPr="00C13F90">
        <w:t>levodopa</w:t>
      </w:r>
      <w:r w:rsidR="00D753F3" w:rsidRPr="00C13F90">
        <w:t>-decarboxylase inhibitor combination</w:t>
      </w:r>
      <w:r w:rsidR="00C13F90">
        <w:rPr>
          <w:iCs/>
        </w:rPr>
        <w:t xml:space="preserve">. </w:t>
      </w:r>
    </w:p>
    <w:p w:rsidR="003C3893" w:rsidRPr="00C13F90" w:rsidRDefault="005750C5" w:rsidP="003C3893">
      <w:pPr>
        <w:pStyle w:val="3-BodyText"/>
        <w:rPr>
          <w:rFonts w:ascii="Arial Narrow" w:hAnsi="Arial Narrow"/>
          <w:b/>
          <w:sz w:val="20"/>
        </w:rPr>
      </w:pPr>
      <w:r w:rsidRPr="00C13F90">
        <w:t xml:space="preserve">Listing was requested on the basis of a cost-minimisation analysis versus </w:t>
      </w:r>
      <w:r w:rsidR="00FA24B2" w:rsidRPr="00C13F90">
        <w:t>entacapone.</w:t>
      </w:r>
      <w:r w:rsidRPr="00C13F90">
        <w:t xml:space="preserve"> </w:t>
      </w:r>
    </w:p>
    <w:p w:rsidR="006464EA" w:rsidRPr="00C13F90" w:rsidRDefault="008B1757" w:rsidP="00EB2C9A">
      <w:pPr>
        <w:pStyle w:val="3-BodyText"/>
        <w:numPr>
          <w:ilvl w:val="0"/>
          <w:numId w:val="0"/>
        </w:numPr>
        <w:rPr>
          <w:rStyle w:val="CommentReference"/>
          <w:szCs w:val="24"/>
        </w:rPr>
      </w:pPr>
      <w:r w:rsidRPr="00C13F90">
        <w:rPr>
          <w:rStyle w:val="CommentReference"/>
          <w:szCs w:val="24"/>
        </w:rPr>
        <w:t xml:space="preserve">Table </w:t>
      </w:r>
      <w:r w:rsidR="006464EA" w:rsidRPr="00C13F90">
        <w:rPr>
          <w:rStyle w:val="CommentReference"/>
          <w:szCs w:val="24"/>
        </w:rPr>
        <w:t>1</w:t>
      </w:r>
      <w:r w:rsidRPr="00C13F90">
        <w:rPr>
          <w:rStyle w:val="CommentReference"/>
          <w:szCs w:val="24"/>
        </w:rPr>
        <w:t>:</w:t>
      </w:r>
      <w:r w:rsidR="00BC591F" w:rsidRPr="00C13F90">
        <w:rPr>
          <w:rStyle w:val="CommentReference"/>
          <w:szCs w:val="24"/>
        </w:rPr>
        <w:t xml:space="preserve"> </w:t>
      </w:r>
      <w:r w:rsidRPr="00C13F90">
        <w:rPr>
          <w:rStyle w:val="CommentReference"/>
          <w:szCs w:val="24"/>
        </w:rPr>
        <w:t>Key components of the clinical issue addressed by the submission</w:t>
      </w:r>
      <w:r w:rsidR="007170DA" w:rsidRPr="00C13F90">
        <w:rPr>
          <w:rStyle w:val="CommentReference"/>
          <w:szCs w:val="24"/>
        </w:rPr>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464EA" w:rsidRPr="00C13F90" w:rsidTr="005D4727">
        <w:tc>
          <w:tcPr>
            <w:tcW w:w="1668" w:type="dxa"/>
            <w:vAlign w:val="center"/>
          </w:tcPr>
          <w:p w:rsidR="006464EA" w:rsidRPr="00C13F90" w:rsidRDefault="006464EA" w:rsidP="005D4727">
            <w:pPr>
              <w:pStyle w:val="In-tableHeading"/>
              <w:rPr>
                <w:lang w:val="en-AU"/>
              </w:rPr>
            </w:pPr>
            <w:r w:rsidRPr="00C13F90">
              <w:rPr>
                <w:lang w:val="en-AU"/>
              </w:rPr>
              <w:t>Component</w:t>
            </w:r>
          </w:p>
        </w:tc>
        <w:tc>
          <w:tcPr>
            <w:tcW w:w="7488" w:type="dxa"/>
            <w:vAlign w:val="center"/>
          </w:tcPr>
          <w:p w:rsidR="006464EA" w:rsidRPr="00C13F90" w:rsidRDefault="006464EA" w:rsidP="005D4727">
            <w:pPr>
              <w:pStyle w:val="In-tableHeading"/>
              <w:rPr>
                <w:lang w:val="en-AU"/>
              </w:rPr>
            </w:pPr>
            <w:r w:rsidRPr="00C13F90">
              <w:rPr>
                <w:lang w:val="en-AU"/>
              </w:rPr>
              <w:t>Description</w:t>
            </w:r>
          </w:p>
        </w:tc>
      </w:tr>
      <w:tr w:rsidR="006464EA" w:rsidRPr="00C13F90" w:rsidTr="005D4727">
        <w:tc>
          <w:tcPr>
            <w:tcW w:w="1668" w:type="dxa"/>
            <w:vAlign w:val="center"/>
          </w:tcPr>
          <w:p w:rsidR="006464EA" w:rsidRPr="00C13F90" w:rsidRDefault="006464EA" w:rsidP="005D4727">
            <w:pPr>
              <w:pStyle w:val="TableText0"/>
            </w:pPr>
            <w:r w:rsidRPr="00C13F90">
              <w:t>Population</w:t>
            </w:r>
          </w:p>
        </w:tc>
        <w:tc>
          <w:tcPr>
            <w:tcW w:w="7488" w:type="dxa"/>
            <w:vAlign w:val="center"/>
          </w:tcPr>
          <w:p w:rsidR="006464EA" w:rsidRPr="00C13F90" w:rsidRDefault="006464EA" w:rsidP="005D4727">
            <w:pPr>
              <w:pStyle w:val="TableText0"/>
            </w:pPr>
            <w:r w:rsidRPr="00C13F90">
              <w:t>Levodopa-treated</w:t>
            </w:r>
            <w:r w:rsidRPr="00C13F90">
              <w:rPr>
                <w:i/>
              </w:rPr>
              <w:t xml:space="preserve"> </w:t>
            </w:r>
            <w:r w:rsidRPr="00C13F90">
              <w:rPr>
                <w:iCs/>
              </w:rPr>
              <w:t>patients with Parkinson disease experiencing fluctuations in motor function due to end-of-dose effects</w:t>
            </w:r>
          </w:p>
        </w:tc>
      </w:tr>
      <w:tr w:rsidR="006464EA" w:rsidRPr="00C13F90" w:rsidTr="005D4727">
        <w:tc>
          <w:tcPr>
            <w:tcW w:w="1668" w:type="dxa"/>
            <w:vAlign w:val="center"/>
          </w:tcPr>
          <w:p w:rsidR="006464EA" w:rsidRPr="00C13F90" w:rsidRDefault="006464EA" w:rsidP="005D4727">
            <w:pPr>
              <w:pStyle w:val="TableText0"/>
            </w:pPr>
            <w:r w:rsidRPr="00C13F90">
              <w:t>Intervention</w:t>
            </w:r>
          </w:p>
        </w:tc>
        <w:tc>
          <w:tcPr>
            <w:tcW w:w="7488" w:type="dxa"/>
            <w:vAlign w:val="center"/>
          </w:tcPr>
          <w:p w:rsidR="006464EA" w:rsidRPr="00C13F90" w:rsidRDefault="006464EA" w:rsidP="005D4727">
            <w:pPr>
              <w:pStyle w:val="TableText0"/>
            </w:pPr>
            <w:r w:rsidRPr="00C13F90">
              <w:t>Opicapone 50</w:t>
            </w:r>
            <w:r w:rsidR="006B0E08" w:rsidRPr="00C13F90">
              <w:t> </w:t>
            </w:r>
            <w:r w:rsidRPr="00C13F90">
              <w:t>mg capsules</w:t>
            </w:r>
            <w:r w:rsidR="006D0203" w:rsidRPr="00C13F90">
              <w:t xml:space="preserve"> once daily</w:t>
            </w:r>
          </w:p>
        </w:tc>
      </w:tr>
      <w:tr w:rsidR="006464EA" w:rsidRPr="00C13F90" w:rsidTr="005D4727">
        <w:tc>
          <w:tcPr>
            <w:tcW w:w="1668" w:type="dxa"/>
            <w:vAlign w:val="center"/>
          </w:tcPr>
          <w:p w:rsidR="006464EA" w:rsidRPr="00C13F90" w:rsidRDefault="006464EA" w:rsidP="005D4727">
            <w:pPr>
              <w:pStyle w:val="TableText0"/>
            </w:pPr>
            <w:r w:rsidRPr="00C13F90">
              <w:t>Comparator</w:t>
            </w:r>
          </w:p>
        </w:tc>
        <w:tc>
          <w:tcPr>
            <w:tcW w:w="7488" w:type="dxa"/>
            <w:vAlign w:val="center"/>
          </w:tcPr>
          <w:p w:rsidR="006464EA" w:rsidRPr="00C13F90" w:rsidRDefault="006464EA" w:rsidP="005D4727">
            <w:pPr>
              <w:pStyle w:val="TableText0"/>
            </w:pPr>
            <w:r w:rsidRPr="00C13F90">
              <w:t>Entacapone</w:t>
            </w:r>
            <w:r w:rsidR="006D0203" w:rsidRPr="00C13F90">
              <w:t xml:space="preserve"> – 200</w:t>
            </w:r>
            <w:r w:rsidR="006B0E08" w:rsidRPr="00C13F90">
              <w:t> </w:t>
            </w:r>
            <w:r w:rsidR="006D0203" w:rsidRPr="00C13F90">
              <w:t>mg given with every dose of levodopa, 5 times per day</w:t>
            </w:r>
          </w:p>
        </w:tc>
      </w:tr>
      <w:tr w:rsidR="006464EA" w:rsidRPr="00C13F90" w:rsidTr="005D4727">
        <w:tc>
          <w:tcPr>
            <w:tcW w:w="1668" w:type="dxa"/>
            <w:vAlign w:val="center"/>
          </w:tcPr>
          <w:p w:rsidR="006464EA" w:rsidRPr="00C13F90" w:rsidRDefault="006464EA" w:rsidP="005D4727">
            <w:pPr>
              <w:pStyle w:val="TableText0"/>
            </w:pPr>
            <w:r w:rsidRPr="00C13F90">
              <w:t>Outcomes</w:t>
            </w:r>
          </w:p>
        </w:tc>
        <w:tc>
          <w:tcPr>
            <w:tcW w:w="7488" w:type="dxa"/>
            <w:vAlign w:val="center"/>
          </w:tcPr>
          <w:p w:rsidR="006464EA" w:rsidRPr="00C13F90" w:rsidRDefault="006464EA" w:rsidP="005D4727">
            <w:pPr>
              <w:pStyle w:val="TableText0"/>
            </w:pPr>
            <w:r w:rsidRPr="00C13F90">
              <w:t>The primary efficacy outcome in the Phase III studies was the change in absolute OFF-time from baseline to the end of the Double-blind (DB) period.</w:t>
            </w:r>
          </w:p>
        </w:tc>
      </w:tr>
      <w:tr w:rsidR="006464EA" w:rsidRPr="00C13F90" w:rsidTr="005D4727">
        <w:tc>
          <w:tcPr>
            <w:tcW w:w="1668" w:type="dxa"/>
            <w:vAlign w:val="center"/>
          </w:tcPr>
          <w:p w:rsidR="006464EA" w:rsidRPr="00C13F90" w:rsidRDefault="006464EA" w:rsidP="005D4727">
            <w:pPr>
              <w:pStyle w:val="TableText0"/>
            </w:pPr>
            <w:r w:rsidRPr="00C13F90">
              <w:t>Clinical claim</w:t>
            </w:r>
          </w:p>
        </w:tc>
        <w:tc>
          <w:tcPr>
            <w:tcW w:w="7488" w:type="dxa"/>
            <w:vAlign w:val="center"/>
          </w:tcPr>
          <w:p w:rsidR="006464EA" w:rsidRPr="00C13F90" w:rsidRDefault="006464EA" w:rsidP="005D4727">
            <w:pPr>
              <w:pStyle w:val="TableText0"/>
            </w:pPr>
            <w:r w:rsidRPr="00C13F90">
              <w:t>Opicapone met the non-inferiority criteria to Entacapone in absolute OFF-time reduction and achieved the minimal clinically important difference.</w:t>
            </w:r>
            <w:r w:rsidR="00D3587B" w:rsidRPr="00C13F90">
              <w:t xml:space="preserve"> The opicapone safety and tolerability profile was favourable compared to entacapone.</w:t>
            </w:r>
          </w:p>
        </w:tc>
      </w:tr>
    </w:tbl>
    <w:p w:rsidR="006464EA" w:rsidRPr="00C13F90" w:rsidRDefault="006464EA" w:rsidP="006464EA">
      <w:pPr>
        <w:pStyle w:val="TableFigureFooter"/>
        <w:rPr>
          <w:rStyle w:val="CommentReference"/>
          <w:b w:val="0"/>
          <w:sz w:val="18"/>
          <w:szCs w:val="22"/>
        </w:rPr>
      </w:pPr>
      <w:r w:rsidRPr="00C13F90">
        <w:t>Source: Table 1.1, p11 of the submission.</w:t>
      </w:r>
    </w:p>
    <w:p w:rsidR="005C25FF" w:rsidRPr="00C13F90" w:rsidRDefault="005C25FF" w:rsidP="004A6040">
      <w:pPr>
        <w:pStyle w:val="2-SectionHeading"/>
      </w:pPr>
      <w:bookmarkStart w:id="2" w:name="_Toc72312438"/>
      <w:r w:rsidRPr="00C13F90">
        <w:t>Background</w:t>
      </w:r>
      <w:bookmarkEnd w:id="2"/>
    </w:p>
    <w:p w:rsidR="005C25FF" w:rsidRPr="00C13F90" w:rsidRDefault="005C25FF" w:rsidP="004A6040">
      <w:pPr>
        <w:pStyle w:val="4-SubsectionHeading"/>
      </w:pPr>
      <w:bookmarkStart w:id="3" w:name="_Toc22897638"/>
      <w:bookmarkStart w:id="4" w:name="_Toc72312439"/>
      <w:r w:rsidRPr="00C13F90">
        <w:t>Registration status</w:t>
      </w:r>
      <w:bookmarkEnd w:id="3"/>
      <w:bookmarkEnd w:id="4"/>
    </w:p>
    <w:p w:rsidR="005C25FF" w:rsidRPr="00C13F90" w:rsidRDefault="00FA24B2" w:rsidP="00021714">
      <w:pPr>
        <w:pStyle w:val="3-BodyText"/>
      </w:pPr>
      <w:r w:rsidRPr="00C13F90">
        <w:t xml:space="preserve">Opicapone </w:t>
      </w:r>
      <w:r w:rsidR="005C25FF" w:rsidRPr="00C13F90">
        <w:t xml:space="preserve">was TGA registered on </w:t>
      </w:r>
      <w:r w:rsidR="00723D97" w:rsidRPr="00C13F90">
        <w:t xml:space="preserve">23 </w:t>
      </w:r>
      <w:r w:rsidR="00F703C9" w:rsidRPr="00C13F90">
        <w:t>September 2020</w:t>
      </w:r>
      <w:r w:rsidR="005C25FF" w:rsidRPr="00C13F90">
        <w:t xml:space="preserve"> for </w:t>
      </w:r>
      <w:r w:rsidR="00021714" w:rsidRPr="00C13F90">
        <w:t xml:space="preserve">use as adjunctive therapy to preparations of levodopa/DOPA decarboxylase inhibitors (DDCI) in adult patients with Parkinson disease </w:t>
      </w:r>
      <w:r w:rsidR="00C13F90">
        <w:t xml:space="preserve">(PD) </w:t>
      </w:r>
      <w:r w:rsidR="00021714" w:rsidRPr="00C13F90">
        <w:t xml:space="preserve">and end-of-dose motor fluctuations who cannot be stabilised on those combinations. </w:t>
      </w:r>
    </w:p>
    <w:p w:rsidR="0085759E" w:rsidRPr="00C13F90" w:rsidRDefault="0085759E" w:rsidP="00420183">
      <w:pPr>
        <w:pStyle w:val="3-BodyText"/>
      </w:pPr>
      <w:r w:rsidRPr="00C13F90">
        <w:t>Opicapone is a peripheral, selective, and reversible catechol-o-methyl transferase (COMT) inhibitor that increases levodopa plasma levels when co-administered with levodopa.</w:t>
      </w:r>
      <w:r w:rsidRPr="00C13F90">
        <w:rPr>
          <w:color w:val="0066FF"/>
        </w:rPr>
        <w:t xml:space="preserve"> </w:t>
      </w:r>
    </w:p>
    <w:p w:rsidR="0037375B" w:rsidRDefault="004F6D58" w:rsidP="00413D42">
      <w:pPr>
        <w:ind w:firstLine="709"/>
        <w:rPr>
          <w:rFonts w:asciiTheme="minorHAnsi" w:hAnsiTheme="minorHAnsi"/>
          <w:snapToGrid w:val="0"/>
        </w:rPr>
      </w:pPr>
      <w:r w:rsidRPr="00C13F90">
        <w:rPr>
          <w:rFonts w:asciiTheme="minorHAnsi" w:hAnsiTheme="minorHAnsi"/>
          <w:i/>
        </w:rPr>
        <w:t>For more detail on PBAC’s view, see section 7 PBAC outcome.</w:t>
      </w:r>
      <w:r w:rsidR="0037375B">
        <w:br w:type="page"/>
      </w:r>
    </w:p>
    <w:p w:rsidR="00B60939" w:rsidRPr="00C13F90" w:rsidRDefault="00B50DB8" w:rsidP="004E18E9">
      <w:pPr>
        <w:pStyle w:val="2-SectionHeading"/>
      </w:pPr>
      <w:bookmarkStart w:id="5" w:name="_Toc72312440"/>
      <w:r w:rsidRPr="00C13F90">
        <w:lastRenderedPageBreak/>
        <w:t>Requested listing</w:t>
      </w:r>
      <w:bookmarkEnd w:id="5"/>
    </w:p>
    <w:p w:rsidR="00617E12" w:rsidRPr="00C13F90" w:rsidRDefault="00617E12" w:rsidP="00617E12"/>
    <w:tbl>
      <w:tblPr>
        <w:tblW w:w="4977" w:type="pct"/>
        <w:tblInd w:w="28" w:type="dxa"/>
        <w:tblCellMar>
          <w:left w:w="28" w:type="dxa"/>
          <w:right w:w="28" w:type="dxa"/>
        </w:tblCellMar>
        <w:tblLook w:val="0000" w:firstRow="0" w:lastRow="0" w:firstColumn="0" w:lastColumn="0" w:noHBand="0" w:noVBand="0"/>
      </w:tblPr>
      <w:tblGrid>
        <w:gridCol w:w="1674"/>
        <w:gridCol w:w="1513"/>
        <w:gridCol w:w="992"/>
        <w:gridCol w:w="749"/>
        <w:gridCol w:w="1421"/>
        <w:gridCol w:w="1238"/>
        <w:gridCol w:w="1398"/>
      </w:tblGrid>
      <w:tr w:rsidR="003517F9" w:rsidRPr="00C13F90" w:rsidTr="002B7CE2">
        <w:trPr>
          <w:cantSplit/>
          <w:trHeight w:val="463"/>
        </w:trPr>
        <w:tc>
          <w:tcPr>
            <w:tcW w:w="1773" w:type="pct"/>
            <w:gridSpan w:val="2"/>
            <w:tcBorders>
              <w:top w:val="single" w:sz="4" w:space="0" w:color="auto"/>
              <w:bottom w:val="single" w:sz="4" w:space="0" w:color="auto"/>
            </w:tcBorders>
            <w:vAlign w:val="center"/>
          </w:tcPr>
          <w:p w:rsidR="00617E12" w:rsidRPr="00C13F90" w:rsidRDefault="00617E12" w:rsidP="00617E12">
            <w:pPr>
              <w:keepNext/>
              <w:jc w:val="left"/>
              <w:rPr>
                <w:rFonts w:ascii="Arial Narrow" w:hAnsi="Arial Narrow"/>
                <w:b/>
                <w:sz w:val="18"/>
                <w:szCs w:val="18"/>
              </w:rPr>
            </w:pPr>
            <w:r w:rsidRPr="00C13F90">
              <w:rPr>
                <w:rFonts w:ascii="Arial Narrow" w:hAnsi="Arial Narrow"/>
                <w:b/>
                <w:sz w:val="18"/>
                <w:szCs w:val="18"/>
              </w:rPr>
              <w:t>Name, Restriction,</w:t>
            </w:r>
          </w:p>
          <w:p w:rsidR="00617E12" w:rsidRPr="00C13F90" w:rsidRDefault="00617E12" w:rsidP="00617E12">
            <w:pPr>
              <w:keepNext/>
              <w:jc w:val="left"/>
              <w:rPr>
                <w:rFonts w:ascii="Arial Narrow" w:hAnsi="Arial Narrow"/>
                <w:b/>
                <w:sz w:val="18"/>
                <w:szCs w:val="18"/>
              </w:rPr>
            </w:pPr>
            <w:r w:rsidRPr="00C13F90">
              <w:rPr>
                <w:rFonts w:ascii="Arial Narrow" w:hAnsi="Arial Narrow"/>
                <w:b/>
                <w:sz w:val="18"/>
                <w:szCs w:val="18"/>
              </w:rPr>
              <w:t>Manner of administration and form</w:t>
            </w:r>
          </w:p>
        </w:tc>
        <w:tc>
          <w:tcPr>
            <w:tcW w:w="552" w:type="pct"/>
            <w:tcBorders>
              <w:top w:val="single" w:sz="4" w:space="0" w:color="auto"/>
              <w:bottom w:val="single" w:sz="4" w:space="0" w:color="auto"/>
            </w:tcBorders>
            <w:vAlign w:val="center"/>
          </w:tcPr>
          <w:p w:rsidR="00617E12" w:rsidRPr="00C13F90" w:rsidRDefault="00617E12" w:rsidP="00617E12">
            <w:pPr>
              <w:keepNext/>
              <w:jc w:val="center"/>
              <w:rPr>
                <w:rFonts w:ascii="Arial Narrow" w:hAnsi="Arial Narrow"/>
                <w:b/>
                <w:sz w:val="18"/>
                <w:szCs w:val="18"/>
              </w:rPr>
            </w:pPr>
            <w:r w:rsidRPr="00C13F90">
              <w:rPr>
                <w:rFonts w:ascii="Arial Narrow" w:hAnsi="Arial Narrow"/>
                <w:b/>
                <w:sz w:val="18"/>
                <w:szCs w:val="18"/>
              </w:rPr>
              <w:t>Max.</w:t>
            </w:r>
          </w:p>
          <w:p w:rsidR="00617E12" w:rsidRPr="00C13F90" w:rsidRDefault="00617E12" w:rsidP="00617E12">
            <w:pPr>
              <w:keepNext/>
              <w:jc w:val="center"/>
              <w:rPr>
                <w:rFonts w:ascii="Arial Narrow" w:hAnsi="Arial Narrow"/>
                <w:b/>
                <w:sz w:val="18"/>
                <w:szCs w:val="18"/>
              </w:rPr>
            </w:pPr>
            <w:r w:rsidRPr="00C13F90">
              <w:rPr>
                <w:rFonts w:ascii="Arial Narrow" w:hAnsi="Arial Narrow"/>
                <w:b/>
                <w:sz w:val="18"/>
                <w:szCs w:val="18"/>
              </w:rPr>
              <w:t>Qty</w:t>
            </w:r>
          </w:p>
        </w:tc>
        <w:tc>
          <w:tcPr>
            <w:tcW w:w="417" w:type="pct"/>
            <w:tcBorders>
              <w:top w:val="single" w:sz="4" w:space="0" w:color="auto"/>
              <w:bottom w:val="single" w:sz="4" w:space="0" w:color="auto"/>
            </w:tcBorders>
            <w:vAlign w:val="center"/>
          </w:tcPr>
          <w:p w:rsidR="00617E12" w:rsidRPr="00C13F90" w:rsidRDefault="00617E12" w:rsidP="00617E12">
            <w:pPr>
              <w:keepNext/>
              <w:jc w:val="center"/>
              <w:rPr>
                <w:rFonts w:ascii="Arial Narrow" w:hAnsi="Arial Narrow"/>
                <w:b/>
                <w:sz w:val="18"/>
                <w:szCs w:val="18"/>
              </w:rPr>
            </w:pPr>
            <w:r w:rsidRPr="00C13F90">
              <w:rPr>
                <w:rFonts w:ascii="Arial Narrow" w:hAnsi="Arial Narrow" w:cs="Times New Roman"/>
                <w:b/>
                <w:sz w:val="18"/>
                <w:szCs w:val="18"/>
              </w:rPr>
              <w:t>№</w:t>
            </w:r>
            <w:r w:rsidRPr="00C13F90">
              <w:rPr>
                <w:rFonts w:ascii="Arial Narrow" w:hAnsi="Arial Narrow"/>
                <w:b/>
                <w:sz w:val="18"/>
                <w:szCs w:val="18"/>
              </w:rPr>
              <w:t>.of</w:t>
            </w:r>
          </w:p>
          <w:p w:rsidR="00617E12" w:rsidRPr="00C13F90" w:rsidRDefault="00617E12" w:rsidP="00617E12">
            <w:pPr>
              <w:keepNext/>
              <w:jc w:val="center"/>
              <w:rPr>
                <w:rFonts w:ascii="Arial Narrow" w:hAnsi="Arial Narrow"/>
                <w:b/>
                <w:sz w:val="18"/>
                <w:szCs w:val="18"/>
              </w:rPr>
            </w:pPr>
            <w:r w:rsidRPr="00C13F90">
              <w:rPr>
                <w:rFonts w:ascii="Arial Narrow" w:hAnsi="Arial Narrow"/>
                <w:b/>
                <w:sz w:val="18"/>
                <w:szCs w:val="18"/>
              </w:rPr>
              <w:t>Rpts</w:t>
            </w:r>
          </w:p>
        </w:tc>
        <w:tc>
          <w:tcPr>
            <w:tcW w:w="791" w:type="pct"/>
            <w:tcBorders>
              <w:top w:val="single" w:sz="4" w:space="0" w:color="auto"/>
              <w:bottom w:val="single" w:sz="4" w:space="0" w:color="auto"/>
            </w:tcBorders>
            <w:vAlign w:val="center"/>
          </w:tcPr>
          <w:p w:rsidR="00617E12" w:rsidRPr="00C13F90" w:rsidRDefault="00617E12" w:rsidP="00617E12">
            <w:pPr>
              <w:keepNext/>
              <w:jc w:val="center"/>
              <w:rPr>
                <w:rFonts w:ascii="Arial Narrow" w:hAnsi="Arial Narrow"/>
                <w:b/>
                <w:sz w:val="18"/>
                <w:szCs w:val="18"/>
              </w:rPr>
            </w:pPr>
            <w:r w:rsidRPr="00C13F90">
              <w:rPr>
                <w:rFonts w:ascii="Arial Narrow" w:hAnsi="Arial Narrow"/>
                <w:b/>
                <w:sz w:val="18"/>
                <w:szCs w:val="18"/>
              </w:rPr>
              <w:t>Dispensed Price for Max. Qty</w:t>
            </w:r>
          </w:p>
        </w:tc>
        <w:tc>
          <w:tcPr>
            <w:tcW w:w="1467" w:type="pct"/>
            <w:gridSpan w:val="2"/>
            <w:tcBorders>
              <w:top w:val="single" w:sz="4" w:space="0" w:color="auto"/>
              <w:bottom w:val="single" w:sz="4" w:space="0" w:color="auto"/>
            </w:tcBorders>
            <w:vAlign w:val="center"/>
          </w:tcPr>
          <w:p w:rsidR="00617E12" w:rsidRPr="00C13F90" w:rsidRDefault="00617E12" w:rsidP="00617E12">
            <w:pPr>
              <w:keepNext/>
              <w:jc w:val="center"/>
              <w:rPr>
                <w:rFonts w:ascii="Arial Narrow" w:hAnsi="Arial Narrow"/>
                <w:b/>
                <w:sz w:val="18"/>
                <w:szCs w:val="18"/>
              </w:rPr>
            </w:pPr>
            <w:r w:rsidRPr="00C13F90">
              <w:rPr>
                <w:rFonts w:ascii="Arial Narrow" w:hAnsi="Arial Narrow"/>
                <w:b/>
                <w:sz w:val="18"/>
                <w:szCs w:val="18"/>
              </w:rPr>
              <w:t>Proprietary Name and Manufacturer</w:t>
            </w:r>
          </w:p>
        </w:tc>
      </w:tr>
      <w:tr w:rsidR="003517F9" w:rsidRPr="00C13F90" w:rsidTr="002B7CE2">
        <w:trPr>
          <w:cantSplit/>
          <w:trHeight w:val="567"/>
        </w:trPr>
        <w:tc>
          <w:tcPr>
            <w:tcW w:w="1773" w:type="pct"/>
            <w:gridSpan w:val="2"/>
            <w:vAlign w:val="center"/>
          </w:tcPr>
          <w:p w:rsidR="005C7A5C" w:rsidRPr="00C13F90" w:rsidRDefault="005C7A5C" w:rsidP="005C7A5C">
            <w:pPr>
              <w:keepNext/>
              <w:jc w:val="left"/>
              <w:rPr>
                <w:rFonts w:ascii="Arial Narrow" w:hAnsi="Arial Narrow"/>
                <w:sz w:val="18"/>
                <w:szCs w:val="18"/>
              </w:rPr>
            </w:pPr>
            <w:r w:rsidRPr="00C13F90">
              <w:rPr>
                <w:rFonts w:ascii="Arial Narrow" w:hAnsi="Arial Narrow"/>
                <w:sz w:val="18"/>
                <w:szCs w:val="18"/>
              </w:rPr>
              <w:t>Opicapone</w:t>
            </w:r>
          </w:p>
          <w:p w:rsidR="00617E12" w:rsidRPr="00C13F90" w:rsidRDefault="005C7A5C" w:rsidP="005C7A5C">
            <w:pPr>
              <w:keepNext/>
              <w:jc w:val="left"/>
              <w:rPr>
                <w:rFonts w:ascii="Arial Narrow" w:hAnsi="Arial Narrow"/>
                <w:sz w:val="18"/>
                <w:szCs w:val="18"/>
              </w:rPr>
            </w:pPr>
            <w:r w:rsidRPr="00C13F90">
              <w:rPr>
                <w:rFonts w:ascii="Arial Narrow" w:hAnsi="Arial Narrow"/>
                <w:sz w:val="18"/>
                <w:szCs w:val="18"/>
              </w:rPr>
              <w:t>Capsules, 50mg, 30</w:t>
            </w:r>
          </w:p>
        </w:tc>
        <w:tc>
          <w:tcPr>
            <w:tcW w:w="552" w:type="pct"/>
            <w:vAlign w:val="center"/>
          </w:tcPr>
          <w:p w:rsidR="00617E12" w:rsidRPr="00C13F90" w:rsidRDefault="005C7A5C" w:rsidP="00617E12">
            <w:pPr>
              <w:keepNext/>
              <w:jc w:val="center"/>
              <w:rPr>
                <w:rFonts w:ascii="Arial Narrow" w:hAnsi="Arial Narrow"/>
                <w:sz w:val="18"/>
                <w:szCs w:val="18"/>
              </w:rPr>
            </w:pPr>
            <w:r w:rsidRPr="00C13F90">
              <w:rPr>
                <w:rFonts w:ascii="Arial Narrow" w:hAnsi="Arial Narrow"/>
                <w:sz w:val="18"/>
                <w:szCs w:val="18"/>
              </w:rPr>
              <w:t>1</w:t>
            </w:r>
          </w:p>
        </w:tc>
        <w:tc>
          <w:tcPr>
            <w:tcW w:w="417" w:type="pct"/>
            <w:vAlign w:val="center"/>
          </w:tcPr>
          <w:p w:rsidR="00617E12" w:rsidRPr="00C13F90" w:rsidRDefault="00E7356A" w:rsidP="00617E12">
            <w:pPr>
              <w:keepNext/>
              <w:jc w:val="center"/>
              <w:rPr>
                <w:rFonts w:ascii="Arial Narrow" w:hAnsi="Arial Narrow"/>
                <w:sz w:val="18"/>
                <w:szCs w:val="18"/>
              </w:rPr>
            </w:pPr>
            <w:r w:rsidRPr="00C13F90">
              <w:rPr>
                <w:rFonts w:ascii="Arial Narrow" w:hAnsi="Arial Narrow"/>
                <w:sz w:val="18"/>
                <w:szCs w:val="18"/>
              </w:rPr>
              <w:t>5</w:t>
            </w:r>
          </w:p>
        </w:tc>
        <w:tc>
          <w:tcPr>
            <w:tcW w:w="791" w:type="pct"/>
            <w:vAlign w:val="center"/>
          </w:tcPr>
          <w:p w:rsidR="00617E12" w:rsidRPr="00C13F90" w:rsidRDefault="00D34B7C" w:rsidP="00617E12">
            <w:pPr>
              <w:keepNext/>
              <w:jc w:val="center"/>
              <w:rPr>
                <w:rFonts w:ascii="Arial Narrow" w:hAnsi="Arial Narrow"/>
                <w:sz w:val="18"/>
                <w:szCs w:val="18"/>
              </w:rPr>
            </w:pPr>
            <w:r w:rsidRPr="00C13F90">
              <w:rPr>
                <w:rFonts w:ascii="Arial Narrow" w:hAnsi="Arial Narrow"/>
                <w:sz w:val="18"/>
                <w:szCs w:val="18"/>
              </w:rPr>
              <w:t>$</w:t>
            </w:r>
            <w:r w:rsidR="005C7A5C" w:rsidRPr="00C13F90">
              <w:rPr>
                <w:rFonts w:ascii="Arial Narrow" w:hAnsi="Arial Narrow"/>
                <w:sz w:val="18"/>
                <w:szCs w:val="18"/>
              </w:rPr>
              <w:t>171.67</w:t>
            </w:r>
          </w:p>
        </w:tc>
        <w:tc>
          <w:tcPr>
            <w:tcW w:w="689" w:type="pct"/>
            <w:vAlign w:val="center"/>
          </w:tcPr>
          <w:p w:rsidR="005C7A5C" w:rsidRPr="00C13F90" w:rsidRDefault="005C7A5C" w:rsidP="005C7A5C">
            <w:pPr>
              <w:pStyle w:val="Tabletext"/>
              <w:ind w:left="360"/>
              <w:rPr>
                <w:sz w:val="18"/>
                <w:szCs w:val="18"/>
              </w:rPr>
            </w:pPr>
            <w:r w:rsidRPr="00C13F90">
              <w:rPr>
                <w:sz w:val="18"/>
                <w:szCs w:val="18"/>
              </w:rPr>
              <w:t xml:space="preserve">Ongentys® </w:t>
            </w:r>
          </w:p>
          <w:p w:rsidR="00617E12" w:rsidRPr="00C13F90" w:rsidRDefault="00617E12" w:rsidP="00617E12">
            <w:pPr>
              <w:keepNext/>
              <w:jc w:val="center"/>
              <w:rPr>
                <w:rFonts w:ascii="Arial Narrow" w:hAnsi="Arial Narrow"/>
                <w:sz w:val="18"/>
                <w:szCs w:val="18"/>
              </w:rPr>
            </w:pPr>
          </w:p>
        </w:tc>
        <w:tc>
          <w:tcPr>
            <w:tcW w:w="778" w:type="pct"/>
            <w:vAlign w:val="center"/>
          </w:tcPr>
          <w:p w:rsidR="00591957" w:rsidRPr="00C13F90" w:rsidRDefault="00B42B9D" w:rsidP="00EC0DD9">
            <w:pPr>
              <w:keepNext/>
              <w:jc w:val="center"/>
              <w:rPr>
                <w:rFonts w:ascii="Arial Narrow" w:hAnsi="Arial Narrow"/>
                <w:sz w:val="18"/>
                <w:szCs w:val="18"/>
              </w:rPr>
            </w:pPr>
            <w:r w:rsidRPr="00C13F90">
              <w:rPr>
                <w:rFonts w:ascii="Arial Narrow" w:hAnsi="Arial Narrow"/>
                <w:sz w:val="18"/>
                <w:szCs w:val="18"/>
              </w:rPr>
              <w:t>Maxx Pharma Pty Ltd</w:t>
            </w:r>
          </w:p>
        </w:tc>
      </w:tr>
      <w:tr w:rsidR="00542C2D"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C13F90" w:rsidRDefault="00591957" w:rsidP="00591957">
            <w:pPr>
              <w:pStyle w:val="Tabletext"/>
              <w:rPr>
                <w:b/>
                <w:bCs/>
                <w:sz w:val="18"/>
                <w:szCs w:val="18"/>
              </w:rPr>
            </w:pPr>
            <w:r w:rsidRPr="00C13F90">
              <w:rPr>
                <w:b/>
                <w:bCs/>
                <w:sz w:val="18"/>
                <w:szCs w:val="18"/>
              </w:rPr>
              <w:t>Category/Program:</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C13F90" w:rsidRDefault="00591957" w:rsidP="00591957">
            <w:pPr>
              <w:pStyle w:val="Tabletext"/>
              <w:rPr>
                <w:sz w:val="18"/>
                <w:szCs w:val="18"/>
              </w:rPr>
            </w:pPr>
            <w:r w:rsidRPr="00C13F90">
              <w:rPr>
                <w:sz w:val="18"/>
                <w:szCs w:val="18"/>
              </w:rPr>
              <w:t>General Schedule</w:t>
            </w:r>
          </w:p>
        </w:tc>
      </w:tr>
      <w:tr w:rsidR="00E7356A"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E7356A" w:rsidRPr="00C13F90" w:rsidRDefault="00E7356A" w:rsidP="00591957">
            <w:pPr>
              <w:pStyle w:val="Tabletext"/>
              <w:rPr>
                <w:b/>
                <w:bCs/>
                <w:sz w:val="18"/>
                <w:szCs w:val="18"/>
              </w:rPr>
            </w:pPr>
            <w:r w:rsidRPr="00C13F90">
              <w:rPr>
                <w:b/>
                <w:bCs/>
                <w:sz w:val="18"/>
                <w:szCs w:val="18"/>
              </w:rPr>
              <w:t>Prescriber types</w:t>
            </w:r>
          </w:p>
        </w:tc>
        <w:tc>
          <w:tcPr>
            <w:tcW w:w="4069" w:type="pct"/>
            <w:gridSpan w:val="6"/>
            <w:tcBorders>
              <w:top w:val="single" w:sz="4" w:space="0" w:color="auto"/>
              <w:left w:val="single" w:sz="4" w:space="0" w:color="auto"/>
              <w:bottom w:val="single" w:sz="4" w:space="0" w:color="auto"/>
              <w:right w:val="single" w:sz="4" w:space="0" w:color="auto"/>
            </w:tcBorders>
          </w:tcPr>
          <w:p w:rsidR="00E7356A" w:rsidRPr="00C13F90" w:rsidRDefault="00E7356A" w:rsidP="00E7356A">
            <w:pPr>
              <w:rPr>
                <w:sz w:val="18"/>
                <w:szCs w:val="18"/>
              </w:rPr>
            </w:pPr>
            <w:r w:rsidRPr="00C13F90">
              <w:rPr>
                <w:rFonts w:ascii="Arial Narrow" w:hAnsi="Arial Narrow"/>
                <w:sz w:val="18"/>
                <w:szCs w:val="18"/>
              </w:rPr>
              <w:fldChar w:fldCharType="begin">
                <w:ffData>
                  <w:name w:val=""/>
                  <w:enabled/>
                  <w:calcOnExit w:val="0"/>
                  <w:checkBox>
                    <w:sizeAuto/>
                    <w:default w:val="1"/>
                  </w:checkBox>
                </w:ffData>
              </w:fldChar>
            </w:r>
            <w:r w:rsidRPr="00C13F90">
              <w:rPr>
                <w:rFonts w:ascii="Arial Narrow" w:hAnsi="Arial Narrow"/>
                <w:sz w:val="18"/>
                <w:szCs w:val="18"/>
              </w:rPr>
              <w:instrText xml:space="preserve"> FORMCHECKBOX </w:instrText>
            </w:r>
            <w:r w:rsidR="00FD64F2">
              <w:rPr>
                <w:rFonts w:ascii="Arial Narrow" w:hAnsi="Arial Narrow"/>
                <w:sz w:val="18"/>
                <w:szCs w:val="18"/>
              </w:rPr>
            </w:r>
            <w:r w:rsidR="00FD64F2">
              <w:rPr>
                <w:rFonts w:ascii="Arial Narrow" w:hAnsi="Arial Narrow"/>
                <w:sz w:val="18"/>
                <w:szCs w:val="18"/>
              </w:rPr>
              <w:fldChar w:fldCharType="separate"/>
            </w:r>
            <w:r w:rsidRPr="00C13F90">
              <w:rPr>
                <w:rFonts w:ascii="Arial Narrow" w:hAnsi="Arial Narrow"/>
                <w:sz w:val="18"/>
                <w:szCs w:val="18"/>
              </w:rPr>
              <w:fldChar w:fldCharType="end"/>
            </w:r>
            <w:r w:rsidRPr="00C13F90">
              <w:rPr>
                <w:rFonts w:ascii="Arial Narrow" w:hAnsi="Arial Narrow"/>
                <w:sz w:val="18"/>
                <w:szCs w:val="18"/>
              </w:rPr>
              <w:t xml:space="preserve">Medical Practitioners </w:t>
            </w:r>
            <w:r w:rsidRPr="00C13F90">
              <w:rPr>
                <w:rFonts w:ascii="Arial Narrow" w:hAnsi="Arial Narrow"/>
                <w:sz w:val="18"/>
                <w:szCs w:val="18"/>
              </w:rPr>
              <w:fldChar w:fldCharType="begin">
                <w:ffData>
                  <w:name w:val="Check3"/>
                  <w:enabled/>
                  <w:calcOnExit w:val="0"/>
                  <w:checkBox>
                    <w:sizeAuto/>
                    <w:default w:val="1"/>
                  </w:checkBox>
                </w:ffData>
              </w:fldChar>
            </w:r>
            <w:r w:rsidRPr="00C13F90">
              <w:rPr>
                <w:rFonts w:ascii="Arial Narrow" w:hAnsi="Arial Narrow"/>
                <w:sz w:val="18"/>
                <w:szCs w:val="18"/>
              </w:rPr>
              <w:instrText xml:space="preserve"> FORMCHECKBOX </w:instrText>
            </w:r>
            <w:r w:rsidR="00FD64F2">
              <w:rPr>
                <w:rFonts w:ascii="Arial Narrow" w:hAnsi="Arial Narrow"/>
                <w:sz w:val="18"/>
                <w:szCs w:val="18"/>
              </w:rPr>
            </w:r>
            <w:r w:rsidR="00FD64F2">
              <w:rPr>
                <w:rFonts w:ascii="Arial Narrow" w:hAnsi="Arial Narrow"/>
                <w:sz w:val="18"/>
                <w:szCs w:val="18"/>
              </w:rPr>
              <w:fldChar w:fldCharType="separate"/>
            </w:r>
            <w:r w:rsidRPr="00C13F90">
              <w:rPr>
                <w:rFonts w:ascii="Arial Narrow" w:hAnsi="Arial Narrow"/>
                <w:sz w:val="18"/>
                <w:szCs w:val="18"/>
              </w:rPr>
              <w:fldChar w:fldCharType="end"/>
            </w:r>
            <w:r w:rsidRPr="00C13F90">
              <w:rPr>
                <w:rFonts w:ascii="Arial Narrow" w:hAnsi="Arial Narrow"/>
                <w:sz w:val="18"/>
                <w:szCs w:val="18"/>
              </w:rPr>
              <w:t>Nurse practitioners</w:t>
            </w:r>
            <w:r w:rsidRPr="00C13F90">
              <w:rPr>
                <w:rFonts w:ascii="Arial Narrow" w:hAnsi="Arial Narrow"/>
                <w:i/>
                <w:sz w:val="18"/>
                <w:szCs w:val="18"/>
              </w:rPr>
              <w:t xml:space="preserve"> </w:t>
            </w:r>
          </w:p>
        </w:tc>
      </w:tr>
      <w:tr w:rsidR="00542C2D"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C13F90" w:rsidRDefault="00591957" w:rsidP="00591957">
            <w:pPr>
              <w:pStyle w:val="Tabletext"/>
              <w:rPr>
                <w:b/>
                <w:bCs/>
                <w:sz w:val="18"/>
                <w:szCs w:val="18"/>
              </w:rPr>
            </w:pPr>
            <w:r w:rsidRPr="00C13F90">
              <w:rPr>
                <w:b/>
                <w:bCs/>
                <w:sz w:val="18"/>
                <w:szCs w:val="18"/>
              </w:rPr>
              <w:t>PBS indication:</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C13F90" w:rsidRDefault="00D34B7C" w:rsidP="00591957">
            <w:pPr>
              <w:pStyle w:val="Tabletext"/>
              <w:rPr>
                <w:sz w:val="18"/>
                <w:szCs w:val="18"/>
              </w:rPr>
            </w:pPr>
            <w:r w:rsidRPr="00C13F90">
              <w:rPr>
                <w:sz w:val="18"/>
                <w:szCs w:val="18"/>
              </w:rPr>
              <w:t>Parkinson disease</w:t>
            </w:r>
          </w:p>
        </w:tc>
      </w:tr>
      <w:tr w:rsidR="00542C2D"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C13F90" w:rsidRDefault="00591957" w:rsidP="00591957">
            <w:pPr>
              <w:pStyle w:val="Tabletext"/>
              <w:rPr>
                <w:b/>
                <w:bCs/>
                <w:sz w:val="18"/>
                <w:szCs w:val="18"/>
              </w:rPr>
            </w:pPr>
            <w:r w:rsidRPr="00C13F90">
              <w:rPr>
                <w:b/>
                <w:bCs/>
                <w:sz w:val="18"/>
                <w:szCs w:val="18"/>
              </w:rPr>
              <w:t>Treatment phase:</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C13F90" w:rsidRDefault="00E7356A" w:rsidP="00591957">
            <w:pPr>
              <w:pStyle w:val="Tabletext"/>
              <w:rPr>
                <w:sz w:val="18"/>
                <w:szCs w:val="18"/>
              </w:rPr>
            </w:pPr>
            <w:r w:rsidRPr="00C13F90">
              <w:rPr>
                <w:sz w:val="18"/>
                <w:szCs w:val="18"/>
              </w:rPr>
              <w:t>Initial and continuing</w:t>
            </w:r>
          </w:p>
        </w:tc>
      </w:tr>
      <w:tr w:rsidR="00542C2D"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C13F90" w:rsidRDefault="00542C2D" w:rsidP="00591957">
            <w:pPr>
              <w:pStyle w:val="Tabletext"/>
              <w:rPr>
                <w:b/>
                <w:bCs/>
                <w:sz w:val="18"/>
                <w:szCs w:val="18"/>
              </w:rPr>
            </w:pPr>
            <w:r w:rsidRPr="00C13F90">
              <w:rPr>
                <w:b/>
                <w:bCs/>
                <w:sz w:val="18"/>
                <w:szCs w:val="18"/>
              </w:rPr>
              <w:t>Restriction</w:t>
            </w:r>
            <w:r w:rsidR="00591957" w:rsidRPr="00C13F90">
              <w:rPr>
                <w:b/>
                <w:bCs/>
                <w:sz w:val="18"/>
                <w:szCs w:val="18"/>
              </w:rPr>
              <w:t>:</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C13F90" w:rsidRDefault="00E7356A" w:rsidP="00591957">
            <w:pPr>
              <w:pStyle w:val="Tabletext"/>
              <w:rPr>
                <w:sz w:val="18"/>
                <w:szCs w:val="18"/>
              </w:rPr>
            </w:pPr>
            <w:r w:rsidRPr="00C13F90">
              <w:rPr>
                <w:sz w:val="18"/>
                <w:szCs w:val="18"/>
              </w:rPr>
              <w:fldChar w:fldCharType="begin">
                <w:ffData>
                  <w:name w:val="Check1"/>
                  <w:enabled/>
                  <w:calcOnExit w:val="0"/>
                  <w:checkBox>
                    <w:sizeAuto/>
                    <w:default w:val="1"/>
                  </w:checkBox>
                </w:ffData>
              </w:fldChar>
            </w:r>
            <w:r w:rsidRPr="00C13F90">
              <w:rPr>
                <w:sz w:val="18"/>
                <w:szCs w:val="18"/>
              </w:rPr>
              <w:instrText xml:space="preserve"> FORMCHECKBOX </w:instrText>
            </w:r>
            <w:r w:rsidR="00FD64F2">
              <w:rPr>
                <w:sz w:val="18"/>
                <w:szCs w:val="18"/>
              </w:rPr>
            </w:r>
            <w:r w:rsidR="00FD64F2">
              <w:rPr>
                <w:sz w:val="18"/>
                <w:szCs w:val="18"/>
              </w:rPr>
              <w:fldChar w:fldCharType="separate"/>
            </w:r>
            <w:r w:rsidRPr="00C13F90">
              <w:rPr>
                <w:sz w:val="18"/>
                <w:szCs w:val="18"/>
              </w:rPr>
              <w:fldChar w:fldCharType="end"/>
            </w:r>
            <w:r w:rsidRPr="00C13F90">
              <w:rPr>
                <w:sz w:val="18"/>
                <w:szCs w:val="18"/>
              </w:rPr>
              <w:t>Restricted benefit</w:t>
            </w:r>
          </w:p>
        </w:tc>
      </w:tr>
      <w:tr w:rsidR="00542C2D"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hideMark/>
          </w:tcPr>
          <w:p w:rsidR="00542C2D" w:rsidRPr="00C13F90" w:rsidRDefault="00542C2D" w:rsidP="00591957">
            <w:pPr>
              <w:pStyle w:val="Tabletext"/>
              <w:rPr>
                <w:b/>
                <w:bCs/>
                <w:sz w:val="18"/>
                <w:szCs w:val="18"/>
              </w:rPr>
            </w:pPr>
            <w:r w:rsidRPr="00C13F90">
              <w:rPr>
                <w:b/>
                <w:bCs/>
                <w:sz w:val="18"/>
                <w:szCs w:val="18"/>
              </w:rPr>
              <w:t>Clinical criteria</w:t>
            </w:r>
            <w:r w:rsidR="00591957" w:rsidRPr="00C13F90">
              <w:rPr>
                <w:b/>
                <w:bCs/>
                <w:sz w:val="18"/>
                <w:szCs w:val="18"/>
              </w:rPr>
              <w:t>:</w:t>
            </w:r>
          </w:p>
        </w:tc>
        <w:tc>
          <w:tcPr>
            <w:tcW w:w="4069" w:type="pct"/>
            <w:gridSpan w:val="6"/>
            <w:tcBorders>
              <w:top w:val="single" w:sz="4" w:space="0" w:color="auto"/>
              <w:left w:val="single" w:sz="4" w:space="0" w:color="auto"/>
              <w:bottom w:val="single" w:sz="4" w:space="0" w:color="auto"/>
              <w:right w:val="single" w:sz="4" w:space="0" w:color="auto"/>
            </w:tcBorders>
          </w:tcPr>
          <w:p w:rsidR="00542C2D" w:rsidRPr="00C13F90" w:rsidRDefault="00E7356A" w:rsidP="00591957">
            <w:pPr>
              <w:pStyle w:val="Tabletext"/>
              <w:rPr>
                <w:sz w:val="18"/>
                <w:szCs w:val="18"/>
              </w:rPr>
            </w:pPr>
            <w:r w:rsidRPr="00C13F90">
              <w:rPr>
                <w:sz w:val="18"/>
                <w:szCs w:val="18"/>
              </w:rPr>
              <w:t>The treatment must be as adjunctive</w:t>
            </w:r>
            <w:r w:rsidR="00DB0B40" w:rsidRPr="00C13F90">
              <w:rPr>
                <w:sz w:val="18"/>
                <w:szCs w:val="18"/>
              </w:rPr>
              <w:t xml:space="preserve"> therapy</w:t>
            </w:r>
            <w:r w:rsidRPr="00C13F90">
              <w:rPr>
                <w:sz w:val="18"/>
                <w:szCs w:val="18"/>
              </w:rPr>
              <w:t xml:space="preserve"> to a levodopa-decarboxylase inhibitor combination; </w:t>
            </w:r>
          </w:p>
          <w:p w:rsidR="00E7356A" w:rsidRPr="00C13F90" w:rsidRDefault="00E7356A" w:rsidP="00591957">
            <w:pPr>
              <w:pStyle w:val="Tabletext"/>
              <w:rPr>
                <w:sz w:val="18"/>
                <w:szCs w:val="18"/>
              </w:rPr>
            </w:pPr>
            <w:r w:rsidRPr="00C13F90">
              <w:rPr>
                <w:sz w:val="18"/>
                <w:szCs w:val="18"/>
              </w:rPr>
              <w:t>AND</w:t>
            </w:r>
          </w:p>
          <w:p w:rsidR="00E7356A" w:rsidRPr="00C13F90" w:rsidRDefault="00E7356A" w:rsidP="00591957">
            <w:pPr>
              <w:pStyle w:val="Tabletext"/>
              <w:rPr>
                <w:sz w:val="18"/>
                <w:szCs w:val="18"/>
              </w:rPr>
            </w:pPr>
            <w:r w:rsidRPr="00C13F90">
              <w:rPr>
                <w:sz w:val="18"/>
                <w:szCs w:val="18"/>
              </w:rPr>
              <w:t>Patient must be experiencing fluctuations in motor function due to end of dose effect</w:t>
            </w:r>
          </w:p>
        </w:tc>
      </w:tr>
      <w:tr w:rsidR="00E7356A" w:rsidRPr="00C13F90" w:rsidTr="00D75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1" w:type="pct"/>
            <w:tcBorders>
              <w:top w:val="single" w:sz="4" w:space="0" w:color="auto"/>
              <w:left w:val="single" w:sz="4" w:space="0" w:color="auto"/>
              <w:bottom w:val="single" w:sz="4" w:space="0" w:color="auto"/>
              <w:right w:val="single" w:sz="4" w:space="0" w:color="auto"/>
            </w:tcBorders>
          </w:tcPr>
          <w:p w:rsidR="00E7356A" w:rsidRPr="00C13F90" w:rsidRDefault="00E7356A" w:rsidP="00591957">
            <w:pPr>
              <w:pStyle w:val="Tabletext"/>
              <w:rPr>
                <w:b/>
                <w:bCs/>
                <w:sz w:val="18"/>
                <w:szCs w:val="18"/>
              </w:rPr>
            </w:pPr>
            <w:r w:rsidRPr="00C13F90">
              <w:rPr>
                <w:b/>
                <w:bCs/>
                <w:sz w:val="18"/>
                <w:szCs w:val="18"/>
              </w:rPr>
              <w:t>Administrative advice</w:t>
            </w:r>
          </w:p>
        </w:tc>
        <w:tc>
          <w:tcPr>
            <w:tcW w:w="4069" w:type="pct"/>
            <w:gridSpan w:val="6"/>
            <w:tcBorders>
              <w:top w:val="single" w:sz="4" w:space="0" w:color="auto"/>
              <w:left w:val="single" w:sz="4" w:space="0" w:color="auto"/>
              <w:bottom w:val="single" w:sz="4" w:space="0" w:color="auto"/>
              <w:right w:val="single" w:sz="4" w:space="0" w:color="auto"/>
            </w:tcBorders>
          </w:tcPr>
          <w:p w:rsidR="00E7356A" w:rsidRPr="00C13F90" w:rsidRDefault="00E7356A" w:rsidP="00591957">
            <w:pPr>
              <w:pStyle w:val="Tabletext"/>
              <w:rPr>
                <w:color w:val="000000"/>
                <w:sz w:val="18"/>
                <w:szCs w:val="18"/>
              </w:rPr>
            </w:pPr>
            <w:r w:rsidRPr="00C13F90">
              <w:rPr>
                <w:sz w:val="18"/>
                <w:szCs w:val="18"/>
              </w:rPr>
              <w:t>Continuing Therapy Only: For prescribing by nurse practitioners as continuing therapy only, where the treatment of, and prescribing of medicine for, a patient has been initiated by a medical practitioner.</w:t>
            </w:r>
          </w:p>
        </w:tc>
      </w:tr>
    </w:tbl>
    <w:p w:rsidR="005C7A5C" w:rsidRPr="00C13F90" w:rsidRDefault="005C7A5C" w:rsidP="004B1CB4"/>
    <w:p w:rsidR="00CC35EA" w:rsidRPr="00C13F90" w:rsidRDefault="00EE4DFD" w:rsidP="00F9393E">
      <w:pPr>
        <w:pStyle w:val="3-BodyText"/>
        <w:rPr>
          <w:color w:val="0066FF"/>
        </w:rPr>
      </w:pPr>
      <w:r w:rsidRPr="00C13F90">
        <w:t xml:space="preserve">The </w:t>
      </w:r>
      <w:r w:rsidR="00BA0B45" w:rsidRPr="00C13F90">
        <w:t xml:space="preserve">requested </w:t>
      </w:r>
      <w:r w:rsidRPr="00C13F90">
        <w:t xml:space="preserve">restriction </w:t>
      </w:r>
      <w:r w:rsidR="00BA0B45" w:rsidRPr="00C13F90">
        <w:t>wa</w:t>
      </w:r>
      <w:r w:rsidRPr="00C13F90">
        <w:t xml:space="preserve">s </w:t>
      </w:r>
      <w:r w:rsidR="00BA0B45" w:rsidRPr="00C13F90">
        <w:t xml:space="preserve">identical to </w:t>
      </w:r>
      <w:r w:rsidRPr="00C13F90">
        <w:t>that for entacapone.</w:t>
      </w:r>
      <w:r w:rsidR="00A00006" w:rsidRPr="00C13F90">
        <w:t xml:space="preserve"> </w:t>
      </w:r>
      <w:r w:rsidR="00BA0B45" w:rsidRPr="00C13F90">
        <w:t>Opicapone would be the second COMT-inhibitor on the PBS.</w:t>
      </w:r>
      <w:r w:rsidR="00A00006" w:rsidRPr="00C13F90">
        <w:t xml:space="preserve"> </w:t>
      </w:r>
      <w:r w:rsidR="005D7EAD" w:rsidRPr="00C13F90">
        <w:t>The proposed restriction would not prevent simultaneous use of opicapone and entacapone. The proposed place in therapy of opicapone was to be an alternative therapy to entacpone where a COMT-inhibitor is indicated. The</w:t>
      </w:r>
      <w:r w:rsidR="00F703C9">
        <w:t xml:space="preserve"> PBAC considered the</w:t>
      </w:r>
      <w:r w:rsidR="005D7EAD" w:rsidRPr="00C13F90">
        <w:t xml:space="preserve"> </w:t>
      </w:r>
      <w:r w:rsidR="009B6611" w:rsidRPr="00C13F90">
        <w:t xml:space="preserve">simultaneous </w:t>
      </w:r>
      <w:r w:rsidR="005D7EAD" w:rsidRPr="00C13F90">
        <w:t>use of opicapone and entacapone was unlikely in practice</w:t>
      </w:r>
      <w:r w:rsidR="00F703C9">
        <w:t>.</w:t>
      </w:r>
    </w:p>
    <w:p w:rsidR="004F6D58" w:rsidRPr="00C13F90" w:rsidRDefault="004F6D58" w:rsidP="004F6D58">
      <w:pPr>
        <w:pStyle w:val="3-BodyText"/>
        <w:numPr>
          <w:ilvl w:val="0"/>
          <w:numId w:val="0"/>
        </w:numPr>
        <w:ind w:left="720"/>
        <w:rPr>
          <w:color w:val="0066FF"/>
        </w:rPr>
      </w:pPr>
    </w:p>
    <w:p w:rsidR="00B50DB8" w:rsidRPr="00C13F90" w:rsidRDefault="00203181" w:rsidP="004E18E9">
      <w:pPr>
        <w:pStyle w:val="2-SectionHeading"/>
      </w:pPr>
      <w:bookmarkStart w:id="6" w:name="_Toc72312441"/>
      <w:r w:rsidRPr="00C13F90">
        <w:t xml:space="preserve">Population and </w:t>
      </w:r>
      <w:r w:rsidR="008E0D3C" w:rsidRPr="00C13F90">
        <w:t>d</w:t>
      </w:r>
      <w:r w:rsidRPr="00C13F90">
        <w:t>isease</w:t>
      </w:r>
      <w:bookmarkEnd w:id="6"/>
    </w:p>
    <w:p w:rsidR="00AB3FED" w:rsidRPr="00C13F90" w:rsidRDefault="00AB3FED" w:rsidP="00AB3FED">
      <w:pPr>
        <w:pStyle w:val="3-BodyText"/>
      </w:pPr>
      <w:r w:rsidRPr="00C13F90">
        <w:t xml:space="preserve">The submission provided a summary of the burden of disease due to PD, including the impact on quality of life and </w:t>
      </w:r>
      <w:r w:rsidR="00434704" w:rsidRPr="00C13F90">
        <w:t xml:space="preserve">on </w:t>
      </w:r>
      <w:r w:rsidRPr="00C13F90">
        <w:t>carers, as well as the economic burden. For Australia, this information is primarily based on a study published by Deloitte from 2014</w:t>
      </w:r>
      <w:r w:rsidRPr="00C13F90">
        <w:rPr>
          <w:iCs/>
        </w:rPr>
        <w:t xml:space="preserve">. </w:t>
      </w:r>
      <w:r w:rsidR="000407E3" w:rsidRPr="00C13F90">
        <w:rPr>
          <w:iCs/>
        </w:rPr>
        <w:t xml:space="preserve">More recent data from the Australian Institute of Health and Welfare (AIHW) </w:t>
      </w:r>
      <w:r w:rsidR="00FF6DE4" w:rsidRPr="00C13F90">
        <w:rPr>
          <w:iCs/>
        </w:rPr>
        <w:t>was</w:t>
      </w:r>
      <w:r w:rsidR="000407E3" w:rsidRPr="00C13F90">
        <w:rPr>
          <w:iCs/>
        </w:rPr>
        <w:t xml:space="preserve"> not available</w:t>
      </w:r>
      <w:r w:rsidRPr="00C13F90">
        <w:rPr>
          <w:iCs/>
        </w:rPr>
        <w:t xml:space="preserve">. </w:t>
      </w:r>
      <w:r w:rsidRPr="00C13F90">
        <w:t xml:space="preserve">It </w:t>
      </w:r>
      <w:r w:rsidR="000407E3" w:rsidRPr="00C13F90">
        <w:t>was</w:t>
      </w:r>
      <w:r w:rsidRPr="00C13F90">
        <w:t xml:space="preserve"> conservatively</w:t>
      </w:r>
      <w:r w:rsidR="00F703C9">
        <w:t xml:space="preserve"> estimated in the Deloitte study</w:t>
      </w:r>
      <w:r w:rsidRPr="00C13F90">
        <w:t xml:space="preserve"> that in 2014 there were 69,208 Australians living with PD, of wh</w:t>
      </w:r>
      <w:r w:rsidR="00434704" w:rsidRPr="00C13F90">
        <w:t>om</w:t>
      </w:r>
      <w:r w:rsidRPr="00C13F90">
        <w:t xml:space="preserve"> 53% were male and 47% were female. This equates to 294 per 100,000 </w:t>
      </w:r>
      <w:r w:rsidR="00434704" w:rsidRPr="00C13F90">
        <w:t>of</w:t>
      </w:r>
      <w:r w:rsidRPr="00C13F90">
        <w:t xml:space="preserve"> the total Australian population, </w:t>
      </w:r>
      <w:r w:rsidR="00434704" w:rsidRPr="00C13F90">
        <w:t>and</w:t>
      </w:r>
      <w:r w:rsidRPr="00C13F90">
        <w:t xml:space="preserve"> 867 per 100,000 among the population aged over 50. Based on these estimates, approximately one in every 340 people in Australia lives with PD.</w:t>
      </w:r>
    </w:p>
    <w:p w:rsidR="00DC5C71" w:rsidRPr="00C13F90" w:rsidRDefault="00AB3FED" w:rsidP="00DC5C71">
      <w:pPr>
        <w:pStyle w:val="3-BodyText"/>
      </w:pPr>
      <w:r w:rsidRPr="00C13F90">
        <w:t>The last new product</w:t>
      </w:r>
      <w:r w:rsidR="00420183" w:rsidRPr="00C13F90">
        <w:t xml:space="preserve"> in this </w:t>
      </w:r>
      <w:r w:rsidR="004635F5" w:rsidRPr="00C13F90">
        <w:t>class listed</w:t>
      </w:r>
      <w:r w:rsidR="00420183" w:rsidRPr="00C13F90">
        <w:t xml:space="preserve"> on the PBS</w:t>
      </w:r>
      <w:r w:rsidRPr="00C13F90">
        <w:t xml:space="preserve"> for management of PD was the fixed dose combination of levodopa + carbidopa + entacapone, listed in 2005</w:t>
      </w:r>
      <w:r w:rsidR="00420183" w:rsidRPr="00C13F90">
        <w:t xml:space="preserve">. </w:t>
      </w:r>
      <w:r w:rsidRPr="00C13F90">
        <w:t>A review of prescription data for entacapone and the combination shows that the FDC now dominates the market.</w:t>
      </w:r>
      <w:r w:rsidR="00420183" w:rsidRPr="00C13F90">
        <w:t xml:space="preserve"> Other products for PD considered by the PBAC include safinamide (in combination with L-dopa, 2019)</w:t>
      </w:r>
      <w:r w:rsidR="009F4B5B" w:rsidRPr="00C13F90">
        <w:t>,</w:t>
      </w:r>
      <w:r w:rsidR="00420183" w:rsidRPr="00C13F90">
        <w:t xml:space="preserve"> rotigotine dermal patch (2013)</w:t>
      </w:r>
      <w:r w:rsidR="009F4B5B" w:rsidRPr="00C13F90">
        <w:t>,</w:t>
      </w:r>
      <w:r w:rsidR="00420183" w:rsidRPr="00C13F90">
        <w:t xml:space="preserve"> and rasagiline (2012)</w:t>
      </w:r>
      <w:r w:rsidR="00C13F90">
        <w:t xml:space="preserve">. </w:t>
      </w:r>
    </w:p>
    <w:p w:rsidR="004F6D58" w:rsidRPr="00C13F90" w:rsidRDefault="004F6D58" w:rsidP="004F6D58">
      <w:pPr>
        <w:ind w:firstLine="709"/>
        <w:rPr>
          <w:rFonts w:asciiTheme="minorHAnsi" w:hAnsiTheme="minorHAnsi"/>
          <w:i/>
        </w:rPr>
      </w:pPr>
      <w:r w:rsidRPr="00C13F90">
        <w:rPr>
          <w:rFonts w:asciiTheme="minorHAnsi" w:hAnsiTheme="minorHAnsi"/>
          <w:i/>
        </w:rPr>
        <w:t>For more detail on PBAC’s view, see section 7 PBAC outcome.</w:t>
      </w:r>
    </w:p>
    <w:p w:rsidR="004F6D58" w:rsidRPr="00C13F90" w:rsidRDefault="004F6D58" w:rsidP="004F6D58">
      <w:pPr>
        <w:pStyle w:val="3-BodyText"/>
        <w:numPr>
          <w:ilvl w:val="0"/>
          <w:numId w:val="0"/>
        </w:numPr>
        <w:ind w:left="720"/>
      </w:pPr>
    </w:p>
    <w:p w:rsidR="00B50DB8" w:rsidRPr="00C13F90" w:rsidRDefault="00B50DB8" w:rsidP="004E18E9">
      <w:pPr>
        <w:pStyle w:val="2-SectionHeading"/>
      </w:pPr>
      <w:bookmarkStart w:id="7" w:name="_Toc72312442"/>
      <w:r w:rsidRPr="00C13F90">
        <w:t>Comparator</w:t>
      </w:r>
      <w:bookmarkEnd w:id="7"/>
    </w:p>
    <w:p w:rsidR="00A05472" w:rsidRPr="00C13F90" w:rsidRDefault="00021714" w:rsidP="00882E3C">
      <w:pPr>
        <w:pStyle w:val="3-BodyText"/>
        <w:rPr>
          <w:snapToGrid/>
        </w:rPr>
      </w:pPr>
      <w:r w:rsidRPr="00C13F90">
        <w:t>The submission</w:t>
      </w:r>
      <w:r w:rsidR="001D4B9B" w:rsidRPr="00C13F90">
        <w:t xml:space="preserve"> appropriately</w:t>
      </w:r>
      <w:r w:rsidRPr="00C13F90">
        <w:t xml:space="preserve"> nominated entacapone as the comparator as it is the only other COMT inhibitor</w:t>
      </w:r>
      <w:r w:rsidR="0085759E" w:rsidRPr="00C13F90">
        <w:t xml:space="preserve"> </w:t>
      </w:r>
      <w:r w:rsidR="000416BA" w:rsidRPr="00C13F90">
        <w:t xml:space="preserve">available </w:t>
      </w:r>
      <w:r w:rsidR="0085759E" w:rsidRPr="00C13F90">
        <w:t>on the PBS</w:t>
      </w:r>
      <w:r w:rsidRPr="00C13F90">
        <w:t xml:space="preserve">. </w:t>
      </w:r>
    </w:p>
    <w:p w:rsidR="004F6D58" w:rsidRPr="00C13F90" w:rsidRDefault="004F6D58" w:rsidP="004F6D58">
      <w:pPr>
        <w:ind w:firstLine="709"/>
        <w:rPr>
          <w:rFonts w:asciiTheme="minorHAnsi" w:hAnsiTheme="minorHAnsi"/>
          <w:i/>
        </w:rPr>
      </w:pPr>
      <w:r w:rsidRPr="00C13F90">
        <w:rPr>
          <w:rFonts w:asciiTheme="minorHAnsi" w:hAnsiTheme="minorHAnsi"/>
          <w:i/>
        </w:rPr>
        <w:t>For more detail on PBAC’s view, see section 7 PBAC outcome.</w:t>
      </w:r>
    </w:p>
    <w:p w:rsidR="004F6D58" w:rsidRPr="00C13F90" w:rsidRDefault="004F6D58" w:rsidP="004F6D58">
      <w:pPr>
        <w:pStyle w:val="3-BodyText"/>
        <w:numPr>
          <w:ilvl w:val="0"/>
          <w:numId w:val="0"/>
        </w:numPr>
        <w:ind w:left="720"/>
        <w:rPr>
          <w:snapToGrid/>
        </w:rPr>
      </w:pPr>
    </w:p>
    <w:p w:rsidR="00223D5A" w:rsidRPr="00C13F90" w:rsidRDefault="00223D5A" w:rsidP="00223D5A">
      <w:pPr>
        <w:pStyle w:val="2-SectionHeading"/>
        <w:numPr>
          <w:ilvl w:val="0"/>
          <w:numId w:val="1"/>
        </w:numPr>
      </w:pPr>
      <w:bookmarkStart w:id="8" w:name="_Toc72312443"/>
      <w:bookmarkStart w:id="9" w:name="_Toc22897640"/>
      <w:r w:rsidRPr="00C13F90">
        <w:t>Consideration of the evidence</w:t>
      </w:r>
      <w:bookmarkEnd w:id="8"/>
    </w:p>
    <w:p w:rsidR="00EA226A" w:rsidRPr="00C477B4" w:rsidRDefault="00EA226A" w:rsidP="00C477B4">
      <w:pPr>
        <w:pStyle w:val="4-SubsectionHeading"/>
      </w:pPr>
      <w:bookmarkStart w:id="10" w:name="_Toc72312444"/>
      <w:r w:rsidRPr="00C477B4">
        <w:t>Sponsor hearing</w:t>
      </w:r>
    </w:p>
    <w:p w:rsidR="00EA226A" w:rsidRPr="00C13F90" w:rsidRDefault="00EA226A"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w:t>
      </w:r>
      <w:r w:rsidR="00312E4A" w:rsidRPr="00C13F90">
        <w:rPr>
          <w:rFonts w:asciiTheme="minorHAnsi" w:hAnsiTheme="minorHAnsi"/>
          <w:bCs/>
          <w:snapToGrid w:val="0"/>
        </w:rPr>
        <w:t>re was no hearing for this item</w:t>
      </w:r>
      <w:r w:rsidRPr="00C13F90">
        <w:rPr>
          <w:rFonts w:asciiTheme="minorHAnsi" w:hAnsiTheme="minorHAnsi"/>
          <w:bCs/>
          <w:snapToGrid w:val="0"/>
        </w:rPr>
        <w:t>.</w:t>
      </w:r>
    </w:p>
    <w:p w:rsidR="00EA226A" w:rsidRPr="00C477B4" w:rsidRDefault="00EA226A" w:rsidP="00C477B4">
      <w:pPr>
        <w:pStyle w:val="4-SubsectionHeading"/>
      </w:pPr>
      <w:r w:rsidRPr="00C477B4">
        <w:t>Consumer comments</w:t>
      </w:r>
    </w:p>
    <w:p w:rsidR="00EA226A" w:rsidRPr="00C13F90" w:rsidRDefault="00EA226A"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 xml:space="preserve">The PBAC noted and welcomed the input from </w:t>
      </w:r>
      <w:r w:rsidR="00312E4A" w:rsidRPr="00C13F90">
        <w:rPr>
          <w:rFonts w:asciiTheme="minorHAnsi" w:hAnsiTheme="minorHAnsi"/>
          <w:bCs/>
          <w:snapToGrid w:val="0"/>
        </w:rPr>
        <w:t>Parkinson’s Australia that noted the convenience</w:t>
      </w:r>
      <w:r w:rsidR="0012320B" w:rsidRPr="00C13F90">
        <w:rPr>
          <w:rFonts w:asciiTheme="minorHAnsi" w:hAnsiTheme="minorHAnsi"/>
          <w:bCs/>
          <w:snapToGrid w:val="0"/>
        </w:rPr>
        <w:t xml:space="preserve"> and possible adherence benefits</w:t>
      </w:r>
      <w:r w:rsidR="00312E4A" w:rsidRPr="00C13F90">
        <w:rPr>
          <w:rFonts w:asciiTheme="minorHAnsi" w:hAnsiTheme="minorHAnsi"/>
          <w:bCs/>
          <w:snapToGrid w:val="0"/>
        </w:rPr>
        <w:t xml:space="preserve"> of a once-daily COMT inhibitor option for patients t</w:t>
      </w:r>
      <w:r w:rsidR="0012320B" w:rsidRPr="00C13F90">
        <w:rPr>
          <w:rFonts w:asciiTheme="minorHAnsi" w:hAnsiTheme="minorHAnsi"/>
          <w:bCs/>
          <w:snapToGrid w:val="0"/>
        </w:rPr>
        <w:t>o help control end-of-dose motor function symptoms associated with treatment with L-dopa.</w:t>
      </w:r>
    </w:p>
    <w:p w:rsidR="00B60939" w:rsidRPr="00C13F90" w:rsidRDefault="00B60939" w:rsidP="002E4F02">
      <w:pPr>
        <w:pStyle w:val="4-SubsectionHeading"/>
      </w:pPr>
      <w:r w:rsidRPr="00C13F90">
        <w:t>Clinical trials</w:t>
      </w:r>
      <w:bookmarkEnd w:id="9"/>
      <w:bookmarkEnd w:id="10"/>
    </w:p>
    <w:p w:rsidR="007F1017" w:rsidRPr="00C13F90" w:rsidRDefault="00A73134" w:rsidP="002E4F02">
      <w:pPr>
        <w:pStyle w:val="3-BodyText"/>
        <w:rPr>
          <w:color w:val="0066FF"/>
        </w:rPr>
      </w:pPr>
      <w:r w:rsidRPr="00C13F90">
        <w:rPr>
          <w:snapToGrid/>
        </w:rPr>
        <w:t xml:space="preserve">The submission </w:t>
      </w:r>
      <w:r w:rsidR="00D5243B" w:rsidRPr="00C13F90">
        <w:rPr>
          <w:snapToGrid/>
        </w:rPr>
        <w:t>wa</w:t>
      </w:r>
      <w:r w:rsidRPr="00C13F90">
        <w:rPr>
          <w:snapToGrid/>
        </w:rPr>
        <w:t xml:space="preserve">s based on one head-to-head trial comparing </w:t>
      </w:r>
      <w:r w:rsidR="001118CA" w:rsidRPr="00C13F90">
        <w:rPr>
          <w:snapToGrid/>
        </w:rPr>
        <w:t xml:space="preserve">3 different doses of opicapone </w:t>
      </w:r>
      <w:r w:rsidRPr="00C13F90">
        <w:rPr>
          <w:snapToGrid/>
        </w:rPr>
        <w:t xml:space="preserve">to </w:t>
      </w:r>
      <w:r w:rsidR="001118CA" w:rsidRPr="00C13F90">
        <w:rPr>
          <w:snapToGrid/>
        </w:rPr>
        <w:t xml:space="preserve">entacapone and </w:t>
      </w:r>
      <w:r w:rsidR="00952CEC" w:rsidRPr="00C13F90">
        <w:rPr>
          <w:snapToGrid/>
        </w:rPr>
        <w:t xml:space="preserve">to </w:t>
      </w:r>
      <w:r w:rsidR="001118CA" w:rsidRPr="00C13F90">
        <w:rPr>
          <w:snapToGrid/>
        </w:rPr>
        <w:t>placebo</w:t>
      </w:r>
      <w:r w:rsidR="00952CEC" w:rsidRPr="00C13F90">
        <w:rPr>
          <w:snapToGrid/>
        </w:rPr>
        <w:t xml:space="preserve"> </w:t>
      </w:r>
      <w:r w:rsidR="001118CA" w:rsidRPr="00C13F90">
        <w:rPr>
          <w:snapToGrid/>
        </w:rPr>
        <w:t>(n=599)</w:t>
      </w:r>
      <w:r w:rsidR="001D2F3F" w:rsidRPr="00C13F90">
        <w:rPr>
          <w:snapToGrid/>
        </w:rPr>
        <w:t>, BIPARK</w:t>
      </w:r>
      <w:r w:rsidR="001118CA" w:rsidRPr="00C13F90">
        <w:t xml:space="preserve"> I [BIA-91067-301]</w:t>
      </w:r>
      <w:r w:rsidRPr="00C13F90">
        <w:rPr>
          <w:snapToGrid/>
        </w:rPr>
        <w:t xml:space="preserve">. </w:t>
      </w:r>
    </w:p>
    <w:p w:rsidR="00833F0F" w:rsidRPr="00C13F90" w:rsidRDefault="00C13F90" w:rsidP="00833F0F">
      <w:pPr>
        <w:pStyle w:val="3-BodyText"/>
      </w:pPr>
      <w:r>
        <w:rPr>
          <w:snapToGrid/>
        </w:rPr>
        <w:t>The table below provide</w:t>
      </w:r>
      <w:r w:rsidR="00F703C9">
        <w:rPr>
          <w:snapToGrid/>
        </w:rPr>
        <w:t>s</w:t>
      </w:r>
      <w:r>
        <w:rPr>
          <w:snapToGrid/>
        </w:rPr>
        <w:t xml:space="preserve"> d</w:t>
      </w:r>
      <w:r w:rsidRPr="00C13F90">
        <w:rPr>
          <w:snapToGrid/>
        </w:rPr>
        <w:t xml:space="preserve">etails </w:t>
      </w:r>
      <w:r w:rsidR="00A73134" w:rsidRPr="00C13F90">
        <w:rPr>
          <w:snapToGrid/>
        </w:rPr>
        <w:t>of the tria</w:t>
      </w:r>
      <w:r w:rsidR="001118CA" w:rsidRPr="00C13F90">
        <w:rPr>
          <w:snapToGrid/>
        </w:rPr>
        <w:t>l</w:t>
      </w:r>
      <w:r w:rsidR="00A73134" w:rsidRPr="00C13F90">
        <w:rPr>
          <w:snapToGrid/>
        </w:rPr>
        <w:t xml:space="preserve"> presented in the submission.</w:t>
      </w:r>
    </w:p>
    <w:p w:rsidR="00420183" w:rsidRPr="00C13F90" w:rsidRDefault="00833F0F" w:rsidP="00833F0F">
      <w:pPr>
        <w:pStyle w:val="TableFigureHeading"/>
      </w:pPr>
      <w:r w:rsidRPr="00C13F90">
        <w:rPr>
          <w:rStyle w:val="CommentReference"/>
          <w:b/>
          <w:szCs w:val="24"/>
        </w:rPr>
        <w:t>Table 2: Trials and associated reports presented in the submissio</w:t>
      </w:r>
      <w:r w:rsidRPr="00C13F90">
        <w:rPr>
          <w:rStyle w:val="CommentReference"/>
          <w:szCs w:val="24"/>
        </w:rPr>
        <w:t>n</w:t>
      </w:r>
      <w:r w:rsidRPr="00C13F90" w:rsidDel="00833F0F">
        <w:rPr>
          <w:rStyle w:val="CommentReference"/>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10"/>
        <w:gridCol w:w="5334"/>
        <w:gridCol w:w="2373"/>
      </w:tblGrid>
      <w:tr w:rsidR="00420183" w:rsidRPr="00C13F90" w:rsidTr="009F4B5B">
        <w:trPr>
          <w:tblHeader/>
        </w:trPr>
        <w:tc>
          <w:tcPr>
            <w:tcW w:w="726" w:type="pct"/>
            <w:vAlign w:val="center"/>
          </w:tcPr>
          <w:p w:rsidR="00420183" w:rsidRPr="00C13F90" w:rsidRDefault="00420183" w:rsidP="009F4B5B">
            <w:pPr>
              <w:pStyle w:val="In-tableHeading"/>
              <w:rPr>
                <w:lang w:val="en-AU"/>
              </w:rPr>
            </w:pPr>
            <w:r w:rsidRPr="00C13F90">
              <w:rPr>
                <w:lang w:val="en-AU"/>
              </w:rPr>
              <w:t>Trial ID</w:t>
            </w:r>
          </w:p>
        </w:tc>
        <w:tc>
          <w:tcPr>
            <w:tcW w:w="2958" w:type="pct"/>
            <w:vAlign w:val="center"/>
          </w:tcPr>
          <w:p w:rsidR="00420183" w:rsidRPr="00C13F90" w:rsidRDefault="00420183" w:rsidP="009F4B5B">
            <w:pPr>
              <w:pStyle w:val="In-tableHeading"/>
              <w:rPr>
                <w:lang w:val="en-AU"/>
              </w:rPr>
            </w:pPr>
            <w:r w:rsidRPr="00C13F90">
              <w:rPr>
                <w:lang w:val="en-AU"/>
              </w:rPr>
              <w:t>Protocol title/ Publication title</w:t>
            </w:r>
          </w:p>
        </w:tc>
        <w:tc>
          <w:tcPr>
            <w:tcW w:w="1316" w:type="pct"/>
            <w:vAlign w:val="center"/>
          </w:tcPr>
          <w:p w:rsidR="00420183" w:rsidRPr="00C13F90" w:rsidRDefault="00420183" w:rsidP="009F4B5B">
            <w:pPr>
              <w:pStyle w:val="In-tableHeading"/>
              <w:rPr>
                <w:lang w:val="en-AU"/>
              </w:rPr>
            </w:pPr>
            <w:r w:rsidRPr="00C13F90">
              <w:rPr>
                <w:lang w:val="en-AU"/>
              </w:rPr>
              <w:t>Publication citation</w:t>
            </w:r>
          </w:p>
        </w:tc>
      </w:tr>
      <w:tr w:rsidR="00FC41FD" w:rsidRPr="00C13F90" w:rsidTr="00F27EA4">
        <w:tc>
          <w:tcPr>
            <w:tcW w:w="726" w:type="pct"/>
            <w:vMerge w:val="restart"/>
            <w:tcBorders>
              <w:top w:val="nil"/>
            </w:tcBorders>
            <w:vAlign w:val="center"/>
          </w:tcPr>
          <w:p w:rsidR="00FC41FD" w:rsidRPr="00C13F90" w:rsidRDefault="00FC41FD" w:rsidP="009F4B5B">
            <w:pPr>
              <w:pStyle w:val="TableText0"/>
            </w:pPr>
            <w:r w:rsidRPr="00C13F90">
              <w:t>Study 301 (BIPARK I)</w:t>
            </w:r>
          </w:p>
        </w:tc>
        <w:tc>
          <w:tcPr>
            <w:tcW w:w="2958" w:type="pct"/>
            <w:vMerge w:val="restart"/>
            <w:tcBorders>
              <w:top w:val="nil"/>
            </w:tcBorders>
            <w:vAlign w:val="center"/>
          </w:tcPr>
          <w:p w:rsidR="00FC41FD" w:rsidRPr="00C13F90" w:rsidRDefault="00FC41FD" w:rsidP="00FC41FD">
            <w:pPr>
              <w:pStyle w:val="TableText0"/>
              <w:rPr>
                <w:rFonts w:ascii="Source Sans Pro" w:hAnsi="Source Sans Pro"/>
                <w:color w:val="000000"/>
                <w:sz w:val="23"/>
                <w:szCs w:val="23"/>
                <w:shd w:val="clear" w:color="auto" w:fill="FFFFFF"/>
              </w:rPr>
            </w:pPr>
            <w:r w:rsidRPr="00C13F90">
              <w:t>Clinical Trials.gov Identifier: NCT01568073: Efficacy and Safety of BIA 9-1067 in Idiopathic Parkinson’s Disease Patients With “Wearing-off Phenomenon”.</w:t>
            </w:r>
            <w:r w:rsidRPr="00C13F90">
              <w:rPr>
                <w:rFonts w:ascii="Source Sans Pro" w:hAnsi="Source Sans Pro"/>
                <w:color w:val="000000"/>
                <w:sz w:val="23"/>
                <w:szCs w:val="23"/>
                <w:shd w:val="clear" w:color="auto" w:fill="FFFFFF"/>
              </w:rPr>
              <w:t xml:space="preserve"> </w:t>
            </w:r>
          </w:p>
          <w:p w:rsidR="00FC41FD" w:rsidRPr="00C13F90" w:rsidRDefault="00FC41FD" w:rsidP="00FC41FD">
            <w:pPr>
              <w:pStyle w:val="TableText0"/>
              <w:rPr>
                <w:szCs w:val="18"/>
              </w:rPr>
            </w:pPr>
            <w:r w:rsidRPr="00C13F90">
              <w:rPr>
                <w:szCs w:val="18"/>
              </w:rPr>
              <w:t xml:space="preserve">Ferreira JJ, Lees A, Rocha JF </w:t>
            </w:r>
            <w:r w:rsidRPr="00C13F90">
              <w:t>Poewe W, Rascol O, Soares-da-Silva P; Bi-Park 1 investigators. Opicapone as an adjunct to levodopa in patients with Parkinson's disease and end-of-dose motor fluctuations: a randomised, double-blind, controlled trial.</w:t>
            </w:r>
            <w:r w:rsidRPr="00C13F90" w:rsidDel="00B86953">
              <w:t xml:space="preserve"> </w:t>
            </w:r>
          </w:p>
          <w:p w:rsidR="00FC41FD" w:rsidRPr="00C13F90" w:rsidRDefault="00FC41FD" w:rsidP="00FC41FD">
            <w:pPr>
              <w:pStyle w:val="TableText0"/>
              <w:rPr>
                <w:szCs w:val="18"/>
              </w:rPr>
            </w:pPr>
            <w:r w:rsidRPr="00C13F90">
              <w:t>Ferreira JJ, Lees A, Rocha JF, Poewe W, Rascol O, Rocha JF, Keller B, Soares-da-Silva P; Effectiveness of opicapone and switching from entacapone in fluctuating Parkinson disease.</w:t>
            </w:r>
          </w:p>
          <w:p w:rsidR="00FC41FD" w:rsidRPr="00C13F90" w:rsidRDefault="00FC41FD" w:rsidP="00FC41FD">
            <w:pPr>
              <w:pStyle w:val="TableText0"/>
              <w:rPr>
                <w:szCs w:val="18"/>
              </w:rPr>
            </w:pPr>
            <w:r w:rsidRPr="00C13F90">
              <w:rPr>
                <w:color w:val="000000"/>
              </w:rPr>
              <w:t>Korlipara P, Ferreira J, Gama H, Santos A, Ikedo F, Arbe E, Rocha J, Soares-da-Silva P; Baseline OFF-time influence in Opicapone’s efficacy outcomes in Parkinson’s disease patients with motor fluctuations: the BIPARK-1 double-blind data.</w:t>
            </w:r>
          </w:p>
        </w:tc>
        <w:tc>
          <w:tcPr>
            <w:tcW w:w="1316" w:type="pct"/>
            <w:tcBorders>
              <w:top w:val="nil"/>
              <w:bottom w:val="nil"/>
            </w:tcBorders>
            <w:vAlign w:val="center"/>
          </w:tcPr>
          <w:p w:rsidR="00FC41FD" w:rsidRPr="00C13F90" w:rsidRDefault="00FC41FD" w:rsidP="009F4B5B">
            <w:pPr>
              <w:pStyle w:val="TableText0"/>
              <w:rPr>
                <w:szCs w:val="18"/>
              </w:rPr>
            </w:pPr>
          </w:p>
          <w:p w:rsidR="00FC41FD" w:rsidRPr="00C13F90" w:rsidRDefault="00FC41FD" w:rsidP="009F4B5B">
            <w:pPr>
              <w:pStyle w:val="TableText0"/>
              <w:rPr>
                <w:szCs w:val="18"/>
              </w:rPr>
            </w:pPr>
          </w:p>
          <w:p w:rsidR="00FC41FD" w:rsidRPr="00C13F90" w:rsidRDefault="00FC41FD" w:rsidP="009F4B5B">
            <w:pPr>
              <w:pStyle w:val="TableText0"/>
              <w:rPr>
                <w:szCs w:val="18"/>
              </w:rPr>
            </w:pPr>
          </w:p>
          <w:p w:rsidR="00FC41FD" w:rsidRPr="00C13F90" w:rsidRDefault="00FC41FD" w:rsidP="009F4B5B">
            <w:pPr>
              <w:pStyle w:val="TableText0"/>
              <w:rPr>
                <w:szCs w:val="18"/>
              </w:rPr>
            </w:pPr>
            <w:r w:rsidRPr="00C13F90">
              <w:rPr>
                <w:szCs w:val="18"/>
              </w:rPr>
              <w:t>Lancet Neurol. 2016 Feb;15(2):154-165. doi: 10.1016/S1474-4422(15) 00336-1. Epub 2015 Dec 23.</w:t>
            </w:r>
          </w:p>
        </w:tc>
      </w:tr>
      <w:tr w:rsidR="00FC41FD" w:rsidRPr="00C13F90" w:rsidTr="00F27EA4">
        <w:tc>
          <w:tcPr>
            <w:tcW w:w="726" w:type="pct"/>
            <w:vMerge/>
            <w:vAlign w:val="center"/>
          </w:tcPr>
          <w:p w:rsidR="00FC41FD" w:rsidRPr="00C13F90" w:rsidRDefault="00FC41FD" w:rsidP="009F4B5B">
            <w:pPr>
              <w:pStyle w:val="TableText0"/>
            </w:pPr>
          </w:p>
        </w:tc>
        <w:tc>
          <w:tcPr>
            <w:tcW w:w="2958" w:type="pct"/>
            <w:vMerge/>
            <w:vAlign w:val="center"/>
          </w:tcPr>
          <w:p w:rsidR="00FC41FD" w:rsidRPr="00C13F90" w:rsidRDefault="00FC41FD" w:rsidP="009F4B5B">
            <w:pPr>
              <w:pStyle w:val="TableText0"/>
            </w:pPr>
          </w:p>
        </w:tc>
        <w:tc>
          <w:tcPr>
            <w:tcW w:w="1316" w:type="pct"/>
            <w:tcBorders>
              <w:top w:val="nil"/>
              <w:bottom w:val="nil"/>
            </w:tcBorders>
            <w:vAlign w:val="center"/>
          </w:tcPr>
          <w:p w:rsidR="00FC41FD" w:rsidRPr="00C13F90" w:rsidRDefault="00FC41FD" w:rsidP="009F4B5B">
            <w:pPr>
              <w:pStyle w:val="TableText0"/>
              <w:rPr>
                <w:szCs w:val="18"/>
              </w:rPr>
            </w:pPr>
            <w:r w:rsidRPr="00C13F90">
              <w:rPr>
                <w:szCs w:val="18"/>
              </w:rPr>
              <w:t>Neurology. 90 (21) (pp E1849-E1857), 2018.</w:t>
            </w:r>
          </w:p>
          <w:p w:rsidR="00FC41FD" w:rsidRPr="00C13F90" w:rsidRDefault="00FC41FD" w:rsidP="009F4B5B">
            <w:pPr>
              <w:pStyle w:val="TableText0"/>
              <w:rPr>
                <w:szCs w:val="18"/>
              </w:rPr>
            </w:pPr>
          </w:p>
        </w:tc>
      </w:tr>
      <w:tr w:rsidR="00FC41FD" w:rsidRPr="00C13F90" w:rsidTr="00F27EA4">
        <w:tc>
          <w:tcPr>
            <w:tcW w:w="726" w:type="pct"/>
            <w:vMerge/>
            <w:tcBorders>
              <w:bottom w:val="single" w:sz="4" w:space="0" w:color="auto"/>
            </w:tcBorders>
            <w:vAlign w:val="center"/>
          </w:tcPr>
          <w:p w:rsidR="00FC41FD" w:rsidRPr="00C13F90" w:rsidRDefault="00FC41FD" w:rsidP="009F4B5B">
            <w:pPr>
              <w:pStyle w:val="TableText0"/>
            </w:pPr>
          </w:p>
        </w:tc>
        <w:tc>
          <w:tcPr>
            <w:tcW w:w="2958" w:type="pct"/>
            <w:vMerge/>
            <w:tcBorders>
              <w:bottom w:val="single" w:sz="4" w:space="0" w:color="auto"/>
            </w:tcBorders>
            <w:vAlign w:val="center"/>
          </w:tcPr>
          <w:p w:rsidR="00FC41FD" w:rsidRPr="00C13F90" w:rsidRDefault="00FC41FD" w:rsidP="009F4B5B">
            <w:pPr>
              <w:pStyle w:val="TableText0"/>
              <w:rPr>
                <w:szCs w:val="18"/>
              </w:rPr>
            </w:pPr>
          </w:p>
        </w:tc>
        <w:tc>
          <w:tcPr>
            <w:tcW w:w="1316" w:type="pct"/>
            <w:tcBorders>
              <w:top w:val="nil"/>
              <w:bottom w:val="single" w:sz="4" w:space="0" w:color="auto"/>
            </w:tcBorders>
            <w:vAlign w:val="center"/>
          </w:tcPr>
          <w:p w:rsidR="00FC41FD" w:rsidRPr="00C13F90" w:rsidRDefault="00FC41FD" w:rsidP="009F4B5B">
            <w:pPr>
              <w:pStyle w:val="TableText0"/>
              <w:rPr>
                <w:szCs w:val="18"/>
              </w:rPr>
            </w:pPr>
            <w:r w:rsidRPr="00C13F90">
              <w:rPr>
                <w:szCs w:val="18"/>
              </w:rPr>
              <w:t xml:space="preserve">European Journal of Neurology, 2019 Sept; 26(09):649. </w:t>
            </w:r>
          </w:p>
          <w:p w:rsidR="00FC41FD" w:rsidRPr="00C13F90" w:rsidRDefault="00FC41FD" w:rsidP="009F4B5B">
            <w:pPr>
              <w:pStyle w:val="TableText0"/>
              <w:rPr>
                <w:i/>
                <w:szCs w:val="18"/>
              </w:rPr>
            </w:pPr>
          </w:p>
        </w:tc>
      </w:tr>
      <w:tr w:rsidR="00420183" w:rsidRPr="00C13F90" w:rsidTr="009F4B5B">
        <w:tc>
          <w:tcPr>
            <w:tcW w:w="726" w:type="pct"/>
            <w:tcBorders>
              <w:bottom w:val="single" w:sz="4" w:space="0" w:color="auto"/>
            </w:tcBorders>
            <w:vAlign w:val="center"/>
          </w:tcPr>
          <w:p w:rsidR="00420183" w:rsidRPr="00C13F90" w:rsidRDefault="00420183" w:rsidP="009F4B5B">
            <w:pPr>
              <w:pStyle w:val="TableText0"/>
            </w:pPr>
            <w:r w:rsidRPr="00C13F90">
              <w:t>Study 302 (BIPARK II)</w:t>
            </w:r>
          </w:p>
        </w:tc>
        <w:tc>
          <w:tcPr>
            <w:tcW w:w="2958" w:type="pct"/>
            <w:tcBorders>
              <w:bottom w:val="single" w:sz="4" w:space="0" w:color="auto"/>
            </w:tcBorders>
            <w:vAlign w:val="center"/>
          </w:tcPr>
          <w:p w:rsidR="00420183" w:rsidRPr="00C13F90" w:rsidRDefault="00420183" w:rsidP="00FC41FD">
            <w:pPr>
              <w:pStyle w:val="TableText0"/>
              <w:rPr>
                <w:szCs w:val="18"/>
              </w:rPr>
            </w:pPr>
            <w:r w:rsidRPr="00C13F90">
              <w:rPr>
                <w:szCs w:val="18"/>
              </w:rPr>
              <w:t>ClinicalTrials.gov Identifier: NCT01227655: Efficacy and Safety of BIA 9-1067 in Idiopathic Parkinson’s Disease Patients. (BIPARKII)</w:t>
            </w:r>
          </w:p>
          <w:p w:rsidR="00420183" w:rsidRPr="00C13F90" w:rsidRDefault="00420183" w:rsidP="00FC41FD">
            <w:pPr>
              <w:pStyle w:val="TableText0"/>
            </w:pPr>
            <w:r w:rsidRPr="00C13F90">
              <w:rPr>
                <w:szCs w:val="18"/>
              </w:rPr>
              <w:t>Lees AJ, Ferreira J, Rascol O, Poewe W, Rocha JF, McCrory M, Soares-da-Silva P; BIPARK-2 Study Investigators. Opicapone as Adjunct to Levodopa Therapy in Patients With Parkinson Disease and Motor Fluctuations: A Randomized Clinical Trial</w:t>
            </w:r>
          </w:p>
        </w:tc>
        <w:tc>
          <w:tcPr>
            <w:tcW w:w="1316" w:type="pct"/>
            <w:tcBorders>
              <w:bottom w:val="single" w:sz="4" w:space="0" w:color="auto"/>
            </w:tcBorders>
            <w:vAlign w:val="center"/>
          </w:tcPr>
          <w:p w:rsidR="00420183" w:rsidRPr="00C13F90" w:rsidRDefault="00420183" w:rsidP="009F4B5B">
            <w:pPr>
              <w:pStyle w:val="TableText0"/>
            </w:pPr>
            <w:r w:rsidRPr="00C13F90">
              <w:t>JAMA Neurol. 2017 Feb 1</w:t>
            </w:r>
            <w:r w:rsidR="001D2F3F" w:rsidRPr="00C13F90">
              <w:t>; 74</w:t>
            </w:r>
            <w:r w:rsidRPr="00C13F90">
              <w:t xml:space="preserve">(2):197-206. doi: 10.1001/jamaneurol.2016.4703. </w:t>
            </w:r>
          </w:p>
        </w:tc>
      </w:tr>
    </w:tbl>
    <w:p w:rsidR="00420183" w:rsidRPr="00C13F90" w:rsidRDefault="00420183" w:rsidP="00420183">
      <w:pPr>
        <w:pStyle w:val="TableFigureFooter"/>
      </w:pPr>
      <w:r w:rsidRPr="00C13F90">
        <w:t>Source: Table 2.3, p34 of the submission.</w:t>
      </w:r>
    </w:p>
    <w:p w:rsidR="007F1017" w:rsidRPr="00C13F90" w:rsidRDefault="008F120A" w:rsidP="00EC5836">
      <w:pPr>
        <w:pStyle w:val="3-BodyText"/>
        <w:rPr>
          <w:color w:val="0066FF"/>
        </w:rPr>
      </w:pPr>
      <w:r w:rsidRPr="00C13F90">
        <w:t>The key features of the direct randomised trial</w:t>
      </w:r>
      <w:r w:rsidR="004D4002" w:rsidRPr="00C13F90">
        <w:t xml:space="preserve"> </w:t>
      </w:r>
      <w:r w:rsidRPr="00C13F90">
        <w:t>are summarised in the table below.</w:t>
      </w:r>
      <w:r w:rsidR="00BC591F" w:rsidRPr="00C13F90">
        <w:t xml:space="preserve"> </w:t>
      </w:r>
    </w:p>
    <w:p w:rsidR="007F1017" w:rsidRPr="00C13F90" w:rsidRDefault="007F1017" w:rsidP="00EC5836">
      <w:pPr>
        <w:pStyle w:val="TableFigureHeading"/>
        <w:rPr>
          <w:rStyle w:val="CommentReference"/>
          <w:b/>
          <w:szCs w:val="24"/>
        </w:rPr>
      </w:pPr>
      <w:r w:rsidRPr="00C13F90">
        <w:rPr>
          <w:rStyle w:val="CommentReference"/>
          <w:b/>
          <w:szCs w:val="24"/>
        </w:rPr>
        <w:t xml:space="preserve">Table </w:t>
      </w:r>
      <w:r w:rsidR="00660BAE" w:rsidRPr="00C13F90">
        <w:rPr>
          <w:rStyle w:val="CommentReference"/>
          <w:b/>
          <w:szCs w:val="24"/>
        </w:rPr>
        <w:t>3</w:t>
      </w:r>
      <w:r w:rsidRPr="00C13F90">
        <w:rPr>
          <w:rStyle w:val="CommentReference"/>
          <w:b/>
          <w:szCs w:val="24"/>
        </w:rPr>
        <w:t>: Key features of the included evidence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1"/>
        <w:gridCol w:w="1121"/>
        <w:gridCol w:w="1544"/>
        <w:gridCol w:w="2582"/>
      </w:tblGrid>
      <w:tr w:rsidR="004D4002" w:rsidRPr="00C13F90" w:rsidTr="004D4002">
        <w:trPr>
          <w:cantSplit/>
          <w:tblHeader/>
        </w:trPr>
        <w:tc>
          <w:tcPr>
            <w:tcW w:w="732" w:type="pct"/>
            <w:shd w:val="clear" w:color="auto" w:fill="auto"/>
            <w:vAlign w:val="center"/>
          </w:tcPr>
          <w:p w:rsidR="004D4002" w:rsidRPr="00C13F90" w:rsidRDefault="004D4002" w:rsidP="001E34DF">
            <w:pPr>
              <w:pStyle w:val="In-tableHeading"/>
              <w:rPr>
                <w:lang w:val="en-AU"/>
              </w:rPr>
            </w:pPr>
            <w:r w:rsidRPr="00C13F90">
              <w:rPr>
                <w:lang w:val="en-AU"/>
              </w:rPr>
              <w:t>Trial</w:t>
            </w:r>
          </w:p>
        </w:tc>
        <w:tc>
          <w:tcPr>
            <w:tcW w:w="478" w:type="pct"/>
            <w:shd w:val="clear" w:color="auto" w:fill="auto"/>
            <w:vAlign w:val="center"/>
          </w:tcPr>
          <w:p w:rsidR="004D4002" w:rsidRPr="00C13F90" w:rsidRDefault="004D4002" w:rsidP="00EC5836">
            <w:pPr>
              <w:pStyle w:val="In-tableHeading"/>
              <w:jc w:val="center"/>
              <w:rPr>
                <w:lang w:val="en-AU"/>
              </w:rPr>
            </w:pPr>
            <w:r w:rsidRPr="00C13F90">
              <w:rPr>
                <w:lang w:val="en-AU"/>
              </w:rPr>
              <w:t>N</w:t>
            </w:r>
          </w:p>
        </w:tc>
        <w:tc>
          <w:tcPr>
            <w:tcW w:w="803" w:type="pct"/>
            <w:shd w:val="clear" w:color="auto" w:fill="auto"/>
            <w:vAlign w:val="center"/>
          </w:tcPr>
          <w:p w:rsidR="004D4002" w:rsidRPr="00C13F90" w:rsidRDefault="004D4002" w:rsidP="00EC5836">
            <w:pPr>
              <w:pStyle w:val="In-tableHeading"/>
              <w:jc w:val="center"/>
              <w:rPr>
                <w:lang w:val="en-AU"/>
              </w:rPr>
            </w:pPr>
            <w:r w:rsidRPr="00C13F90">
              <w:rPr>
                <w:lang w:val="en-AU"/>
              </w:rPr>
              <w:t>Design/ duration</w:t>
            </w:r>
          </w:p>
        </w:tc>
        <w:tc>
          <w:tcPr>
            <w:tcW w:w="638" w:type="pct"/>
            <w:shd w:val="clear" w:color="auto" w:fill="auto"/>
            <w:vAlign w:val="center"/>
          </w:tcPr>
          <w:p w:rsidR="004D4002" w:rsidRPr="00C13F90" w:rsidRDefault="004D4002" w:rsidP="00EC5836">
            <w:pPr>
              <w:pStyle w:val="In-tableHeading"/>
              <w:jc w:val="center"/>
              <w:rPr>
                <w:lang w:val="en-AU"/>
              </w:rPr>
            </w:pPr>
            <w:r w:rsidRPr="00C13F90">
              <w:rPr>
                <w:lang w:val="en-AU"/>
              </w:rPr>
              <w:t>Risk of bias</w:t>
            </w:r>
          </w:p>
        </w:tc>
        <w:tc>
          <w:tcPr>
            <w:tcW w:w="879" w:type="pct"/>
            <w:shd w:val="clear" w:color="auto" w:fill="auto"/>
            <w:vAlign w:val="center"/>
          </w:tcPr>
          <w:p w:rsidR="004D4002" w:rsidRPr="00C13F90" w:rsidRDefault="004D4002" w:rsidP="00EC5836">
            <w:pPr>
              <w:pStyle w:val="In-tableHeading"/>
              <w:jc w:val="center"/>
              <w:rPr>
                <w:lang w:val="en-AU"/>
              </w:rPr>
            </w:pPr>
            <w:r w:rsidRPr="00C13F90">
              <w:rPr>
                <w:lang w:val="en-AU"/>
              </w:rPr>
              <w:t>Patient population</w:t>
            </w:r>
          </w:p>
        </w:tc>
        <w:tc>
          <w:tcPr>
            <w:tcW w:w="1470" w:type="pct"/>
            <w:shd w:val="clear" w:color="auto" w:fill="auto"/>
            <w:vAlign w:val="center"/>
          </w:tcPr>
          <w:p w:rsidR="004D4002" w:rsidRPr="00C13F90" w:rsidRDefault="004D4002" w:rsidP="00EC5836">
            <w:pPr>
              <w:pStyle w:val="In-tableHeading"/>
              <w:jc w:val="center"/>
              <w:rPr>
                <w:lang w:val="en-AU"/>
              </w:rPr>
            </w:pPr>
            <w:r w:rsidRPr="00C13F90">
              <w:rPr>
                <w:lang w:val="en-AU"/>
              </w:rPr>
              <w:t>Outcome(s)</w:t>
            </w:r>
          </w:p>
        </w:tc>
      </w:tr>
      <w:tr w:rsidR="004D4002" w:rsidRPr="00C13F90" w:rsidTr="004D4002">
        <w:trPr>
          <w:cantSplit/>
        </w:trPr>
        <w:tc>
          <w:tcPr>
            <w:tcW w:w="732" w:type="pct"/>
            <w:shd w:val="clear" w:color="auto" w:fill="auto"/>
            <w:vAlign w:val="center"/>
          </w:tcPr>
          <w:p w:rsidR="004D4002" w:rsidRPr="00C13F90" w:rsidRDefault="004D4002" w:rsidP="00EC5836">
            <w:pPr>
              <w:pStyle w:val="TableText0"/>
            </w:pPr>
            <w:r w:rsidRPr="00C13F90">
              <w:t>BIPARK I [BIA-91067-301]</w:t>
            </w:r>
          </w:p>
        </w:tc>
        <w:tc>
          <w:tcPr>
            <w:tcW w:w="478" w:type="pct"/>
            <w:shd w:val="clear" w:color="auto" w:fill="auto"/>
            <w:vAlign w:val="center"/>
          </w:tcPr>
          <w:p w:rsidR="004D4002" w:rsidRPr="00C13F90" w:rsidRDefault="004D4002" w:rsidP="00EC5836">
            <w:pPr>
              <w:pStyle w:val="TableText0"/>
              <w:jc w:val="center"/>
            </w:pPr>
            <w:r w:rsidRPr="00C13F90">
              <w:t>599</w:t>
            </w:r>
          </w:p>
        </w:tc>
        <w:tc>
          <w:tcPr>
            <w:tcW w:w="803" w:type="pct"/>
            <w:shd w:val="clear" w:color="auto" w:fill="auto"/>
            <w:vAlign w:val="center"/>
          </w:tcPr>
          <w:p w:rsidR="004D4002" w:rsidRPr="00C13F90" w:rsidRDefault="004D4002" w:rsidP="00EC5836">
            <w:pPr>
              <w:pStyle w:val="TableText0"/>
              <w:jc w:val="center"/>
            </w:pPr>
            <w:r w:rsidRPr="00C13F90">
              <w:t>R, DB</w:t>
            </w:r>
          </w:p>
          <w:p w:rsidR="004D4002" w:rsidRPr="00C13F90" w:rsidRDefault="004D4002" w:rsidP="00EC5836">
            <w:pPr>
              <w:pStyle w:val="TableText0"/>
              <w:jc w:val="center"/>
            </w:pPr>
            <w:r w:rsidRPr="00C13F90">
              <w:t>15 weeks</w:t>
            </w:r>
          </w:p>
        </w:tc>
        <w:tc>
          <w:tcPr>
            <w:tcW w:w="638" w:type="pct"/>
            <w:shd w:val="clear" w:color="auto" w:fill="auto"/>
            <w:vAlign w:val="center"/>
          </w:tcPr>
          <w:p w:rsidR="004D4002" w:rsidRPr="00C13F90" w:rsidRDefault="004D4002" w:rsidP="00EC5836">
            <w:pPr>
              <w:pStyle w:val="TableText0"/>
              <w:jc w:val="center"/>
            </w:pPr>
            <w:r w:rsidRPr="00C13F90">
              <w:t>Low</w:t>
            </w:r>
          </w:p>
        </w:tc>
        <w:tc>
          <w:tcPr>
            <w:tcW w:w="879" w:type="pct"/>
            <w:shd w:val="clear" w:color="auto" w:fill="auto"/>
            <w:vAlign w:val="center"/>
          </w:tcPr>
          <w:p w:rsidR="004D4002" w:rsidRPr="00C13F90" w:rsidRDefault="004D4002" w:rsidP="00EC5836">
            <w:pPr>
              <w:pStyle w:val="TableText0"/>
              <w:jc w:val="center"/>
            </w:pPr>
            <w:r w:rsidRPr="00C13F90">
              <w:t>Parkinson Disease</w:t>
            </w:r>
          </w:p>
        </w:tc>
        <w:tc>
          <w:tcPr>
            <w:tcW w:w="1470" w:type="pct"/>
            <w:shd w:val="clear" w:color="auto" w:fill="auto"/>
            <w:vAlign w:val="center"/>
          </w:tcPr>
          <w:p w:rsidR="004D4002" w:rsidRPr="00C13F90" w:rsidRDefault="004D4002" w:rsidP="004D4002">
            <w:pPr>
              <w:pStyle w:val="TableText0"/>
            </w:pPr>
            <w:r w:rsidRPr="00C13F90">
              <w:t>Absolute off time, on time, with and without dyskinesia, quality of life</w:t>
            </w:r>
          </w:p>
        </w:tc>
      </w:tr>
    </w:tbl>
    <w:p w:rsidR="00045017" w:rsidRPr="00C13F90" w:rsidRDefault="00045017" w:rsidP="00EC5836">
      <w:pPr>
        <w:pStyle w:val="TableFigureFooter"/>
      </w:pPr>
      <w:r w:rsidRPr="00C13F90">
        <w:t xml:space="preserve">Source: </w:t>
      </w:r>
      <w:r w:rsidR="004D4002" w:rsidRPr="00C13F90">
        <w:t>constructed during the evaluation</w:t>
      </w:r>
    </w:p>
    <w:p w:rsidR="00620C25" w:rsidRPr="00C13F90" w:rsidRDefault="00620C25" w:rsidP="00EC5836">
      <w:pPr>
        <w:pStyle w:val="TableFigureFooter"/>
        <w:rPr>
          <w:sz w:val="20"/>
        </w:rPr>
      </w:pPr>
      <w:r w:rsidRPr="00C13F90">
        <w:t>DB = double blind; MC = multi-centre</w:t>
      </w:r>
      <w:r w:rsidR="001D2F3F" w:rsidRPr="00C13F90">
        <w:t>;</w:t>
      </w:r>
      <w:r w:rsidRPr="00C13F90">
        <w:t xml:space="preserve"> R = randomised.</w:t>
      </w:r>
    </w:p>
    <w:p w:rsidR="00045017" w:rsidRPr="00C13F90" w:rsidRDefault="00DC5C71" w:rsidP="00EC5836">
      <w:pPr>
        <w:pStyle w:val="3-BodyText"/>
      </w:pPr>
      <w:r w:rsidRPr="00C13F90">
        <w:t xml:space="preserve">The trial compared </w:t>
      </w:r>
      <w:r w:rsidR="00C13F90">
        <w:t>three</w:t>
      </w:r>
      <w:r w:rsidRPr="00C13F90">
        <w:t xml:space="preserve"> doses of opicapone (5</w:t>
      </w:r>
      <w:r w:rsidR="006B0E08" w:rsidRPr="00C13F90">
        <w:t> </w:t>
      </w:r>
      <w:r w:rsidRPr="00C13F90">
        <w:t>mg, 25</w:t>
      </w:r>
      <w:r w:rsidR="006B0E08" w:rsidRPr="00C13F90">
        <w:t> </w:t>
      </w:r>
      <w:r w:rsidRPr="00C13F90">
        <w:t>mg and 50</w:t>
      </w:r>
      <w:r w:rsidR="006B0E08" w:rsidRPr="00C13F90">
        <w:t> </w:t>
      </w:r>
      <w:r w:rsidRPr="00C13F90">
        <w:t>mg daily) with entacapone</w:t>
      </w:r>
      <w:r w:rsidR="00D23AAA" w:rsidRPr="00C13F90">
        <w:t xml:space="preserve"> (200</w:t>
      </w:r>
      <w:r w:rsidR="006B0E08" w:rsidRPr="00C13F90">
        <w:t> </w:t>
      </w:r>
      <w:r w:rsidR="00D23AAA" w:rsidRPr="00C13F90">
        <w:t>mg with each dose of levodopa)</w:t>
      </w:r>
      <w:r w:rsidRPr="00C13F90">
        <w:t xml:space="preserve"> and placebo</w:t>
      </w:r>
      <w:r w:rsidR="00C13F90">
        <w:t xml:space="preserve">. </w:t>
      </w:r>
      <w:r w:rsidRPr="00C13F90">
        <w:rPr>
          <w:iCs/>
        </w:rPr>
        <w:t>As the only registered dose of opicapone is 50</w:t>
      </w:r>
      <w:r w:rsidR="006B0E08" w:rsidRPr="00C13F90">
        <w:t> </w:t>
      </w:r>
      <w:r w:rsidRPr="00C13F90">
        <w:rPr>
          <w:iCs/>
        </w:rPr>
        <w:t xml:space="preserve">mg per day, without the possibility </w:t>
      </w:r>
      <w:r w:rsidR="009F4B5B" w:rsidRPr="00C13F90">
        <w:rPr>
          <w:iCs/>
        </w:rPr>
        <w:t>of</w:t>
      </w:r>
      <w:r w:rsidRPr="00C13F90">
        <w:rPr>
          <w:iCs/>
        </w:rPr>
        <w:t xml:space="preserve"> </w:t>
      </w:r>
      <w:r w:rsidR="00C13F90">
        <w:rPr>
          <w:iCs/>
        </w:rPr>
        <w:t xml:space="preserve">down </w:t>
      </w:r>
      <w:r w:rsidRPr="00C13F90">
        <w:rPr>
          <w:iCs/>
        </w:rPr>
        <w:t>titra</w:t>
      </w:r>
      <w:r w:rsidR="009F4B5B" w:rsidRPr="00C13F90">
        <w:rPr>
          <w:iCs/>
        </w:rPr>
        <w:t>ting</w:t>
      </w:r>
      <w:r w:rsidRPr="00C13F90">
        <w:rPr>
          <w:iCs/>
        </w:rPr>
        <w:t xml:space="preserve"> due to the formulation, </w:t>
      </w:r>
      <w:r w:rsidR="00272264" w:rsidRPr="00C13F90">
        <w:rPr>
          <w:iCs/>
        </w:rPr>
        <w:t>this advice</w:t>
      </w:r>
      <w:r w:rsidRPr="00C13F90">
        <w:rPr>
          <w:iCs/>
        </w:rPr>
        <w:t xml:space="preserve"> concentrates on the data from t</w:t>
      </w:r>
      <w:r w:rsidR="009F4B5B" w:rsidRPr="00C13F90">
        <w:rPr>
          <w:iCs/>
        </w:rPr>
        <w:t>he 50</w:t>
      </w:r>
      <w:r w:rsidR="006B0E08" w:rsidRPr="00C13F90">
        <w:t> </w:t>
      </w:r>
      <w:r w:rsidR="009F4B5B" w:rsidRPr="00C13F90">
        <w:rPr>
          <w:iCs/>
        </w:rPr>
        <w:t>mg</w:t>
      </w:r>
      <w:r w:rsidRPr="00C13F90">
        <w:rPr>
          <w:iCs/>
        </w:rPr>
        <w:t xml:space="preserve"> arm of the trial</w:t>
      </w:r>
      <w:r w:rsidR="00C13F90">
        <w:rPr>
          <w:iCs/>
        </w:rPr>
        <w:t xml:space="preserve">. </w:t>
      </w:r>
    </w:p>
    <w:p w:rsidR="006E2B5F" w:rsidRPr="00C13F90" w:rsidRDefault="00E94316" w:rsidP="006E2B5F">
      <w:pPr>
        <w:pStyle w:val="3-BodyText"/>
      </w:pPr>
      <w:r w:rsidRPr="00C13F90">
        <w:t xml:space="preserve">In the trial, patients had to have been on a stable dose </w:t>
      </w:r>
      <w:r w:rsidR="001D2F3F" w:rsidRPr="00C13F90">
        <w:t>of L-dopa</w:t>
      </w:r>
      <w:r w:rsidRPr="00C13F90">
        <w:t xml:space="preserve"> + DDCI for 4 weeks before screening (CSR). </w:t>
      </w:r>
      <w:r w:rsidR="006D1F85" w:rsidRPr="00C13F90">
        <w:t xml:space="preserve">The number of daily doses of </w:t>
      </w:r>
      <w:r w:rsidR="001D2F3F" w:rsidRPr="00C13F90">
        <w:t>L-dopa</w:t>
      </w:r>
      <w:r w:rsidR="006D1F85" w:rsidRPr="00C13F90">
        <w:t xml:space="preserve"> + DDCI could be between three and eight. </w:t>
      </w:r>
      <w:r w:rsidRPr="00C13F90">
        <w:t xml:space="preserve">The entacapone dose was therefore determined by the baseline frequency of </w:t>
      </w:r>
      <w:r w:rsidR="001D2F3F" w:rsidRPr="00C13F90">
        <w:t>L-dopa</w:t>
      </w:r>
      <w:r w:rsidRPr="00C13F90">
        <w:t xml:space="preserve"> doses</w:t>
      </w:r>
      <w:r w:rsidR="006D1F85" w:rsidRPr="00C13F90">
        <w:t xml:space="preserve"> and could be between 600</w:t>
      </w:r>
      <w:r w:rsidR="006B0E08" w:rsidRPr="00C13F90">
        <w:t> </w:t>
      </w:r>
      <w:r w:rsidR="006D1F85" w:rsidRPr="00C13F90">
        <w:t>mg and 1</w:t>
      </w:r>
      <w:r w:rsidR="006B0E08">
        <w:t>,</w:t>
      </w:r>
      <w:r w:rsidR="006D1F85" w:rsidRPr="00C13F90">
        <w:t>600</w:t>
      </w:r>
      <w:r w:rsidR="006B0E08" w:rsidRPr="00C13F90">
        <w:t> </w:t>
      </w:r>
      <w:r w:rsidR="006D1F85" w:rsidRPr="00C13F90">
        <w:t>mg</w:t>
      </w:r>
      <w:r w:rsidRPr="00C13F90">
        <w:t xml:space="preserve">. The numbers of patients receiving each dose frequency </w:t>
      </w:r>
      <w:r w:rsidR="008A361B" w:rsidRPr="00C13F90">
        <w:t>were</w:t>
      </w:r>
      <w:r w:rsidRPr="00C13F90">
        <w:t xml:space="preserve"> not reported. However, the median dose of entacapone was 800</w:t>
      </w:r>
      <w:r w:rsidR="006B0E08" w:rsidRPr="00C13F90">
        <w:t> </w:t>
      </w:r>
      <w:r w:rsidRPr="00C13F90">
        <w:t>mg = 4 tablets daily, the 25</w:t>
      </w:r>
      <w:r w:rsidRPr="00C13F90">
        <w:rPr>
          <w:vertAlign w:val="superscript"/>
        </w:rPr>
        <w:t>th</w:t>
      </w:r>
      <w:r w:rsidRPr="00C13F90">
        <w:t xml:space="preserve"> centile was approximately </w:t>
      </w:r>
      <w:r w:rsidR="001D2F3F" w:rsidRPr="00C13F90">
        <w:t>600</w:t>
      </w:r>
      <w:r w:rsidR="006B0E08" w:rsidRPr="00C13F90">
        <w:t> </w:t>
      </w:r>
      <w:r w:rsidR="001D2F3F" w:rsidRPr="00C13F90">
        <w:t>mg =</w:t>
      </w:r>
      <w:r w:rsidRPr="00C13F90">
        <w:t xml:space="preserve"> </w:t>
      </w:r>
      <w:r w:rsidR="003328BE">
        <w:t>three</w:t>
      </w:r>
      <w:r w:rsidRPr="00C13F90">
        <w:t xml:space="preserve"> tablets daily and the 75</w:t>
      </w:r>
      <w:r w:rsidRPr="00C13F90">
        <w:rPr>
          <w:vertAlign w:val="superscript"/>
        </w:rPr>
        <w:t>th</w:t>
      </w:r>
      <w:r w:rsidRPr="00C13F90">
        <w:t xml:space="preserve"> centile was approximately 1</w:t>
      </w:r>
      <w:r w:rsidR="006B0E08">
        <w:t>,</w:t>
      </w:r>
      <w:r w:rsidRPr="00C13F90">
        <w:t>000</w:t>
      </w:r>
      <w:r w:rsidR="006B0E08" w:rsidRPr="00C13F90">
        <w:t> </w:t>
      </w:r>
      <w:r w:rsidRPr="00C13F90">
        <w:t xml:space="preserve">mg = </w:t>
      </w:r>
      <w:r w:rsidR="003328BE">
        <w:t>five</w:t>
      </w:r>
      <w:r w:rsidRPr="00C13F90">
        <w:t xml:space="preserve"> tablets.</w:t>
      </w:r>
    </w:p>
    <w:p w:rsidR="00272264" w:rsidRPr="00C13F90" w:rsidRDefault="00272264" w:rsidP="006E2B5F">
      <w:pPr>
        <w:pStyle w:val="3-BodyText"/>
      </w:pPr>
      <w:r w:rsidRPr="00C13F90">
        <w:rPr>
          <w:iCs/>
        </w:rPr>
        <w:t>T</w:t>
      </w:r>
      <w:r w:rsidR="008A361B" w:rsidRPr="00C13F90">
        <w:rPr>
          <w:iCs/>
        </w:rPr>
        <w:t xml:space="preserve">he </w:t>
      </w:r>
      <w:r w:rsidR="00F703C9">
        <w:rPr>
          <w:iCs/>
        </w:rPr>
        <w:t>highest individual</w:t>
      </w:r>
      <w:r w:rsidR="008A361B" w:rsidRPr="00C13F90">
        <w:rPr>
          <w:iCs/>
        </w:rPr>
        <w:t xml:space="preserve"> mean daily dose of entacapone</w:t>
      </w:r>
      <w:r w:rsidR="00765104" w:rsidRPr="00C13F90">
        <w:rPr>
          <w:iCs/>
        </w:rPr>
        <w:t xml:space="preserve"> in the trial</w:t>
      </w:r>
      <w:r w:rsidR="008A361B" w:rsidRPr="00C13F90">
        <w:rPr>
          <w:iCs/>
        </w:rPr>
        <w:t xml:space="preserve"> was </w:t>
      </w:r>
      <w:r w:rsidR="00765104" w:rsidRPr="00C13F90">
        <w:rPr>
          <w:iCs/>
        </w:rPr>
        <w:t xml:space="preserve">reported as </w:t>
      </w:r>
      <w:r w:rsidR="008A361B" w:rsidRPr="00C13F90">
        <w:rPr>
          <w:iCs/>
        </w:rPr>
        <w:t>7</w:t>
      </w:r>
      <w:r w:rsidR="003328BE">
        <w:rPr>
          <w:iCs/>
        </w:rPr>
        <w:t>,</w:t>
      </w:r>
      <w:r w:rsidR="008A361B" w:rsidRPr="00C13F90">
        <w:rPr>
          <w:iCs/>
        </w:rPr>
        <w:t>069</w:t>
      </w:r>
      <w:r w:rsidR="006B0E08" w:rsidRPr="00C13F90">
        <w:t> </w:t>
      </w:r>
      <w:r w:rsidR="008A361B" w:rsidRPr="00C13F90">
        <w:rPr>
          <w:iCs/>
        </w:rPr>
        <w:t xml:space="preserve">mg. </w:t>
      </w:r>
      <w:r w:rsidR="003726D0" w:rsidRPr="00C13F90">
        <w:rPr>
          <w:iCs/>
        </w:rPr>
        <w:t>The methods for calculation of the mean dose of entacapone were not provided in the submission or CSR and the evaluation was unable to replicate the estimate</w:t>
      </w:r>
      <w:r w:rsidR="00765104" w:rsidRPr="00C13F90">
        <w:rPr>
          <w:iCs/>
        </w:rPr>
        <w:t>s</w:t>
      </w:r>
      <w:r w:rsidR="003726D0" w:rsidRPr="00C13F90">
        <w:rPr>
          <w:iCs/>
        </w:rPr>
        <w:t xml:space="preserve"> provided using standard methods for calcul</w:t>
      </w:r>
      <w:r w:rsidR="001D4B9B" w:rsidRPr="00C13F90">
        <w:rPr>
          <w:iCs/>
        </w:rPr>
        <w:t>ating means. The submission used</w:t>
      </w:r>
      <w:r w:rsidR="003726D0" w:rsidRPr="00C13F90">
        <w:rPr>
          <w:iCs/>
        </w:rPr>
        <w:t xml:space="preserve"> the mean dose of 906.1</w:t>
      </w:r>
      <w:r w:rsidR="006B0E08" w:rsidRPr="00C13F90">
        <w:t> </w:t>
      </w:r>
      <w:r w:rsidR="003726D0" w:rsidRPr="00C13F90">
        <w:rPr>
          <w:iCs/>
        </w:rPr>
        <w:t xml:space="preserve">mg based on the safety population; the mean dose for the full population set was </w:t>
      </w:r>
      <w:r w:rsidR="00765104" w:rsidRPr="00C13F90">
        <w:rPr>
          <w:iCs/>
        </w:rPr>
        <w:t xml:space="preserve">reported as </w:t>
      </w:r>
      <w:r w:rsidR="003726D0" w:rsidRPr="00C13F90">
        <w:rPr>
          <w:iCs/>
        </w:rPr>
        <w:t>913.5</w:t>
      </w:r>
      <w:r w:rsidR="006B0E08" w:rsidRPr="00C13F90">
        <w:t> </w:t>
      </w:r>
      <w:r w:rsidR="003726D0" w:rsidRPr="00C13F90">
        <w:rPr>
          <w:iCs/>
        </w:rPr>
        <w:t>mg. The DDD for entacapone is 1</w:t>
      </w:r>
      <w:r w:rsidR="006B0E08">
        <w:rPr>
          <w:iCs/>
        </w:rPr>
        <w:t>,</w:t>
      </w:r>
      <w:r w:rsidR="003726D0" w:rsidRPr="00C13F90">
        <w:rPr>
          <w:iCs/>
        </w:rPr>
        <w:t>000</w:t>
      </w:r>
      <w:r w:rsidR="006B0E08" w:rsidRPr="00C13F90">
        <w:t> </w:t>
      </w:r>
      <w:r w:rsidR="003726D0" w:rsidRPr="00C13F90">
        <w:rPr>
          <w:iCs/>
        </w:rPr>
        <w:t>mg/day. The maximum recommended daily dose of entacapone in the Australian PI is 2</w:t>
      </w:r>
      <w:r w:rsidR="003328BE">
        <w:rPr>
          <w:iCs/>
        </w:rPr>
        <w:t>,</w:t>
      </w:r>
      <w:r w:rsidR="003726D0" w:rsidRPr="00C13F90">
        <w:rPr>
          <w:iCs/>
        </w:rPr>
        <w:t>000</w:t>
      </w:r>
      <w:r w:rsidR="006B0E08" w:rsidRPr="00C13F90">
        <w:t> </w:t>
      </w:r>
      <w:r w:rsidR="003726D0" w:rsidRPr="00C13F90">
        <w:rPr>
          <w:iCs/>
        </w:rPr>
        <w:t>mg/day. It was not clear therefore how a subject could have a maximum mean daily dose of 7</w:t>
      </w:r>
      <w:r w:rsidR="003328BE">
        <w:rPr>
          <w:iCs/>
        </w:rPr>
        <w:t>,</w:t>
      </w:r>
      <w:r w:rsidR="003726D0" w:rsidRPr="00C13F90">
        <w:rPr>
          <w:iCs/>
        </w:rPr>
        <w:t>0</w:t>
      </w:r>
      <w:r w:rsidR="00F703C9">
        <w:rPr>
          <w:iCs/>
        </w:rPr>
        <w:t>6</w:t>
      </w:r>
      <w:r w:rsidR="003726D0" w:rsidRPr="00C13F90">
        <w:rPr>
          <w:iCs/>
        </w:rPr>
        <w:t>9</w:t>
      </w:r>
      <w:r w:rsidR="006B0E08" w:rsidRPr="00C13F90">
        <w:t> </w:t>
      </w:r>
      <w:r w:rsidR="003726D0" w:rsidRPr="00C13F90">
        <w:rPr>
          <w:iCs/>
        </w:rPr>
        <w:t>mg/day, which would potentially significantly inflate the overall calculation of the mean daily dose in the trial.</w:t>
      </w:r>
      <w:r w:rsidRPr="00C13F90">
        <w:rPr>
          <w:iCs/>
        </w:rPr>
        <w:t xml:space="preserve"> </w:t>
      </w:r>
    </w:p>
    <w:p w:rsidR="00B802CC" w:rsidRPr="00C13F90" w:rsidRDefault="00B802CC" w:rsidP="006E2B5F">
      <w:pPr>
        <w:pStyle w:val="3-BodyText"/>
      </w:pPr>
      <w:r w:rsidRPr="00C13F90">
        <w:t>The Pre-PBAC Response</w:t>
      </w:r>
      <w:r w:rsidR="00F703C9">
        <w:t xml:space="preserve"> </w:t>
      </w:r>
      <w:r w:rsidRPr="00C13F90">
        <w:t xml:space="preserve">clarified </w:t>
      </w:r>
      <w:r w:rsidR="00F703C9">
        <w:t>how the resultant highest daily dose of 7,069 mg/day was derived and</w:t>
      </w:r>
      <w:r w:rsidRPr="00C13F90">
        <w:t xml:space="preserve"> PBAC considered this was explanation was reasonable.</w:t>
      </w:r>
    </w:p>
    <w:p w:rsidR="003726D0" w:rsidRPr="00C13F90" w:rsidRDefault="003726D0" w:rsidP="00272264">
      <w:pPr>
        <w:pStyle w:val="3-BodyText"/>
        <w:numPr>
          <w:ilvl w:val="0"/>
          <w:numId w:val="0"/>
        </w:numPr>
        <w:ind w:left="720" w:hanging="720"/>
        <w:rPr>
          <w:iCs/>
        </w:rPr>
      </w:pPr>
    </w:p>
    <w:p w:rsidR="002C2775" w:rsidRPr="00C13F90" w:rsidRDefault="00B60939" w:rsidP="006464EA">
      <w:pPr>
        <w:pStyle w:val="4-SubsectionHeading"/>
      </w:pPr>
      <w:bookmarkStart w:id="11" w:name="_Toc22897641"/>
      <w:bookmarkStart w:id="12" w:name="_Toc72312445"/>
      <w:r w:rsidRPr="00C13F90">
        <w:t>Comparative effectiveness</w:t>
      </w:r>
      <w:bookmarkEnd w:id="11"/>
      <w:bookmarkEnd w:id="12"/>
    </w:p>
    <w:p w:rsidR="00660BAE" w:rsidRPr="00C13F90" w:rsidRDefault="003328BE" w:rsidP="00660BAE">
      <w:pPr>
        <w:pStyle w:val="3-BodyText"/>
        <w:rPr>
          <w:color w:val="0066FF"/>
        </w:rPr>
      </w:pPr>
      <w:r>
        <w:rPr>
          <w:snapToGrid/>
        </w:rPr>
        <w:t>The tables below present the r</w:t>
      </w:r>
      <w:r w:rsidRPr="00C13F90">
        <w:rPr>
          <w:snapToGrid/>
        </w:rPr>
        <w:t xml:space="preserve">esults </w:t>
      </w:r>
      <w:r w:rsidR="00DC5C71" w:rsidRPr="00C13F90">
        <w:rPr>
          <w:snapToGrid/>
        </w:rPr>
        <w:t>for the key outcomes, on and off time, as dicho</w:t>
      </w:r>
      <w:r w:rsidR="00660BAE" w:rsidRPr="00C13F90">
        <w:rPr>
          <w:snapToGrid/>
        </w:rPr>
        <w:t>t</w:t>
      </w:r>
      <w:r w:rsidR="00DC5C71" w:rsidRPr="00C13F90">
        <w:rPr>
          <w:snapToGrid/>
        </w:rPr>
        <w:t>omous and continuous data</w:t>
      </w:r>
      <w:r w:rsidR="00C13F90">
        <w:rPr>
          <w:snapToGrid/>
        </w:rPr>
        <w:t xml:space="preserve">. </w:t>
      </w:r>
    </w:p>
    <w:p w:rsidR="00660BAE" w:rsidRPr="00C13F90" w:rsidRDefault="00660BAE" w:rsidP="00660BAE">
      <w:pPr>
        <w:pStyle w:val="TableFigureHeading"/>
        <w:rPr>
          <w:rStyle w:val="CommentReference"/>
          <w:b/>
          <w:szCs w:val="24"/>
        </w:rPr>
      </w:pPr>
      <w:r w:rsidRPr="00C13F90">
        <w:rPr>
          <w:rStyle w:val="CommentReference"/>
          <w:b/>
          <w:szCs w:val="24"/>
        </w:rPr>
        <w:t xml:space="preserve">Table 4:  Dichotomous outcomes: OFF-time </w:t>
      </w:r>
      <w:r w:rsidR="001D2F3F" w:rsidRPr="00C13F90">
        <w:rPr>
          <w:rStyle w:val="CommentReference"/>
          <w:b/>
          <w:szCs w:val="24"/>
        </w:rPr>
        <w:t>responders and ON</w:t>
      </w:r>
      <w:r w:rsidRPr="00C13F90">
        <w:rPr>
          <w:rStyle w:val="CommentReference"/>
          <w:b/>
          <w:szCs w:val="24"/>
        </w:rPr>
        <w:t>-time responders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19"/>
        <w:gridCol w:w="1134"/>
        <w:gridCol w:w="1134"/>
        <w:gridCol w:w="1702"/>
        <w:gridCol w:w="1647"/>
      </w:tblGrid>
      <w:tr w:rsidR="006A3557" w:rsidRPr="00C13F90" w:rsidTr="006A3557">
        <w:trPr>
          <w:tblHeader/>
        </w:trPr>
        <w:tc>
          <w:tcPr>
            <w:tcW w:w="1098" w:type="pct"/>
            <w:tcMar>
              <w:left w:w="28" w:type="dxa"/>
              <w:right w:w="28" w:type="dxa"/>
            </w:tcMar>
          </w:tcPr>
          <w:p w:rsidR="00660BAE" w:rsidRPr="00C13F90" w:rsidRDefault="00660BAE" w:rsidP="004D329C">
            <w:pPr>
              <w:pStyle w:val="In-tableHeading"/>
              <w:jc w:val="center"/>
              <w:rPr>
                <w:lang w:val="en-AU"/>
              </w:rPr>
            </w:pPr>
          </w:p>
        </w:tc>
        <w:tc>
          <w:tcPr>
            <w:tcW w:w="787" w:type="pct"/>
            <w:tcMar>
              <w:left w:w="28" w:type="dxa"/>
              <w:right w:w="28" w:type="dxa"/>
            </w:tcMar>
          </w:tcPr>
          <w:p w:rsidR="00660BAE" w:rsidRPr="00C13F90" w:rsidRDefault="00660BAE" w:rsidP="006A3557">
            <w:pPr>
              <w:pStyle w:val="In-tableHeading"/>
              <w:jc w:val="center"/>
              <w:rPr>
                <w:lang w:val="en-AU"/>
              </w:rPr>
            </w:pPr>
            <w:r w:rsidRPr="00C13F90">
              <w:rPr>
                <w:lang w:val="en-AU"/>
              </w:rPr>
              <w:t>Opicapone 50mg</w:t>
            </w:r>
          </w:p>
          <w:p w:rsidR="00660BAE" w:rsidRPr="00C13F90" w:rsidRDefault="00660BAE" w:rsidP="006A3557">
            <w:pPr>
              <w:pStyle w:val="In-tableHeading"/>
              <w:jc w:val="center"/>
              <w:rPr>
                <w:lang w:val="en-AU"/>
              </w:rPr>
            </w:pPr>
            <w:r w:rsidRPr="00C13F90">
              <w:rPr>
                <w:lang w:val="en-AU"/>
              </w:rPr>
              <w:t>n/N (%)</w:t>
            </w:r>
          </w:p>
        </w:tc>
        <w:tc>
          <w:tcPr>
            <w:tcW w:w="629" w:type="pct"/>
            <w:tcMar>
              <w:left w:w="28" w:type="dxa"/>
              <w:right w:w="28" w:type="dxa"/>
            </w:tcMar>
          </w:tcPr>
          <w:p w:rsidR="00660BAE" w:rsidRPr="00C13F90" w:rsidRDefault="00660BAE" w:rsidP="006A3557">
            <w:pPr>
              <w:pStyle w:val="In-tableHeading"/>
              <w:jc w:val="center"/>
              <w:rPr>
                <w:lang w:val="en-AU"/>
              </w:rPr>
            </w:pPr>
            <w:r w:rsidRPr="00C13F90">
              <w:rPr>
                <w:lang w:val="en-AU"/>
              </w:rPr>
              <w:t>Entac</w:t>
            </w:r>
            <w:r w:rsidR="006A3557" w:rsidRPr="00C13F90">
              <w:rPr>
                <w:lang w:val="en-AU"/>
              </w:rPr>
              <w:t>a</w:t>
            </w:r>
            <w:r w:rsidRPr="00C13F90">
              <w:rPr>
                <w:lang w:val="en-AU"/>
              </w:rPr>
              <w:t>pone</w:t>
            </w:r>
          </w:p>
          <w:p w:rsidR="00660BAE" w:rsidRPr="00C13F90" w:rsidRDefault="00660BAE" w:rsidP="006A3557">
            <w:pPr>
              <w:pStyle w:val="In-tableHeading"/>
              <w:jc w:val="center"/>
              <w:rPr>
                <w:lang w:val="en-AU"/>
              </w:rPr>
            </w:pPr>
            <w:r w:rsidRPr="00C13F90">
              <w:rPr>
                <w:lang w:val="en-AU"/>
              </w:rPr>
              <w:t>n/N (%)</w:t>
            </w:r>
          </w:p>
        </w:tc>
        <w:tc>
          <w:tcPr>
            <w:tcW w:w="629" w:type="pct"/>
            <w:tcMar>
              <w:left w:w="28" w:type="dxa"/>
              <w:right w:w="28" w:type="dxa"/>
            </w:tcMar>
          </w:tcPr>
          <w:p w:rsidR="00660BAE" w:rsidRPr="00C13F90" w:rsidRDefault="00660BAE" w:rsidP="006A3557">
            <w:pPr>
              <w:pStyle w:val="In-tableHeading"/>
              <w:jc w:val="center"/>
              <w:rPr>
                <w:lang w:val="en-AU"/>
              </w:rPr>
            </w:pPr>
            <w:r w:rsidRPr="00C13F90">
              <w:rPr>
                <w:lang w:val="en-AU"/>
              </w:rPr>
              <w:t>Placebo</w:t>
            </w:r>
          </w:p>
          <w:p w:rsidR="00660BAE" w:rsidRPr="00C13F90" w:rsidRDefault="00660BAE" w:rsidP="006A3557">
            <w:pPr>
              <w:pStyle w:val="In-tableHeading"/>
              <w:jc w:val="center"/>
              <w:rPr>
                <w:lang w:val="en-AU"/>
              </w:rPr>
            </w:pPr>
            <w:r w:rsidRPr="00C13F90">
              <w:rPr>
                <w:lang w:val="en-AU"/>
              </w:rPr>
              <w:t>n/N (%)</w:t>
            </w:r>
          </w:p>
        </w:tc>
        <w:tc>
          <w:tcPr>
            <w:tcW w:w="944" w:type="pct"/>
            <w:tcMar>
              <w:left w:w="28" w:type="dxa"/>
              <w:right w:w="28" w:type="dxa"/>
            </w:tcMar>
          </w:tcPr>
          <w:p w:rsidR="00660BAE" w:rsidRPr="00C13F90" w:rsidRDefault="00660BAE" w:rsidP="006A3557">
            <w:pPr>
              <w:pStyle w:val="In-tableHeading"/>
              <w:jc w:val="center"/>
              <w:rPr>
                <w:lang w:val="en-AU"/>
              </w:rPr>
            </w:pPr>
            <w:r w:rsidRPr="00C13F90">
              <w:rPr>
                <w:lang w:val="en-AU"/>
              </w:rPr>
              <w:t xml:space="preserve">Odds Ratio </w:t>
            </w:r>
            <w:r w:rsidR="006A3557" w:rsidRPr="00C13F90">
              <w:rPr>
                <w:lang w:val="en-AU"/>
              </w:rPr>
              <w:br/>
            </w:r>
            <w:r w:rsidRPr="00C13F90">
              <w:rPr>
                <w:lang w:val="en-AU"/>
              </w:rPr>
              <w:t xml:space="preserve">Opicapone 50mg vs Entacapone </w:t>
            </w:r>
            <w:r w:rsidR="006A3557" w:rsidRPr="00C13F90">
              <w:rPr>
                <w:lang w:val="en-AU"/>
              </w:rPr>
              <w:br/>
            </w:r>
            <w:r w:rsidRPr="00C13F90">
              <w:rPr>
                <w:lang w:val="en-AU"/>
              </w:rPr>
              <w:t>(95% CI)</w:t>
            </w:r>
          </w:p>
        </w:tc>
        <w:tc>
          <w:tcPr>
            <w:tcW w:w="914" w:type="pct"/>
            <w:tcMar>
              <w:left w:w="28" w:type="dxa"/>
              <w:right w:w="28" w:type="dxa"/>
            </w:tcMar>
          </w:tcPr>
          <w:p w:rsidR="00660BAE" w:rsidRPr="00C13F90" w:rsidRDefault="00660BAE" w:rsidP="006A3557">
            <w:pPr>
              <w:pStyle w:val="In-tableHeading"/>
              <w:jc w:val="center"/>
              <w:rPr>
                <w:lang w:val="en-AU"/>
              </w:rPr>
            </w:pPr>
            <w:r w:rsidRPr="00C13F90">
              <w:rPr>
                <w:lang w:val="en-AU"/>
              </w:rPr>
              <w:t xml:space="preserve">P-value </w:t>
            </w:r>
            <w:r w:rsidR="006A3557" w:rsidRPr="00C13F90">
              <w:rPr>
                <w:lang w:val="en-AU"/>
              </w:rPr>
              <w:br/>
            </w:r>
            <w:r w:rsidRPr="00C13F90">
              <w:rPr>
                <w:lang w:val="en-AU"/>
              </w:rPr>
              <w:t>Opicapone 50mg vs Entacapone</w:t>
            </w:r>
          </w:p>
        </w:tc>
      </w:tr>
      <w:tr w:rsidR="006A3557" w:rsidRPr="00C13F90" w:rsidTr="006A3557">
        <w:tc>
          <w:tcPr>
            <w:tcW w:w="1098" w:type="pct"/>
            <w:tcMar>
              <w:left w:w="28" w:type="dxa"/>
              <w:right w:w="28" w:type="dxa"/>
            </w:tcMar>
          </w:tcPr>
          <w:p w:rsidR="00660BAE" w:rsidRPr="00C13F90" w:rsidRDefault="00660BAE" w:rsidP="006A3557">
            <w:pPr>
              <w:pStyle w:val="TableText0"/>
            </w:pPr>
            <w:r w:rsidRPr="00C13F90">
              <w:rPr>
                <w:rStyle w:val="CommentReference"/>
                <w:b w:val="0"/>
                <w:szCs w:val="24"/>
              </w:rPr>
              <w:t>Proportion of OFF-time responders</w:t>
            </w:r>
          </w:p>
        </w:tc>
        <w:tc>
          <w:tcPr>
            <w:tcW w:w="787" w:type="pct"/>
            <w:tcMar>
              <w:left w:w="28" w:type="dxa"/>
              <w:right w:w="28" w:type="dxa"/>
            </w:tcMar>
            <w:vAlign w:val="center"/>
          </w:tcPr>
          <w:p w:rsidR="00660BAE" w:rsidRPr="00C13F90" w:rsidRDefault="00660BAE" w:rsidP="006D1F85">
            <w:pPr>
              <w:pStyle w:val="TableText0"/>
              <w:jc w:val="center"/>
            </w:pPr>
            <w:r w:rsidRPr="00C13F90">
              <w:t xml:space="preserve">80/115 </w:t>
            </w:r>
            <w:r w:rsidR="006A3557" w:rsidRPr="00C13F90">
              <w:br/>
            </w:r>
            <w:r w:rsidRPr="00C13F90">
              <w:t>(69.6%)</w:t>
            </w:r>
          </w:p>
        </w:tc>
        <w:tc>
          <w:tcPr>
            <w:tcW w:w="629" w:type="pct"/>
            <w:tcMar>
              <w:left w:w="28" w:type="dxa"/>
              <w:right w:w="28" w:type="dxa"/>
            </w:tcMar>
            <w:vAlign w:val="center"/>
          </w:tcPr>
          <w:p w:rsidR="00660BAE" w:rsidRPr="00C13F90" w:rsidRDefault="00660BAE" w:rsidP="006D1F85">
            <w:pPr>
              <w:pStyle w:val="TableText0"/>
              <w:jc w:val="center"/>
            </w:pPr>
            <w:r w:rsidRPr="00C13F90">
              <w:t>70/120 (58.3%)</w:t>
            </w:r>
          </w:p>
        </w:tc>
        <w:tc>
          <w:tcPr>
            <w:tcW w:w="629" w:type="pct"/>
            <w:tcMar>
              <w:left w:w="28" w:type="dxa"/>
              <w:right w:w="28" w:type="dxa"/>
            </w:tcMar>
            <w:vAlign w:val="center"/>
          </w:tcPr>
          <w:p w:rsidR="00660BAE" w:rsidRPr="00C13F90" w:rsidRDefault="00660BAE" w:rsidP="006D1F85">
            <w:pPr>
              <w:pStyle w:val="TableText0"/>
              <w:jc w:val="center"/>
            </w:pPr>
            <w:r w:rsidRPr="00C13F90">
              <w:t>57/120 (47.5%)</w:t>
            </w:r>
          </w:p>
        </w:tc>
        <w:tc>
          <w:tcPr>
            <w:tcW w:w="944" w:type="pct"/>
            <w:tcMar>
              <w:left w:w="28" w:type="dxa"/>
              <w:right w:w="28" w:type="dxa"/>
            </w:tcMar>
            <w:vAlign w:val="center"/>
          </w:tcPr>
          <w:p w:rsidR="00660BAE" w:rsidRPr="00C13F90" w:rsidRDefault="00660BAE" w:rsidP="006D1F85">
            <w:pPr>
              <w:pStyle w:val="TableText0"/>
              <w:jc w:val="center"/>
            </w:pPr>
            <w:r w:rsidRPr="00C13F90">
              <w:t>1.63</w:t>
            </w:r>
          </w:p>
          <w:p w:rsidR="00660BAE" w:rsidRPr="00C13F90" w:rsidRDefault="00660BAE" w:rsidP="006D1F85">
            <w:pPr>
              <w:pStyle w:val="TableText0"/>
              <w:jc w:val="center"/>
            </w:pPr>
            <w:r w:rsidRPr="00C13F90">
              <w:t>(0.95, 2.80)</w:t>
            </w:r>
          </w:p>
        </w:tc>
        <w:tc>
          <w:tcPr>
            <w:tcW w:w="914" w:type="pct"/>
            <w:tcMar>
              <w:left w:w="28" w:type="dxa"/>
              <w:right w:w="28" w:type="dxa"/>
            </w:tcMar>
            <w:vAlign w:val="center"/>
          </w:tcPr>
          <w:p w:rsidR="00660BAE" w:rsidRPr="00C13F90" w:rsidRDefault="00660BAE" w:rsidP="006D1F85">
            <w:pPr>
              <w:pStyle w:val="TableText0"/>
              <w:jc w:val="center"/>
            </w:pPr>
            <w:r w:rsidRPr="00C13F90">
              <w:t>0.063</w:t>
            </w:r>
          </w:p>
        </w:tc>
      </w:tr>
      <w:tr w:rsidR="006A3557" w:rsidRPr="00C13F90" w:rsidTr="006A3557">
        <w:tc>
          <w:tcPr>
            <w:tcW w:w="1098" w:type="pct"/>
            <w:tcMar>
              <w:left w:w="28" w:type="dxa"/>
              <w:right w:w="28" w:type="dxa"/>
            </w:tcMar>
          </w:tcPr>
          <w:p w:rsidR="00660BAE" w:rsidRPr="00C13F90" w:rsidRDefault="00660BAE" w:rsidP="006A3557">
            <w:pPr>
              <w:pStyle w:val="TableText0"/>
            </w:pPr>
            <w:r w:rsidRPr="00C13F90">
              <w:rPr>
                <w:rStyle w:val="CommentReference"/>
                <w:b w:val="0"/>
                <w:szCs w:val="24"/>
              </w:rPr>
              <w:t>Proportion of ON-time responders</w:t>
            </w:r>
          </w:p>
        </w:tc>
        <w:tc>
          <w:tcPr>
            <w:tcW w:w="787" w:type="pct"/>
            <w:tcMar>
              <w:left w:w="28" w:type="dxa"/>
              <w:right w:w="28" w:type="dxa"/>
            </w:tcMar>
            <w:vAlign w:val="center"/>
          </w:tcPr>
          <w:p w:rsidR="00660BAE" w:rsidRPr="00C13F90" w:rsidRDefault="00660BAE" w:rsidP="006D1F85">
            <w:pPr>
              <w:pStyle w:val="TableText0"/>
              <w:jc w:val="center"/>
            </w:pPr>
            <w:r w:rsidRPr="00C13F90">
              <w:t xml:space="preserve">75/115 </w:t>
            </w:r>
            <w:r w:rsidR="006A3557" w:rsidRPr="00C13F90">
              <w:br/>
            </w:r>
            <w:r w:rsidRPr="00C13F90">
              <w:t>(65.2%)</w:t>
            </w:r>
          </w:p>
        </w:tc>
        <w:tc>
          <w:tcPr>
            <w:tcW w:w="629" w:type="pct"/>
            <w:tcMar>
              <w:left w:w="28" w:type="dxa"/>
              <w:right w:w="28" w:type="dxa"/>
            </w:tcMar>
            <w:vAlign w:val="center"/>
          </w:tcPr>
          <w:p w:rsidR="00660BAE" w:rsidRPr="00C13F90" w:rsidRDefault="00660BAE" w:rsidP="006D1F85">
            <w:pPr>
              <w:pStyle w:val="TableText0"/>
              <w:jc w:val="center"/>
            </w:pPr>
            <w:r w:rsidRPr="00C13F90">
              <w:t>69/120 (57.5%)</w:t>
            </w:r>
          </w:p>
        </w:tc>
        <w:tc>
          <w:tcPr>
            <w:tcW w:w="629" w:type="pct"/>
            <w:tcMar>
              <w:left w:w="28" w:type="dxa"/>
              <w:right w:w="28" w:type="dxa"/>
            </w:tcMar>
            <w:vAlign w:val="center"/>
          </w:tcPr>
          <w:p w:rsidR="00660BAE" w:rsidRPr="00C13F90" w:rsidRDefault="00660BAE" w:rsidP="006D1F85">
            <w:pPr>
              <w:pStyle w:val="TableText0"/>
              <w:jc w:val="center"/>
            </w:pPr>
            <w:r w:rsidRPr="00C13F90">
              <w:t>55/120 (45.8%)</w:t>
            </w:r>
          </w:p>
        </w:tc>
        <w:tc>
          <w:tcPr>
            <w:tcW w:w="944" w:type="pct"/>
            <w:tcMar>
              <w:left w:w="28" w:type="dxa"/>
              <w:right w:w="28" w:type="dxa"/>
            </w:tcMar>
            <w:vAlign w:val="center"/>
          </w:tcPr>
          <w:p w:rsidR="00660BAE" w:rsidRPr="00C13F90" w:rsidRDefault="00660BAE" w:rsidP="006D1F85">
            <w:pPr>
              <w:pStyle w:val="TableText0"/>
              <w:jc w:val="center"/>
            </w:pPr>
            <w:r w:rsidRPr="00C13F90">
              <w:t>1.39</w:t>
            </w:r>
          </w:p>
          <w:p w:rsidR="00660BAE" w:rsidRPr="00C13F90" w:rsidRDefault="00660BAE" w:rsidP="006D1F85">
            <w:pPr>
              <w:pStyle w:val="TableText0"/>
              <w:jc w:val="center"/>
            </w:pPr>
            <w:r w:rsidRPr="00C13F90">
              <w:t>(0.82, 2.35)</w:t>
            </w:r>
          </w:p>
        </w:tc>
        <w:tc>
          <w:tcPr>
            <w:tcW w:w="914" w:type="pct"/>
            <w:tcMar>
              <w:left w:w="28" w:type="dxa"/>
              <w:right w:w="28" w:type="dxa"/>
            </w:tcMar>
            <w:vAlign w:val="center"/>
          </w:tcPr>
          <w:p w:rsidR="00660BAE" w:rsidRPr="00C13F90" w:rsidRDefault="00660BAE" w:rsidP="006D1F85">
            <w:pPr>
              <w:pStyle w:val="TableText0"/>
              <w:jc w:val="center"/>
            </w:pPr>
            <w:r w:rsidRPr="00C13F90">
              <w:t>0.1479</w:t>
            </w:r>
          </w:p>
        </w:tc>
      </w:tr>
    </w:tbl>
    <w:p w:rsidR="00660BAE" w:rsidRPr="00C13F90" w:rsidRDefault="00660BAE" w:rsidP="00660BAE">
      <w:pPr>
        <w:pStyle w:val="TableFigureFooter"/>
        <w:rPr>
          <w:sz w:val="20"/>
        </w:rPr>
      </w:pPr>
      <w:r w:rsidRPr="00C13F90">
        <w:t>Source: Table 19, CSR; Table 14.11.1.1</w:t>
      </w:r>
    </w:p>
    <w:p w:rsidR="00660BAE" w:rsidRPr="00C13F90" w:rsidRDefault="00660BAE" w:rsidP="00660BAE">
      <w:pPr>
        <w:pStyle w:val="TableFigureFooter"/>
        <w:rPr>
          <w:rFonts w:eastAsia="Calibri"/>
          <w:b/>
        </w:rPr>
      </w:pPr>
      <w:r w:rsidRPr="00C13F90">
        <w:rPr>
          <w:rFonts w:eastAsia="Calibri"/>
        </w:rPr>
        <w:t xml:space="preserve">CI = confidence interval; n = number of participants with event; N = total participants in group. </w:t>
      </w:r>
    </w:p>
    <w:p w:rsidR="00660BAE" w:rsidRPr="00C13F90" w:rsidRDefault="00660BAE" w:rsidP="00660BAE">
      <w:pPr>
        <w:pStyle w:val="TableFigureHeading"/>
        <w:rPr>
          <w:rStyle w:val="CommentReference"/>
          <w:b/>
          <w:szCs w:val="24"/>
        </w:rPr>
      </w:pPr>
      <w:r w:rsidRPr="00C13F90">
        <w:rPr>
          <w:rStyle w:val="CommentReference"/>
          <w:b/>
          <w:szCs w:val="24"/>
        </w:rPr>
        <w:t xml:space="preserve">Table 5: Absolute OFF-TIME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1"/>
        <w:gridCol w:w="767"/>
        <w:gridCol w:w="840"/>
        <w:gridCol w:w="731"/>
        <w:gridCol w:w="767"/>
        <w:gridCol w:w="840"/>
        <w:gridCol w:w="731"/>
        <w:gridCol w:w="767"/>
        <w:gridCol w:w="840"/>
        <w:gridCol w:w="1006"/>
        <w:gridCol w:w="11"/>
        <w:gridCol w:w="986"/>
      </w:tblGrid>
      <w:tr w:rsidR="00660BAE" w:rsidRPr="00C13F90" w:rsidTr="0085759E">
        <w:trPr>
          <w:tblHeader/>
        </w:trPr>
        <w:tc>
          <w:tcPr>
            <w:tcW w:w="1202" w:type="pct"/>
            <w:gridSpan w:val="3"/>
            <w:vAlign w:val="center"/>
          </w:tcPr>
          <w:p w:rsidR="00660BAE" w:rsidRPr="00C13F90" w:rsidRDefault="00660BAE" w:rsidP="0085759E">
            <w:pPr>
              <w:pStyle w:val="In-tableHeading"/>
              <w:jc w:val="center"/>
              <w:rPr>
                <w:iCs/>
                <w:lang w:val="en-AU"/>
              </w:rPr>
            </w:pPr>
            <w:r w:rsidRPr="00C13F90">
              <w:rPr>
                <w:iCs/>
                <w:lang w:val="en-AU"/>
              </w:rPr>
              <w:t>Opicapone 50mg</w:t>
            </w:r>
          </w:p>
        </w:tc>
        <w:tc>
          <w:tcPr>
            <w:tcW w:w="1202" w:type="pct"/>
            <w:gridSpan w:val="3"/>
            <w:vAlign w:val="center"/>
          </w:tcPr>
          <w:p w:rsidR="00660BAE" w:rsidRPr="00C13F90" w:rsidRDefault="00660BAE" w:rsidP="0085759E">
            <w:pPr>
              <w:pStyle w:val="In-tableHeading"/>
              <w:jc w:val="center"/>
              <w:rPr>
                <w:lang w:val="en-AU"/>
              </w:rPr>
            </w:pPr>
            <w:r w:rsidRPr="00C13F90">
              <w:rPr>
                <w:iCs/>
                <w:lang w:val="en-AU"/>
              </w:rPr>
              <w:t>Entacapone</w:t>
            </w:r>
          </w:p>
        </w:tc>
        <w:tc>
          <w:tcPr>
            <w:tcW w:w="1240" w:type="pct"/>
            <w:gridSpan w:val="3"/>
            <w:vAlign w:val="center"/>
          </w:tcPr>
          <w:p w:rsidR="00660BAE" w:rsidRPr="00C13F90" w:rsidRDefault="00660BAE" w:rsidP="0085759E">
            <w:pPr>
              <w:pStyle w:val="In-tableHeading"/>
              <w:jc w:val="center"/>
              <w:rPr>
                <w:lang w:val="en-AU"/>
              </w:rPr>
            </w:pPr>
            <w:r w:rsidRPr="00C13F90">
              <w:rPr>
                <w:iCs/>
                <w:lang w:val="en-AU"/>
              </w:rPr>
              <w:t>Placebo</w:t>
            </w:r>
          </w:p>
        </w:tc>
        <w:tc>
          <w:tcPr>
            <w:tcW w:w="704" w:type="pct"/>
            <w:vAlign w:val="center"/>
          </w:tcPr>
          <w:p w:rsidR="00660BAE" w:rsidRPr="00C13F90" w:rsidRDefault="00660BAE" w:rsidP="0085759E">
            <w:pPr>
              <w:pStyle w:val="In-tableHeading"/>
              <w:jc w:val="center"/>
              <w:rPr>
                <w:lang w:val="en-AU"/>
              </w:rPr>
            </w:pPr>
          </w:p>
        </w:tc>
        <w:tc>
          <w:tcPr>
            <w:tcW w:w="651" w:type="pct"/>
            <w:gridSpan w:val="2"/>
            <w:vAlign w:val="center"/>
          </w:tcPr>
          <w:p w:rsidR="00660BAE" w:rsidRPr="00C13F90" w:rsidRDefault="00660BAE" w:rsidP="0085759E">
            <w:pPr>
              <w:pStyle w:val="In-tableHeading"/>
              <w:jc w:val="center"/>
              <w:rPr>
                <w:lang w:val="en-AU"/>
              </w:rPr>
            </w:pPr>
          </w:p>
        </w:tc>
      </w:tr>
      <w:tr w:rsidR="00660BAE" w:rsidRPr="00C13F90" w:rsidTr="0085759E">
        <w:tc>
          <w:tcPr>
            <w:tcW w:w="376" w:type="pct"/>
            <w:vAlign w:val="center"/>
          </w:tcPr>
          <w:p w:rsidR="00660BAE" w:rsidRPr="00C13F90" w:rsidRDefault="00660BAE" w:rsidP="006A3557">
            <w:pPr>
              <w:pStyle w:val="In-tableHeading"/>
              <w:jc w:val="center"/>
              <w:rPr>
                <w:lang w:val="en-AU"/>
              </w:rPr>
            </w:pPr>
            <w:r w:rsidRPr="00C13F90">
              <w:rPr>
                <w:lang w:val="en-AU"/>
              </w:rPr>
              <w:t>Βaseline</w:t>
            </w:r>
          </w:p>
          <w:p w:rsidR="00660BAE" w:rsidRPr="00C13F90" w:rsidRDefault="00660BAE" w:rsidP="006A3557">
            <w:pPr>
              <w:pStyle w:val="In-tableHeading"/>
              <w:jc w:val="center"/>
              <w:rPr>
                <w:lang w:val="en-AU"/>
              </w:rPr>
            </w:pPr>
            <w:r w:rsidRPr="00C13F90">
              <w:rPr>
                <w:lang w:val="en-AU"/>
              </w:rPr>
              <w:t>Mean (SD), minutes</w:t>
            </w:r>
          </w:p>
          <w:p w:rsidR="00660BAE" w:rsidRPr="00C13F90" w:rsidRDefault="00660BAE" w:rsidP="006A3557">
            <w:pPr>
              <w:pStyle w:val="In-tableHeading"/>
              <w:jc w:val="center"/>
              <w:rPr>
                <w:lang w:val="en-AU"/>
              </w:rPr>
            </w:pPr>
            <w:r w:rsidRPr="00C13F90">
              <w:rPr>
                <w:lang w:val="en-AU"/>
              </w:rPr>
              <w:t>N=115</w:t>
            </w:r>
          </w:p>
        </w:tc>
        <w:tc>
          <w:tcPr>
            <w:tcW w:w="394" w:type="pct"/>
            <w:vAlign w:val="center"/>
          </w:tcPr>
          <w:p w:rsidR="00660BAE" w:rsidRPr="00C13F90" w:rsidRDefault="00660BAE" w:rsidP="006A3557">
            <w:pPr>
              <w:pStyle w:val="In-tableHeading"/>
              <w:jc w:val="center"/>
              <w:rPr>
                <w:lang w:val="en-AU"/>
              </w:rPr>
            </w:pPr>
            <w:r w:rsidRPr="00C13F90">
              <w:rPr>
                <w:lang w:val="en-AU"/>
              </w:rPr>
              <w:t>Endpoint</w:t>
            </w:r>
          </w:p>
          <w:p w:rsidR="00660BAE" w:rsidRPr="00C13F90" w:rsidRDefault="00660BAE" w:rsidP="006A3557">
            <w:pPr>
              <w:pStyle w:val="In-tableHeading"/>
              <w:jc w:val="center"/>
              <w:rPr>
                <w:lang w:val="en-AU"/>
              </w:rPr>
            </w:pPr>
            <w:r w:rsidRPr="00C13F90">
              <w:rPr>
                <w:lang w:val="en-AU"/>
              </w:rPr>
              <w:t>Mean (SD),</w:t>
            </w:r>
          </w:p>
          <w:p w:rsidR="00660BAE" w:rsidRPr="00C13F90" w:rsidRDefault="00660BAE" w:rsidP="006A3557">
            <w:pPr>
              <w:pStyle w:val="In-tableHeading"/>
              <w:jc w:val="center"/>
              <w:rPr>
                <w:lang w:val="en-AU"/>
              </w:rPr>
            </w:pPr>
            <w:r w:rsidRPr="00C13F90">
              <w:rPr>
                <w:lang w:val="en-AU"/>
              </w:rPr>
              <w:t>minutes</w:t>
            </w:r>
          </w:p>
          <w:p w:rsidR="00660BAE" w:rsidRPr="00C13F90" w:rsidRDefault="00660BAE" w:rsidP="006A3557">
            <w:pPr>
              <w:pStyle w:val="In-tableHeading"/>
              <w:jc w:val="center"/>
              <w:rPr>
                <w:lang w:val="en-AU"/>
              </w:rPr>
            </w:pPr>
            <w:r w:rsidRPr="00C13F90">
              <w:rPr>
                <w:lang w:val="en-AU"/>
              </w:rPr>
              <w:t>N=115</w:t>
            </w:r>
          </w:p>
        </w:tc>
        <w:tc>
          <w:tcPr>
            <w:tcW w:w="433" w:type="pct"/>
            <w:vAlign w:val="center"/>
          </w:tcPr>
          <w:p w:rsidR="00660BAE" w:rsidRPr="00C13F90" w:rsidRDefault="00660BAE" w:rsidP="006A3557">
            <w:pPr>
              <w:pStyle w:val="In-tableHeading"/>
              <w:jc w:val="center"/>
              <w:rPr>
                <w:lang w:val="en-AU"/>
              </w:rPr>
            </w:pPr>
            <w:r w:rsidRPr="00C13F90">
              <w:rPr>
                <w:lang w:val="en-AU"/>
              </w:rPr>
              <w:t>LS mean difference (95% CI)</w:t>
            </w:r>
          </w:p>
        </w:tc>
        <w:tc>
          <w:tcPr>
            <w:tcW w:w="376" w:type="pct"/>
            <w:vAlign w:val="center"/>
          </w:tcPr>
          <w:p w:rsidR="00660BAE" w:rsidRPr="00C13F90" w:rsidRDefault="00660BAE" w:rsidP="006A3557">
            <w:pPr>
              <w:pStyle w:val="In-tableHeading"/>
              <w:jc w:val="center"/>
              <w:rPr>
                <w:lang w:val="en-AU"/>
              </w:rPr>
            </w:pPr>
            <w:r w:rsidRPr="00C13F90">
              <w:rPr>
                <w:lang w:val="en-AU"/>
              </w:rPr>
              <w:t>Βaseline</w:t>
            </w:r>
          </w:p>
          <w:p w:rsidR="00660BAE" w:rsidRPr="00C13F90" w:rsidRDefault="00660BAE" w:rsidP="006A3557">
            <w:pPr>
              <w:pStyle w:val="In-tableHeading"/>
              <w:jc w:val="center"/>
              <w:rPr>
                <w:lang w:val="en-AU"/>
              </w:rPr>
            </w:pPr>
            <w:r w:rsidRPr="00C13F90">
              <w:rPr>
                <w:lang w:val="en-AU"/>
              </w:rPr>
              <w:t>Mean (SD), minutes</w:t>
            </w:r>
          </w:p>
          <w:p w:rsidR="00660BAE" w:rsidRPr="00C13F90" w:rsidRDefault="00660BAE" w:rsidP="006A3557">
            <w:pPr>
              <w:pStyle w:val="In-tableHeading"/>
              <w:jc w:val="center"/>
              <w:rPr>
                <w:lang w:val="en-AU"/>
              </w:rPr>
            </w:pPr>
            <w:r w:rsidRPr="00C13F90">
              <w:rPr>
                <w:lang w:val="en-AU"/>
              </w:rPr>
              <w:t>N=120</w:t>
            </w:r>
          </w:p>
        </w:tc>
        <w:tc>
          <w:tcPr>
            <w:tcW w:w="394" w:type="pct"/>
            <w:vAlign w:val="center"/>
          </w:tcPr>
          <w:p w:rsidR="00660BAE" w:rsidRPr="00C13F90" w:rsidRDefault="00660BAE" w:rsidP="006A3557">
            <w:pPr>
              <w:pStyle w:val="In-tableHeading"/>
              <w:jc w:val="center"/>
              <w:rPr>
                <w:lang w:val="en-AU"/>
              </w:rPr>
            </w:pPr>
            <w:r w:rsidRPr="00C13F90">
              <w:rPr>
                <w:lang w:val="en-AU"/>
              </w:rPr>
              <w:t>Endpoint</w:t>
            </w:r>
          </w:p>
          <w:p w:rsidR="00660BAE" w:rsidRPr="00C13F90" w:rsidRDefault="00660BAE" w:rsidP="006A3557">
            <w:pPr>
              <w:pStyle w:val="In-tableHeading"/>
              <w:jc w:val="center"/>
              <w:rPr>
                <w:lang w:val="en-AU"/>
              </w:rPr>
            </w:pPr>
            <w:r w:rsidRPr="00C13F90">
              <w:rPr>
                <w:lang w:val="en-AU"/>
              </w:rPr>
              <w:t>Mean (SD),</w:t>
            </w:r>
          </w:p>
          <w:p w:rsidR="00660BAE" w:rsidRPr="00C13F90" w:rsidRDefault="00660BAE" w:rsidP="006A3557">
            <w:pPr>
              <w:pStyle w:val="In-tableHeading"/>
              <w:jc w:val="center"/>
              <w:rPr>
                <w:lang w:val="en-AU"/>
              </w:rPr>
            </w:pPr>
            <w:r w:rsidRPr="00C13F90">
              <w:rPr>
                <w:lang w:val="en-AU"/>
              </w:rPr>
              <w:t>minutes</w:t>
            </w:r>
          </w:p>
          <w:p w:rsidR="00660BAE" w:rsidRPr="00C13F90" w:rsidRDefault="00660BAE" w:rsidP="006A3557">
            <w:pPr>
              <w:pStyle w:val="In-tableHeading"/>
              <w:jc w:val="center"/>
              <w:rPr>
                <w:lang w:val="en-AU"/>
              </w:rPr>
            </w:pPr>
            <w:r w:rsidRPr="00C13F90">
              <w:rPr>
                <w:lang w:val="en-AU"/>
              </w:rPr>
              <w:t>N=120</w:t>
            </w:r>
          </w:p>
        </w:tc>
        <w:tc>
          <w:tcPr>
            <w:tcW w:w="432" w:type="pct"/>
          </w:tcPr>
          <w:p w:rsidR="00660BAE" w:rsidRPr="00C13F90" w:rsidRDefault="00660BAE" w:rsidP="006A3557">
            <w:pPr>
              <w:pStyle w:val="In-tableHeading"/>
              <w:jc w:val="center"/>
              <w:rPr>
                <w:lang w:val="en-AU"/>
              </w:rPr>
            </w:pPr>
          </w:p>
          <w:p w:rsidR="00660BAE" w:rsidRPr="00C13F90" w:rsidRDefault="00660BAE" w:rsidP="006A3557">
            <w:pPr>
              <w:pStyle w:val="In-tableHeading"/>
              <w:jc w:val="center"/>
              <w:rPr>
                <w:lang w:val="en-AU"/>
              </w:rPr>
            </w:pPr>
            <w:r w:rsidRPr="00C13F90">
              <w:rPr>
                <w:lang w:val="en-AU"/>
              </w:rPr>
              <w:t>LS mean difference (95% CI)</w:t>
            </w:r>
          </w:p>
        </w:tc>
        <w:tc>
          <w:tcPr>
            <w:tcW w:w="376" w:type="pct"/>
            <w:vAlign w:val="center"/>
          </w:tcPr>
          <w:p w:rsidR="00660BAE" w:rsidRPr="00C13F90" w:rsidRDefault="00660BAE" w:rsidP="006A3557">
            <w:pPr>
              <w:pStyle w:val="In-tableHeading"/>
              <w:jc w:val="center"/>
              <w:rPr>
                <w:lang w:val="en-AU"/>
              </w:rPr>
            </w:pPr>
            <w:r w:rsidRPr="00C13F90">
              <w:rPr>
                <w:lang w:val="en-AU"/>
              </w:rPr>
              <w:t>Βaseline</w:t>
            </w:r>
          </w:p>
          <w:p w:rsidR="00660BAE" w:rsidRPr="00C13F90" w:rsidRDefault="00660BAE" w:rsidP="006A3557">
            <w:pPr>
              <w:pStyle w:val="In-tableHeading"/>
              <w:jc w:val="center"/>
              <w:rPr>
                <w:lang w:val="en-AU"/>
              </w:rPr>
            </w:pPr>
            <w:r w:rsidRPr="00C13F90">
              <w:rPr>
                <w:lang w:val="en-AU"/>
              </w:rPr>
              <w:t>Mean (SD), minutes</w:t>
            </w:r>
          </w:p>
          <w:p w:rsidR="00660BAE" w:rsidRPr="00C13F90" w:rsidRDefault="00660BAE" w:rsidP="006A3557">
            <w:pPr>
              <w:pStyle w:val="In-tableHeading"/>
              <w:jc w:val="center"/>
              <w:rPr>
                <w:lang w:val="en-AU"/>
              </w:rPr>
            </w:pPr>
            <w:r w:rsidRPr="00C13F90">
              <w:rPr>
                <w:lang w:val="en-AU"/>
              </w:rPr>
              <w:t>N=120</w:t>
            </w:r>
          </w:p>
        </w:tc>
        <w:tc>
          <w:tcPr>
            <w:tcW w:w="394" w:type="pct"/>
            <w:vAlign w:val="center"/>
          </w:tcPr>
          <w:p w:rsidR="00660BAE" w:rsidRPr="00C13F90" w:rsidRDefault="00660BAE" w:rsidP="006A3557">
            <w:pPr>
              <w:pStyle w:val="In-tableHeading"/>
              <w:jc w:val="center"/>
              <w:rPr>
                <w:lang w:val="en-AU"/>
              </w:rPr>
            </w:pPr>
            <w:r w:rsidRPr="00C13F90">
              <w:rPr>
                <w:lang w:val="en-AU"/>
              </w:rPr>
              <w:t>Endpoint</w:t>
            </w:r>
          </w:p>
          <w:p w:rsidR="00660BAE" w:rsidRPr="00C13F90" w:rsidRDefault="00660BAE" w:rsidP="006A3557">
            <w:pPr>
              <w:pStyle w:val="In-tableHeading"/>
              <w:jc w:val="center"/>
              <w:rPr>
                <w:lang w:val="en-AU"/>
              </w:rPr>
            </w:pPr>
            <w:r w:rsidRPr="00C13F90">
              <w:rPr>
                <w:lang w:val="en-AU"/>
              </w:rPr>
              <w:t>Mean (SD),</w:t>
            </w:r>
          </w:p>
          <w:p w:rsidR="00660BAE" w:rsidRPr="00C13F90" w:rsidRDefault="00660BAE" w:rsidP="006A3557">
            <w:pPr>
              <w:pStyle w:val="In-tableHeading"/>
              <w:jc w:val="center"/>
              <w:rPr>
                <w:lang w:val="en-AU"/>
              </w:rPr>
            </w:pPr>
            <w:r w:rsidRPr="00C13F90">
              <w:rPr>
                <w:lang w:val="en-AU"/>
              </w:rPr>
              <w:t>minutes</w:t>
            </w:r>
          </w:p>
          <w:p w:rsidR="00660BAE" w:rsidRPr="00C13F90" w:rsidRDefault="00660BAE" w:rsidP="006A3557">
            <w:pPr>
              <w:pStyle w:val="In-tableHeading"/>
              <w:jc w:val="center"/>
              <w:rPr>
                <w:lang w:val="en-AU"/>
              </w:rPr>
            </w:pPr>
            <w:r w:rsidRPr="00C13F90">
              <w:rPr>
                <w:lang w:val="en-AU"/>
              </w:rPr>
              <w:t>N=120</w:t>
            </w:r>
          </w:p>
        </w:tc>
        <w:tc>
          <w:tcPr>
            <w:tcW w:w="470" w:type="pct"/>
          </w:tcPr>
          <w:p w:rsidR="00660BAE" w:rsidRPr="00C13F90" w:rsidRDefault="00660BAE" w:rsidP="006A3557">
            <w:pPr>
              <w:pStyle w:val="In-tableHeading"/>
              <w:jc w:val="center"/>
              <w:rPr>
                <w:iCs/>
                <w:lang w:val="en-AU"/>
              </w:rPr>
            </w:pPr>
          </w:p>
          <w:p w:rsidR="00660BAE" w:rsidRPr="00C13F90" w:rsidRDefault="00660BAE" w:rsidP="006A3557">
            <w:pPr>
              <w:pStyle w:val="In-tableHeading"/>
              <w:jc w:val="center"/>
              <w:rPr>
                <w:iCs/>
                <w:lang w:val="en-AU"/>
              </w:rPr>
            </w:pPr>
            <w:r w:rsidRPr="00C13F90">
              <w:rPr>
                <w:iCs/>
                <w:lang w:val="en-AU"/>
              </w:rPr>
              <w:t>LS mean difference (95%CI)</w:t>
            </w:r>
          </w:p>
        </w:tc>
        <w:tc>
          <w:tcPr>
            <w:tcW w:w="712" w:type="pct"/>
            <w:gridSpan w:val="2"/>
            <w:vAlign w:val="center"/>
          </w:tcPr>
          <w:p w:rsidR="00660BAE" w:rsidRPr="00C13F90" w:rsidRDefault="00660BAE" w:rsidP="006A3557">
            <w:pPr>
              <w:pStyle w:val="In-tableHeading"/>
              <w:jc w:val="center"/>
              <w:rPr>
                <w:iCs/>
                <w:lang w:val="en-AU"/>
              </w:rPr>
            </w:pPr>
            <w:r w:rsidRPr="00C13F90">
              <w:rPr>
                <w:iCs/>
                <w:lang w:val="en-AU"/>
              </w:rPr>
              <w:t>LS mean difference</w:t>
            </w:r>
          </w:p>
          <w:p w:rsidR="00660BAE" w:rsidRPr="00C13F90" w:rsidRDefault="00660BAE" w:rsidP="006A3557">
            <w:pPr>
              <w:pStyle w:val="In-tableHeading"/>
              <w:jc w:val="center"/>
              <w:rPr>
                <w:lang w:val="en-AU"/>
              </w:rPr>
            </w:pPr>
            <w:r w:rsidRPr="00C13F90">
              <w:rPr>
                <w:iCs/>
                <w:lang w:val="en-AU"/>
              </w:rPr>
              <w:t>(95% CI) Opicapone 50</w:t>
            </w:r>
            <w:r w:rsidR="003328BE" w:rsidRPr="00C13F90">
              <w:rPr>
                <w:iCs/>
                <w:lang w:val="en-AU"/>
              </w:rPr>
              <w:t>mg -</w:t>
            </w:r>
            <w:r w:rsidRPr="00C13F90">
              <w:rPr>
                <w:iCs/>
                <w:lang w:val="en-AU"/>
              </w:rPr>
              <w:t xml:space="preserve"> Entacapone</w:t>
            </w:r>
          </w:p>
        </w:tc>
        <w:tc>
          <w:tcPr>
            <w:tcW w:w="643" w:type="pct"/>
            <w:vAlign w:val="center"/>
          </w:tcPr>
          <w:p w:rsidR="00660BAE" w:rsidRPr="00C13F90" w:rsidRDefault="00660BAE" w:rsidP="006A3557">
            <w:pPr>
              <w:pStyle w:val="In-tableHeading"/>
              <w:jc w:val="center"/>
              <w:rPr>
                <w:lang w:val="en-AU"/>
              </w:rPr>
            </w:pPr>
            <w:r w:rsidRPr="00C13F90">
              <w:rPr>
                <w:lang w:val="en-AU"/>
              </w:rPr>
              <w:t>ANCOVA</w:t>
            </w:r>
          </w:p>
          <w:p w:rsidR="00660BAE" w:rsidRPr="00C13F90" w:rsidRDefault="00660BAE" w:rsidP="006A3557">
            <w:pPr>
              <w:pStyle w:val="In-tableHeading"/>
              <w:jc w:val="center"/>
              <w:rPr>
                <w:lang w:val="en-AU"/>
              </w:rPr>
            </w:pPr>
            <w:r w:rsidRPr="00C13F90">
              <w:rPr>
                <w:lang w:val="en-AU"/>
              </w:rPr>
              <w:t>P-value</w:t>
            </w:r>
          </w:p>
          <w:p w:rsidR="00660BAE" w:rsidRPr="00C13F90" w:rsidRDefault="00660BAE" w:rsidP="006A3557">
            <w:pPr>
              <w:pStyle w:val="In-tableHeading"/>
              <w:jc w:val="center"/>
              <w:rPr>
                <w:lang w:val="en-AU"/>
              </w:rPr>
            </w:pPr>
            <w:r w:rsidRPr="00C13F90">
              <w:rPr>
                <w:iCs/>
                <w:lang w:val="en-AU"/>
              </w:rPr>
              <w:t>Opicapone 50</w:t>
            </w:r>
            <w:r w:rsidR="003328BE" w:rsidRPr="00C13F90">
              <w:rPr>
                <w:iCs/>
                <w:lang w:val="en-AU"/>
              </w:rPr>
              <w:t>mg vs</w:t>
            </w:r>
            <w:r w:rsidRPr="00C13F90">
              <w:rPr>
                <w:iCs/>
                <w:lang w:val="en-AU"/>
              </w:rPr>
              <w:t xml:space="preserve"> Entacapone</w:t>
            </w:r>
          </w:p>
        </w:tc>
      </w:tr>
      <w:tr w:rsidR="00660BAE" w:rsidRPr="00C13F90" w:rsidTr="006D1F85">
        <w:tc>
          <w:tcPr>
            <w:tcW w:w="376" w:type="pct"/>
            <w:vAlign w:val="center"/>
          </w:tcPr>
          <w:p w:rsidR="00660BAE" w:rsidRPr="00C13F90" w:rsidRDefault="00660BAE" w:rsidP="006D1F85">
            <w:pPr>
              <w:pStyle w:val="TableText0"/>
              <w:jc w:val="center"/>
            </w:pPr>
            <w:r w:rsidRPr="00C13F90">
              <w:t>372.2 (107.0)</w:t>
            </w:r>
          </w:p>
        </w:tc>
        <w:tc>
          <w:tcPr>
            <w:tcW w:w="394" w:type="pct"/>
            <w:vAlign w:val="center"/>
          </w:tcPr>
          <w:p w:rsidR="00660BAE" w:rsidRPr="00C13F90" w:rsidRDefault="00660BAE" w:rsidP="006D1F85">
            <w:pPr>
              <w:pStyle w:val="TableText0"/>
              <w:jc w:val="center"/>
            </w:pPr>
            <w:r w:rsidRPr="00C13F90">
              <w:t>265.4 (142.5)</w:t>
            </w:r>
          </w:p>
        </w:tc>
        <w:tc>
          <w:tcPr>
            <w:tcW w:w="433" w:type="pct"/>
            <w:vAlign w:val="center"/>
          </w:tcPr>
          <w:p w:rsidR="00660BAE" w:rsidRPr="00C13F90" w:rsidRDefault="00660BAE" w:rsidP="006D1F85">
            <w:pPr>
              <w:pStyle w:val="TableText0"/>
              <w:jc w:val="center"/>
            </w:pPr>
            <w:r w:rsidRPr="00C13F90">
              <w:t>117.6</w:t>
            </w:r>
          </w:p>
          <w:p w:rsidR="00660BAE" w:rsidRPr="00C13F90" w:rsidRDefault="00660BAE" w:rsidP="006D1F85">
            <w:pPr>
              <w:pStyle w:val="TableText0"/>
              <w:jc w:val="center"/>
            </w:pPr>
            <w:r w:rsidRPr="00C13F90">
              <w:t>(147.2, 88.0)</w:t>
            </w:r>
          </w:p>
        </w:tc>
        <w:tc>
          <w:tcPr>
            <w:tcW w:w="376" w:type="pct"/>
            <w:vAlign w:val="center"/>
          </w:tcPr>
          <w:p w:rsidR="00660BAE" w:rsidRPr="00C13F90" w:rsidRDefault="00660BAE" w:rsidP="006D1F85">
            <w:pPr>
              <w:pStyle w:val="TableText0"/>
              <w:jc w:val="center"/>
            </w:pPr>
            <w:r w:rsidRPr="00C13F90">
              <w:t>387.6 (130.5)</w:t>
            </w:r>
          </w:p>
        </w:tc>
        <w:tc>
          <w:tcPr>
            <w:tcW w:w="394" w:type="pct"/>
            <w:vAlign w:val="center"/>
          </w:tcPr>
          <w:p w:rsidR="00660BAE" w:rsidRPr="00C13F90" w:rsidRDefault="00660BAE" w:rsidP="006D1F85">
            <w:pPr>
              <w:pStyle w:val="TableText0"/>
              <w:jc w:val="center"/>
            </w:pPr>
            <w:r w:rsidRPr="00C13F90">
              <w:t>294.1 (165.6)</w:t>
            </w:r>
          </w:p>
        </w:tc>
        <w:tc>
          <w:tcPr>
            <w:tcW w:w="432" w:type="pct"/>
            <w:vAlign w:val="center"/>
          </w:tcPr>
          <w:p w:rsidR="00660BAE" w:rsidRPr="00C13F90" w:rsidRDefault="00660BAE" w:rsidP="006D1F85">
            <w:pPr>
              <w:pStyle w:val="TableText0"/>
              <w:jc w:val="center"/>
            </w:pPr>
            <w:r w:rsidRPr="00C13F90">
              <w:t>92.6</w:t>
            </w:r>
          </w:p>
          <w:p w:rsidR="00660BAE" w:rsidRPr="00C13F90" w:rsidRDefault="00660BAE" w:rsidP="006D1F85">
            <w:pPr>
              <w:pStyle w:val="TableText0"/>
              <w:jc w:val="center"/>
            </w:pPr>
            <w:r w:rsidRPr="00C13F90">
              <w:t>(120.7, 64.5)</w:t>
            </w:r>
          </w:p>
        </w:tc>
        <w:tc>
          <w:tcPr>
            <w:tcW w:w="376" w:type="pct"/>
            <w:vAlign w:val="center"/>
          </w:tcPr>
          <w:p w:rsidR="00660BAE" w:rsidRPr="00C13F90" w:rsidRDefault="00660BAE" w:rsidP="006D1F85">
            <w:pPr>
              <w:pStyle w:val="TableText0"/>
              <w:jc w:val="center"/>
            </w:pPr>
            <w:r w:rsidRPr="00C13F90">
              <w:t>370.1 (106.7)</w:t>
            </w:r>
          </w:p>
        </w:tc>
        <w:tc>
          <w:tcPr>
            <w:tcW w:w="394" w:type="pct"/>
            <w:vAlign w:val="center"/>
          </w:tcPr>
          <w:p w:rsidR="00660BAE" w:rsidRPr="00C13F90" w:rsidRDefault="00660BAE" w:rsidP="006D1F85">
            <w:pPr>
              <w:pStyle w:val="TableText0"/>
              <w:jc w:val="center"/>
            </w:pPr>
            <w:r w:rsidRPr="00C13F90">
              <w:t>325.2 (166.2)</w:t>
            </w:r>
          </w:p>
        </w:tc>
        <w:tc>
          <w:tcPr>
            <w:tcW w:w="470" w:type="pct"/>
            <w:vAlign w:val="center"/>
          </w:tcPr>
          <w:p w:rsidR="00660BAE" w:rsidRPr="00C13F90" w:rsidRDefault="00660BAE" w:rsidP="006D1F85">
            <w:pPr>
              <w:pStyle w:val="TableText0"/>
              <w:jc w:val="center"/>
            </w:pPr>
            <w:r w:rsidRPr="00C13F90">
              <w:t>61.8</w:t>
            </w:r>
          </w:p>
          <w:p w:rsidR="00660BAE" w:rsidRPr="00C13F90" w:rsidRDefault="00660BAE" w:rsidP="006D1F85">
            <w:pPr>
              <w:pStyle w:val="TableText0"/>
              <w:jc w:val="center"/>
            </w:pPr>
            <w:r w:rsidRPr="00C13F90">
              <w:t>(89.5, 34.4)</w:t>
            </w:r>
          </w:p>
        </w:tc>
        <w:tc>
          <w:tcPr>
            <w:tcW w:w="712" w:type="pct"/>
            <w:gridSpan w:val="2"/>
            <w:vAlign w:val="center"/>
          </w:tcPr>
          <w:p w:rsidR="00660BAE" w:rsidRPr="00C13F90" w:rsidRDefault="00660BAE" w:rsidP="006D1F85">
            <w:pPr>
              <w:pStyle w:val="TableText0"/>
              <w:jc w:val="center"/>
            </w:pPr>
            <w:r w:rsidRPr="00C13F90">
              <w:t xml:space="preserve">25.0 </w:t>
            </w:r>
            <w:r w:rsidR="006A3557" w:rsidRPr="00C13F90">
              <w:br/>
            </w:r>
            <w:r w:rsidRPr="00C13F90">
              <w:t>(64.6, -14.6)</w:t>
            </w:r>
          </w:p>
        </w:tc>
        <w:tc>
          <w:tcPr>
            <w:tcW w:w="643" w:type="pct"/>
            <w:vAlign w:val="center"/>
          </w:tcPr>
          <w:p w:rsidR="00660BAE" w:rsidRPr="00C13F90" w:rsidRDefault="00660BAE" w:rsidP="006D1F85">
            <w:pPr>
              <w:pStyle w:val="TableText0"/>
              <w:jc w:val="center"/>
            </w:pPr>
            <w:r w:rsidRPr="00C13F90">
              <w:t>0.215</w:t>
            </w:r>
          </w:p>
        </w:tc>
      </w:tr>
    </w:tbl>
    <w:p w:rsidR="00660BAE" w:rsidRPr="00C13F90" w:rsidRDefault="00660BAE" w:rsidP="00660BAE">
      <w:pPr>
        <w:pStyle w:val="TableFigureFooter"/>
        <w:rPr>
          <w:sz w:val="20"/>
        </w:rPr>
      </w:pPr>
      <w:r w:rsidRPr="00C13F90">
        <w:t>Source: Table 14.9.12 et seq; 14.10.1</w:t>
      </w:r>
    </w:p>
    <w:p w:rsidR="00660BAE" w:rsidRPr="00C13F90" w:rsidRDefault="00660BAE" w:rsidP="00660BAE">
      <w:pPr>
        <w:pStyle w:val="TableFigureFooter"/>
        <w:rPr>
          <w:rStyle w:val="CommentReference"/>
          <w:b w:val="0"/>
          <w:sz w:val="18"/>
          <w:szCs w:val="22"/>
        </w:rPr>
      </w:pPr>
      <w:r w:rsidRPr="00C13F90">
        <w:t>ANCOVA = analysis of covariance; CI = confidence interval; SD = standard deviation</w:t>
      </w:r>
    </w:p>
    <w:p w:rsidR="00B60939" w:rsidRPr="00C13F90" w:rsidRDefault="00B60939" w:rsidP="00D86231">
      <w:pPr>
        <w:pStyle w:val="4-SubsectionHeading"/>
      </w:pPr>
      <w:bookmarkStart w:id="13" w:name="_Toc22897642"/>
      <w:bookmarkStart w:id="14" w:name="_Toc72312446"/>
      <w:r w:rsidRPr="00C13F90">
        <w:t>Comparative harms</w:t>
      </w:r>
      <w:bookmarkEnd w:id="13"/>
      <w:bookmarkEnd w:id="14"/>
    </w:p>
    <w:p w:rsidR="00B60939" w:rsidRPr="00C13F90" w:rsidRDefault="000825A0" w:rsidP="00D86231">
      <w:pPr>
        <w:pStyle w:val="3-BodyText"/>
        <w:rPr>
          <w:i/>
          <w:iCs/>
          <w:color w:val="0066FF"/>
        </w:rPr>
      </w:pPr>
      <w:r w:rsidRPr="00C13F90">
        <w:t>Adverse events as report</w:t>
      </w:r>
      <w:r w:rsidR="000416BA" w:rsidRPr="00C13F90">
        <w:t>ed</w:t>
      </w:r>
      <w:r w:rsidRPr="00C13F90">
        <w:t xml:space="preserve"> in the trial are summarised below. </w:t>
      </w:r>
      <w:r w:rsidR="000416BA" w:rsidRPr="00C13F90">
        <w:rPr>
          <w:iCs/>
        </w:rPr>
        <w:t>T</w:t>
      </w:r>
      <w:r w:rsidRPr="00C13F90">
        <w:rPr>
          <w:iCs/>
        </w:rPr>
        <w:t>he main adverse events were those that would be expected based on the</w:t>
      </w:r>
      <w:r w:rsidR="00D23AAA" w:rsidRPr="00C13F90">
        <w:rPr>
          <w:iCs/>
        </w:rPr>
        <w:t xml:space="preserve"> mechanism of</w:t>
      </w:r>
      <w:r w:rsidRPr="00C13F90">
        <w:rPr>
          <w:iCs/>
        </w:rPr>
        <w:t xml:space="preserve"> action of the drug, similar to</w:t>
      </w:r>
      <w:r w:rsidR="00D23AAA" w:rsidRPr="00C13F90">
        <w:rPr>
          <w:iCs/>
        </w:rPr>
        <w:t xml:space="preserve"> the</w:t>
      </w:r>
      <w:r w:rsidRPr="00C13F90">
        <w:rPr>
          <w:iCs/>
        </w:rPr>
        <w:t xml:space="preserve"> adverse effects </w:t>
      </w:r>
      <w:r w:rsidR="00D23AAA" w:rsidRPr="00C13F90">
        <w:rPr>
          <w:iCs/>
        </w:rPr>
        <w:t>profile of</w:t>
      </w:r>
      <w:r w:rsidRPr="00C13F90">
        <w:rPr>
          <w:iCs/>
        </w:rPr>
        <w:t xml:space="preserve"> entacapone.</w:t>
      </w:r>
      <w:r w:rsidR="0084374F" w:rsidRPr="00C13F90">
        <w:rPr>
          <w:i/>
          <w:iCs/>
          <w:color w:val="0066FF"/>
        </w:rPr>
        <w:t xml:space="preserve"> </w:t>
      </w:r>
    </w:p>
    <w:p w:rsidR="00745ED7" w:rsidRPr="00C13F90" w:rsidRDefault="00173565" w:rsidP="00745ED7">
      <w:pPr>
        <w:pStyle w:val="TableFigureHeading"/>
      </w:pPr>
      <w:r w:rsidRPr="00C13F90">
        <w:rPr>
          <w:rStyle w:val="CommentReference"/>
          <w:b/>
          <w:szCs w:val="24"/>
        </w:rPr>
        <w:t xml:space="preserve">Table </w:t>
      </w:r>
      <w:r w:rsidR="00660BAE" w:rsidRPr="00C13F90">
        <w:rPr>
          <w:rStyle w:val="CommentReference"/>
          <w:b/>
          <w:szCs w:val="24"/>
        </w:rPr>
        <w:t>6</w:t>
      </w:r>
      <w:r w:rsidR="005D26B4" w:rsidRPr="00C13F90">
        <w:rPr>
          <w:rStyle w:val="CommentReference"/>
          <w:b/>
          <w:szCs w:val="24"/>
        </w:rPr>
        <w:t>:</w:t>
      </w:r>
      <w:r w:rsidR="00BC591F" w:rsidRPr="00C13F90">
        <w:rPr>
          <w:rStyle w:val="CommentReference"/>
          <w:b/>
          <w:szCs w:val="24"/>
        </w:rPr>
        <w:t xml:space="preserve"> </w:t>
      </w:r>
      <w:r w:rsidR="005D26B4" w:rsidRPr="00C13F90">
        <w:rPr>
          <w:rStyle w:val="CommentReference"/>
          <w:b/>
          <w:szCs w:val="24"/>
        </w:rPr>
        <w:t>Summary of key adverse events in the trials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1"/>
        <w:gridCol w:w="1842"/>
        <w:gridCol w:w="1701"/>
        <w:gridCol w:w="1701"/>
      </w:tblGrid>
      <w:tr w:rsidR="00745ED7" w:rsidRPr="00C13F90" w:rsidTr="006A3557">
        <w:trPr>
          <w:tblHeader/>
        </w:trPr>
        <w:tc>
          <w:tcPr>
            <w:tcW w:w="2122" w:type="dxa"/>
            <w:vAlign w:val="center"/>
          </w:tcPr>
          <w:p w:rsidR="00745ED7" w:rsidRPr="00C13F90" w:rsidRDefault="00745ED7" w:rsidP="000E074C">
            <w:pPr>
              <w:pStyle w:val="In-tableHeading"/>
              <w:rPr>
                <w:lang w:val="en-AU"/>
              </w:rPr>
            </w:pPr>
          </w:p>
        </w:tc>
        <w:tc>
          <w:tcPr>
            <w:tcW w:w="1701" w:type="dxa"/>
          </w:tcPr>
          <w:p w:rsidR="00745ED7" w:rsidRPr="00C13F90" w:rsidRDefault="00745ED7" w:rsidP="000E074C">
            <w:pPr>
              <w:pStyle w:val="In-tableHeading"/>
              <w:jc w:val="center"/>
              <w:rPr>
                <w:lang w:val="en-AU"/>
              </w:rPr>
            </w:pPr>
            <w:r w:rsidRPr="00C13F90">
              <w:rPr>
                <w:lang w:val="en-AU"/>
              </w:rPr>
              <w:t>Placebo</w:t>
            </w:r>
          </w:p>
          <w:p w:rsidR="00745ED7" w:rsidRPr="00C13F90" w:rsidRDefault="00745ED7" w:rsidP="000E074C">
            <w:pPr>
              <w:pStyle w:val="In-tableHeading"/>
              <w:jc w:val="center"/>
              <w:rPr>
                <w:lang w:val="en-AU"/>
              </w:rPr>
            </w:pPr>
            <w:r w:rsidRPr="00C13F90">
              <w:rPr>
                <w:lang w:val="en-AU"/>
              </w:rPr>
              <w:t>n with event/N (%)</w:t>
            </w:r>
          </w:p>
        </w:tc>
        <w:tc>
          <w:tcPr>
            <w:tcW w:w="1842" w:type="dxa"/>
          </w:tcPr>
          <w:p w:rsidR="00745ED7" w:rsidRPr="00C13F90" w:rsidRDefault="00745ED7" w:rsidP="000E074C">
            <w:pPr>
              <w:pStyle w:val="In-tableHeading"/>
              <w:jc w:val="center"/>
              <w:rPr>
                <w:lang w:val="en-AU"/>
              </w:rPr>
            </w:pPr>
            <w:r w:rsidRPr="00C13F90">
              <w:rPr>
                <w:lang w:val="en-AU"/>
              </w:rPr>
              <w:t xml:space="preserve">Opicapone all doses </w:t>
            </w:r>
          </w:p>
          <w:p w:rsidR="00745ED7" w:rsidRPr="00C13F90" w:rsidRDefault="00745ED7" w:rsidP="006A3557">
            <w:pPr>
              <w:pStyle w:val="In-tableHeading"/>
              <w:jc w:val="center"/>
              <w:rPr>
                <w:lang w:val="en-AU"/>
              </w:rPr>
            </w:pPr>
            <w:r w:rsidRPr="00C13F90">
              <w:rPr>
                <w:lang w:val="en-AU"/>
              </w:rPr>
              <w:t>n with event/N</w:t>
            </w:r>
            <w:r w:rsidR="006A3557" w:rsidRPr="00C13F90">
              <w:rPr>
                <w:lang w:val="en-AU"/>
              </w:rPr>
              <w:t xml:space="preserve"> </w:t>
            </w:r>
            <w:r w:rsidRPr="00C13F90">
              <w:rPr>
                <w:lang w:val="en-AU"/>
              </w:rPr>
              <w:t>(%)</w:t>
            </w:r>
          </w:p>
        </w:tc>
        <w:tc>
          <w:tcPr>
            <w:tcW w:w="1701" w:type="dxa"/>
            <w:vAlign w:val="center"/>
          </w:tcPr>
          <w:p w:rsidR="00745ED7" w:rsidRPr="00C13F90" w:rsidRDefault="00745ED7" w:rsidP="000E074C">
            <w:pPr>
              <w:pStyle w:val="In-tableHeading"/>
              <w:jc w:val="center"/>
              <w:rPr>
                <w:lang w:val="en-AU"/>
              </w:rPr>
            </w:pPr>
            <w:r w:rsidRPr="00C13F90">
              <w:rPr>
                <w:lang w:val="en-AU"/>
              </w:rPr>
              <w:t>Opicapone 50mg</w:t>
            </w:r>
          </w:p>
          <w:p w:rsidR="00745ED7" w:rsidRPr="00C13F90" w:rsidRDefault="00745ED7" w:rsidP="000E074C">
            <w:pPr>
              <w:pStyle w:val="In-tableHeading"/>
              <w:jc w:val="center"/>
              <w:rPr>
                <w:lang w:val="en-AU"/>
              </w:rPr>
            </w:pPr>
            <w:r w:rsidRPr="00C13F90">
              <w:rPr>
                <w:lang w:val="en-AU"/>
              </w:rPr>
              <w:t>n with event/N (%)</w:t>
            </w:r>
          </w:p>
        </w:tc>
        <w:tc>
          <w:tcPr>
            <w:tcW w:w="1701" w:type="dxa"/>
            <w:vAlign w:val="center"/>
          </w:tcPr>
          <w:p w:rsidR="00745ED7" w:rsidRPr="00C13F90" w:rsidRDefault="00745ED7" w:rsidP="000E074C">
            <w:pPr>
              <w:pStyle w:val="In-tableHeading"/>
              <w:jc w:val="center"/>
              <w:rPr>
                <w:lang w:val="en-AU"/>
              </w:rPr>
            </w:pPr>
            <w:r w:rsidRPr="00C13F90">
              <w:rPr>
                <w:lang w:val="en-AU"/>
              </w:rPr>
              <w:t>Entacapone</w:t>
            </w:r>
          </w:p>
          <w:p w:rsidR="00745ED7" w:rsidRPr="00C13F90" w:rsidRDefault="00745ED7" w:rsidP="000E074C">
            <w:pPr>
              <w:pStyle w:val="In-tableHeading"/>
              <w:jc w:val="center"/>
              <w:rPr>
                <w:lang w:val="en-AU"/>
              </w:rPr>
            </w:pPr>
            <w:r w:rsidRPr="00C13F90">
              <w:rPr>
                <w:lang w:val="en-AU"/>
              </w:rPr>
              <w:t>n with event/N (%)</w:t>
            </w:r>
          </w:p>
        </w:tc>
      </w:tr>
      <w:tr w:rsidR="00745ED7" w:rsidRPr="00C13F90" w:rsidTr="006A3557">
        <w:tc>
          <w:tcPr>
            <w:tcW w:w="2122" w:type="dxa"/>
            <w:vAlign w:val="center"/>
          </w:tcPr>
          <w:p w:rsidR="00745ED7" w:rsidRPr="00C13F90" w:rsidRDefault="00745ED7" w:rsidP="000E074C">
            <w:pPr>
              <w:pStyle w:val="TableText0"/>
            </w:pPr>
            <w:r w:rsidRPr="00C13F90">
              <w:t>Participants with any TEAE</w:t>
            </w:r>
          </w:p>
        </w:tc>
        <w:tc>
          <w:tcPr>
            <w:tcW w:w="1701" w:type="dxa"/>
            <w:vAlign w:val="center"/>
          </w:tcPr>
          <w:p w:rsidR="00745ED7" w:rsidRPr="00C13F90" w:rsidRDefault="00745ED7" w:rsidP="006D1F85">
            <w:pPr>
              <w:pStyle w:val="TableText0"/>
              <w:jc w:val="center"/>
            </w:pPr>
            <w:r w:rsidRPr="00C13F90">
              <w:t>60/121 (49.6%)</w:t>
            </w:r>
          </w:p>
        </w:tc>
        <w:tc>
          <w:tcPr>
            <w:tcW w:w="1842" w:type="dxa"/>
            <w:vAlign w:val="center"/>
          </w:tcPr>
          <w:p w:rsidR="00745ED7" w:rsidRPr="00C13F90" w:rsidRDefault="00745ED7" w:rsidP="006D1F85">
            <w:pPr>
              <w:pStyle w:val="TableText0"/>
              <w:jc w:val="center"/>
            </w:pPr>
            <w:r w:rsidRPr="00C13F90">
              <w:t>190/356 (53.4%)</w:t>
            </w:r>
          </w:p>
        </w:tc>
        <w:tc>
          <w:tcPr>
            <w:tcW w:w="1701" w:type="dxa"/>
            <w:vAlign w:val="center"/>
          </w:tcPr>
          <w:p w:rsidR="00745ED7" w:rsidRPr="00C13F90" w:rsidRDefault="00745ED7" w:rsidP="006D1F85">
            <w:pPr>
              <w:pStyle w:val="TableText0"/>
              <w:jc w:val="center"/>
            </w:pPr>
            <w:r w:rsidRPr="00C13F90">
              <w:t>62/115 (53.9%)</w:t>
            </w:r>
          </w:p>
        </w:tc>
        <w:tc>
          <w:tcPr>
            <w:tcW w:w="1701" w:type="dxa"/>
            <w:vAlign w:val="center"/>
          </w:tcPr>
          <w:p w:rsidR="00745ED7" w:rsidRPr="00C13F90" w:rsidRDefault="00745ED7" w:rsidP="006D1F85">
            <w:pPr>
              <w:pStyle w:val="TableText0"/>
              <w:jc w:val="center"/>
            </w:pPr>
            <w:r w:rsidRPr="00C13F90">
              <w:t>69/122 (56.6%)</w:t>
            </w:r>
          </w:p>
        </w:tc>
      </w:tr>
      <w:tr w:rsidR="00745ED7" w:rsidRPr="00C13F90" w:rsidTr="006A3557">
        <w:tc>
          <w:tcPr>
            <w:tcW w:w="2122" w:type="dxa"/>
            <w:vAlign w:val="center"/>
          </w:tcPr>
          <w:p w:rsidR="00745ED7" w:rsidRPr="00C13F90" w:rsidRDefault="00745ED7" w:rsidP="000E074C">
            <w:pPr>
              <w:pStyle w:val="TableText0"/>
            </w:pPr>
            <w:r w:rsidRPr="00C13F90">
              <w:t>Participants with any SAE</w:t>
            </w:r>
          </w:p>
        </w:tc>
        <w:tc>
          <w:tcPr>
            <w:tcW w:w="1701" w:type="dxa"/>
            <w:vAlign w:val="center"/>
          </w:tcPr>
          <w:p w:rsidR="00745ED7" w:rsidRPr="00C13F90" w:rsidRDefault="00745ED7" w:rsidP="006D1F85">
            <w:pPr>
              <w:pStyle w:val="TableText0"/>
              <w:jc w:val="center"/>
            </w:pPr>
            <w:r w:rsidRPr="00C13F90">
              <w:t>6/121 (5.0%)</w:t>
            </w:r>
          </w:p>
        </w:tc>
        <w:tc>
          <w:tcPr>
            <w:tcW w:w="1842" w:type="dxa"/>
            <w:vAlign w:val="center"/>
          </w:tcPr>
          <w:p w:rsidR="00745ED7" w:rsidRPr="00C13F90" w:rsidRDefault="00745ED7" w:rsidP="006D1F85">
            <w:pPr>
              <w:pStyle w:val="TableText0"/>
              <w:jc w:val="center"/>
            </w:pPr>
            <w:r w:rsidRPr="00C13F90">
              <w:t>9/356 (2.5%)</w:t>
            </w:r>
          </w:p>
        </w:tc>
        <w:tc>
          <w:tcPr>
            <w:tcW w:w="1701" w:type="dxa"/>
            <w:vAlign w:val="center"/>
          </w:tcPr>
          <w:p w:rsidR="00745ED7" w:rsidRPr="00C13F90" w:rsidRDefault="00745ED7" w:rsidP="006D1F85">
            <w:pPr>
              <w:pStyle w:val="TableText0"/>
              <w:jc w:val="center"/>
            </w:pPr>
            <w:r w:rsidRPr="00C13F90">
              <w:t>4/115 (3.5%)</w:t>
            </w:r>
          </w:p>
        </w:tc>
        <w:tc>
          <w:tcPr>
            <w:tcW w:w="1701" w:type="dxa"/>
            <w:vAlign w:val="center"/>
          </w:tcPr>
          <w:p w:rsidR="00745ED7" w:rsidRPr="00C13F90" w:rsidRDefault="00745ED7" w:rsidP="006D1F85">
            <w:pPr>
              <w:pStyle w:val="TableText0"/>
              <w:jc w:val="center"/>
            </w:pPr>
            <w:r w:rsidRPr="00C13F90">
              <w:t>9/122 (7.4%)</w:t>
            </w:r>
          </w:p>
        </w:tc>
      </w:tr>
      <w:tr w:rsidR="00745ED7" w:rsidRPr="00C13F90" w:rsidTr="006A3557">
        <w:tc>
          <w:tcPr>
            <w:tcW w:w="2122" w:type="dxa"/>
            <w:vAlign w:val="center"/>
          </w:tcPr>
          <w:p w:rsidR="00745ED7" w:rsidRPr="00C13F90" w:rsidRDefault="00745ED7" w:rsidP="000E074C">
            <w:pPr>
              <w:pStyle w:val="TableText0"/>
            </w:pPr>
            <w:r w:rsidRPr="00C13F90">
              <w:t>Discontinuation of study drug due to TEAE</w:t>
            </w:r>
          </w:p>
        </w:tc>
        <w:tc>
          <w:tcPr>
            <w:tcW w:w="1701" w:type="dxa"/>
            <w:vAlign w:val="center"/>
          </w:tcPr>
          <w:p w:rsidR="00745ED7" w:rsidRPr="00C13F90" w:rsidRDefault="00745ED7" w:rsidP="006D1F85">
            <w:pPr>
              <w:pStyle w:val="TableText0"/>
              <w:jc w:val="center"/>
            </w:pPr>
          </w:p>
          <w:p w:rsidR="00745ED7" w:rsidRPr="00C13F90" w:rsidRDefault="00745ED7" w:rsidP="006D1F85">
            <w:pPr>
              <w:pStyle w:val="TableText0"/>
              <w:jc w:val="center"/>
            </w:pPr>
            <w:r w:rsidRPr="00C13F90">
              <w:t>8/121 (6.6%)</w:t>
            </w:r>
          </w:p>
        </w:tc>
        <w:tc>
          <w:tcPr>
            <w:tcW w:w="1842" w:type="dxa"/>
            <w:vAlign w:val="center"/>
          </w:tcPr>
          <w:p w:rsidR="00745ED7" w:rsidRPr="00C13F90" w:rsidRDefault="00745ED7" w:rsidP="006D1F85">
            <w:pPr>
              <w:pStyle w:val="TableText0"/>
              <w:jc w:val="center"/>
            </w:pPr>
          </w:p>
          <w:p w:rsidR="00745ED7" w:rsidRPr="00C13F90" w:rsidRDefault="00745ED7" w:rsidP="006D1F85">
            <w:pPr>
              <w:pStyle w:val="TableText0"/>
              <w:jc w:val="center"/>
            </w:pPr>
            <w:r w:rsidRPr="00C13F90">
              <w:t>20/356 (5.6%)</w:t>
            </w:r>
          </w:p>
        </w:tc>
        <w:tc>
          <w:tcPr>
            <w:tcW w:w="1701" w:type="dxa"/>
            <w:vAlign w:val="center"/>
          </w:tcPr>
          <w:p w:rsidR="00745ED7" w:rsidRPr="00C13F90" w:rsidRDefault="00745ED7" w:rsidP="006D1F85">
            <w:pPr>
              <w:pStyle w:val="TableText0"/>
              <w:jc w:val="center"/>
            </w:pPr>
            <w:r w:rsidRPr="00C13F90">
              <w:t>5/115 (4.3%)</w:t>
            </w:r>
          </w:p>
        </w:tc>
        <w:tc>
          <w:tcPr>
            <w:tcW w:w="1701" w:type="dxa"/>
            <w:vAlign w:val="center"/>
          </w:tcPr>
          <w:p w:rsidR="00745ED7" w:rsidRPr="00C13F90" w:rsidRDefault="00745ED7" w:rsidP="006D1F85">
            <w:pPr>
              <w:pStyle w:val="TableText0"/>
              <w:jc w:val="center"/>
            </w:pPr>
            <w:r w:rsidRPr="00C13F90">
              <w:t>8/122 (6.6%)</w:t>
            </w:r>
          </w:p>
        </w:tc>
      </w:tr>
      <w:tr w:rsidR="00745ED7" w:rsidRPr="00C13F90" w:rsidTr="006A3557">
        <w:tc>
          <w:tcPr>
            <w:tcW w:w="2122" w:type="dxa"/>
            <w:vAlign w:val="center"/>
          </w:tcPr>
          <w:p w:rsidR="00745ED7" w:rsidRPr="00C13F90" w:rsidRDefault="00745ED7" w:rsidP="000E074C">
            <w:pPr>
              <w:pStyle w:val="TableText0"/>
            </w:pPr>
            <w:r w:rsidRPr="00C13F90">
              <w:t>Dyskinesia</w:t>
            </w:r>
          </w:p>
        </w:tc>
        <w:tc>
          <w:tcPr>
            <w:tcW w:w="1701" w:type="dxa"/>
            <w:vAlign w:val="center"/>
          </w:tcPr>
          <w:p w:rsidR="00745ED7" w:rsidRPr="00C13F90" w:rsidRDefault="00745ED7" w:rsidP="006D1F85">
            <w:pPr>
              <w:pStyle w:val="TableText0"/>
              <w:jc w:val="center"/>
            </w:pPr>
            <w:r w:rsidRPr="00C13F90">
              <w:t>5/121 (4.1%)</w:t>
            </w:r>
          </w:p>
        </w:tc>
        <w:tc>
          <w:tcPr>
            <w:tcW w:w="1842" w:type="dxa"/>
            <w:vAlign w:val="center"/>
          </w:tcPr>
          <w:p w:rsidR="00745ED7" w:rsidRPr="00C13F90" w:rsidRDefault="00745ED7" w:rsidP="006D1F85">
            <w:pPr>
              <w:pStyle w:val="TableText0"/>
              <w:jc w:val="center"/>
            </w:pPr>
            <w:r w:rsidRPr="00C13F90">
              <w:t>44/356 (12.4%)</w:t>
            </w:r>
          </w:p>
        </w:tc>
        <w:tc>
          <w:tcPr>
            <w:tcW w:w="1701" w:type="dxa"/>
            <w:vAlign w:val="center"/>
          </w:tcPr>
          <w:p w:rsidR="00745ED7" w:rsidRPr="00C13F90" w:rsidRDefault="00745ED7" w:rsidP="006D1F85">
            <w:pPr>
              <w:pStyle w:val="TableText0"/>
              <w:jc w:val="center"/>
            </w:pPr>
            <w:r w:rsidRPr="00C13F90">
              <w:t>18/115 (15.7%)</w:t>
            </w:r>
          </w:p>
        </w:tc>
        <w:tc>
          <w:tcPr>
            <w:tcW w:w="1701" w:type="dxa"/>
            <w:vAlign w:val="center"/>
          </w:tcPr>
          <w:p w:rsidR="00745ED7" w:rsidRPr="00C13F90" w:rsidRDefault="00745ED7" w:rsidP="006D1F85">
            <w:pPr>
              <w:pStyle w:val="TableText0"/>
              <w:jc w:val="center"/>
            </w:pPr>
            <w:r w:rsidRPr="00C13F90">
              <w:t>10/122 (8.2%)</w:t>
            </w:r>
          </w:p>
        </w:tc>
      </w:tr>
      <w:tr w:rsidR="00745ED7" w:rsidRPr="00C13F90" w:rsidTr="006A3557">
        <w:tc>
          <w:tcPr>
            <w:tcW w:w="2122" w:type="dxa"/>
            <w:vAlign w:val="center"/>
          </w:tcPr>
          <w:p w:rsidR="00745ED7" w:rsidRPr="00C13F90" w:rsidRDefault="00745ED7" w:rsidP="000E074C">
            <w:pPr>
              <w:pStyle w:val="TableText0"/>
            </w:pPr>
            <w:r w:rsidRPr="00C13F90">
              <w:t xml:space="preserve">Insomnia </w:t>
            </w:r>
          </w:p>
        </w:tc>
        <w:tc>
          <w:tcPr>
            <w:tcW w:w="1701" w:type="dxa"/>
            <w:vAlign w:val="center"/>
          </w:tcPr>
          <w:p w:rsidR="00745ED7" w:rsidRPr="00C13F90" w:rsidRDefault="00745ED7" w:rsidP="006D1F85">
            <w:pPr>
              <w:pStyle w:val="TableText0"/>
              <w:jc w:val="center"/>
            </w:pPr>
            <w:r w:rsidRPr="00C13F90">
              <w:t>1/121 (0.8%)</w:t>
            </w:r>
          </w:p>
        </w:tc>
        <w:tc>
          <w:tcPr>
            <w:tcW w:w="1842" w:type="dxa"/>
            <w:vAlign w:val="center"/>
          </w:tcPr>
          <w:p w:rsidR="00745ED7" w:rsidRPr="00C13F90" w:rsidRDefault="00745ED7" w:rsidP="006D1F85">
            <w:pPr>
              <w:pStyle w:val="TableText0"/>
              <w:jc w:val="center"/>
            </w:pPr>
            <w:r w:rsidRPr="00C13F90">
              <w:t>16/356 (4.5%)</w:t>
            </w:r>
          </w:p>
        </w:tc>
        <w:tc>
          <w:tcPr>
            <w:tcW w:w="1701" w:type="dxa"/>
            <w:vAlign w:val="center"/>
          </w:tcPr>
          <w:p w:rsidR="00745ED7" w:rsidRPr="00C13F90" w:rsidRDefault="00745ED7" w:rsidP="006D1F85">
            <w:pPr>
              <w:pStyle w:val="TableText0"/>
              <w:jc w:val="center"/>
            </w:pPr>
            <w:r w:rsidRPr="00C13F90">
              <w:t>7/115 (6.1%)</w:t>
            </w:r>
          </w:p>
        </w:tc>
        <w:tc>
          <w:tcPr>
            <w:tcW w:w="1701" w:type="dxa"/>
            <w:vAlign w:val="center"/>
          </w:tcPr>
          <w:p w:rsidR="00745ED7" w:rsidRPr="00C13F90" w:rsidRDefault="00745ED7" w:rsidP="006D1F85">
            <w:pPr>
              <w:pStyle w:val="TableText0"/>
              <w:jc w:val="center"/>
            </w:pPr>
            <w:r w:rsidRPr="00C13F90">
              <w:t>7/122 (5.7%)</w:t>
            </w:r>
          </w:p>
        </w:tc>
      </w:tr>
      <w:tr w:rsidR="00745ED7" w:rsidRPr="00C13F90" w:rsidTr="006A3557">
        <w:tc>
          <w:tcPr>
            <w:tcW w:w="2122" w:type="dxa"/>
            <w:vAlign w:val="center"/>
          </w:tcPr>
          <w:p w:rsidR="00745ED7" w:rsidRPr="00C13F90" w:rsidRDefault="00745ED7" w:rsidP="000E074C">
            <w:pPr>
              <w:pStyle w:val="TableText0"/>
            </w:pPr>
            <w:r w:rsidRPr="00C13F90">
              <w:t xml:space="preserve">Constipation </w:t>
            </w:r>
          </w:p>
        </w:tc>
        <w:tc>
          <w:tcPr>
            <w:tcW w:w="1701" w:type="dxa"/>
            <w:vAlign w:val="center"/>
          </w:tcPr>
          <w:p w:rsidR="00745ED7" w:rsidRPr="00C13F90" w:rsidRDefault="00745ED7" w:rsidP="006D1F85">
            <w:pPr>
              <w:pStyle w:val="TableText0"/>
              <w:jc w:val="center"/>
            </w:pPr>
            <w:r w:rsidRPr="00C13F90">
              <w:t>3/121 (2.5%)</w:t>
            </w:r>
          </w:p>
        </w:tc>
        <w:tc>
          <w:tcPr>
            <w:tcW w:w="1842" w:type="dxa"/>
            <w:vAlign w:val="center"/>
          </w:tcPr>
          <w:p w:rsidR="00745ED7" w:rsidRPr="00C13F90" w:rsidRDefault="00745ED7" w:rsidP="006D1F85">
            <w:pPr>
              <w:pStyle w:val="TableText0"/>
              <w:jc w:val="center"/>
            </w:pPr>
            <w:r w:rsidRPr="00C13F90">
              <w:t>11/356 (3.1%)</w:t>
            </w:r>
          </w:p>
        </w:tc>
        <w:tc>
          <w:tcPr>
            <w:tcW w:w="1701" w:type="dxa"/>
            <w:vAlign w:val="center"/>
          </w:tcPr>
          <w:p w:rsidR="00745ED7" w:rsidRPr="00C13F90" w:rsidRDefault="00745ED7" w:rsidP="006D1F85">
            <w:pPr>
              <w:pStyle w:val="TableText0"/>
              <w:jc w:val="center"/>
            </w:pPr>
            <w:r w:rsidRPr="00C13F90">
              <w:t>7/115 (6.1%)</w:t>
            </w:r>
          </w:p>
        </w:tc>
        <w:tc>
          <w:tcPr>
            <w:tcW w:w="1701" w:type="dxa"/>
            <w:vAlign w:val="center"/>
          </w:tcPr>
          <w:p w:rsidR="00745ED7" w:rsidRPr="00C13F90" w:rsidRDefault="00745ED7" w:rsidP="006D1F85">
            <w:pPr>
              <w:pStyle w:val="TableText0"/>
              <w:jc w:val="center"/>
            </w:pPr>
            <w:r w:rsidRPr="00C13F90">
              <w:t>5/122 (4.1%)</w:t>
            </w:r>
          </w:p>
        </w:tc>
      </w:tr>
      <w:tr w:rsidR="00745ED7" w:rsidRPr="00C13F90" w:rsidTr="006A3557">
        <w:tc>
          <w:tcPr>
            <w:tcW w:w="2122" w:type="dxa"/>
            <w:vAlign w:val="center"/>
          </w:tcPr>
          <w:p w:rsidR="00745ED7" w:rsidRPr="00C13F90" w:rsidRDefault="00745ED7" w:rsidP="000E074C">
            <w:pPr>
              <w:pStyle w:val="TableText0"/>
            </w:pPr>
            <w:r w:rsidRPr="00C13F90">
              <w:t>Buying Disorder</w:t>
            </w:r>
          </w:p>
        </w:tc>
        <w:tc>
          <w:tcPr>
            <w:tcW w:w="1701" w:type="dxa"/>
            <w:vAlign w:val="center"/>
          </w:tcPr>
          <w:p w:rsidR="00745ED7" w:rsidRPr="00C13F90" w:rsidRDefault="00745ED7" w:rsidP="006D1F85">
            <w:pPr>
              <w:pStyle w:val="TableText0"/>
              <w:jc w:val="center"/>
            </w:pPr>
            <w:r w:rsidRPr="00C13F90">
              <w:t>7/121 (5.8%)</w:t>
            </w:r>
          </w:p>
        </w:tc>
        <w:tc>
          <w:tcPr>
            <w:tcW w:w="1842" w:type="dxa"/>
            <w:vAlign w:val="center"/>
          </w:tcPr>
          <w:p w:rsidR="00745ED7" w:rsidRPr="00C13F90" w:rsidRDefault="00745ED7" w:rsidP="006D1F85">
            <w:pPr>
              <w:pStyle w:val="TableText0"/>
              <w:jc w:val="center"/>
            </w:pPr>
            <w:r w:rsidRPr="00C13F90">
              <w:t>30/356 (8.4%)</w:t>
            </w:r>
          </w:p>
        </w:tc>
        <w:tc>
          <w:tcPr>
            <w:tcW w:w="1701" w:type="dxa"/>
            <w:vAlign w:val="center"/>
          </w:tcPr>
          <w:p w:rsidR="00745ED7" w:rsidRPr="00C13F90" w:rsidRDefault="00745ED7" w:rsidP="006D1F85">
            <w:pPr>
              <w:pStyle w:val="TableText0"/>
              <w:jc w:val="center"/>
            </w:pPr>
            <w:r w:rsidRPr="00C13F90">
              <w:t>11/115 (9.6%)</w:t>
            </w:r>
          </w:p>
        </w:tc>
        <w:tc>
          <w:tcPr>
            <w:tcW w:w="1701" w:type="dxa"/>
            <w:vAlign w:val="center"/>
          </w:tcPr>
          <w:p w:rsidR="00745ED7" w:rsidRPr="00C13F90" w:rsidRDefault="00745ED7" w:rsidP="006D1F85">
            <w:pPr>
              <w:pStyle w:val="TableText0"/>
              <w:jc w:val="center"/>
            </w:pPr>
            <w:r w:rsidRPr="00C13F90">
              <w:t>12/122 (9.8%)</w:t>
            </w:r>
          </w:p>
        </w:tc>
      </w:tr>
      <w:tr w:rsidR="00745ED7" w:rsidRPr="00C13F90" w:rsidTr="006A3557">
        <w:tc>
          <w:tcPr>
            <w:tcW w:w="2122" w:type="dxa"/>
            <w:vAlign w:val="center"/>
          </w:tcPr>
          <w:p w:rsidR="00745ED7" w:rsidRPr="00C13F90" w:rsidRDefault="00745ED7" w:rsidP="000E074C">
            <w:pPr>
              <w:pStyle w:val="TableText0"/>
            </w:pPr>
            <w:r w:rsidRPr="00C13F90">
              <w:t>Compulsive Sexual Behaviour</w:t>
            </w:r>
          </w:p>
        </w:tc>
        <w:tc>
          <w:tcPr>
            <w:tcW w:w="1701" w:type="dxa"/>
            <w:vAlign w:val="center"/>
          </w:tcPr>
          <w:p w:rsidR="00745ED7" w:rsidRPr="00C13F90" w:rsidRDefault="00745ED7" w:rsidP="006D1F85">
            <w:pPr>
              <w:pStyle w:val="TableText0"/>
              <w:jc w:val="center"/>
            </w:pPr>
            <w:r w:rsidRPr="00C13F90">
              <w:t>3/121 (2.5%)</w:t>
            </w:r>
          </w:p>
        </w:tc>
        <w:tc>
          <w:tcPr>
            <w:tcW w:w="1842" w:type="dxa"/>
            <w:vAlign w:val="center"/>
          </w:tcPr>
          <w:p w:rsidR="00745ED7" w:rsidRPr="00C13F90" w:rsidRDefault="00745ED7" w:rsidP="006D1F85">
            <w:pPr>
              <w:pStyle w:val="TableText0"/>
              <w:jc w:val="center"/>
            </w:pPr>
            <w:r w:rsidRPr="00C13F90">
              <w:t>5/356 (1.4%)</w:t>
            </w:r>
          </w:p>
        </w:tc>
        <w:tc>
          <w:tcPr>
            <w:tcW w:w="1701" w:type="dxa"/>
            <w:vAlign w:val="center"/>
          </w:tcPr>
          <w:p w:rsidR="00745ED7" w:rsidRPr="00C13F90" w:rsidRDefault="00745ED7" w:rsidP="006D1F85">
            <w:pPr>
              <w:pStyle w:val="TableText0"/>
              <w:jc w:val="center"/>
            </w:pPr>
            <w:r w:rsidRPr="00C13F90">
              <w:t>0/115 (0%)</w:t>
            </w:r>
          </w:p>
        </w:tc>
        <w:tc>
          <w:tcPr>
            <w:tcW w:w="1701" w:type="dxa"/>
            <w:vAlign w:val="center"/>
          </w:tcPr>
          <w:p w:rsidR="00745ED7" w:rsidRPr="00C13F90" w:rsidRDefault="00745ED7" w:rsidP="006D1F85">
            <w:pPr>
              <w:pStyle w:val="TableText0"/>
              <w:jc w:val="center"/>
            </w:pPr>
            <w:r w:rsidRPr="00C13F90">
              <w:t>3/122 (2.5%)</w:t>
            </w:r>
          </w:p>
        </w:tc>
      </w:tr>
      <w:tr w:rsidR="00745ED7" w:rsidRPr="00C13F90" w:rsidTr="006A3557">
        <w:tc>
          <w:tcPr>
            <w:tcW w:w="2122" w:type="dxa"/>
            <w:vAlign w:val="center"/>
          </w:tcPr>
          <w:p w:rsidR="00745ED7" w:rsidRPr="00C13F90" w:rsidRDefault="00745ED7" w:rsidP="000E074C">
            <w:pPr>
              <w:pStyle w:val="TableText0"/>
            </w:pPr>
            <w:r w:rsidRPr="00C13F90">
              <w:t>Hallucinations</w:t>
            </w:r>
          </w:p>
        </w:tc>
        <w:tc>
          <w:tcPr>
            <w:tcW w:w="1701" w:type="dxa"/>
            <w:vAlign w:val="center"/>
          </w:tcPr>
          <w:p w:rsidR="00745ED7" w:rsidRPr="00C13F90" w:rsidRDefault="00745ED7" w:rsidP="006D1F85">
            <w:pPr>
              <w:pStyle w:val="TableText0"/>
              <w:jc w:val="center"/>
            </w:pPr>
            <w:r w:rsidRPr="00C13F90">
              <w:t>1/121 (0.8%)</w:t>
            </w:r>
          </w:p>
        </w:tc>
        <w:tc>
          <w:tcPr>
            <w:tcW w:w="1842" w:type="dxa"/>
            <w:vAlign w:val="center"/>
          </w:tcPr>
          <w:p w:rsidR="00745ED7" w:rsidRPr="00C13F90" w:rsidRDefault="00745ED7" w:rsidP="006D1F85">
            <w:pPr>
              <w:pStyle w:val="TableText0"/>
              <w:jc w:val="center"/>
            </w:pPr>
            <w:r w:rsidRPr="00C13F90">
              <w:t>8/356 (2.2%)</w:t>
            </w:r>
          </w:p>
        </w:tc>
        <w:tc>
          <w:tcPr>
            <w:tcW w:w="1701" w:type="dxa"/>
            <w:vAlign w:val="center"/>
          </w:tcPr>
          <w:p w:rsidR="00745ED7" w:rsidRPr="00C13F90" w:rsidRDefault="00745ED7" w:rsidP="006D1F85">
            <w:pPr>
              <w:pStyle w:val="TableText0"/>
              <w:jc w:val="center"/>
            </w:pPr>
            <w:r w:rsidRPr="00C13F90">
              <w:t>1/115 (0.9%)</w:t>
            </w:r>
          </w:p>
        </w:tc>
        <w:tc>
          <w:tcPr>
            <w:tcW w:w="1701" w:type="dxa"/>
            <w:vAlign w:val="center"/>
          </w:tcPr>
          <w:p w:rsidR="00745ED7" w:rsidRPr="00C13F90" w:rsidRDefault="00745ED7" w:rsidP="006D1F85">
            <w:pPr>
              <w:pStyle w:val="TableText0"/>
              <w:jc w:val="center"/>
            </w:pPr>
            <w:r w:rsidRPr="00C13F90">
              <w:t>1/122 (0.8%)</w:t>
            </w:r>
          </w:p>
        </w:tc>
      </w:tr>
      <w:tr w:rsidR="00745ED7" w:rsidRPr="00C13F90" w:rsidTr="006A3557">
        <w:tc>
          <w:tcPr>
            <w:tcW w:w="2122" w:type="dxa"/>
            <w:vAlign w:val="center"/>
          </w:tcPr>
          <w:p w:rsidR="00745ED7" w:rsidRPr="00C13F90" w:rsidRDefault="00745ED7" w:rsidP="000E074C">
            <w:pPr>
              <w:pStyle w:val="TableText0"/>
            </w:pPr>
            <w:r w:rsidRPr="00C13F90">
              <w:t xml:space="preserve"> ALT &gt; 3xULN</w:t>
            </w:r>
          </w:p>
        </w:tc>
        <w:tc>
          <w:tcPr>
            <w:tcW w:w="1701" w:type="dxa"/>
            <w:vAlign w:val="center"/>
          </w:tcPr>
          <w:p w:rsidR="00745ED7" w:rsidRPr="00C13F90" w:rsidRDefault="00745ED7" w:rsidP="006D1F85">
            <w:pPr>
              <w:pStyle w:val="TableText0"/>
              <w:jc w:val="center"/>
            </w:pPr>
            <w:r w:rsidRPr="00C13F90">
              <w:t>6/121</w:t>
            </w:r>
          </w:p>
        </w:tc>
        <w:tc>
          <w:tcPr>
            <w:tcW w:w="1842" w:type="dxa"/>
            <w:vAlign w:val="center"/>
          </w:tcPr>
          <w:p w:rsidR="00745ED7" w:rsidRPr="00C13F90" w:rsidRDefault="00745ED7" w:rsidP="006D1F85">
            <w:pPr>
              <w:pStyle w:val="TableText0"/>
              <w:jc w:val="center"/>
            </w:pPr>
            <w:r w:rsidRPr="00C13F90">
              <w:t>2/356</w:t>
            </w:r>
          </w:p>
        </w:tc>
        <w:tc>
          <w:tcPr>
            <w:tcW w:w="1701" w:type="dxa"/>
            <w:vAlign w:val="center"/>
          </w:tcPr>
          <w:p w:rsidR="00745ED7" w:rsidRPr="00C13F90" w:rsidRDefault="00745ED7" w:rsidP="006D1F85">
            <w:pPr>
              <w:pStyle w:val="TableText0"/>
              <w:jc w:val="center"/>
            </w:pPr>
            <w:r w:rsidRPr="00C13F90">
              <w:t>0/115 (0%)</w:t>
            </w:r>
          </w:p>
        </w:tc>
        <w:tc>
          <w:tcPr>
            <w:tcW w:w="1701" w:type="dxa"/>
            <w:vAlign w:val="center"/>
          </w:tcPr>
          <w:p w:rsidR="00745ED7" w:rsidRPr="00C13F90" w:rsidRDefault="00745ED7" w:rsidP="006D1F85">
            <w:pPr>
              <w:pStyle w:val="TableText0"/>
              <w:jc w:val="center"/>
            </w:pPr>
            <w:r w:rsidRPr="00C13F90">
              <w:t>0/122 (0%)</w:t>
            </w:r>
          </w:p>
        </w:tc>
      </w:tr>
      <w:tr w:rsidR="00745ED7" w:rsidRPr="00C13F90" w:rsidTr="006A3557">
        <w:tc>
          <w:tcPr>
            <w:tcW w:w="2122" w:type="dxa"/>
            <w:vAlign w:val="center"/>
          </w:tcPr>
          <w:p w:rsidR="00745ED7" w:rsidRPr="00C13F90" w:rsidRDefault="00745ED7" w:rsidP="000E074C">
            <w:pPr>
              <w:pStyle w:val="TableText0"/>
            </w:pPr>
            <w:r w:rsidRPr="00C13F90">
              <w:t>AST &gt; 3xULN</w:t>
            </w:r>
          </w:p>
        </w:tc>
        <w:tc>
          <w:tcPr>
            <w:tcW w:w="1701" w:type="dxa"/>
            <w:vAlign w:val="center"/>
          </w:tcPr>
          <w:p w:rsidR="00745ED7" w:rsidRPr="00C13F90" w:rsidRDefault="00745ED7" w:rsidP="006D1F85">
            <w:pPr>
              <w:pStyle w:val="TableText0"/>
              <w:jc w:val="center"/>
            </w:pPr>
            <w:r w:rsidRPr="00C13F90">
              <w:t>4/121</w:t>
            </w:r>
          </w:p>
        </w:tc>
        <w:tc>
          <w:tcPr>
            <w:tcW w:w="1842" w:type="dxa"/>
            <w:vAlign w:val="center"/>
          </w:tcPr>
          <w:p w:rsidR="00745ED7" w:rsidRPr="00C13F90" w:rsidRDefault="00745ED7" w:rsidP="006D1F85">
            <w:pPr>
              <w:pStyle w:val="TableText0"/>
              <w:jc w:val="center"/>
            </w:pPr>
            <w:r w:rsidRPr="00C13F90">
              <w:t>1/356</w:t>
            </w:r>
          </w:p>
        </w:tc>
        <w:tc>
          <w:tcPr>
            <w:tcW w:w="1701" w:type="dxa"/>
            <w:vAlign w:val="center"/>
          </w:tcPr>
          <w:p w:rsidR="00745ED7" w:rsidRPr="00C13F90" w:rsidRDefault="00745ED7" w:rsidP="006D1F85">
            <w:pPr>
              <w:pStyle w:val="TableText0"/>
              <w:jc w:val="center"/>
            </w:pPr>
            <w:r w:rsidRPr="00C13F90">
              <w:t>0/115 (0%)</w:t>
            </w:r>
          </w:p>
        </w:tc>
        <w:tc>
          <w:tcPr>
            <w:tcW w:w="1701" w:type="dxa"/>
            <w:vAlign w:val="center"/>
          </w:tcPr>
          <w:p w:rsidR="00745ED7" w:rsidRPr="00C13F90" w:rsidRDefault="00745ED7" w:rsidP="006D1F85">
            <w:pPr>
              <w:pStyle w:val="TableText0"/>
              <w:jc w:val="center"/>
            </w:pPr>
            <w:r w:rsidRPr="00C13F90">
              <w:t>0/122 (0%)</w:t>
            </w:r>
          </w:p>
        </w:tc>
      </w:tr>
    </w:tbl>
    <w:p w:rsidR="00745ED7" w:rsidRPr="00C13F90" w:rsidRDefault="00745ED7" w:rsidP="00745ED7">
      <w:pPr>
        <w:pStyle w:val="TableFigureFooter"/>
        <w:rPr>
          <w:sz w:val="20"/>
        </w:rPr>
      </w:pPr>
      <w:r w:rsidRPr="00C13F90">
        <w:t>Source: Table 25; Table 14.12.2; Table 14.17.4a,</w:t>
      </w:r>
    </w:p>
    <w:p w:rsidR="00745ED7" w:rsidRPr="00C13F90" w:rsidRDefault="00745ED7" w:rsidP="00745ED7">
      <w:pPr>
        <w:pStyle w:val="TableFigureFooter"/>
      </w:pPr>
      <w:r w:rsidRPr="00C13F90">
        <w:rPr>
          <w:rFonts w:eastAsia="Calibri"/>
        </w:rPr>
        <w:t xml:space="preserve">TEAE = Treatment Emergent Adverse Event; SAE </w:t>
      </w:r>
      <w:r w:rsidR="001D2F3F" w:rsidRPr="00C13F90">
        <w:rPr>
          <w:rFonts w:eastAsia="Calibri"/>
        </w:rPr>
        <w:t>= Serious</w:t>
      </w:r>
      <w:r w:rsidRPr="00C13F90">
        <w:rPr>
          <w:rFonts w:eastAsia="Calibri"/>
        </w:rPr>
        <w:t xml:space="preserve"> Adverse Event; CI = confidence interval; n = number of participants reporting data; N = total participants in group; ALT = alanine aminotransferase; AST = aspartate aminotransferase; ULN = Upper Limit of Normal</w:t>
      </w:r>
    </w:p>
    <w:p w:rsidR="00B60939" w:rsidRPr="00C13F90" w:rsidRDefault="00B60939" w:rsidP="00E9094A">
      <w:pPr>
        <w:pStyle w:val="4-SubsectionHeading"/>
      </w:pPr>
      <w:bookmarkStart w:id="15" w:name="_Toc22897644"/>
      <w:bookmarkStart w:id="16" w:name="_Toc72312447"/>
      <w:r w:rsidRPr="00C13F90">
        <w:t>Clinical claim</w:t>
      </w:r>
      <w:bookmarkEnd w:id="15"/>
      <w:bookmarkEnd w:id="16"/>
    </w:p>
    <w:p w:rsidR="005F7588" w:rsidRPr="00C13F90" w:rsidRDefault="005F7588" w:rsidP="00E9094A">
      <w:pPr>
        <w:pStyle w:val="3-BodyText"/>
        <w:rPr>
          <w:rFonts w:eastAsia="Calibri"/>
        </w:rPr>
      </w:pPr>
      <w:r w:rsidRPr="00C13F90">
        <w:rPr>
          <w:rFonts w:eastAsia="Calibri"/>
        </w:rPr>
        <w:t xml:space="preserve">The submission described </w:t>
      </w:r>
      <w:r w:rsidR="00FA24B2" w:rsidRPr="00C13F90">
        <w:rPr>
          <w:rFonts w:eastAsia="Calibri"/>
        </w:rPr>
        <w:t xml:space="preserve">opicapone </w:t>
      </w:r>
      <w:r w:rsidRPr="00C13F90">
        <w:rPr>
          <w:rFonts w:eastAsia="Calibri"/>
        </w:rPr>
        <w:t>as</w:t>
      </w:r>
      <w:r w:rsidR="00FA24B2" w:rsidRPr="00C13F90">
        <w:rPr>
          <w:rFonts w:eastAsia="Calibri"/>
        </w:rPr>
        <w:t xml:space="preserve"> </w:t>
      </w:r>
      <w:r w:rsidRPr="00C13F90">
        <w:rPr>
          <w:rFonts w:eastAsia="Calibri"/>
        </w:rPr>
        <w:t xml:space="preserve">non-inferior in terms of effectiveness compared to </w:t>
      </w:r>
      <w:r w:rsidR="00FA24B2" w:rsidRPr="00C13F90">
        <w:rPr>
          <w:rFonts w:eastAsia="Calibri"/>
        </w:rPr>
        <w:t>entacapone.</w:t>
      </w:r>
      <w:r w:rsidRPr="00C13F90">
        <w:rPr>
          <w:rFonts w:eastAsia="Calibri"/>
        </w:rPr>
        <w:t xml:space="preserve"> Th</w:t>
      </w:r>
      <w:r w:rsidR="00CC7637" w:rsidRPr="00C13F90">
        <w:rPr>
          <w:rFonts w:eastAsia="Calibri"/>
        </w:rPr>
        <w:t>e ESC</w:t>
      </w:r>
      <w:r w:rsidR="005162AB" w:rsidRPr="00C13F90">
        <w:rPr>
          <w:rFonts w:eastAsia="Calibri"/>
        </w:rPr>
        <w:t xml:space="preserve"> and PBAC</w:t>
      </w:r>
      <w:r w:rsidR="00CC7637" w:rsidRPr="00C13F90">
        <w:rPr>
          <w:rFonts w:eastAsia="Calibri"/>
        </w:rPr>
        <w:t xml:space="preserve"> considered the</w:t>
      </w:r>
      <w:r w:rsidR="00CC7637" w:rsidRPr="00C13F90">
        <w:rPr>
          <w:rFonts w:eastAsia="Calibri"/>
          <w:i/>
        </w:rPr>
        <w:t xml:space="preserve"> </w:t>
      </w:r>
      <w:r w:rsidRPr="00C13F90">
        <w:rPr>
          <w:rFonts w:eastAsia="Calibri"/>
        </w:rPr>
        <w:t>claim was adequately supported.</w:t>
      </w:r>
      <w:r w:rsidR="007C70FF" w:rsidRPr="00C13F90">
        <w:rPr>
          <w:rFonts w:eastAsia="Calibri"/>
        </w:rPr>
        <w:t xml:space="preserve"> </w:t>
      </w:r>
    </w:p>
    <w:p w:rsidR="00EE4DFD" w:rsidRPr="00C13F90" w:rsidRDefault="005F7588" w:rsidP="004D4002">
      <w:pPr>
        <w:pStyle w:val="3-BodyText"/>
      </w:pPr>
      <w:r w:rsidRPr="00C13F90">
        <w:rPr>
          <w:rFonts w:eastAsia="Calibri"/>
        </w:rPr>
        <w:t xml:space="preserve">The submission described </w:t>
      </w:r>
      <w:r w:rsidR="00FA24B2" w:rsidRPr="00C13F90">
        <w:rPr>
          <w:rFonts w:eastAsia="Calibri"/>
        </w:rPr>
        <w:t>opicapone</w:t>
      </w:r>
      <w:r w:rsidRPr="00C13F90">
        <w:rPr>
          <w:rFonts w:eastAsia="Calibri"/>
        </w:rPr>
        <w:t xml:space="preserve"> as non-inferior in term</w:t>
      </w:r>
      <w:r w:rsidR="00156F8F" w:rsidRPr="00C13F90">
        <w:rPr>
          <w:rFonts w:eastAsia="Calibri"/>
        </w:rPr>
        <w:t>s</w:t>
      </w:r>
      <w:r w:rsidRPr="00C13F90">
        <w:rPr>
          <w:rFonts w:eastAsia="Calibri"/>
        </w:rPr>
        <w:t xml:space="preserve"> of safety compared to </w:t>
      </w:r>
      <w:r w:rsidR="00FA24B2" w:rsidRPr="00C13F90">
        <w:rPr>
          <w:rFonts w:eastAsia="Calibri"/>
        </w:rPr>
        <w:t>entacapone</w:t>
      </w:r>
      <w:r w:rsidRPr="00C13F90">
        <w:rPr>
          <w:rFonts w:eastAsia="Calibri"/>
        </w:rPr>
        <w:t>. Th</w:t>
      </w:r>
      <w:r w:rsidR="00CC7637" w:rsidRPr="00C13F90">
        <w:rPr>
          <w:rFonts w:eastAsia="Calibri"/>
        </w:rPr>
        <w:t>e ESC</w:t>
      </w:r>
      <w:r w:rsidR="005162AB" w:rsidRPr="00C13F90">
        <w:rPr>
          <w:rFonts w:eastAsia="Calibri"/>
        </w:rPr>
        <w:t xml:space="preserve"> and PBAC</w:t>
      </w:r>
      <w:r w:rsidR="00CC7637" w:rsidRPr="00C13F90">
        <w:rPr>
          <w:rFonts w:eastAsia="Calibri"/>
        </w:rPr>
        <w:t xml:space="preserve"> considered this</w:t>
      </w:r>
      <w:r w:rsidRPr="00C13F90">
        <w:rPr>
          <w:rFonts w:eastAsia="Calibri"/>
        </w:rPr>
        <w:t xml:space="preserve"> claim was</w:t>
      </w:r>
      <w:r w:rsidR="007C70FF" w:rsidRPr="00C13F90">
        <w:rPr>
          <w:rFonts w:eastAsia="Calibri"/>
        </w:rPr>
        <w:t xml:space="preserve"> </w:t>
      </w:r>
      <w:r w:rsidRPr="00C13F90">
        <w:rPr>
          <w:rFonts w:eastAsia="Calibri"/>
        </w:rPr>
        <w:t>adequately supported</w:t>
      </w:r>
      <w:r w:rsidR="007C70FF" w:rsidRPr="00C13F90">
        <w:rPr>
          <w:rFonts w:eastAsia="Calibri"/>
        </w:rPr>
        <w:t xml:space="preserve">. </w:t>
      </w:r>
      <w:bookmarkStart w:id="17" w:name="_Toc22897645"/>
    </w:p>
    <w:p w:rsidR="00B60939" w:rsidRPr="00C13F90" w:rsidRDefault="00B60939" w:rsidP="00EE4DFD">
      <w:pPr>
        <w:pStyle w:val="4-SubsectionHeading"/>
      </w:pPr>
      <w:bookmarkStart w:id="18" w:name="_Toc72312448"/>
      <w:r w:rsidRPr="00C13F90">
        <w:t>Economic analysis</w:t>
      </w:r>
      <w:bookmarkEnd w:id="17"/>
      <w:bookmarkEnd w:id="18"/>
      <w:r w:rsidR="00491B3A" w:rsidRPr="00C13F90">
        <w:t xml:space="preserve"> </w:t>
      </w:r>
    </w:p>
    <w:p w:rsidR="002524D5" w:rsidRPr="00C13F90" w:rsidRDefault="004D4002" w:rsidP="004D4002">
      <w:pPr>
        <w:pStyle w:val="3-BodyText"/>
        <w:rPr>
          <w:b/>
          <w:bCs/>
          <w:color w:val="0066FF"/>
        </w:rPr>
      </w:pPr>
      <w:r w:rsidRPr="00C13F90">
        <w:t xml:space="preserve">The submission </w:t>
      </w:r>
      <w:r w:rsidRPr="00C13F90">
        <w:rPr>
          <w:iCs/>
        </w:rPr>
        <w:t xml:space="preserve">appropriately </w:t>
      </w:r>
      <w:r w:rsidRPr="00C13F90">
        <w:t>presented a cost-minimisation analysis</w:t>
      </w:r>
      <w:r w:rsidR="0032118A" w:rsidRPr="00C13F90">
        <w:t xml:space="preserve"> compared to entacapone</w:t>
      </w:r>
      <w:r w:rsidRPr="00C13F90">
        <w:t xml:space="preserve">. </w:t>
      </w:r>
    </w:p>
    <w:p w:rsidR="008A361B" w:rsidRPr="00C13F90" w:rsidRDefault="00A86E8B" w:rsidP="008A361B">
      <w:pPr>
        <w:pStyle w:val="3-BodyText"/>
        <w:rPr>
          <w:i/>
          <w:iCs/>
        </w:rPr>
      </w:pPr>
      <w:r w:rsidRPr="00C13F90">
        <w:t xml:space="preserve">The equi-effective doses </w:t>
      </w:r>
      <w:r w:rsidR="00F61C18" w:rsidRPr="00C13F90">
        <w:t>we</w:t>
      </w:r>
      <w:r w:rsidRPr="00C13F90">
        <w:t xml:space="preserve">re estimated as </w:t>
      </w:r>
      <w:r w:rsidR="00EE4DFD" w:rsidRPr="00C13F90">
        <w:t>opicapone 50</w:t>
      </w:r>
      <w:r w:rsidRPr="00C13F90">
        <w:t xml:space="preserve">mg </w:t>
      </w:r>
      <w:r w:rsidR="00EE4DFD" w:rsidRPr="00C13F90">
        <w:t xml:space="preserve">daily </w:t>
      </w:r>
      <w:r w:rsidRPr="00C13F90">
        <w:t xml:space="preserve">and </w:t>
      </w:r>
      <w:r w:rsidR="00EE4DFD" w:rsidRPr="00C13F90">
        <w:t>entacapone 1</w:t>
      </w:r>
      <w:r w:rsidR="003328BE">
        <w:t>,</w:t>
      </w:r>
      <w:r w:rsidR="00EE4DFD" w:rsidRPr="00C13F90">
        <w:t xml:space="preserve">000mg per day in 5 divided doses. </w:t>
      </w:r>
      <w:r w:rsidR="00D3587B" w:rsidRPr="00C13F90">
        <w:rPr>
          <w:iCs/>
        </w:rPr>
        <w:t>This equivalence was based on rounding up the mean dose of entacapone</w:t>
      </w:r>
      <w:r w:rsidR="00AD514C" w:rsidRPr="00C13F90">
        <w:rPr>
          <w:iCs/>
        </w:rPr>
        <w:t xml:space="preserve"> from the trial</w:t>
      </w:r>
      <w:r w:rsidR="003726D0" w:rsidRPr="00C13F90">
        <w:rPr>
          <w:iCs/>
        </w:rPr>
        <w:t xml:space="preserve"> (906 or 913</w:t>
      </w:r>
      <w:r w:rsidR="009610AA" w:rsidRPr="00C13F90">
        <w:rPr>
          <w:iCs/>
        </w:rPr>
        <w:t> </w:t>
      </w:r>
      <w:r w:rsidR="003726D0" w:rsidRPr="00C13F90">
        <w:rPr>
          <w:iCs/>
        </w:rPr>
        <w:t>mg/day) to the 1</w:t>
      </w:r>
      <w:r w:rsidR="003328BE">
        <w:rPr>
          <w:iCs/>
        </w:rPr>
        <w:t>,</w:t>
      </w:r>
      <w:r w:rsidR="003726D0" w:rsidRPr="00C13F90">
        <w:rPr>
          <w:iCs/>
        </w:rPr>
        <w:t>000mg/day DDD</w:t>
      </w:r>
      <w:r w:rsidR="00D3587B" w:rsidRPr="00C13F90">
        <w:t>. As noted in paragraph 6.5, the dose of entacapone in the trial was determined for each patient according to the number of daily doses of levodopa, but the submission did not report the proportions of patients taking the different doses</w:t>
      </w:r>
      <w:r w:rsidR="00C13F90">
        <w:t xml:space="preserve">. </w:t>
      </w:r>
    </w:p>
    <w:p w:rsidR="00AD514C" w:rsidRPr="00C13F90" w:rsidRDefault="00AD514C" w:rsidP="00E33ECA">
      <w:pPr>
        <w:pStyle w:val="3-BodyText"/>
      </w:pPr>
      <w:r w:rsidRPr="00C13F90">
        <w:t>No additional costs or cost offsets were included in the cost-minimisation</w:t>
      </w:r>
      <w:r w:rsidR="0032118A" w:rsidRPr="00C13F90">
        <w:t xml:space="preserve"> analysis</w:t>
      </w:r>
      <w:r w:rsidR="00C13F90">
        <w:t xml:space="preserve">. </w:t>
      </w:r>
    </w:p>
    <w:p w:rsidR="00ED7A07" w:rsidRPr="00C13F90" w:rsidRDefault="008A361B" w:rsidP="00E33ECA">
      <w:pPr>
        <w:pStyle w:val="3-BodyText"/>
      </w:pPr>
      <w:r w:rsidRPr="00C13F90">
        <w:t xml:space="preserve">Given the </w:t>
      </w:r>
      <w:r w:rsidR="00AD514C" w:rsidRPr="00C13F90">
        <w:t xml:space="preserve">uncertainty about the estimate of the </w:t>
      </w:r>
      <w:r w:rsidRPr="00C13F90">
        <w:t>mean dose of entac</w:t>
      </w:r>
      <w:r w:rsidR="00AD514C" w:rsidRPr="00C13F90">
        <w:t>a</w:t>
      </w:r>
      <w:r w:rsidRPr="00C13F90">
        <w:t>pone as described in para</w:t>
      </w:r>
      <w:r w:rsidR="00AD514C" w:rsidRPr="00C13F90">
        <w:t>graph</w:t>
      </w:r>
      <w:r w:rsidRPr="00C13F90">
        <w:t xml:space="preserve"> 6.6, </w:t>
      </w:r>
      <w:r w:rsidR="009E6AE2" w:rsidRPr="00C13F90">
        <w:t>the equivalence might be more reliably estimated using the</w:t>
      </w:r>
      <w:r w:rsidR="004A6713" w:rsidRPr="00C13F90">
        <w:t xml:space="preserve"> </w:t>
      </w:r>
      <w:r w:rsidR="009E6AE2" w:rsidRPr="00C13F90">
        <w:t>median dose of 800</w:t>
      </w:r>
      <w:r w:rsidR="009610AA" w:rsidRPr="00C13F90">
        <w:t> </w:t>
      </w:r>
      <w:r w:rsidR="009E6AE2" w:rsidRPr="00C13F90">
        <w:t>mg entacapone vs 50</w:t>
      </w:r>
      <w:r w:rsidR="009610AA" w:rsidRPr="00C13F90">
        <w:t> </w:t>
      </w:r>
      <w:r w:rsidR="009E6AE2" w:rsidRPr="00C13F90">
        <w:t>mg opicapone</w:t>
      </w:r>
      <w:r w:rsidR="00C13F90">
        <w:t xml:space="preserve">. </w:t>
      </w:r>
      <w:r w:rsidR="00E94316" w:rsidRPr="00C13F90">
        <w:rPr>
          <w:iCs/>
        </w:rPr>
        <w:t>If the</w:t>
      </w:r>
      <w:r w:rsidR="00C22DAF" w:rsidRPr="00C13F90">
        <w:rPr>
          <w:iCs/>
        </w:rPr>
        <w:t xml:space="preserve"> actual</w:t>
      </w:r>
      <w:r w:rsidR="002B2341" w:rsidRPr="00C13F90">
        <w:rPr>
          <w:iCs/>
        </w:rPr>
        <w:t xml:space="preserve"> mean</w:t>
      </w:r>
      <w:r w:rsidR="00C22DAF" w:rsidRPr="00C13F90">
        <w:rPr>
          <w:iCs/>
        </w:rPr>
        <w:t xml:space="preserve"> (913</w:t>
      </w:r>
      <w:r w:rsidR="009610AA" w:rsidRPr="00C13F90">
        <w:rPr>
          <w:iCs/>
        </w:rPr>
        <w:t> </w:t>
      </w:r>
      <w:r w:rsidR="00C22DAF" w:rsidRPr="00C13F90">
        <w:rPr>
          <w:iCs/>
        </w:rPr>
        <w:t>mg/day)</w:t>
      </w:r>
      <w:r w:rsidR="004A6713" w:rsidRPr="00C13F90">
        <w:rPr>
          <w:iCs/>
        </w:rPr>
        <w:t xml:space="preserve"> or </w:t>
      </w:r>
      <w:r w:rsidR="00E94316" w:rsidRPr="00C13F90">
        <w:rPr>
          <w:iCs/>
        </w:rPr>
        <w:t>median dose</w:t>
      </w:r>
      <w:r w:rsidR="00C22DAF" w:rsidRPr="00C13F90">
        <w:rPr>
          <w:iCs/>
        </w:rPr>
        <w:t xml:space="preserve"> (800</w:t>
      </w:r>
      <w:r w:rsidR="009610AA" w:rsidRPr="00C13F90">
        <w:rPr>
          <w:iCs/>
        </w:rPr>
        <w:t> </w:t>
      </w:r>
      <w:r w:rsidR="00C22DAF" w:rsidRPr="00C13F90">
        <w:rPr>
          <w:iCs/>
        </w:rPr>
        <w:t>mg/day)</w:t>
      </w:r>
      <w:r w:rsidR="005162AB" w:rsidRPr="00C13F90">
        <w:rPr>
          <w:iCs/>
        </w:rPr>
        <w:t xml:space="preserve"> was</w:t>
      </w:r>
      <w:r w:rsidR="00895FA9" w:rsidRPr="00C13F90">
        <w:rPr>
          <w:iCs/>
        </w:rPr>
        <w:t xml:space="preserve"> used for the cost</w:t>
      </w:r>
      <w:r w:rsidR="00E71F9F" w:rsidRPr="00C13F90">
        <w:rPr>
          <w:iCs/>
        </w:rPr>
        <w:t>-</w:t>
      </w:r>
      <w:r w:rsidR="00895FA9" w:rsidRPr="00C13F90">
        <w:rPr>
          <w:iCs/>
        </w:rPr>
        <w:t>minimisation</w:t>
      </w:r>
      <w:r w:rsidR="00E71F9F" w:rsidRPr="00C13F90">
        <w:rPr>
          <w:iCs/>
        </w:rPr>
        <w:t xml:space="preserve"> analysis</w:t>
      </w:r>
      <w:r w:rsidR="00E94316" w:rsidRPr="00C13F90">
        <w:rPr>
          <w:iCs/>
        </w:rPr>
        <w:t>, the</w:t>
      </w:r>
      <w:r w:rsidR="00AD514C" w:rsidRPr="00C13F90">
        <w:rPr>
          <w:iCs/>
        </w:rPr>
        <w:t xml:space="preserve"> price for opicapone is lower</w:t>
      </w:r>
      <w:r w:rsidR="00C22DAF" w:rsidRPr="00C13F90">
        <w:rPr>
          <w:iCs/>
        </w:rPr>
        <w:t xml:space="preserve"> than that requested in the submission</w:t>
      </w:r>
      <w:r w:rsidR="00AD514C" w:rsidRPr="00C13F90">
        <w:rPr>
          <w:iCs/>
        </w:rPr>
        <w:t xml:space="preserve">. </w:t>
      </w:r>
    </w:p>
    <w:p w:rsidR="001E2F24" w:rsidRPr="00C13F90" w:rsidRDefault="00BC591F" w:rsidP="00E33ECA">
      <w:pPr>
        <w:pStyle w:val="3-BodyText"/>
      </w:pPr>
      <w:r w:rsidRPr="00C13F90">
        <w:rPr>
          <w:color w:val="3366FF"/>
        </w:rPr>
        <w:t xml:space="preserve"> </w:t>
      </w:r>
      <w:r w:rsidR="00ED7A07" w:rsidRPr="00C13F90">
        <w:t>A sensitivity analysis</w:t>
      </w:r>
      <w:r w:rsidR="00D51DEF" w:rsidRPr="00C13F90">
        <w:t xml:space="preserve"> of </w:t>
      </w:r>
      <w:r w:rsidR="00E71F9F" w:rsidRPr="00C13F90">
        <w:t xml:space="preserve">the </w:t>
      </w:r>
      <w:r w:rsidR="00D51DEF" w:rsidRPr="00C13F90">
        <w:t>cost</w:t>
      </w:r>
      <w:r w:rsidR="00E71F9F" w:rsidRPr="00C13F90">
        <w:t>-</w:t>
      </w:r>
      <w:r w:rsidR="00D51DEF" w:rsidRPr="00C13F90">
        <w:t>minimisation</w:t>
      </w:r>
      <w:r w:rsidR="00E71F9F" w:rsidRPr="00C13F90">
        <w:t xml:space="preserve"> analysis</w:t>
      </w:r>
      <w:r w:rsidR="00895FA9" w:rsidRPr="00C13F90">
        <w:t xml:space="preserve"> based on </w:t>
      </w:r>
      <w:r w:rsidR="00D51DEF" w:rsidRPr="00C13F90">
        <w:t xml:space="preserve">median entacapone doses </w:t>
      </w:r>
      <w:r w:rsidR="00895FA9" w:rsidRPr="00C13F90">
        <w:t xml:space="preserve">(compared to be base case) </w:t>
      </w:r>
      <w:r w:rsidR="00D51DEF" w:rsidRPr="00C13F90">
        <w:t>in the clinical trials</w:t>
      </w:r>
      <w:r w:rsidR="00E71F9F" w:rsidRPr="00C13F90">
        <w:t>,</w:t>
      </w:r>
      <w:r w:rsidR="00D51DEF" w:rsidRPr="00C13F90">
        <w:t xml:space="preserve"> is presented in the table below.</w:t>
      </w:r>
    </w:p>
    <w:p w:rsidR="00C6072A" w:rsidRPr="00C13F90" w:rsidRDefault="00C6072A" w:rsidP="00C6072A">
      <w:r w:rsidRPr="00C13F90">
        <w:rPr>
          <w:rStyle w:val="CommentReference"/>
          <w:szCs w:val="24"/>
        </w:rPr>
        <w:t xml:space="preserve">Table 7: Base case </w:t>
      </w:r>
      <w:r w:rsidR="006B0E08">
        <w:rPr>
          <w:rStyle w:val="CommentReference"/>
          <w:szCs w:val="24"/>
        </w:rPr>
        <w:t>cost-minimisation</w:t>
      </w:r>
      <w:r w:rsidRPr="00C13F90">
        <w:rPr>
          <w:rStyle w:val="CommentReference"/>
          <w:szCs w:val="24"/>
        </w:rPr>
        <w:t xml:space="preserve"> and sensitivity analysis based on median entacapone dose</w:t>
      </w:r>
    </w:p>
    <w:tbl>
      <w:tblPr>
        <w:tblStyle w:val="TableGrid"/>
        <w:tblW w:w="5000" w:type="pct"/>
        <w:tblLook w:val="04A0" w:firstRow="1" w:lastRow="0" w:firstColumn="1" w:lastColumn="0" w:noHBand="0" w:noVBand="1"/>
        <w:tblCaption w:val="Table 7: Base case cost-minimisation and sensitivity analysis based on median entacapone dose"/>
      </w:tblPr>
      <w:tblGrid>
        <w:gridCol w:w="3539"/>
        <w:gridCol w:w="2694"/>
        <w:gridCol w:w="2784"/>
      </w:tblGrid>
      <w:tr w:rsidR="00C22DAF" w:rsidRPr="00C13F90" w:rsidTr="006F5906">
        <w:trPr>
          <w:tblHeader/>
        </w:trPr>
        <w:tc>
          <w:tcPr>
            <w:tcW w:w="1962"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p>
        </w:tc>
        <w:tc>
          <w:tcPr>
            <w:tcW w:w="1494" w:type="pct"/>
            <w:vAlign w:val="center"/>
          </w:tcPr>
          <w:p w:rsidR="00C22DAF" w:rsidRPr="00C13F90" w:rsidRDefault="00C22DAF" w:rsidP="00C6072A">
            <w:pPr>
              <w:pStyle w:val="3-BodyText"/>
              <w:numPr>
                <w:ilvl w:val="0"/>
                <w:numId w:val="0"/>
              </w:numPr>
              <w:spacing w:after="0"/>
              <w:jc w:val="center"/>
              <w:rPr>
                <w:rFonts w:ascii="Arial Narrow" w:hAnsi="Arial Narrow"/>
                <w:b/>
                <w:sz w:val="20"/>
                <w:szCs w:val="20"/>
              </w:rPr>
            </w:pPr>
            <w:r w:rsidRPr="00C13F90">
              <w:rPr>
                <w:rFonts w:ascii="Arial Narrow" w:hAnsi="Arial Narrow"/>
                <w:b/>
                <w:sz w:val="20"/>
                <w:szCs w:val="20"/>
              </w:rPr>
              <w:t>Entacapone 1,000mg daily [base case]</w:t>
            </w:r>
          </w:p>
        </w:tc>
        <w:tc>
          <w:tcPr>
            <w:tcW w:w="1544" w:type="pct"/>
            <w:vAlign w:val="center"/>
          </w:tcPr>
          <w:p w:rsidR="00C22DAF" w:rsidRPr="00C13F90" w:rsidRDefault="00C22DAF" w:rsidP="00C6072A">
            <w:pPr>
              <w:pStyle w:val="3-BodyText"/>
              <w:numPr>
                <w:ilvl w:val="0"/>
                <w:numId w:val="0"/>
              </w:numPr>
              <w:spacing w:after="0"/>
              <w:jc w:val="center"/>
              <w:rPr>
                <w:rFonts w:ascii="Arial Narrow" w:hAnsi="Arial Narrow"/>
                <w:b/>
                <w:sz w:val="20"/>
                <w:szCs w:val="20"/>
              </w:rPr>
            </w:pPr>
            <w:r w:rsidRPr="00C13F90">
              <w:rPr>
                <w:rFonts w:ascii="Arial Narrow" w:hAnsi="Arial Narrow"/>
                <w:b/>
                <w:sz w:val="20"/>
                <w:szCs w:val="20"/>
              </w:rPr>
              <w:t>Entacapone 800mg daily [median dose]</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AEMP of entacapone</w:t>
            </w:r>
            <w:r w:rsidR="009610AA" w:rsidRPr="00C13F90">
              <w:rPr>
                <w:rFonts w:ascii="Arial Narrow" w:hAnsi="Arial Narrow"/>
                <w:sz w:val="20"/>
                <w:szCs w:val="20"/>
              </w:rPr>
              <w:t xml:space="preserve"> 200 mg, 200 tablets</w:t>
            </w:r>
          </w:p>
        </w:tc>
        <w:tc>
          <w:tcPr>
            <w:tcW w:w="149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$194.46</w:t>
            </w:r>
          </w:p>
        </w:tc>
        <w:tc>
          <w:tcPr>
            <w:tcW w:w="154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$194.46</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Days of therapy provided per prescription</w:t>
            </w:r>
          </w:p>
        </w:tc>
        <w:tc>
          <w:tcPr>
            <w:tcW w:w="149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40</w:t>
            </w:r>
          </w:p>
        </w:tc>
        <w:tc>
          <w:tcPr>
            <w:tcW w:w="154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50</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caps/>
                <w:sz w:val="20"/>
                <w:szCs w:val="20"/>
              </w:rPr>
            </w:pPr>
            <w:r w:rsidRPr="00C13F90">
              <w:rPr>
                <w:rFonts w:ascii="Arial Narrow" w:hAnsi="Arial Narrow"/>
                <w:sz w:val="20"/>
                <w:szCs w:val="20"/>
              </w:rPr>
              <w:t>Entacapone cost per day (</w:t>
            </w:r>
            <w:r w:rsidRPr="00C13F90">
              <w:rPr>
                <w:rFonts w:ascii="Arial Narrow" w:hAnsi="Arial Narrow"/>
                <w:caps/>
                <w:sz w:val="20"/>
                <w:szCs w:val="20"/>
              </w:rPr>
              <w:t>AEMP)</w:t>
            </w:r>
          </w:p>
        </w:tc>
        <w:tc>
          <w:tcPr>
            <w:tcW w:w="149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$4.84</w:t>
            </w:r>
          </w:p>
        </w:tc>
        <w:tc>
          <w:tcPr>
            <w:tcW w:w="1544" w:type="pct"/>
            <w:vAlign w:val="center"/>
          </w:tcPr>
          <w:p w:rsidR="00C22DAF" w:rsidRPr="00C13F90" w:rsidRDefault="00C22DAF" w:rsidP="00C6072A">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$3.89</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Entacapone prescriptions per year</w:t>
            </w:r>
          </w:p>
        </w:tc>
        <w:tc>
          <w:tcPr>
            <w:tcW w:w="149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9.13</w:t>
            </w:r>
          </w:p>
        </w:tc>
        <w:tc>
          <w:tcPr>
            <w:tcW w:w="154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7.31</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vertAlign w:val="superscript"/>
              </w:rPr>
            </w:pPr>
            <w:r w:rsidRPr="00C13F90">
              <w:rPr>
                <w:rFonts w:ascii="Arial Narrow" w:hAnsi="Arial Narrow"/>
                <w:sz w:val="20"/>
                <w:szCs w:val="20"/>
              </w:rPr>
              <w:t>Annual entacapone AEMP cost</w:t>
            </w:r>
            <w:r w:rsidRPr="00C13F90">
              <w:rPr>
                <w:rFonts w:ascii="Arial Narrow" w:hAnsi="Arial Narrow"/>
                <w:sz w:val="20"/>
                <w:szCs w:val="20"/>
                <w:vertAlign w:val="superscript"/>
              </w:rPr>
              <w:t>a</w:t>
            </w:r>
          </w:p>
        </w:tc>
        <w:tc>
          <w:tcPr>
            <w:tcW w:w="149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$1,775.66</w:t>
            </w:r>
          </w:p>
        </w:tc>
        <w:tc>
          <w:tcPr>
            <w:tcW w:w="154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$1,420.53</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 xml:space="preserve">30 days’ opicapone cost AEMP </w:t>
            </w:r>
          </w:p>
          <w:p w:rsidR="00C22DAF" w:rsidRPr="00C13F90" w:rsidRDefault="00C22DAF" w:rsidP="006A3557">
            <w:pPr>
              <w:pStyle w:val="3-BodyText"/>
              <w:numPr>
                <w:ilvl w:val="0"/>
                <w:numId w:val="0"/>
              </w:numPr>
              <w:spacing w:after="0"/>
              <w:jc w:val="left"/>
              <w:rPr>
                <w:rFonts w:ascii="Arial Narrow" w:hAnsi="Arial Narrow"/>
                <w:sz w:val="20"/>
                <w:szCs w:val="20"/>
                <w:vertAlign w:val="superscript"/>
              </w:rPr>
            </w:pPr>
            <w:r w:rsidRPr="00C13F90">
              <w:rPr>
                <w:rFonts w:ascii="Arial Narrow" w:hAnsi="Arial Narrow"/>
                <w:sz w:val="20"/>
                <w:szCs w:val="20"/>
              </w:rPr>
              <w:t>[1 pack]</w:t>
            </w:r>
          </w:p>
        </w:tc>
        <w:tc>
          <w:tcPr>
            <w:tcW w:w="149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$145.85</w:t>
            </w:r>
          </w:p>
        </w:tc>
        <w:tc>
          <w:tcPr>
            <w:tcW w:w="154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$116.68</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Annual opicapone cost [AEMP]</w:t>
            </w:r>
          </w:p>
        </w:tc>
        <w:tc>
          <w:tcPr>
            <w:tcW w:w="149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$1,775.72</w:t>
            </w:r>
          </w:p>
        </w:tc>
        <w:tc>
          <w:tcPr>
            <w:tcW w:w="154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$1,420.58</w:t>
            </w:r>
          </w:p>
        </w:tc>
      </w:tr>
      <w:tr w:rsidR="00C22DAF" w:rsidRPr="00C13F90" w:rsidTr="006A3557">
        <w:tc>
          <w:tcPr>
            <w:tcW w:w="1962" w:type="pct"/>
            <w:vAlign w:val="center"/>
          </w:tcPr>
          <w:p w:rsidR="00C22DAF" w:rsidRPr="00C13F90" w:rsidRDefault="00C22DAF" w:rsidP="006A3557">
            <w:pPr>
              <w:pStyle w:val="3-BodyText"/>
              <w:numPr>
                <w:ilvl w:val="0"/>
                <w:numId w:val="0"/>
              </w:numPr>
              <w:spacing w:after="0"/>
              <w:jc w:val="left"/>
              <w:rPr>
                <w:rFonts w:ascii="Arial Narrow" w:hAnsi="Arial Narrow"/>
                <w:sz w:val="20"/>
                <w:szCs w:val="20"/>
              </w:rPr>
            </w:pPr>
            <w:r w:rsidRPr="00C13F90">
              <w:rPr>
                <w:rFonts w:ascii="Arial Narrow" w:hAnsi="Arial Narrow"/>
                <w:sz w:val="20"/>
                <w:szCs w:val="20"/>
              </w:rPr>
              <w:t>Opicapone DPMQ</w:t>
            </w:r>
          </w:p>
        </w:tc>
        <w:tc>
          <w:tcPr>
            <w:tcW w:w="149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$171.68</w:t>
            </w:r>
          </w:p>
        </w:tc>
        <w:tc>
          <w:tcPr>
            <w:tcW w:w="1544" w:type="pct"/>
            <w:vAlign w:val="center"/>
          </w:tcPr>
          <w:p w:rsidR="00C22DAF" w:rsidRPr="00C13F90" w:rsidRDefault="00C22DAF" w:rsidP="00AE7FFB">
            <w:pPr>
              <w:pStyle w:val="3-BodyText"/>
              <w:numPr>
                <w:ilvl w:val="0"/>
                <w:numId w:val="0"/>
              </w:numPr>
              <w:spacing w:after="0"/>
              <w:jc w:val="center"/>
              <w:rPr>
                <w:rFonts w:ascii="Arial Narrow" w:hAnsi="Arial Narrow"/>
                <w:sz w:val="20"/>
                <w:szCs w:val="20"/>
              </w:rPr>
            </w:pPr>
            <w:r w:rsidRPr="00C13F90">
              <w:rPr>
                <w:rFonts w:ascii="Arial Narrow" w:hAnsi="Arial Narrow"/>
                <w:sz w:val="20"/>
                <w:szCs w:val="20"/>
              </w:rPr>
              <w:t>$138.74</w:t>
            </w:r>
          </w:p>
        </w:tc>
      </w:tr>
    </w:tbl>
    <w:p w:rsidR="00ED7A07" w:rsidRPr="00C13F90" w:rsidRDefault="00412260" w:rsidP="00C6072A">
      <w:pPr>
        <w:pStyle w:val="3-BodyText"/>
        <w:numPr>
          <w:ilvl w:val="0"/>
          <w:numId w:val="0"/>
        </w:numPr>
        <w:spacing w:after="0"/>
        <w:rPr>
          <w:rFonts w:ascii="Arial Narrow" w:hAnsi="Arial Narrow"/>
          <w:sz w:val="20"/>
          <w:szCs w:val="20"/>
        </w:rPr>
      </w:pPr>
      <w:r w:rsidRPr="00C13F90">
        <w:rPr>
          <w:rFonts w:ascii="Arial Narrow" w:hAnsi="Arial Narrow"/>
          <w:sz w:val="20"/>
          <w:szCs w:val="20"/>
        </w:rPr>
        <w:t>Source: Base case – Table 3.3</w:t>
      </w:r>
      <w:r w:rsidR="0033502E">
        <w:rPr>
          <w:rFonts w:ascii="Arial Narrow" w:hAnsi="Arial Narrow"/>
          <w:sz w:val="20"/>
          <w:szCs w:val="20"/>
        </w:rPr>
        <w:t xml:space="preserve"> </w:t>
      </w:r>
      <w:r w:rsidRPr="00C13F90">
        <w:rPr>
          <w:rFonts w:ascii="Arial Narrow" w:hAnsi="Arial Narrow"/>
          <w:sz w:val="20"/>
          <w:szCs w:val="20"/>
        </w:rPr>
        <w:t>of the</w:t>
      </w:r>
      <w:r w:rsidR="00FE16AE" w:rsidRPr="00C13F90">
        <w:rPr>
          <w:rFonts w:ascii="Arial Narrow" w:hAnsi="Arial Narrow"/>
          <w:sz w:val="20"/>
          <w:szCs w:val="20"/>
        </w:rPr>
        <w:t xml:space="preserve"> submission. Sensitivity analysi</w:t>
      </w:r>
      <w:r w:rsidRPr="00C13F90">
        <w:rPr>
          <w:rFonts w:ascii="Arial Narrow" w:hAnsi="Arial Narrow"/>
          <w:sz w:val="20"/>
          <w:szCs w:val="20"/>
        </w:rPr>
        <w:t>s calculated during the evaluation</w:t>
      </w:r>
    </w:p>
    <w:p w:rsidR="00412260" w:rsidRPr="00C13F90" w:rsidRDefault="00412260" w:rsidP="00895FA9">
      <w:pPr>
        <w:pStyle w:val="3-BodyText"/>
        <w:numPr>
          <w:ilvl w:val="0"/>
          <w:numId w:val="0"/>
        </w:numPr>
        <w:rPr>
          <w:rFonts w:ascii="Arial Narrow" w:hAnsi="Arial Narrow"/>
          <w:sz w:val="20"/>
          <w:szCs w:val="20"/>
        </w:rPr>
      </w:pPr>
      <w:r w:rsidRPr="00C13F90">
        <w:rPr>
          <w:rFonts w:ascii="Arial Narrow" w:hAnsi="Arial Narrow"/>
          <w:sz w:val="20"/>
          <w:szCs w:val="20"/>
          <w:vertAlign w:val="superscript"/>
        </w:rPr>
        <w:t>a</w:t>
      </w:r>
      <w:r w:rsidR="00801EF0" w:rsidRPr="00C13F90">
        <w:rPr>
          <w:rFonts w:ascii="Arial Narrow" w:hAnsi="Arial Narrow"/>
          <w:sz w:val="20"/>
          <w:szCs w:val="20"/>
        </w:rPr>
        <w:t>Assumes 365.25 days</w:t>
      </w:r>
    </w:p>
    <w:p w:rsidR="00CC7637" w:rsidRPr="00C13F90" w:rsidRDefault="008E1FDB" w:rsidP="008E1FDB">
      <w:pPr>
        <w:pStyle w:val="3-BodyText"/>
      </w:pPr>
      <w:r w:rsidRPr="00C13F90">
        <w:t xml:space="preserve">The Pre-Sub-Committee Response (PSCR) argued that the proposed equi-effective doses were reasonable on the basis that the </w:t>
      </w:r>
      <w:r w:rsidR="0023733B" w:rsidRPr="00C13F90">
        <w:t xml:space="preserve">(i) </w:t>
      </w:r>
      <w:r w:rsidRPr="00C13F90">
        <w:t>World Health Organization (WHO) defined daily dose of entacapone was 1,000</w:t>
      </w:r>
      <w:r w:rsidR="006B0E08" w:rsidRPr="00C13F90">
        <w:t> </w:t>
      </w:r>
      <w:r w:rsidRPr="00C13F90">
        <w:t>mg daily</w:t>
      </w:r>
      <w:r w:rsidR="0023733B" w:rsidRPr="00C13F90">
        <w:t>, (ii)</w:t>
      </w:r>
      <w:r w:rsidRPr="00C13F90">
        <w:t xml:space="preserve"> studies which have showed 20% of patients have required doses greater than 800</w:t>
      </w:r>
      <w:r w:rsidR="006B0E08" w:rsidRPr="00C13F90">
        <w:t> </w:t>
      </w:r>
      <w:r w:rsidRPr="00C13F90">
        <w:t>mg within 12 months of commencing levodopa (Bodel et al 2012</w:t>
      </w:r>
      <w:r w:rsidRPr="00C13F90">
        <w:rPr>
          <w:rStyle w:val="FootnoteReference"/>
        </w:rPr>
        <w:footnoteReference w:id="1"/>
      </w:r>
      <w:r w:rsidRPr="00C13F90">
        <w:t>) and</w:t>
      </w:r>
      <w:r w:rsidR="0023733B" w:rsidRPr="00C13F90">
        <w:t>, (iii)</w:t>
      </w:r>
      <w:r w:rsidRPr="00C13F90">
        <w:t xml:space="preserve"> patients with advanced disease will require doses in excess of 2,000</w:t>
      </w:r>
      <w:r w:rsidR="006B0E08" w:rsidRPr="00C13F90">
        <w:t> </w:t>
      </w:r>
      <w:r w:rsidRPr="00C13F90">
        <w:t>mg of entacapone per day (Zadikoff et al 2020</w:t>
      </w:r>
      <w:r w:rsidRPr="00C13F90">
        <w:rPr>
          <w:rStyle w:val="FootnoteReference"/>
        </w:rPr>
        <w:footnoteReference w:id="2"/>
      </w:r>
      <w:r w:rsidRPr="00C13F90">
        <w:t>). The ESC agreed with the commentary and considered that equi-effective doses based on either the median or an adjusted mean daily dose, excluding the outlier dose of 7,069</w:t>
      </w:r>
      <w:r w:rsidR="006B0E08" w:rsidRPr="00C13F90">
        <w:t> </w:t>
      </w:r>
      <w:r w:rsidRPr="00C13F90">
        <w:t xml:space="preserve">mg, were the most reasonable bases upon which to determine the equi-effective doses of opicapone and entacapone. </w:t>
      </w:r>
    </w:p>
    <w:p w:rsidR="00F27EA4" w:rsidRPr="00C13F90" w:rsidRDefault="00F27EA4" w:rsidP="008E1FDB">
      <w:pPr>
        <w:pStyle w:val="3-BodyText"/>
      </w:pPr>
      <w:r w:rsidRPr="00C13F90">
        <w:t xml:space="preserve">In its Pre-PBAC Response, the Sponsor advised the mean dose of entacapone in the pivotal trial when the outlier dose was removed </w:t>
      </w:r>
      <w:r w:rsidR="00B802CC" w:rsidRPr="00C13F90">
        <w:t>was 856</w:t>
      </w:r>
      <w:r w:rsidR="006B0E08" w:rsidRPr="00C13F90">
        <w:t> </w:t>
      </w:r>
      <w:r w:rsidR="00B802CC" w:rsidRPr="00C13F90">
        <w:t>mg per day. Using equi</w:t>
      </w:r>
      <w:r w:rsidR="00312E4A" w:rsidRPr="00C13F90">
        <w:t>-effective doses based on the mean doses of both opicapone an</w:t>
      </w:r>
      <w:r w:rsidR="005162AB" w:rsidRPr="00C13F90">
        <w:t>d outlier-adjusted entacapone, defined as</w:t>
      </w:r>
      <w:r w:rsidR="00312E4A" w:rsidRPr="00C13F90">
        <w:t xml:space="preserve"> opicapone 49.2</w:t>
      </w:r>
      <w:r w:rsidR="006B0E08" w:rsidRPr="00C13F90">
        <w:t> </w:t>
      </w:r>
      <w:r w:rsidR="00B802CC" w:rsidRPr="00C13F90">
        <w:t>mg daily = entacapone 856</w:t>
      </w:r>
      <w:r w:rsidR="006B0E08" w:rsidRPr="00C13F90">
        <w:t> </w:t>
      </w:r>
      <w:r w:rsidR="00B802CC" w:rsidRPr="00C13F90">
        <w:t>mg daily</w:t>
      </w:r>
      <w:r w:rsidR="00312E4A" w:rsidRPr="00C13F90">
        <w:t xml:space="preserve">, the Pre-PBAC Response proposed a </w:t>
      </w:r>
      <w:r w:rsidR="006B0E08" w:rsidRPr="00C13F90">
        <w:t>cost</w:t>
      </w:r>
      <w:r w:rsidR="006B0E08">
        <w:t>-</w:t>
      </w:r>
      <w:r w:rsidR="00312E4A" w:rsidRPr="00C13F90">
        <w:t>minimised AEMP for opicapone of $126.87.</w:t>
      </w:r>
      <w:r w:rsidR="005162AB" w:rsidRPr="00C13F90">
        <w:t xml:space="preserve"> The PBAC considered the revised equi-effective doses were reasonable.</w:t>
      </w:r>
    </w:p>
    <w:p w:rsidR="00C25D9C" w:rsidRPr="00C13F90" w:rsidRDefault="00D23AAA" w:rsidP="00BB732D">
      <w:pPr>
        <w:pStyle w:val="4-SubsectionHeading"/>
      </w:pPr>
      <w:bookmarkStart w:id="19" w:name="_Toc22897646"/>
      <w:bookmarkStart w:id="20" w:name="_Toc72312449"/>
      <w:r w:rsidRPr="00C13F90">
        <w:t xml:space="preserve">Drug </w:t>
      </w:r>
      <w:r w:rsidR="00C25D9C" w:rsidRPr="00C13F90">
        <w:t>cost/patient/yea</w:t>
      </w:r>
      <w:r w:rsidR="000F7C6E" w:rsidRPr="00C13F90">
        <w:t>r</w:t>
      </w:r>
      <w:bookmarkEnd w:id="19"/>
      <w:r w:rsidR="00C6072A" w:rsidRPr="00C13F90">
        <w:t xml:space="preserve">: </w:t>
      </w:r>
      <w:r w:rsidR="00AE7FFB" w:rsidRPr="00C13F90">
        <w:t>$</w:t>
      </w:r>
      <w:bookmarkEnd w:id="20"/>
      <w:r w:rsidR="00084426">
        <w:t>1,830.05</w:t>
      </w:r>
    </w:p>
    <w:p w:rsidR="00AE7FFB" w:rsidRPr="00C13F90" w:rsidRDefault="00CD16ED" w:rsidP="005A4EAA">
      <w:pPr>
        <w:pStyle w:val="3-BodyText"/>
      </w:pPr>
      <w:r w:rsidRPr="00C13F90">
        <w:t xml:space="preserve">The </w:t>
      </w:r>
      <w:r w:rsidR="006B0E08" w:rsidRPr="00C13F90">
        <w:t>cost</w:t>
      </w:r>
      <w:r w:rsidR="006B0E08">
        <w:t>-</w:t>
      </w:r>
      <w:r w:rsidRPr="00C13F90">
        <w:t>minimisation analysis was undertaken using the daily equi-effective doses noted in paragraph 6.</w:t>
      </w:r>
      <w:r w:rsidR="00084426">
        <w:t>20</w:t>
      </w:r>
      <w:r w:rsidRPr="00C13F90">
        <w:t xml:space="preserve"> above, on a cost-per-day basis for drug costs only</w:t>
      </w:r>
      <w:r w:rsidR="00AE7FFB" w:rsidRPr="00C13F90">
        <w:t xml:space="preserve">, based on </w:t>
      </w:r>
      <w:r w:rsidR="00084426">
        <w:t>the cost minimised</w:t>
      </w:r>
      <w:r w:rsidR="00AE7FFB" w:rsidRPr="00C13F90">
        <w:t xml:space="preserve"> DPMQ of opicapone</w:t>
      </w:r>
      <w:r w:rsidR="00084426">
        <w:t xml:space="preserve"> proposed in the Pre-PBAC Response ($150.25)</w:t>
      </w:r>
      <w:r w:rsidR="00AE7FFB" w:rsidRPr="00C13F90">
        <w:t xml:space="preserve"> and 12.18 prescriptions (365.25/30) per year.</w:t>
      </w:r>
    </w:p>
    <w:p w:rsidR="00CD16ED" w:rsidRPr="00C13F90" w:rsidRDefault="00CD16ED" w:rsidP="00BB732D">
      <w:pPr>
        <w:pStyle w:val="TableFigureHeading"/>
        <w:rPr>
          <w:rStyle w:val="CommentReference"/>
          <w:b/>
          <w:szCs w:val="24"/>
        </w:rPr>
      </w:pPr>
    </w:p>
    <w:p w:rsidR="00B60939" w:rsidRPr="00C13F90" w:rsidRDefault="00B60939" w:rsidP="002B05A1">
      <w:pPr>
        <w:pStyle w:val="4-SubsectionHeading"/>
      </w:pPr>
      <w:bookmarkStart w:id="21" w:name="_Toc22897647"/>
      <w:bookmarkStart w:id="22" w:name="_Toc72312450"/>
      <w:r w:rsidRPr="00C13F90">
        <w:t>Estimated PBS usage &amp; financial implications</w:t>
      </w:r>
      <w:bookmarkEnd w:id="21"/>
      <w:bookmarkEnd w:id="22"/>
    </w:p>
    <w:p w:rsidR="00BF137B" w:rsidRPr="00C13F90" w:rsidRDefault="00C25D9C" w:rsidP="002B05A1">
      <w:pPr>
        <w:pStyle w:val="3-BodyText"/>
        <w:rPr>
          <w:color w:val="0066FF"/>
        </w:rPr>
      </w:pPr>
      <w:r w:rsidRPr="00C13F90">
        <w:t xml:space="preserve">This submission </w:t>
      </w:r>
      <w:r w:rsidR="00730F2F" w:rsidRPr="00C13F90">
        <w:t>was not</w:t>
      </w:r>
      <w:r w:rsidR="00D23D11" w:rsidRPr="00C13F90">
        <w:t xml:space="preserve"> </w:t>
      </w:r>
      <w:r w:rsidRPr="00C13F90">
        <w:t>considered by DUSC</w:t>
      </w:r>
      <w:r w:rsidRPr="00C13F90">
        <w:rPr>
          <w:color w:val="0070C0"/>
        </w:rPr>
        <w:t>.</w:t>
      </w:r>
      <w:r w:rsidR="00BC591F" w:rsidRPr="00C13F90">
        <w:rPr>
          <w:color w:val="0070C0"/>
        </w:rPr>
        <w:t xml:space="preserve"> </w:t>
      </w:r>
    </w:p>
    <w:p w:rsidR="000F7C6E" w:rsidRPr="00C13F90" w:rsidRDefault="000F7C6E" w:rsidP="00E71F9F">
      <w:pPr>
        <w:pStyle w:val="3-BodyText"/>
        <w:rPr>
          <w:color w:val="0070C0"/>
        </w:rPr>
      </w:pPr>
      <w:r w:rsidRPr="00C13F90">
        <w:t xml:space="preserve">The submission presented a </w:t>
      </w:r>
      <w:r w:rsidR="006B0E08" w:rsidRPr="00C13F90">
        <w:t>market</w:t>
      </w:r>
      <w:r w:rsidR="006B0E08">
        <w:t>-</w:t>
      </w:r>
      <w:r w:rsidRPr="00C13F90">
        <w:t>share approach, based on the current prescription data for entac</w:t>
      </w:r>
      <w:r w:rsidR="00953451" w:rsidRPr="00C13F90">
        <w:t>a</w:t>
      </w:r>
      <w:r w:rsidRPr="00C13F90">
        <w:t>pone alone. The submission did not include any consideration of the FDC market size.</w:t>
      </w:r>
      <w:r w:rsidR="004D329C" w:rsidRPr="00C13F90">
        <w:t xml:space="preserve"> The key inputs used in the financial estimates are summarised below.</w:t>
      </w:r>
    </w:p>
    <w:p w:rsidR="004D329C" w:rsidRPr="00C13F90" w:rsidRDefault="00E42F73" w:rsidP="004D329C">
      <w:pPr>
        <w:pStyle w:val="TableFigureHeading"/>
        <w:rPr>
          <w:rStyle w:val="CommentReference"/>
          <w:b/>
          <w:szCs w:val="24"/>
        </w:rPr>
      </w:pPr>
      <w:r w:rsidRPr="00C13F90">
        <w:rPr>
          <w:rStyle w:val="CommentReference"/>
          <w:b/>
          <w:szCs w:val="24"/>
        </w:rPr>
        <w:t xml:space="preserve">Table </w:t>
      </w:r>
      <w:r w:rsidR="004D329C" w:rsidRPr="00C13F90">
        <w:rPr>
          <w:rStyle w:val="CommentReference"/>
          <w:b/>
          <w:szCs w:val="24"/>
        </w:rPr>
        <w:t>8</w:t>
      </w:r>
      <w:r w:rsidRPr="00C13F90">
        <w:rPr>
          <w:rStyle w:val="CommentReference"/>
          <w:b/>
          <w:szCs w:val="24"/>
        </w:rPr>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3"/>
        <w:gridCol w:w="2693"/>
        <w:gridCol w:w="2239"/>
      </w:tblGrid>
      <w:tr w:rsidR="004D329C" w:rsidRPr="00C13F90" w:rsidTr="006A3557">
        <w:trPr>
          <w:tblHeader/>
        </w:trPr>
        <w:tc>
          <w:tcPr>
            <w:tcW w:w="2405" w:type="dxa"/>
            <w:vAlign w:val="center"/>
          </w:tcPr>
          <w:p w:rsidR="004D329C" w:rsidRPr="00C13F90" w:rsidRDefault="004D329C" w:rsidP="004D329C">
            <w:pPr>
              <w:pStyle w:val="In-tableHeading"/>
              <w:jc w:val="center"/>
              <w:rPr>
                <w:lang w:val="en-AU"/>
              </w:rPr>
            </w:pPr>
            <w:r w:rsidRPr="00C13F90">
              <w:rPr>
                <w:lang w:val="en-AU"/>
              </w:rPr>
              <w:t>Data</w:t>
            </w:r>
          </w:p>
        </w:tc>
        <w:tc>
          <w:tcPr>
            <w:tcW w:w="1843" w:type="dxa"/>
            <w:vAlign w:val="center"/>
          </w:tcPr>
          <w:p w:rsidR="004D329C" w:rsidRPr="00C13F90" w:rsidRDefault="004D329C" w:rsidP="004D329C">
            <w:pPr>
              <w:pStyle w:val="In-tableHeading"/>
              <w:jc w:val="center"/>
              <w:rPr>
                <w:lang w:val="en-AU"/>
              </w:rPr>
            </w:pPr>
            <w:r w:rsidRPr="00C13F90">
              <w:rPr>
                <w:lang w:val="en-AU"/>
              </w:rPr>
              <w:t>Value</w:t>
            </w:r>
          </w:p>
        </w:tc>
        <w:tc>
          <w:tcPr>
            <w:tcW w:w="2693" w:type="dxa"/>
            <w:vAlign w:val="center"/>
          </w:tcPr>
          <w:p w:rsidR="004D329C" w:rsidRPr="00C13F90" w:rsidRDefault="004D329C" w:rsidP="004D329C">
            <w:pPr>
              <w:pStyle w:val="In-tableHeading"/>
              <w:jc w:val="center"/>
              <w:rPr>
                <w:lang w:val="en-AU"/>
              </w:rPr>
            </w:pPr>
            <w:r w:rsidRPr="00C13F90">
              <w:rPr>
                <w:lang w:val="en-AU"/>
              </w:rPr>
              <w:t>Source</w:t>
            </w:r>
          </w:p>
        </w:tc>
        <w:tc>
          <w:tcPr>
            <w:tcW w:w="2239" w:type="dxa"/>
            <w:vAlign w:val="center"/>
          </w:tcPr>
          <w:p w:rsidR="004D329C" w:rsidRPr="00C13F90" w:rsidRDefault="004D329C" w:rsidP="004D329C">
            <w:pPr>
              <w:pStyle w:val="In-tableHeading"/>
              <w:jc w:val="center"/>
              <w:rPr>
                <w:lang w:val="en-AU"/>
              </w:rPr>
            </w:pPr>
            <w:r w:rsidRPr="00C13F90">
              <w:rPr>
                <w:lang w:val="en-AU"/>
              </w:rPr>
              <w:t>Comment</w:t>
            </w:r>
          </w:p>
        </w:tc>
      </w:tr>
      <w:tr w:rsidR="004D329C" w:rsidRPr="00C13F90" w:rsidTr="004D329C">
        <w:tc>
          <w:tcPr>
            <w:tcW w:w="9180" w:type="dxa"/>
            <w:gridSpan w:val="4"/>
            <w:vAlign w:val="center"/>
          </w:tcPr>
          <w:p w:rsidR="004D329C" w:rsidRPr="00C13F90" w:rsidRDefault="004D329C" w:rsidP="004D329C">
            <w:pPr>
              <w:pStyle w:val="TableText0"/>
              <w:rPr>
                <w:b/>
              </w:rPr>
            </w:pPr>
            <w:r w:rsidRPr="00C13F90">
              <w:rPr>
                <w:b/>
              </w:rPr>
              <w:t>Treatment utilisation</w:t>
            </w:r>
          </w:p>
        </w:tc>
      </w:tr>
      <w:tr w:rsidR="004D329C" w:rsidRPr="00C13F90" w:rsidTr="006A3557">
        <w:tc>
          <w:tcPr>
            <w:tcW w:w="2405" w:type="dxa"/>
            <w:vAlign w:val="center"/>
          </w:tcPr>
          <w:p w:rsidR="004D329C" w:rsidRPr="00C13F90" w:rsidRDefault="004D329C" w:rsidP="004D329C">
            <w:pPr>
              <w:pStyle w:val="TableText0"/>
            </w:pPr>
            <w:r w:rsidRPr="00C13F90">
              <w:t>Uptake rate</w:t>
            </w:r>
          </w:p>
        </w:tc>
        <w:tc>
          <w:tcPr>
            <w:tcW w:w="1843" w:type="dxa"/>
            <w:vAlign w:val="center"/>
          </w:tcPr>
          <w:p w:rsidR="004D329C" w:rsidRPr="00C13F90" w:rsidRDefault="004D329C" w:rsidP="004D329C">
            <w:pPr>
              <w:pStyle w:val="TableText0"/>
            </w:pPr>
            <w:r w:rsidRPr="00C13F90">
              <w:t>Yr 1: 25%</w:t>
            </w:r>
          </w:p>
          <w:p w:rsidR="004D329C" w:rsidRPr="00C13F90" w:rsidRDefault="004D329C" w:rsidP="004D329C">
            <w:pPr>
              <w:pStyle w:val="TableText0"/>
            </w:pPr>
            <w:r w:rsidRPr="00C13F90">
              <w:t>Yr 2: 30%</w:t>
            </w:r>
          </w:p>
          <w:p w:rsidR="004D329C" w:rsidRPr="00C13F90" w:rsidRDefault="004D329C" w:rsidP="004D329C">
            <w:pPr>
              <w:pStyle w:val="TableText0"/>
            </w:pPr>
            <w:r w:rsidRPr="00C13F90">
              <w:t>Yr 3: 35%</w:t>
            </w:r>
          </w:p>
          <w:p w:rsidR="004D329C" w:rsidRPr="00C13F90" w:rsidRDefault="004D329C" w:rsidP="004D329C">
            <w:pPr>
              <w:pStyle w:val="TableText0"/>
            </w:pPr>
            <w:r w:rsidRPr="00C13F90">
              <w:t>Yr 4: 40%</w:t>
            </w:r>
          </w:p>
          <w:p w:rsidR="004D329C" w:rsidRPr="00C13F90" w:rsidRDefault="004D329C" w:rsidP="004D329C">
            <w:pPr>
              <w:pStyle w:val="TableText0"/>
            </w:pPr>
            <w:r w:rsidRPr="00C13F90">
              <w:t>Yr 5: 45%</w:t>
            </w:r>
          </w:p>
          <w:p w:rsidR="004D329C" w:rsidRPr="00C13F90" w:rsidRDefault="004D329C" w:rsidP="004D329C">
            <w:pPr>
              <w:pStyle w:val="TableText0"/>
            </w:pPr>
            <w:r w:rsidRPr="00C13F90">
              <w:t>Yr 6: 50%</w:t>
            </w:r>
          </w:p>
        </w:tc>
        <w:tc>
          <w:tcPr>
            <w:tcW w:w="2693" w:type="dxa"/>
            <w:vAlign w:val="center"/>
          </w:tcPr>
          <w:p w:rsidR="004D329C" w:rsidRPr="00C13F90" w:rsidRDefault="004D329C" w:rsidP="004D329C">
            <w:pPr>
              <w:pStyle w:val="TableText0"/>
            </w:pPr>
            <w:r w:rsidRPr="00C13F90">
              <w:t>Sponsor assumptions</w:t>
            </w:r>
          </w:p>
        </w:tc>
        <w:tc>
          <w:tcPr>
            <w:tcW w:w="2239" w:type="dxa"/>
            <w:vAlign w:val="center"/>
          </w:tcPr>
          <w:p w:rsidR="004D329C" w:rsidRPr="00C13F90" w:rsidRDefault="004D329C" w:rsidP="004D329C">
            <w:pPr>
              <w:pStyle w:val="TableText0"/>
            </w:pPr>
            <w:r w:rsidRPr="00C13F90">
              <w:t>May be reasonable</w:t>
            </w:r>
          </w:p>
        </w:tc>
      </w:tr>
      <w:tr w:rsidR="004D329C" w:rsidRPr="00C13F90" w:rsidTr="006A3557">
        <w:tc>
          <w:tcPr>
            <w:tcW w:w="2405" w:type="dxa"/>
            <w:vAlign w:val="center"/>
          </w:tcPr>
          <w:p w:rsidR="004D329C" w:rsidRPr="00C13F90" w:rsidRDefault="004D329C" w:rsidP="004D329C">
            <w:pPr>
              <w:pStyle w:val="TableText0"/>
            </w:pPr>
            <w:r w:rsidRPr="00C13F90">
              <w:t>Scripts dispensed</w:t>
            </w:r>
          </w:p>
        </w:tc>
        <w:tc>
          <w:tcPr>
            <w:tcW w:w="1843" w:type="dxa"/>
            <w:vAlign w:val="center"/>
          </w:tcPr>
          <w:p w:rsidR="004D329C" w:rsidRPr="0033502E" w:rsidRDefault="004D329C" w:rsidP="004D329C">
            <w:pPr>
              <w:pStyle w:val="TableText0"/>
              <w:rPr>
                <w:vertAlign w:val="superscript"/>
              </w:rPr>
            </w:pPr>
            <w:r w:rsidRPr="00C13F90">
              <w:t xml:space="preserve">Yr 1: </w:t>
            </w:r>
            <w:r w:rsidR="00CB6D0C">
              <w:rPr>
                <w:noProof/>
                <w:color w:val="000000"/>
                <w:highlight w:val="black"/>
              </w:rPr>
              <w:t>''''''''''''</w:t>
            </w:r>
            <w:r w:rsidR="0033502E" w:rsidRPr="0033502E">
              <w:rPr>
                <w:vertAlign w:val="superscript"/>
              </w:rPr>
              <w:t>1</w:t>
            </w:r>
          </w:p>
          <w:p w:rsidR="004D329C" w:rsidRPr="00C13F90" w:rsidRDefault="004D329C" w:rsidP="004D329C">
            <w:pPr>
              <w:pStyle w:val="TableText0"/>
            </w:pPr>
            <w:r w:rsidRPr="00C13F90">
              <w:t xml:space="preserve">Yr 2: </w:t>
            </w:r>
            <w:r w:rsidR="00CB6D0C">
              <w:rPr>
                <w:noProof/>
                <w:color w:val="000000"/>
                <w:highlight w:val="black"/>
              </w:rPr>
              <w:t>''''''''''''''</w:t>
            </w:r>
            <w:r w:rsidR="0033502E" w:rsidRPr="0033502E">
              <w:rPr>
                <w:vertAlign w:val="superscript"/>
              </w:rPr>
              <w:t>1</w:t>
            </w:r>
          </w:p>
          <w:p w:rsidR="004D329C" w:rsidRPr="00C13F90" w:rsidRDefault="004D329C" w:rsidP="004D329C">
            <w:pPr>
              <w:pStyle w:val="TableText0"/>
            </w:pPr>
            <w:r w:rsidRPr="00C13F90">
              <w:t xml:space="preserve">Yr 3: </w:t>
            </w:r>
            <w:r w:rsidR="00CB6D0C">
              <w:rPr>
                <w:noProof/>
                <w:color w:val="000000"/>
                <w:highlight w:val="black"/>
              </w:rPr>
              <w:t>'''''''''''''</w:t>
            </w:r>
            <w:r w:rsidR="0033502E" w:rsidRPr="0033502E">
              <w:rPr>
                <w:vertAlign w:val="superscript"/>
              </w:rPr>
              <w:t>1</w:t>
            </w:r>
          </w:p>
          <w:p w:rsidR="004D329C" w:rsidRPr="00C13F90" w:rsidRDefault="004D329C" w:rsidP="004D329C">
            <w:pPr>
              <w:pStyle w:val="TableText0"/>
            </w:pPr>
            <w:r w:rsidRPr="00C13F90">
              <w:t xml:space="preserve">Yr 4: </w:t>
            </w:r>
            <w:r w:rsidR="00CB6D0C">
              <w:rPr>
                <w:noProof/>
                <w:color w:val="000000"/>
                <w:highlight w:val="black"/>
              </w:rPr>
              <w:t>'''''''''''''</w:t>
            </w:r>
            <w:r w:rsidR="0033502E" w:rsidRPr="0033502E">
              <w:rPr>
                <w:vertAlign w:val="superscript"/>
              </w:rPr>
              <w:t>1</w:t>
            </w:r>
          </w:p>
          <w:p w:rsidR="004D329C" w:rsidRPr="00C13F90" w:rsidRDefault="004D329C" w:rsidP="004D329C">
            <w:pPr>
              <w:pStyle w:val="TableText0"/>
            </w:pPr>
            <w:r w:rsidRPr="00C13F90">
              <w:t xml:space="preserve">Yr 5: </w:t>
            </w:r>
            <w:r w:rsidR="00CB6D0C">
              <w:rPr>
                <w:noProof/>
                <w:color w:val="000000"/>
                <w:highlight w:val="black"/>
              </w:rPr>
              <w:t>''''''''''''</w:t>
            </w:r>
            <w:r w:rsidR="0033502E" w:rsidRPr="0033502E">
              <w:rPr>
                <w:vertAlign w:val="superscript"/>
              </w:rPr>
              <w:t>1</w:t>
            </w:r>
          </w:p>
          <w:p w:rsidR="004D329C" w:rsidRPr="00C13F90" w:rsidRDefault="004D329C" w:rsidP="004D329C">
            <w:pPr>
              <w:pStyle w:val="TableText0"/>
            </w:pPr>
            <w:r w:rsidRPr="00C13F90">
              <w:t xml:space="preserve">Yr 6: </w:t>
            </w:r>
            <w:r w:rsidR="00CB6D0C">
              <w:rPr>
                <w:noProof/>
                <w:color w:val="000000"/>
                <w:highlight w:val="black"/>
              </w:rPr>
              <w:t>''''''''''''''</w:t>
            </w:r>
            <w:r w:rsidR="0033502E" w:rsidRPr="0033502E">
              <w:rPr>
                <w:vertAlign w:val="superscript"/>
              </w:rPr>
              <w:t>1</w:t>
            </w:r>
          </w:p>
        </w:tc>
        <w:tc>
          <w:tcPr>
            <w:tcW w:w="2693" w:type="dxa"/>
            <w:vAlign w:val="center"/>
          </w:tcPr>
          <w:p w:rsidR="004D329C" w:rsidRPr="00C13F90" w:rsidRDefault="004D329C" w:rsidP="006A3557">
            <w:pPr>
              <w:pStyle w:val="TableText0"/>
            </w:pPr>
            <w:r w:rsidRPr="00C13F90">
              <w:t xml:space="preserve">Applies proportion to existing services with a </w:t>
            </w:r>
            <w:r w:rsidR="006B0E08" w:rsidRPr="00C13F90">
              <w:t>small annual</w:t>
            </w:r>
            <w:r w:rsidRPr="00C13F90">
              <w:t xml:space="preserve"> growth rate (up to 1.46%)</w:t>
            </w:r>
            <w:r w:rsidR="006A3557" w:rsidRPr="00C13F90">
              <w:t xml:space="preserve"> </w:t>
            </w:r>
            <w:r w:rsidRPr="00C13F90">
              <w:t xml:space="preserve">included </w:t>
            </w:r>
          </w:p>
        </w:tc>
        <w:tc>
          <w:tcPr>
            <w:tcW w:w="2239" w:type="dxa"/>
            <w:vAlign w:val="center"/>
          </w:tcPr>
          <w:p w:rsidR="004D329C" w:rsidRPr="00C13F90" w:rsidRDefault="004D329C" w:rsidP="004D329C">
            <w:pPr>
              <w:pStyle w:val="TableText0"/>
            </w:pPr>
            <w:r w:rsidRPr="00C13F90">
              <w:t>Assumes that opicapone will not replace any of FDC market</w:t>
            </w:r>
          </w:p>
        </w:tc>
      </w:tr>
      <w:tr w:rsidR="004D329C" w:rsidRPr="00C13F90" w:rsidTr="004D329C">
        <w:tc>
          <w:tcPr>
            <w:tcW w:w="9180" w:type="dxa"/>
            <w:gridSpan w:val="4"/>
            <w:vAlign w:val="center"/>
          </w:tcPr>
          <w:p w:rsidR="004D329C" w:rsidRPr="00C13F90" w:rsidRDefault="004D329C" w:rsidP="004D329C">
            <w:pPr>
              <w:pStyle w:val="TableText0"/>
              <w:rPr>
                <w:b/>
              </w:rPr>
            </w:pPr>
            <w:r w:rsidRPr="00C13F90">
              <w:rPr>
                <w:b/>
              </w:rPr>
              <w:t>Costs</w:t>
            </w:r>
          </w:p>
        </w:tc>
      </w:tr>
      <w:tr w:rsidR="004D329C" w:rsidRPr="00C13F90" w:rsidTr="006A3557">
        <w:tc>
          <w:tcPr>
            <w:tcW w:w="2405" w:type="dxa"/>
            <w:vAlign w:val="center"/>
          </w:tcPr>
          <w:p w:rsidR="004D329C" w:rsidRPr="00C13F90" w:rsidRDefault="004D329C" w:rsidP="004D329C">
            <w:pPr>
              <w:pStyle w:val="TableText0"/>
            </w:pPr>
            <w:r w:rsidRPr="00C13F90">
              <w:t>Proposed medicine</w:t>
            </w:r>
          </w:p>
        </w:tc>
        <w:tc>
          <w:tcPr>
            <w:tcW w:w="1843" w:type="dxa"/>
            <w:vAlign w:val="center"/>
          </w:tcPr>
          <w:p w:rsidR="004D329C" w:rsidRPr="00C13F90" w:rsidRDefault="004D329C" w:rsidP="004D329C">
            <w:pPr>
              <w:pStyle w:val="TableText0"/>
            </w:pPr>
            <w:r w:rsidRPr="00C13F90">
              <w:t>$171.67</w:t>
            </w:r>
          </w:p>
        </w:tc>
        <w:tc>
          <w:tcPr>
            <w:tcW w:w="2693" w:type="dxa"/>
            <w:vAlign w:val="center"/>
          </w:tcPr>
          <w:p w:rsidR="004D329C" w:rsidRPr="00C13F90" w:rsidRDefault="004D329C" w:rsidP="004D329C">
            <w:pPr>
              <w:pStyle w:val="TableText0"/>
            </w:pPr>
            <w:r w:rsidRPr="00C13F90">
              <w:t>DPMQ Requested price</w:t>
            </w:r>
          </w:p>
        </w:tc>
        <w:tc>
          <w:tcPr>
            <w:tcW w:w="2239" w:type="dxa"/>
            <w:vAlign w:val="center"/>
          </w:tcPr>
          <w:p w:rsidR="004D329C" w:rsidRPr="00C13F90" w:rsidRDefault="004D329C" w:rsidP="004D329C">
            <w:pPr>
              <w:pStyle w:val="TableText0"/>
            </w:pPr>
          </w:p>
        </w:tc>
      </w:tr>
      <w:tr w:rsidR="004D329C" w:rsidRPr="00C13F90" w:rsidTr="006A3557">
        <w:tc>
          <w:tcPr>
            <w:tcW w:w="2405" w:type="dxa"/>
            <w:vAlign w:val="center"/>
          </w:tcPr>
          <w:p w:rsidR="004D329C" w:rsidRPr="00C13F90" w:rsidRDefault="004D329C" w:rsidP="004D329C">
            <w:pPr>
              <w:pStyle w:val="TableText0"/>
            </w:pPr>
            <w:r w:rsidRPr="00C13F90">
              <w:t>Comparator</w:t>
            </w:r>
          </w:p>
        </w:tc>
        <w:tc>
          <w:tcPr>
            <w:tcW w:w="1843" w:type="dxa"/>
            <w:vAlign w:val="center"/>
          </w:tcPr>
          <w:p w:rsidR="004D329C" w:rsidRPr="00C13F90" w:rsidRDefault="004D329C" w:rsidP="004D329C">
            <w:pPr>
              <w:pStyle w:val="TableText0"/>
            </w:pPr>
            <w:r w:rsidRPr="00C13F90">
              <w:t>$226.56</w:t>
            </w:r>
          </w:p>
        </w:tc>
        <w:tc>
          <w:tcPr>
            <w:tcW w:w="2693" w:type="dxa"/>
            <w:vAlign w:val="center"/>
          </w:tcPr>
          <w:p w:rsidR="004D329C" w:rsidRPr="00C13F90" w:rsidRDefault="004D329C" w:rsidP="004D329C">
            <w:pPr>
              <w:pStyle w:val="TableText0"/>
            </w:pPr>
            <w:r w:rsidRPr="00C13F90">
              <w:t>8367J</w:t>
            </w:r>
          </w:p>
        </w:tc>
        <w:tc>
          <w:tcPr>
            <w:tcW w:w="2239" w:type="dxa"/>
            <w:vAlign w:val="center"/>
          </w:tcPr>
          <w:p w:rsidR="004D329C" w:rsidRPr="00C13F90" w:rsidRDefault="004D329C" w:rsidP="004D329C">
            <w:pPr>
              <w:pStyle w:val="TableText0"/>
            </w:pPr>
          </w:p>
        </w:tc>
      </w:tr>
      <w:tr w:rsidR="004D329C" w:rsidRPr="00C13F90" w:rsidTr="006A3557">
        <w:tc>
          <w:tcPr>
            <w:tcW w:w="2405" w:type="dxa"/>
            <w:vAlign w:val="center"/>
          </w:tcPr>
          <w:p w:rsidR="004D329C" w:rsidRPr="00C13F90" w:rsidRDefault="004D329C" w:rsidP="004D329C">
            <w:pPr>
              <w:pStyle w:val="TableText0"/>
            </w:pPr>
            <w:r w:rsidRPr="00C13F90">
              <w:t xml:space="preserve">Patient </w:t>
            </w:r>
            <w:r w:rsidR="00FC41FD" w:rsidRPr="00C13F90">
              <w:t>co-payment</w:t>
            </w:r>
          </w:p>
        </w:tc>
        <w:tc>
          <w:tcPr>
            <w:tcW w:w="1843" w:type="dxa"/>
            <w:vAlign w:val="center"/>
          </w:tcPr>
          <w:p w:rsidR="004D329C" w:rsidRPr="00C13F90" w:rsidRDefault="002D1392" w:rsidP="004D329C">
            <w:pPr>
              <w:pStyle w:val="TableText0"/>
            </w:pPr>
            <w:r w:rsidRPr="00C13F90">
              <w:t>$9.74</w:t>
            </w:r>
          </w:p>
        </w:tc>
        <w:tc>
          <w:tcPr>
            <w:tcW w:w="2693" w:type="dxa"/>
            <w:vAlign w:val="center"/>
          </w:tcPr>
          <w:p w:rsidR="004D329C" w:rsidRPr="00C13F90" w:rsidRDefault="004837C3" w:rsidP="004837C3">
            <w:pPr>
              <w:pStyle w:val="TableText0"/>
            </w:pPr>
            <w:r w:rsidRPr="00C13F90">
              <w:t>Table 4.5 of the submission</w:t>
            </w:r>
          </w:p>
        </w:tc>
        <w:tc>
          <w:tcPr>
            <w:tcW w:w="2239" w:type="dxa"/>
            <w:vAlign w:val="center"/>
          </w:tcPr>
          <w:p w:rsidR="004D329C" w:rsidRPr="00C13F90" w:rsidRDefault="004D329C" w:rsidP="004D329C">
            <w:pPr>
              <w:pStyle w:val="TableText0"/>
            </w:pPr>
          </w:p>
        </w:tc>
      </w:tr>
    </w:tbl>
    <w:p w:rsidR="004D329C" w:rsidRDefault="004D329C" w:rsidP="004D329C">
      <w:pPr>
        <w:pStyle w:val="TableFigureFooter"/>
      </w:pPr>
      <w:r w:rsidRPr="00C13F90">
        <w:t>Source: Excel Workbook, Section 4 Attachment of the submission.</w:t>
      </w:r>
    </w:p>
    <w:p w:rsidR="0033502E" w:rsidRPr="0033502E" w:rsidRDefault="0033502E" w:rsidP="004D329C">
      <w:pPr>
        <w:pStyle w:val="TableFigureFooter"/>
        <w:rPr>
          <w:i/>
        </w:rPr>
      </w:pPr>
      <w:r w:rsidRPr="0033502E">
        <w:rPr>
          <w:i/>
        </w:rPr>
        <w:t>The redacted values correspond to the following ranges:</w:t>
      </w:r>
    </w:p>
    <w:p w:rsidR="0033502E" w:rsidRPr="0033502E" w:rsidRDefault="0033502E" w:rsidP="004D329C">
      <w:pPr>
        <w:pStyle w:val="TableFigureFooter"/>
        <w:rPr>
          <w:i/>
          <w:sz w:val="20"/>
        </w:rPr>
      </w:pPr>
      <w:r w:rsidRPr="0033502E">
        <w:rPr>
          <w:i/>
          <w:vertAlign w:val="superscript"/>
        </w:rPr>
        <w:t>1</w:t>
      </w:r>
      <w:r w:rsidRPr="0033502E">
        <w:rPr>
          <w:i/>
        </w:rPr>
        <w:t xml:space="preserve"> 500 to &lt; 5,000</w:t>
      </w:r>
    </w:p>
    <w:p w:rsidR="004D329C" w:rsidRPr="00C13F90" w:rsidRDefault="004D329C" w:rsidP="004D329C">
      <w:pPr>
        <w:pStyle w:val="In-tableHeading"/>
        <w:rPr>
          <w:lang w:val="en-AU"/>
        </w:rPr>
      </w:pPr>
    </w:p>
    <w:p w:rsidR="004D329C" w:rsidRPr="00C13F90" w:rsidRDefault="004D329C" w:rsidP="004D329C">
      <w:pPr>
        <w:pStyle w:val="3-BodyText"/>
        <w:rPr>
          <w:rFonts w:ascii="Arial Narrow" w:hAnsi="Arial Narrow"/>
          <w:b/>
          <w:sz w:val="20"/>
        </w:rPr>
      </w:pPr>
      <w:r w:rsidRPr="00C13F90">
        <w:t>The estimated use and net cost of op</w:t>
      </w:r>
      <w:r w:rsidR="00953451" w:rsidRPr="00C13F90">
        <w:t>i</w:t>
      </w:r>
      <w:r w:rsidRPr="00C13F90">
        <w:t>capone are shown in the tables below.</w:t>
      </w:r>
    </w:p>
    <w:p w:rsidR="00275E85" w:rsidRPr="00C13F90" w:rsidRDefault="00275E85">
      <w:pPr>
        <w:jc w:val="left"/>
        <w:rPr>
          <w:rStyle w:val="CommentReference"/>
          <w:snapToGrid w:val="0"/>
          <w:szCs w:val="24"/>
        </w:rPr>
      </w:pPr>
      <w:r w:rsidRPr="00C13F90">
        <w:rPr>
          <w:rStyle w:val="CommentReference"/>
          <w:szCs w:val="24"/>
        </w:rPr>
        <w:br w:type="page"/>
      </w:r>
    </w:p>
    <w:p w:rsidR="004D329C" w:rsidRPr="00C13F90" w:rsidRDefault="002A2F50" w:rsidP="002D1392">
      <w:pPr>
        <w:pStyle w:val="3-BodyText"/>
        <w:numPr>
          <w:ilvl w:val="0"/>
          <w:numId w:val="0"/>
        </w:numPr>
        <w:spacing w:after="0"/>
        <w:rPr>
          <w:rFonts w:ascii="Arial Narrow" w:hAnsi="Arial Narrow"/>
          <w:b/>
          <w:sz w:val="20"/>
        </w:rPr>
      </w:pPr>
      <w:r w:rsidRPr="00C13F90">
        <w:rPr>
          <w:rStyle w:val="CommentReference"/>
          <w:szCs w:val="24"/>
        </w:rPr>
        <w:t xml:space="preserve">Table </w:t>
      </w:r>
      <w:r w:rsidR="004D329C" w:rsidRPr="00C13F90">
        <w:rPr>
          <w:rStyle w:val="CommentReference"/>
          <w:szCs w:val="24"/>
        </w:rPr>
        <w:t>9</w:t>
      </w:r>
      <w:r w:rsidRPr="00C13F90">
        <w:rPr>
          <w:rStyle w:val="CommentReference"/>
          <w:szCs w:val="24"/>
        </w:rPr>
        <w:t xml:space="preserve">: Estimated use </w:t>
      </w:r>
      <w:r w:rsidR="004D329C" w:rsidRPr="00C13F90">
        <w:rPr>
          <w:rStyle w:val="CommentReference"/>
          <w:szCs w:val="24"/>
        </w:rPr>
        <w:t>of opicapone</w:t>
      </w:r>
    </w:p>
    <w:tbl>
      <w:tblPr>
        <w:tblStyle w:val="TableGrid"/>
        <w:tblW w:w="5000" w:type="pct"/>
        <w:tblLayout w:type="fixed"/>
        <w:tblLook w:val="04A0" w:firstRow="1" w:lastRow="0" w:firstColumn="1" w:lastColumn="0" w:noHBand="0" w:noVBand="1"/>
        <w:tblCaption w:val="Table 9: Estimated use of opicapone"/>
      </w:tblPr>
      <w:tblGrid>
        <w:gridCol w:w="281"/>
        <w:gridCol w:w="2833"/>
        <w:gridCol w:w="851"/>
        <w:gridCol w:w="851"/>
        <w:gridCol w:w="851"/>
        <w:gridCol w:w="851"/>
        <w:gridCol w:w="851"/>
        <w:gridCol w:w="849"/>
        <w:gridCol w:w="799"/>
      </w:tblGrid>
      <w:tr w:rsidR="004D329C" w:rsidRPr="00C13F90" w:rsidTr="006F5906">
        <w:trPr>
          <w:tblHeader/>
        </w:trPr>
        <w:tc>
          <w:tcPr>
            <w:tcW w:w="155" w:type="pct"/>
          </w:tcPr>
          <w:p w:rsidR="004D329C" w:rsidRPr="00C13F90" w:rsidRDefault="004D329C" w:rsidP="004D329C">
            <w:pPr>
              <w:rPr>
                <w:color w:val="3366FF"/>
              </w:rPr>
            </w:pPr>
          </w:p>
        </w:tc>
        <w:tc>
          <w:tcPr>
            <w:tcW w:w="1571" w:type="pct"/>
          </w:tcPr>
          <w:p w:rsidR="004D329C" w:rsidRPr="00C13F90" w:rsidRDefault="004D329C" w:rsidP="004D329C">
            <w:pPr>
              <w:rPr>
                <w:color w:val="3366FF"/>
              </w:rPr>
            </w:pPr>
          </w:p>
        </w:tc>
        <w:tc>
          <w:tcPr>
            <w:tcW w:w="472" w:type="pct"/>
          </w:tcPr>
          <w:p w:rsidR="004D329C" w:rsidRPr="00C13F90" w:rsidRDefault="004D329C" w:rsidP="004D329C">
            <w:pPr>
              <w:rPr>
                <w:b/>
                <w:color w:val="3366FF"/>
              </w:rPr>
            </w:pPr>
          </w:p>
        </w:tc>
        <w:tc>
          <w:tcPr>
            <w:tcW w:w="472" w:type="pct"/>
            <w:shd w:val="clear" w:color="auto" w:fill="auto"/>
            <w:vAlign w:val="center"/>
          </w:tcPr>
          <w:p w:rsidR="004D329C" w:rsidRPr="00C13F90" w:rsidRDefault="004D329C" w:rsidP="004D329C">
            <w:pPr>
              <w:pStyle w:val="TableFigureHeading"/>
            </w:pPr>
            <w:r w:rsidRPr="00C13F90">
              <w:t>Year 1</w:t>
            </w:r>
          </w:p>
        </w:tc>
        <w:tc>
          <w:tcPr>
            <w:tcW w:w="472" w:type="pct"/>
            <w:shd w:val="clear" w:color="auto" w:fill="auto"/>
            <w:vAlign w:val="center"/>
          </w:tcPr>
          <w:p w:rsidR="004D329C" w:rsidRPr="00C13F90" w:rsidRDefault="004D329C" w:rsidP="004D329C">
            <w:pPr>
              <w:pStyle w:val="TableFigureHeading"/>
            </w:pPr>
            <w:r w:rsidRPr="00C13F90">
              <w:t>Year 2</w:t>
            </w:r>
          </w:p>
        </w:tc>
        <w:tc>
          <w:tcPr>
            <w:tcW w:w="472" w:type="pct"/>
            <w:shd w:val="clear" w:color="auto" w:fill="auto"/>
            <w:vAlign w:val="center"/>
          </w:tcPr>
          <w:p w:rsidR="004D329C" w:rsidRPr="00C13F90" w:rsidRDefault="004D329C" w:rsidP="004D329C">
            <w:pPr>
              <w:pStyle w:val="TableFigureHeading"/>
            </w:pPr>
            <w:r w:rsidRPr="00C13F90">
              <w:t>Year 3</w:t>
            </w:r>
          </w:p>
        </w:tc>
        <w:tc>
          <w:tcPr>
            <w:tcW w:w="472" w:type="pct"/>
            <w:shd w:val="clear" w:color="auto" w:fill="auto"/>
            <w:vAlign w:val="center"/>
          </w:tcPr>
          <w:p w:rsidR="004D329C" w:rsidRPr="00C13F90" w:rsidRDefault="004D329C" w:rsidP="004D329C">
            <w:pPr>
              <w:pStyle w:val="TableFigureHeading"/>
            </w:pPr>
            <w:r w:rsidRPr="00C13F90">
              <w:t>Year 4</w:t>
            </w:r>
          </w:p>
        </w:tc>
        <w:tc>
          <w:tcPr>
            <w:tcW w:w="471" w:type="pct"/>
            <w:shd w:val="clear" w:color="auto" w:fill="auto"/>
            <w:vAlign w:val="center"/>
          </w:tcPr>
          <w:p w:rsidR="004D329C" w:rsidRPr="00C13F90" w:rsidRDefault="004D329C" w:rsidP="004D329C">
            <w:pPr>
              <w:pStyle w:val="TableFigureHeading"/>
            </w:pPr>
            <w:r w:rsidRPr="00C13F90">
              <w:t>Year 5</w:t>
            </w:r>
          </w:p>
        </w:tc>
        <w:tc>
          <w:tcPr>
            <w:tcW w:w="443" w:type="pct"/>
            <w:shd w:val="clear" w:color="auto" w:fill="auto"/>
            <w:vAlign w:val="center"/>
          </w:tcPr>
          <w:p w:rsidR="004D329C" w:rsidRPr="00C13F90" w:rsidRDefault="004D329C" w:rsidP="004D329C">
            <w:pPr>
              <w:pStyle w:val="TableFigureHeading"/>
            </w:pPr>
            <w:r w:rsidRPr="00C13F90">
              <w:t>Year 6</w:t>
            </w:r>
          </w:p>
        </w:tc>
      </w:tr>
      <w:tr w:rsidR="004D329C" w:rsidRPr="00C13F90" w:rsidTr="007351DB">
        <w:tc>
          <w:tcPr>
            <w:tcW w:w="155" w:type="pct"/>
          </w:tcPr>
          <w:p w:rsidR="004D329C" w:rsidRPr="00C13F90" w:rsidRDefault="004D329C" w:rsidP="004D329C">
            <w:pPr>
              <w:pStyle w:val="TableText0"/>
            </w:pPr>
            <w:r w:rsidRPr="00C13F90">
              <w:t>A</w:t>
            </w:r>
          </w:p>
        </w:tc>
        <w:tc>
          <w:tcPr>
            <w:tcW w:w="1571" w:type="pct"/>
          </w:tcPr>
          <w:p w:rsidR="004D329C" w:rsidRPr="00C13F90" w:rsidRDefault="004D329C" w:rsidP="004D329C">
            <w:pPr>
              <w:pStyle w:val="TableText0"/>
            </w:pPr>
            <w:r w:rsidRPr="00C13F90">
              <w:t>Number treated with entacapone in 2019</w:t>
            </w:r>
          </w:p>
        </w:tc>
        <w:tc>
          <w:tcPr>
            <w:tcW w:w="472" w:type="pct"/>
            <w:vAlign w:val="center"/>
          </w:tcPr>
          <w:p w:rsidR="004D329C" w:rsidRPr="00C74C67" w:rsidRDefault="00CB6D0C" w:rsidP="006B0E08">
            <w:pPr>
              <w:pStyle w:val="TableText0"/>
              <w:jc w:val="right"/>
              <w:rPr>
                <w:vertAlign w:val="superscript"/>
              </w:rPr>
            </w:pPr>
            <w:r>
              <w:rPr>
                <w:noProof/>
                <w:color w:val="000000"/>
                <w:highlight w:val="black"/>
              </w:rPr>
              <w:t>''''''''''''''</w:t>
            </w:r>
            <w:r w:rsidR="00C74C67" w:rsidRPr="00C74C67">
              <w:rPr>
                <w:vertAlign w:val="superscript"/>
              </w:rPr>
              <w:t>1</w:t>
            </w:r>
          </w:p>
        </w:tc>
        <w:tc>
          <w:tcPr>
            <w:tcW w:w="472" w:type="pct"/>
            <w:vAlign w:val="center"/>
          </w:tcPr>
          <w:p w:rsidR="004D329C" w:rsidRPr="00C13F90" w:rsidRDefault="004D329C" w:rsidP="006B0E08">
            <w:pPr>
              <w:pStyle w:val="TableText0"/>
              <w:jc w:val="right"/>
            </w:pPr>
          </w:p>
        </w:tc>
        <w:tc>
          <w:tcPr>
            <w:tcW w:w="472" w:type="pct"/>
            <w:vAlign w:val="center"/>
          </w:tcPr>
          <w:p w:rsidR="004D329C" w:rsidRPr="00C13F90" w:rsidRDefault="004D329C" w:rsidP="006B0E08">
            <w:pPr>
              <w:pStyle w:val="TableText0"/>
              <w:jc w:val="right"/>
            </w:pPr>
          </w:p>
        </w:tc>
        <w:tc>
          <w:tcPr>
            <w:tcW w:w="472" w:type="pct"/>
            <w:vAlign w:val="center"/>
          </w:tcPr>
          <w:p w:rsidR="004D329C" w:rsidRPr="00C13F90" w:rsidRDefault="004D329C" w:rsidP="006B0E08">
            <w:pPr>
              <w:pStyle w:val="TableText0"/>
              <w:jc w:val="right"/>
            </w:pPr>
          </w:p>
        </w:tc>
        <w:tc>
          <w:tcPr>
            <w:tcW w:w="472" w:type="pct"/>
            <w:vAlign w:val="center"/>
          </w:tcPr>
          <w:p w:rsidR="004D329C" w:rsidRPr="00C13F90" w:rsidRDefault="004D329C" w:rsidP="006B0E08">
            <w:pPr>
              <w:pStyle w:val="TableText0"/>
              <w:jc w:val="right"/>
            </w:pPr>
          </w:p>
        </w:tc>
        <w:tc>
          <w:tcPr>
            <w:tcW w:w="471" w:type="pct"/>
            <w:vAlign w:val="center"/>
          </w:tcPr>
          <w:p w:rsidR="004D329C" w:rsidRPr="00C13F90" w:rsidRDefault="004D329C" w:rsidP="006B0E08">
            <w:pPr>
              <w:pStyle w:val="TableText0"/>
              <w:jc w:val="right"/>
            </w:pPr>
          </w:p>
        </w:tc>
        <w:tc>
          <w:tcPr>
            <w:tcW w:w="443" w:type="pct"/>
            <w:vAlign w:val="center"/>
          </w:tcPr>
          <w:p w:rsidR="004D329C" w:rsidRPr="00C13F90" w:rsidRDefault="004D329C" w:rsidP="006B0E08">
            <w:pPr>
              <w:pStyle w:val="TableText0"/>
              <w:jc w:val="right"/>
            </w:pPr>
          </w:p>
        </w:tc>
      </w:tr>
      <w:tr w:rsidR="004D329C" w:rsidRPr="00C13F90" w:rsidTr="007351DB">
        <w:tc>
          <w:tcPr>
            <w:tcW w:w="155" w:type="pct"/>
          </w:tcPr>
          <w:p w:rsidR="004D329C" w:rsidRPr="00C13F90" w:rsidRDefault="004D329C" w:rsidP="004D329C">
            <w:pPr>
              <w:pStyle w:val="TableText0"/>
            </w:pPr>
            <w:r w:rsidRPr="00C13F90">
              <w:t>B</w:t>
            </w:r>
          </w:p>
        </w:tc>
        <w:tc>
          <w:tcPr>
            <w:tcW w:w="1571" w:type="pct"/>
          </w:tcPr>
          <w:p w:rsidR="004D329C" w:rsidRPr="00C13F90" w:rsidRDefault="004D329C" w:rsidP="004D329C">
            <w:pPr>
              <w:pStyle w:val="TableText0"/>
            </w:pPr>
            <w:r w:rsidRPr="00C13F90">
              <w:t>Annual growth rate</w:t>
            </w:r>
          </w:p>
        </w:tc>
        <w:tc>
          <w:tcPr>
            <w:tcW w:w="472" w:type="pct"/>
            <w:shd w:val="clear" w:color="auto" w:fill="FFFFFF" w:themeFill="background1"/>
            <w:vAlign w:val="center"/>
          </w:tcPr>
          <w:p w:rsidR="004D329C" w:rsidRPr="00C13F90" w:rsidRDefault="006A3557" w:rsidP="006B0E08">
            <w:pPr>
              <w:pStyle w:val="TableText0"/>
              <w:jc w:val="right"/>
            </w:pPr>
            <w:r w:rsidRPr="00C13F90">
              <w:t>-</w:t>
            </w:r>
          </w:p>
        </w:tc>
        <w:tc>
          <w:tcPr>
            <w:tcW w:w="472" w:type="pct"/>
            <w:vAlign w:val="center"/>
          </w:tcPr>
          <w:p w:rsidR="004D329C" w:rsidRPr="00C13F90" w:rsidRDefault="004D329C" w:rsidP="006B0E08">
            <w:pPr>
              <w:pStyle w:val="TableText0"/>
              <w:jc w:val="right"/>
            </w:pPr>
            <w:r w:rsidRPr="00C13F90">
              <w:t>-1.13%</w:t>
            </w:r>
          </w:p>
        </w:tc>
        <w:tc>
          <w:tcPr>
            <w:tcW w:w="472" w:type="pct"/>
            <w:vAlign w:val="center"/>
          </w:tcPr>
          <w:p w:rsidR="004D329C" w:rsidRPr="00C13F90" w:rsidRDefault="004D329C" w:rsidP="006B0E08">
            <w:pPr>
              <w:pStyle w:val="TableText0"/>
              <w:jc w:val="right"/>
            </w:pPr>
            <w:r w:rsidRPr="00C13F90">
              <w:t>-1.20%</w:t>
            </w:r>
          </w:p>
        </w:tc>
        <w:tc>
          <w:tcPr>
            <w:tcW w:w="472" w:type="pct"/>
            <w:vAlign w:val="center"/>
          </w:tcPr>
          <w:p w:rsidR="004D329C" w:rsidRPr="00C13F90" w:rsidRDefault="004D329C" w:rsidP="006B0E08">
            <w:pPr>
              <w:pStyle w:val="TableText0"/>
              <w:jc w:val="right"/>
            </w:pPr>
            <w:r w:rsidRPr="00C13F90">
              <w:t>-1.28%</w:t>
            </w:r>
          </w:p>
        </w:tc>
        <w:tc>
          <w:tcPr>
            <w:tcW w:w="472" w:type="pct"/>
            <w:vAlign w:val="center"/>
          </w:tcPr>
          <w:p w:rsidR="004D329C" w:rsidRPr="00C13F90" w:rsidRDefault="004D329C" w:rsidP="006B0E08">
            <w:pPr>
              <w:pStyle w:val="TableText0"/>
              <w:jc w:val="right"/>
            </w:pPr>
            <w:r w:rsidRPr="00C13F90">
              <w:t>-1.37%</w:t>
            </w:r>
          </w:p>
        </w:tc>
        <w:tc>
          <w:tcPr>
            <w:tcW w:w="471" w:type="pct"/>
            <w:vAlign w:val="center"/>
          </w:tcPr>
          <w:p w:rsidR="004D329C" w:rsidRPr="00C13F90" w:rsidRDefault="004D329C" w:rsidP="006B0E08">
            <w:pPr>
              <w:pStyle w:val="TableText0"/>
              <w:jc w:val="right"/>
            </w:pPr>
            <w:r w:rsidRPr="00C13F90">
              <w:t>-1.46%</w:t>
            </w:r>
          </w:p>
        </w:tc>
        <w:tc>
          <w:tcPr>
            <w:tcW w:w="443" w:type="pct"/>
            <w:vAlign w:val="center"/>
          </w:tcPr>
          <w:p w:rsidR="004D329C" w:rsidRPr="00C13F90" w:rsidRDefault="004D329C" w:rsidP="006B0E08">
            <w:pPr>
              <w:pStyle w:val="TableText0"/>
              <w:jc w:val="right"/>
            </w:pPr>
            <w:r w:rsidRPr="00C13F90">
              <w:t>-1.56%</w:t>
            </w:r>
          </w:p>
        </w:tc>
      </w:tr>
      <w:tr w:rsidR="004D329C" w:rsidRPr="00C13F90" w:rsidTr="007351DB">
        <w:tc>
          <w:tcPr>
            <w:tcW w:w="155" w:type="pct"/>
          </w:tcPr>
          <w:p w:rsidR="004D329C" w:rsidRPr="00C13F90" w:rsidRDefault="004D329C" w:rsidP="004D329C">
            <w:pPr>
              <w:pStyle w:val="TableText0"/>
            </w:pPr>
            <w:r w:rsidRPr="00C13F90">
              <w:t>C</w:t>
            </w:r>
          </w:p>
        </w:tc>
        <w:tc>
          <w:tcPr>
            <w:tcW w:w="1571" w:type="pct"/>
          </w:tcPr>
          <w:p w:rsidR="004D329C" w:rsidRPr="00C13F90" w:rsidRDefault="004D329C" w:rsidP="004D329C">
            <w:pPr>
              <w:pStyle w:val="TableText0"/>
            </w:pPr>
            <w:r w:rsidRPr="00C13F90">
              <w:t>Predicted number of patients treated with entacapone</w:t>
            </w:r>
          </w:p>
        </w:tc>
        <w:tc>
          <w:tcPr>
            <w:tcW w:w="472" w:type="pct"/>
            <w:shd w:val="clear" w:color="auto" w:fill="FFFFFF" w:themeFill="background1"/>
            <w:vAlign w:val="center"/>
          </w:tcPr>
          <w:p w:rsidR="004D329C" w:rsidRPr="00C13F90" w:rsidRDefault="006A3557" w:rsidP="006B0E08">
            <w:pPr>
              <w:pStyle w:val="TableText0"/>
              <w:jc w:val="right"/>
            </w:pPr>
            <w:r w:rsidRPr="00C13F90">
              <w:t>-</w:t>
            </w:r>
          </w:p>
        </w:tc>
        <w:tc>
          <w:tcPr>
            <w:tcW w:w="472"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c>
          <w:tcPr>
            <w:tcW w:w="472"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c>
          <w:tcPr>
            <w:tcW w:w="472"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c>
          <w:tcPr>
            <w:tcW w:w="472"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c>
          <w:tcPr>
            <w:tcW w:w="471"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c>
          <w:tcPr>
            <w:tcW w:w="443" w:type="pct"/>
            <w:vAlign w:val="center"/>
          </w:tcPr>
          <w:p w:rsidR="004D329C" w:rsidRPr="00CB6D0C" w:rsidRDefault="00CB6D0C" w:rsidP="006B0E08">
            <w:pPr>
              <w:pStyle w:val="TableText0"/>
              <w:jc w:val="right"/>
            </w:pPr>
            <w:r>
              <w:rPr>
                <w:noProof/>
                <w:color w:val="000000"/>
                <w:highlight w:val="black"/>
              </w:rPr>
              <w:t>'''''''''''''</w:t>
            </w:r>
            <w:r w:rsidR="00C74C67" w:rsidRPr="00C74C67">
              <w:rPr>
                <w:vertAlign w:val="superscript"/>
              </w:rPr>
              <w:t>1</w:t>
            </w:r>
          </w:p>
        </w:tc>
      </w:tr>
      <w:tr w:rsidR="004D329C" w:rsidRPr="00C13F90" w:rsidTr="007351DB">
        <w:tc>
          <w:tcPr>
            <w:tcW w:w="155" w:type="pct"/>
            <w:tcBorders>
              <w:top w:val="nil"/>
              <w:left w:val="single" w:sz="4" w:space="0" w:color="auto"/>
              <w:bottom w:val="single" w:sz="4" w:space="0" w:color="auto"/>
              <w:right w:val="single" w:sz="4" w:space="0" w:color="auto"/>
            </w:tcBorders>
            <w:shd w:val="clear" w:color="auto" w:fill="FFFFFF" w:themeFill="background1"/>
          </w:tcPr>
          <w:p w:rsidR="004D329C" w:rsidRPr="00C13F90" w:rsidRDefault="004D329C" w:rsidP="004D329C">
            <w:pPr>
              <w:pStyle w:val="TableText0"/>
            </w:pPr>
            <w:r w:rsidRPr="00C13F90">
              <w:t>D</w:t>
            </w:r>
          </w:p>
        </w:tc>
        <w:tc>
          <w:tcPr>
            <w:tcW w:w="1571" w:type="pct"/>
            <w:tcBorders>
              <w:top w:val="nil"/>
              <w:left w:val="single" w:sz="4" w:space="0" w:color="auto"/>
              <w:bottom w:val="single" w:sz="4" w:space="0" w:color="auto"/>
              <w:right w:val="single" w:sz="4" w:space="0" w:color="auto"/>
            </w:tcBorders>
            <w:shd w:val="clear" w:color="auto" w:fill="FFFFFF" w:themeFill="background1"/>
            <w:vAlign w:val="bottom"/>
          </w:tcPr>
          <w:p w:rsidR="004D329C" w:rsidRPr="00C13F90" w:rsidRDefault="004D329C" w:rsidP="004D329C">
            <w:pPr>
              <w:pStyle w:val="TableText0"/>
            </w:pPr>
            <w:r w:rsidRPr="00C13F90">
              <w:t>Uptake rate</w:t>
            </w:r>
          </w:p>
        </w:tc>
        <w:tc>
          <w:tcPr>
            <w:tcW w:w="472" w:type="pct"/>
            <w:tcBorders>
              <w:top w:val="single" w:sz="4" w:space="0" w:color="auto"/>
              <w:left w:val="nil"/>
              <w:bottom w:val="single" w:sz="4" w:space="0" w:color="auto"/>
              <w:right w:val="single" w:sz="4" w:space="0" w:color="auto"/>
            </w:tcBorders>
            <w:shd w:val="clear" w:color="auto" w:fill="FFFFFF" w:themeFill="background1"/>
            <w:vAlign w:val="center"/>
          </w:tcPr>
          <w:p w:rsidR="004D329C" w:rsidRPr="00C13F90" w:rsidRDefault="006A3557" w:rsidP="006B0E08">
            <w:pPr>
              <w:pStyle w:val="TableText0"/>
              <w:jc w:val="right"/>
            </w:pPr>
            <w:r w:rsidRPr="00C13F90">
              <w:t>-</w:t>
            </w: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25%</w:t>
            </w:r>
          </w:p>
        </w:tc>
        <w:tc>
          <w:tcPr>
            <w:tcW w:w="472" w:type="pct"/>
            <w:tcBorders>
              <w:top w:val="nil"/>
              <w:left w:val="nil"/>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30%</w:t>
            </w:r>
          </w:p>
        </w:tc>
        <w:tc>
          <w:tcPr>
            <w:tcW w:w="472" w:type="pct"/>
            <w:tcBorders>
              <w:top w:val="nil"/>
              <w:left w:val="nil"/>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35%</w:t>
            </w:r>
          </w:p>
        </w:tc>
        <w:tc>
          <w:tcPr>
            <w:tcW w:w="472" w:type="pct"/>
            <w:tcBorders>
              <w:top w:val="nil"/>
              <w:left w:val="nil"/>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40%</w:t>
            </w:r>
          </w:p>
        </w:tc>
        <w:tc>
          <w:tcPr>
            <w:tcW w:w="471" w:type="pct"/>
            <w:tcBorders>
              <w:top w:val="nil"/>
              <w:left w:val="nil"/>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45%</w:t>
            </w:r>
          </w:p>
        </w:tc>
        <w:tc>
          <w:tcPr>
            <w:tcW w:w="443" w:type="pct"/>
            <w:tcBorders>
              <w:top w:val="nil"/>
              <w:left w:val="nil"/>
              <w:bottom w:val="single" w:sz="4" w:space="0" w:color="auto"/>
              <w:right w:val="single" w:sz="4" w:space="0" w:color="auto"/>
            </w:tcBorders>
            <w:shd w:val="clear" w:color="auto" w:fill="FFFFFF" w:themeFill="background1"/>
            <w:vAlign w:val="center"/>
          </w:tcPr>
          <w:p w:rsidR="004D329C" w:rsidRPr="00C13F90" w:rsidRDefault="004D329C" w:rsidP="006B0E08">
            <w:pPr>
              <w:pStyle w:val="TableText0"/>
              <w:jc w:val="right"/>
            </w:pPr>
            <w:r w:rsidRPr="00C13F90">
              <w:t>50%</w:t>
            </w:r>
          </w:p>
        </w:tc>
      </w:tr>
      <w:tr w:rsidR="004D329C" w:rsidRPr="00C13F90" w:rsidTr="007351DB">
        <w:tc>
          <w:tcPr>
            <w:tcW w:w="155" w:type="pct"/>
            <w:tcBorders>
              <w:top w:val="single" w:sz="4" w:space="0" w:color="auto"/>
              <w:left w:val="single" w:sz="4" w:space="0" w:color="auto"/>
              <w:bottom w:val="single" w:sz="4" w:space="0" w:color="auto"/>
              <w:right w:val="single" w:sz="4" w:space="0" w:color="auto"/>
            </w:tcBorders>
          </w:tcPr>
          <w:p w:rsidR="004D329C" w:rsidRPr="00C13F90" w:rsidRDefault="004D329C" w:rsidP="004D329C">
            <w:pPr>
              <w:pStyle w:val="TableText0"/>
            </w:pPr>
            <w:r w:rsidRPr="00C13F90">
              <w:t>E</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4D329C" w:rsidRPr="00C13F90" w:rsidRDefault="004D329C" w:rsidP="004D329C">
            <w:pPr>
              <w:pStyle w:val="TableText0"/>
            </w:pPr>
            <w:r w:rsidRPr="00C13F90">
              <w:t xml:space="preserve">Total script numbers </w:t>
            </w:r>
          </w:p>
        </w:tc>
        <w:tc>
          <w:tcPr>
            <w:tcW w:w="472" w:type="pct"/>
            <w:tcBorders>
              <w:top w:val="single" w:sz="4" w:space="0" w:color="auto"/>
              <w:left w:val="nil"/>
              <w:bottom w:val="single" w:sz="4" w:space="0" w:color="auto"/>
              <w:right w:val="single" w:sz="4" w:space="0" w:color="auto"/>
            </w:tcBorders>
            <w:shd w:val="clear" w:color="auto" w:fill="FFFFFF" w:themeFill="background1"/>
            <w:vAlign w:val="center"/>
          </w:tcPr>
          <w:p w:rsidR="004D329C" w:rsidRPr="00C13F90" w:rsidRDefault="006A3557" w:rsidP="006B0E08">
            <w:pPr>
              <w:pStyle w:val="TableText0"/>
              <w:jc w:val="right"/>
            </w:pPr>
            <w:r w:rsidRPr="00C13F90">
              <w:t>-</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c>
          <w:tcPr>
            <w:tcW w:w="472" w:type="pct"/>
            <w:tcBorders>
              <w:top w:val="single" w:sz="4" w:space="0" w:color="auto"/>
              <w:left w:val="nil"/>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c>
          <w:tcPr>
            <w:tcW w:w="472" w:type="pct"/>
            <w:tcBorders>
              <w:top w:val="single" w:sz="4" w:space="0" w:color="auto"/>
              <w:left w:val="nil"/>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c>
          <w:tcPr>
            <w:tcW w:w="472" w:type="pct"/>
            <w:tcBorders>
              <w:top w:val="single" w:sz="4" w:space="0" w:color="auto"/>
              <w:left w:val="nil"/>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c>
          <w:tcPr>
            <w:tcW w:w="471" w:type="pct"/>
            <w:tcBorders>
              <w:top w:val="single" w:sz="4" w:space="0" w:color="auto"/>
              <w:left w:val="nil"/>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c>
          <w:tcPr>
            <w:tcW w:w="443" w:type="pct"/>
            <w:tcBorders>
              <w:top w:val="single" w:sz="4" w:space="0" w:color="auto"/>
              <w:left w:val="nil"/>
              <w:bottom w:val="single" w:sz="4" w:space="0" w:color="auto"/>
              <w:right w:val="single" w:sz="4" w:space="0" w:color="auto"/>
            </w:tcBorders>
            <w:shd w:val="clear" w:color="auto" w:fill="auto"/>
          </w:tcPr>
          <w:p w:rsidR="004D329C" w:rsidRPr="00CB6D0C" w:rsidRDefault="00CB6D0C" w:rsidP="006B0E08">
            <w:pPr>
              <w:pStyle w:val="TableText0"/>
              <w:jc w:val="right"/>
            </w:pPr>
            <w:r>
              <w:rPr>
                <w:noProof/>
                <w:color w:val="000000"/>
                <w:highlight w:val="black"/>
              </w:rPr>
              <w:t>'''''''''''''</w:t>
            </w:r>
            <w:r w:rsidR="00C74C67">
              <w:rPr>
                <w:vertAlign w:val="superscript"/>
              </w:rPr>
              <w:t>2</w:t>
            </w:r>
          </w:p>
        </w:tc>
      </w:tr>
    </w:tbl>
    <w:p w:rsidR="004D329C" w:rsidRPr="00C13F90" w:rsidRDefault="004D329C" w:rsidP="004D329C">
      <w:pPr>
        <w:pStyle w:val="TableFigureFooter"/>
      </w:pPr>
      <w:r w:rsidRPr="00C13F90">
        <w:t>Source: Table 4.4 and Attachment 4 Workbook of the submission.</w:t>
      </w:r>
    </w:p>
    <w:p w:rsidR="004D329C" w:rsidRPr="00C13F90" w:rsidRDefault="004D329C" w:rsidP="004D329C">
      <w:pPr>
        <w:pStyle w:val="TableFigureHeading"/>
        <w:rPr>
          <w:rStyle w:val="CommentReference"/>
          <w:b/>
          <w:szCs w:val="24"/>
        </w:rPr>
      </w:pPr>
      <w:r w:rsidRPr="00C13F90">
        <w:rPr>
          <w:rStyle w:val="CommentReference"/>
          <w:b/>
          <w:szCs w:val="24"/>
        </w:rPr>
        <w:t>Table 10: Estimated net cost of opicapone to the PBS/RPBS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2"/>
        <w:gridCol w:w="992"/>
        <w:gridCol w:w="994"/>
        <w:gridCol w:w="992"/>
        <w:gridCol w:w="992"/>
        <w:gridCol w:w="990"/>
        <w:gridCol w:w="1007"/>
      </w:tblGrid>
      <w:tr w:rsidR="0010591E" w:rsidRPr="00C13F90" w:rsidTr="006A3557">
        <w:trPr>
          <w:tblHeader/>
          <w:jc w:val="center"/>
        </w:trPr>
        <w:tc>
          <w:tcPr>
            <w:tcW w:w="1662" w:type="pct"/>
            <w:shd w:val="clear" w:color="auto" w:fill="auto"/>
            <w:vAlign w:val="center"/>
          </w:tcPr>
          <w:p w:rsidR="0010591E" w:rsidRPr="00C13F90" w:rsidRDefault="0010591E" w:rsidP="002B2341">
            <w:pPr>
              <w:pStyle w:val="TableText0"/>
            </w:pPr>
          </w:p>
        </w:tc>
        <w:tc>
          <w:tcPr>
            <w:tcW w:w="555" w:type="pct"/>
            <w:shd w:val="clear" w:color="auto" w:fill="auto"/>
            <w:vAlign w:val="center"/>
          </w:tcPr>
          <w:p w:rsidR="0010591E" w:rsidRPr="00C13F90" w:rsidRDefault="0010591E" w:rsidP="006A3557">
            <w:pPr>
              <w:pStyle w:val="TableText0"/>
              <w:jc w:val="center"/>
              <w:rPr>
                <w:b/>
              </w:rPr>
            </w:pPr>
            <w:r w:rsidRPr="00C13F90">
              <w:rPr>
                <w:b/>
              </w:rPr>
              <w:t>Year 1</w:t>
            </w:r>
          </w:p>
        </w:tc>
        <w:tc>
          <w:tcPr>
            <w:tcW w:w="556" w:type="pct"/>
            <w:shd w:val="clear" w:color="auto" w:fill="auto"/>
            <w:vAlign w:val="center"/>
          </w:tcPr>
          <w:p w:rsidR="0010591E" w:rsidRPr="00C13F90" w:rsidRDefault="0010591E" w:rsidP="006A3557">
            <w:pPr>
              <w:pStyle w:val="TableText0"/>
              <w:jc w:val="center"/>
              <w:rPr>
                <w:b/>
              </w:rPr>
            </w:pPr>
            <w:r w:rsidRPr="00C13F90">
              <w:rPr>
                <w:b/>
              </w:rPr>
              <w:t>Year 2</w:t>
            </w:r>
          </w:p>
        </w:tc>
        <w:tc>
          <w:tcPr>
            <w:tcW w:w="555" w:type="pct"/>
            <w:shd w:val="clear" w:color="auto" w:fill="auto"/>
            <w:vAlign w:val="center"/>
          </w:tcPr>
          <w:p w:rsidR="0010591E" w:rsidRPr="00C13F90" w:rsidRDefault="0010591E" w:rsidP="006A3557">
            <w:pPr>
              <w:pStyle w:val="TableText0"/>
              <w:jc w:val="center"/>
              <w:rPr>
                <w:b/>
              </w:rPr>
            </w:pPr>
            <w:r w:rsidRPr="00C13F90">
              <w:rPr>
                <w:b/>
              </w:rPr>
              <w:t>Year 3</w:t>
            </w:r>
          </w:p>
        </w:tc>
        <w:tc>
          <w:tcPr>
            <w:tcW w:w="555" w:type="pct"/>
            <w:shd w:val="clear" w:color="auto" w:fill="auto"/>
            <w:vAlign w:val="center"/>
          </w:tcPr>
          <w:p w:rsidR="0010591E" w:rsidRPr="00C13F90" w:rsidRDefault="0010591E" w:rsidP="006A3557">
            <w:pPr>
              <w:pStyle w:val="TableText0"/>
              <w:jc w:val="center"/>
              <w:rPr>
                <w:b/>
              </w:rPr>
            </w:pPr>
            <w:r w:rsidRPr="00C13F90">
              <w:rPr>
                <w:b/>
              </w:rPr>
              <w:t>Year 4</w:t>
            </w:r>
          </w:p>
        </w:tc>
        <w:tc>
          <w:tcPr>
            <w:tcW w:w="554" w:type="pct"/>
            <w:shd w:val="clear" w:color="auto" w:fill="auto"/>
            <w:vAlign w:val="center"/>
          </w:tcPr>
          <w:p w:rsidR="0010591E" w:rsidRPr="00C13F90" w:rsidRDefault="0010591E" w:rsidP="006A3557">
            <w:pPr>
              <w:pStyle w:val="TableText0"/>
              <w:jc w:val="center"/>
              <w:rPr>
                <w:b/>
              </w:rPr>
            </w:pPr>
            <w:r w:rsidRPr="00C13F90">
              <w:rPr>
                <w:b/>
              </w:rPr>
              <w:t>Year 5</w:t>
            </w:r>
          </w:p>
        </w:tc>
        <w:tc>
          <w:tcPr>
            <w:tcW w:w="563" w:type="pct"/>
          </w:tcPr>
          <w:p w:rsidR="0010591E" w:rsidRPr="00C13F90" w:rsidRDefault="0010591E" w:rsidP="006A3557">
            <w:pPr>
              <w:pStyle w:val="TableText0"/>
              <w:jc w:val="center"/>
              <w:rPr>
                <w:b/>
              </w:rPr>
            </w:pPr>
            <w:r w:rsidRPr="00C13F90">
              <w:rPr>
                <w:b/>
              </w:rPr>
              <w:t>Year 6</w:t>
            </w:r>
          </w:p>
        </w:tc>
      </w:tr>
      <w:tr w:rsidR="0010591E" w:rsidRPr="00C13F90" w:rsidTr="002B2341">
        <w:trPr>
          <w:jc w:val="center"/>
        </w:trPr>
        <w:tc>
          <w:tcPr>
            <w:tcW w:w="5000" w:type="pct"/>
            <w:gridSpan w:val="7"/>
            <w:shd w:val="clear" w:color="auto" w:fill="auto"/>
            <w:vAlign w:val="center"/>
          </w:tcPr>
          <w:p w:rsidR="0010591E" w:rsidRPr="00C13F90" w:rsidRDefault="0010591E" w:rsidP="002B2341">
            <w:pPr>
              <w:pStyle w:val="TableText0"/>
              <w:rPr>
                <w:b/>
                <w:color w:val="000000"/>
              </w:rPr>
            </w:pPr>
            <w:r w:rsidRPr="00C13F90">
              <w:rPr>
                <w:b/>
                <w:color w:val="000000"/>
              </w:rPr>
              <w:t>Estimated extent of use</w:t>
            </w:r>
          </w:p>
        </w:tc>
      </w:tr>
      <w:tr w:rsidR="001C4015" w:rsidRPr="00C13F90" w:rsidTr="006A3557">
        <w:trPr>
          <w:jc w:val="center"/>
        </w:trPr>
        <w:tc>
          <w:tcPr>
            <w:tcW w:w="1662" w:type="pct"/>
            <w:shd w:val="clear" w:color="auto" w:fill="auto"/>
            <w:vAlign w:val="center"/>
          </w:tcPr>
          <w:p w:rsidR="001C4015" w:rsidRPr="00C13F90" w:rsidRDefault="001C4015" w:rsidP="006A3557">
            <w:pPr>
              <w:pStyle w:val="TableText0"/>
              <w:rPr>
                <w:vertAlign w:val="superscript"/>
              </w:rPr>
            </w:pPr>
            <w:r w:rsidRPr="00C13F90">
              <w:t>Number of scripts dispensed</w:t>
            </w:r>
            <w:r w:rsidRPr="00C13F90">
              <w:rPr>
                <w:vertAlign w:val="superscript"/>
              </w:rPr>
              <w:t>a</w:t>
            </w:r>
          </w:p>
        </w:tc>
        <w:tc>
          <w:tcPr>
            <w:tcW w:w="555" w:type="pct"/>
            <w:shd w:val="clear" w:color="auto" w:fill="auto"/>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c>
          <w:tcPr>
            <w:tcW w:w="556" w:type="pct"/>
            <w:shd w:val="clear" w:color="auto" w:fill="auto"/>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c>
          <w:tcPr>
            <w:tcW w:w="555" w:type="pct"/>
            <w:shd w:val="clear" w:color="auto" w:fill="auto"/>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c>
          <w:tcPr>
            <w:tcW w:w="555" w:type="pct"/>
            <w:shd w:val="clear" w:color="auto" w:fill="auto"/>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c>
          <w:tcPr>
            <w:tcW w:w="554" w:type="pct"/>
            <w:shd w:val="clear" w:color="auto" w:fill="auto"/>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c>
          <w:tcPr>
            <w:tcW w:w="563" w:type="pct"/>
            <w:vAlign w:val="center"/>
          </w:tcPr>
          <w:p w:rsidR="001C4015" w:rsidRPr="00CB6D0C" w:rsidRDefault="00CB6D0C" w:rsidP="006B0E08">
            <w:pPr>
              <w:pStyle w:val="TableText0"/>
              <w:jc w:val="right"/>
              <w:rPr>
                <w:color w:val="000000"/>
              </w:rPr>
            </w:pPr>
            <w:r>
              <w:rPr>
                <w:noProof/>
                <w:color w:val="000000"/>
                <w:highlight w:val="black"/>
              </w:rPr>
              <w:t>''''''''''''''</w:t>
            </w:r>
            <w:r w:rsidR="00D56664">
              <w:rPr>
                <w:vertAlign w:val="superscript"/>
              </w:rPr>
              <w:t>2</w:t>
            </w:r>
          </w:p>
        </w:tc>
      </w:tr>
      <w:tr w:rsidR="001C4015" w:rsidRPr="00C13F90" w:rsidTr="006A3557">
        <w:trPr>
          <w:jc w:val="center"/>
        </w:trPr>
        <w:tc>
          <w:tcPr>
            <w:tcW w:w="1662" w:type="pct"/>
            <w:shd w:val="clear" w:color="auto" w:fill="auto"/>
            <w:vAlign w:val="center"/>
          </w:tcPr>
          <w:p w:rsidR="001C4015" w:rsidRPr="00C13F90" w:rsidRDefault="001C4015" w:rsidP="006A3557">
            <w:pPr>
              <w:pStyle w:val="TableText0"/>
              <w:rPr>
                <w:vertAlign w:val="superscript"/>
              </w:rPr>
            </w:pPr>
            <w:r w:rsidRPr="00C13F90">
              <w:t>Number of entacapone scripts replaced</w:t>
            </w:r>
            <w:r w:rsidRPr="00C13F90">
              <w:rPr>
                <w:vertAlign w:val="superscript"/>
              </w:rPr>
              <w:t>b</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c>
          <w:tcPr>
            <w:tcW w:w="556"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c>
          <w:tcPr>
            <w:tcW w:w="554"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c>
          <w:tcPr>
            <w:tcW w:w="563" w:type="pct"/>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2</w:t>
            </w:r>
          </w:p>
        </w:tc>
      </w:tr>
      <w:tr w:rsidR="0010591E" w:rsidRPr="00C13F90" w:rsidTr="00C7283A">
        <w:trPr>
          <w:jc w:val="center"/>
        </w:trPr>
        <w:tc>
          <w:tcPr>
            <w:tcW w:w="5000" w:type="pct"/>
            <w:gridSpan w:val="7"/>
            <w:shd w:val="clear" w:color="auto" w:fill="auto"/>
            <w:vAlign w:val="center"/>
          </w:tcPr>
          <w:p w:rsidR="0010591E" w:rsidRPr="00C13F90" w:rsidRDefault="0010591E" w:rsidP="00C22DAF">
            <w:pPr>
              <w:pStyle w:val="TableText0"/>
              <w:rPr>
                <w:b/>
                <w:color w:val="000000"/>
              </w:rPr>
            </w:pPr>
            <w:r w:rsidRPr="00C13F90">
              <w:rPr>
                <w:b/>
                <w:color w:val="000000"/>
              </w:rPr>
              <w:t>Drug costs</w:t>
            </w:r>
          </w:p>
        </w:tc>
      </w:tr>
      <w:tr w:rsidR="001C4015" w:rsidRPr="00C13F90" w:rsidTr="006A3557">
        <w:trPr>
          <w:jc w:val="center"/>
        </w:trPr>
        <w:tc>
          <w:tcPr>
            <w:tcW w:w="1662" w:type="pct"/>
            <w:shd w:val="clear" w:color="auto" w:fill="auto"/>
            <w:vAlign w:val="center"/>
          </w:tcPr>
          <w:p w:rsidR="001C4015" w:rsidRPr="00C13F90" w:rsidRDefault="001C4015" w:rsidP="001C4015">
            <w:pPr>
              <w:pStyle w:val="TableText0"/>
            </w:pPr>
            <w:r w:rsidRPr="00C13F90">
              <w:t>Cost of opicapone to PBS/RPBS (excl. patient copayments</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6"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4"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63" w:type="pct"/>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r>
      <w:tr w:rsidR="001C4015" w:rsidRPr="00C13F90" w:rsidTr="006A3557">
        <w:trPr>
          <w:jc w:val="center"/>
        </w:trPr>
        <w:tc>
          <w:tcPr>
            <w:tcW w:w="1662" w:type="pct"/>
            <w:shd w:val="clear" w:color="auto" w:fill="auto"/>
            <w:vAlign w:val="center"/>
          </w:tcPr>
          <w:p w:rsidR="001C4015" w:rsidRPr="00C13F90" w:rsidRDefault="001C4015" w:rsidP="001C4015">
            <w:pPr>
              <w:pStyle w:val="TableText0"/>
            </w:pPr>
            <w:r w:rsidRPr="00C13F90">
              <w:t>Less patient co-payments</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6"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4" w:type="pct"/>
            <w:shd w:val="clear" w:color="auto" w:fill="auto"/>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63" w:type="pct"/>
            <w:vAlign w:val="center"/>
          </w:tcPr>
          <w:p w:rsidR="001C4015" w:rsidRPr="00C13F90" w:rsidRDefault="00FE16AE" w:rsidP="006B0E08">
            <w:pPr>
              <w:pStyle w:val="TableText0"/>
              <w:jc w:val="right"/>
              <w:rPr>
                <w:color w:val="000000"/>
              </w:rPr>
            </w:pPr>
            <w:r w:rsidRPr="00C13F90">
              <w:t>-$</w:t>
            </w:r>
            <w:r w:rsidR="00CB6D0C">
              <w:rPr>
                <w:noProof/>
                <w:color w:val="000000"/>
                <w:highlight w:val="black"/>
              </w:rPr>
              <w:t>'''''''''''''''</w:t>
            </w:r>
            <w:r w:rsidR="00D56664">
              <w:rPr>
                <w:vertAlign w:val="superscript"/>
              </w:rPr>
              <w:t>3</w:t>
            </w:r>
          </w:p>
        </w:tc>
      </w:tr>
      <w:tr w:rsidR="001C4015" w:rsidRPr="00C13F90" w:rsidTr="006A3557">
        <w:trPr>
          <w:jc w:val="center"/>
        </w:trPr>
        <w:tc>
          <w:tcPr>
            <w:tcW w:w="1662" w:type="pct"/>
            <w:shd w:val="clear" w:color="auto" w:fill="auto"/>
            <w:vAlign w:val="center"/>
          </w:tcPr>
          <w:p w:rsidR="001C4015" w:rsidRPr="00C13F90" w:rsidRDefault="001C4015" w:rsidP="001C4015">
            <w:pPr>
              <w:pStyle w:val="TableText0"/>
              <w:rPr>
                <w:vertAlign w:val="superscript"/>
              </w:rPr>
            </w:pPr>
            <w:r w:rsidRPr="00C13F90">
              <w:t>Cost to PBS/RPBS</w:t>
            </w:r>
            <w:r w:rsidRPr="00C13F90">
              <w:rPr>
                <w:vertAlign w:val="superscript"/>
              </w:rPr>
              <w:t>c</w:t>
            </w:r>
          </w:p>
        </w:tc>
        <w:tc>
          <w:tcPr>
            <w:tcW w:w="555" w:type="pct"/>
            <w:shd w:val="clear" w:color="auto" w:fill="auto"/>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c>
          <w:tcPr>
            <w:tcW w:w="556" w:type="pct"/>
            <w:shd w:val="clear" w:color="auto" w:fill="auto"/>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c>
          <w:tcPr>
            <w:tcW w:w="554" w:type="pct"/>
            <w:shd w:val="clear" w:color="auto" w:fill="auto"/>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c>
          <w:tcPr>
            <w:tcW w:w="563" w:type="pct"/>
            <w:vAlign w:val="center"/>
          </w:tcPr>
          <w:p w:rsidR="001C4015" w:rsidRPr="00C13F90" w:rsidRDefault="001C4015" w:rsidP="006B0E08">
            <w:pPr>
              <w:pStyle w:val="TableText0"/>
              <w:jc w:val="right"/>
            </w:pPr>
            <w:r w:rsidRPr="00C13F90">
              <w:t>$</w:t>
            </w:r>
            <w:r w:rsidR="00CB6D0C">
              <w:rPr>
                <w:noProof/>
                <w:color w:val="000000"/>
                <w:highlight w:val="black"/>
              </w:rPr>
              <w:t>''''''''''''''''''</w:t>
            </w:r>
            <w:r w:rsidR="00D56664">
              <w:rPr>
                <w:vertAlign w:val="superscript"/>
              </w:rPr>
              <w:t>3</w:t>
            </w:r>
          </w:p>
        </w:tc>
      </w:tr>
      <w:tr w:rsidR="001C4015" w:rsidRPr="00C13F90" w:rsidTr="006A3557">
        <w:trPr>
          <w:jc w:val="center"/>
        </w:trPr>
        <w:tc>
          <w:tcPr>
            <w:tcW w:w="1662" w:type="pct"/>
            <w:shd w:val="clear" w:color="auto" w:fill="auto"/>
            <w:vAlign w:val="center"/>
          </w:tcPr>
          <w:p w:rsidR="001C4015" w:rsidRPr="00C13F90" w:rsidRDefault="001C4015" w:rsidP="001C4015">
            <w:pPr>
              <w:pStyle w:val="TableText0"/>
              <w:rPr>
                <w:vertAlign w:val="superscript"/>
              </w:rPr>
            </w:pPr>
            <w:r w:rsidRPr="00C13F90">
              <w:t>Change to other PBS/RPBS medicines inc. co-payments</w:t>
            </w:r>
            <w:r w:rsidRPr="00C13F90">
              <w:rPr>
                <w:vertAlign w:val="superscript"/>
              </w:rPr>
              <w:t>d</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6"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54" w:type="pct"/>
            <w:shd w:val="clear" w:color="auto" w:fill="auto"/>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c>
          <w:tcPr>
            <w:tcW w:w="563" w:type="pct"/>
            <w:vAlign w:val="center"/>
          </w:tcPr>
          <w:p w:rsidR="001C4015" w:rsidRPr="00C13F90" w:rsidRDefault="001C4015" w:rsidP="006B0E08">
            <w:pPr>
              <w:pStyle w:val="TableText0"/>
              <w:jc w:val="right"/>
              <w:rPr>
                <w:color w:val="000000"/>
              </w:rPr>
            </w:pPr>
            <w:r w:rsidRPr="00C13F90">
              <w:t>-$</w:t>
            </w:r>
            <w:r w:rsidR="00CB6D0C">
              <w:rPr>
                <w:noProof/>
                <w:color w:val="000000"/>
                <w:highlight w:val="black"/>
              </w:rPr>
              <w:t>'''''''''''''''''''''</w:t>
            </w:r>
            <w:r w:rsidR="00D56664">
              <w:rPr>
                <w:vertAlign w:val="superscript"/>
              </w:rPr>
              <w:t>3</w:t>
            </w:r>
          </w:p>
        </w:tc>
      </w:tr>
      <w:tr w:rsidR="0010591E" w:rsidRPr="00C13F90" w:rsidTr="00C7283A">
        <w:trPr>
          <w:jc w:val="center"/>
        </w:trPr>
        <w:tc>
          <w:tcPr>
            <w:tcW w:w="5000" w:type="pct"/>
            <w:gridSpan w:val="7"/>
            <w:shd w:val="clear" w:color="auto" w:fill="auto"/>
            <w:vAlign w:val="center"/>
          </w:tcPr>
          <w:p w:rsidR="0010591E" w:rsidRPr="00C13F90" w:rsidRDefault="0010591E" w:rsidP="00C7283A">
            <w:pPr>
              <w:pStyle w:val="TableText0"/>
              <w:jc w:val="center"/>
              <w:rPr>
                <w:b/>
                <w:color w:val="000000"/>
              </w:rPr>
            </w:pPr>
            <w:r w:rsidRPr="00C13F90">
              <w:rPr>
                <w:b/>
                <w:color w:val="000000"/>
              </w:rPr>
              <w:t>Estimated net financial implications</w:t>
            </w:r>
          </w:p>
        </w:tc>
      </w:tr>
      <w:tr w:rsidR="001C4015" w:rsidRPr="00C13F90" w:rsidTr="006A3557">
        <w:trPr>
          <w:jc w:val="center"/>
        </w:trPr>
        <w:tc>
          <w:tcPr>
            <w:tcW w:w="1662" w:type="pct"/>
            <w:shd w:val="clear" w:color="auto" w:fill="auto"/>
            <w:vAlign w:val="center"/>
          </w:tcPr>
          <w:p w:rsidR="001C4015" w:rsidRPr="00C13F90" w:rsidRDefault="001C4015" w:rsidP="001C4015">
            <w:pPr>
              <w:pStyle w:val="TableText0"/>
              <w:rPr>
                <w:b/>
              </w:rPr>
            </w:pPr>
            <w:r w:rsidRPr="00C13F90">
              <w:rPr>
                <w:b/>
              </w:rPr>
              <w:t>Net cost to PBS/RPBS</w:t>
            </w:r>
          </w:p>
        </w:tc>
        <w:tc>
          <w:tcPr>
            <w:tcW w:w="555" w:type="pct"/>
            <w:shd w:val="clear" w:color="auto" w:fill="auto"/>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c>
          <w:tcPr>
            <w:tcW w:w="556" w:type="pct"/>
            <w:shd w:val="clear" w:color="auto" w:fill="auto"/>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c>
          <w:tcPr>
            <w:tcW w:w="555" w:type="pct"/>
            <w:shd w:val="clear" w:color="auto" w:fill="auto"/>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c>
          <w:tcPr>
            <w:tcW w:w="554" w:type="pct"/>
            <w:shd w:val="clear" w:color="auto" w:fill="auto"/>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c>
          <w:tcPr>
            <w:tcW w:w="563" w:type="pct"/>
            <w:vAlign w:val="center"/>
          </w:tcPr>
          <w:p w:rsidR="001C4015" w:rsidRPr="00C13F90" w:rsidRDefault="001C4015" w:rsidP="001E10A9">
            <w:pPr>
              <w:pStyle w:val="TableText0"/>
              <w:jc w:val="right"/>
              <w:rPr>
                <w:color w:val="000000"/>
              </w:rPr>
            </w:pPr>
            <w:r w:rsidRPr="00C13F90">
              <w:t>-$</w:t>
            </w:r>
            <w:r w:rsidR="00CB6D0C">
              <w:rPr>
                <w:noProof/>
                <w:color w:val="000000"/>
                <w:highlight w:val="black"/>
              </w:rPr>
              <w:t>'''''''''''''</w:t>
            </w:r>
            <w:r w:rsidR="00D56664">
              <w:rPr>
                <w:vertAlign w:val="superscript"/>
              </w:rPr>
              <w:t>3</w:t>
            </w:r>
          </w:p>
        </w:tc>
      </w:tr>
    </w:tbl>
    <w:p w:rsidR="0010591E" w:rsidRPr="00C13F90" w:rsidRDefault="001C4015" w:rsidP="0010591E">
      <w:pPr>
        <w:pStyle w:val="In-tableHeading"/>
        <w:rPr>
          <w:b w:val="0"/>
          <w:lang w:val="en-AU"/>
        </w:rPr>
      </w:pPr>
      <w:r w:rsidRPr="00C13F90">
        <w:rPr>
          <w:b w:val="0"/>
          <w:lang w:val="en-AU"/>
        </w:rPr>
        <w:t>Source: Section 4 Attachment spreadsheet</w:t>
      </w:r>
    </w:p>
    <w:p w:rsidR="001C4015" w:rsidRDefault="001C4015" w:rsidP="0010591E">
      <w:pPr>
        <w:pStyle w:val="In-tableHeading"/>
        <w:rPr>
          <w:b w:val="0"/>
          <w:lang w:val="en-AU"/>
        </w:rPr>
      </w:pPr>
      <w:r w:rsidRPr="00C13F90">
        <w:rPr>
          <w:b w:val="0"/>
          <w:vertAlign w:val="superscript"/>
          <w:lang w:val="en-AU"/>
        </w:rPr>
        <w:t>a</w:t>
      </w:r>
      <w:r w:rsidRPr="00C13F90">
        <w:rPr>
          <w:b w:val="0"/>
          <w:lang w:val="en-AU"/>
        </w:rPr>
        <w:t xml:space="preserve"> Sourced from tab 3a. Scripts – proposed; </w:t>
      </w:r>
      <w:r w:rsidRPr="00C13F90">
        <w:rPr>
          <w:b w:val="0"/>
          <w:vertAlign w:val="superscript"/>
          <w:lang w:val="en-AU"/>
        </w:rPr>
        <w:t>b</w:t>
      </w:r>
      <w:r w:rsidRPr="00C13F90">
        <w:rPr>
          <w:b w:val="0"/>
          <w:lang w:val="en-AU"/>
        </w:rPr>
        <w:t xml:space="preserve"> Sourced from tab 2d. Scripts – market; </w:t>
      </w:r>
      <w:r w:rsidRPr="00C13F90">
        <w:rPr>
          <w:b w:val="0"/>
          <w:vertAlign w:val="superscript"/>
          <w:lang w:val="en-AU"/>
        </w:rPr>
        <w:t>c</w:t>
      </w:r>
      <w:r w:rsidRPr="00C13F90">
        <w:rPr>
          <w:b w:val="0"/>
          <w:lang w:val="en-AU"/>
        </w:rPr>
        <w:t xml:space="preserve"> Sourced from tab 3b. Impact – proposed (pub); </w:t>
      </w:r>
      <w:r w:rsidRPr="00C13F90">
        <w:rPr>
          <w:b w:val="0"/>
          <w:vertAlign w:val="superscript"/>
          <w:lang w:val="en-AU"/>
        </w:rPr>
        <w:t>d</w:t>
      </w:r>
      <w:r w:rsidRPr="00C13F90">
        <w:rPr>
          <w:b w:val="0"/>
          <w:lang w:val="en-AU"/>
        </w:rPr>
        <w:t xml:space="preserve"> Sourced from tab 4b. Impact – affected (pub)</w:t>
      </w:r>
    </w:p>
    <w:p w:rsidR="00C74C67" w:rsidRPr="00D56664" w:rsidRDefault="00C74C67" w:rsidP="0010591E">
      <w:pPr>
        <w:pStyle w:val="In-tableHeading"/>
        <w:rPr>
          <w:b w:val="0"/>
          <w:i/>
          <w:lang w:val="en-AU"/>
        </w:rPr>
      </w:pPr>
      <w:r w:rsidRPr="00D56664">
        <w:rPr>
          <w:b w:val="0"/>
          <w:i/>
          <w:lang w:val="en-AU"/>
        </w:rPr>
        <w:t>The redacted values correspond to the following ranges:</w:t>
      </w:r>
      <w:bookmarkStart w:id="23" w:name="_GoBack"/>
      <w:bookmarkEnd w:id="23"/>
    </w:p>
    <w:p w:rsidR="00C74C67" w:rsidRPr="00D56664" w:rsidRDefault="00C74C67" w:rsidP="0010591E">
      <w:pPr>
        <w:pStyle w:val="In-tableHeading"/>
        <w:rPr>
          <w:b w:val="0"/>
          <w:i/>
          <w:lang w:val="en-AU"/>
        </w:rPr>
      </w:pPr>
      <w:r w:rsidRPr="00D56664">
        <w:rPr>
          <w:b w:val="0"/>
          <w:i/>
          <w:vertAlign w:val="superscript"/>
          <w:lang w:val="en-AU"/>
        </w:rPr>
        <w:t>1</w:t>
      </w:r>
      <w:r w:rsidRPr="00D56664">
        <w:rPr>
          <w:b w:val="0"/>
          <w:i/>
          <w:lang w:val="en-AU"/>
        </w:rPr>
        <w:t xml:space="preserve"> 5,000 to &lt; 10,000</w:t>
      </w:r>
    </w:p>
    <w:p w:rsidR="00C74C67" w:rsidRPr="00D56664" w:rsidRDefault="00C74C67" w:rsidP="0010591E">
      <w:pPr>
        <w:pStyle w:val="In-tableHeading"/>
        <w:rPr>
          <w:b w:val="0"/>
          <w:i/>
          <w:lang w:val="en-AU"/>
        </w:rPr>
      </w:pPr>
      <w:r w:rsidRPr="00D56664">
        <w:rPr>
          <w:b w:val="0"/>
          <w:i/>
          <w:vertAlign w:val="superscript"/>
          <w:lang w:val="en-AU"/>
        </w:rPr>
        <w:t>2</w:t>
      </w:r>
      <w:r w:rsidRPr="00D56664">
        <w:rPr>
          <w:b w:val="0"/>
          <w:i/>
          <w:lang w:val="en-AU"/>
        </w:rPr>
        <w:t xml:space="preserve"> 500 to &lt; 5,000</w:t>
      </w:r>
    </w:p>
    <w:p w:rsidR="00D56664" w:rsidRPr="00D56664" w:rsidRDefault="00D56664" w:rsidP="0010591E">
      <w:pPr>
        <w:pStyle w:val="In-tableHeading"/>
        <w:rPr>
          <w:b w:val="0"/>
          <w:i/>
          <w:lang w:val="en-AU"/>
        </w:rPr>
      </w:pPr>
      <w:r w:rsidRPr="00D56664">
        <w:rPr>
          <w:b w:val="0"/>
          <w:i/>
          <w:vertAlign w:val="superscript"/>
          <w:lang w:val="en-AU"/>
        </w:rPr>
        <w:t>3</w:t>
      </w:r>
      <w:r w:rsidRPr="00D56664">
        <w:rPr>
          <w:b w:val="0"/>
          <w:i/>
          <w:lang w:val="en-AU"/>
        </w:rPr>
        <w:t xml:space="preserve"> $0 to &lt; $10 million</w:t>
      </w:r>
    </w:p>
    <w:p w:rsidR="004D329C" w:rsidRPr="00C13F90" w:rsidRDefault="004D329C" w:rsidP="004D329C">
      <w:pPr>
        <w:pStyle w:val="In-tableHeading"/>
        <w:rPr>
          <w:lang w:val="en-AU"/>
        </w:rPr>
      </w:pPr>
    </w:p>
    <w:p w:rsidR="004D329C" w:rsidRPr="00C13F90" w:rsidRDefault="000902D9" w:rsidP="004D329C">
      <w:pPr>
        <w:pStyle w:val="3-BodyText"/>
      </w:pPr>
      <w:r w:rsidRPr="00C13F90">
        <w:t>The total</w:t>
      </w:r>
      <w:r w:rsidR="00C7283A" w:rsidRPr="00C13F90">
        <w:t xml:space="preserve"> net</w:t>
      </w:r>
      <w:r w:rsidRPr="00C13F90">
        <w:t xml:space="preserve"> cost to the PBS/RPBS of listing</w:t>
      </w:r>
      <w:r w:rsidR="004D329C" w:rsidRPr="00C13F90">
        <w:t xml:space="preserve"> opicapone</w:t>
      </w:r>
      <w:r w:rsidR="00C7283A" w:rsidRPr="00C13F90">
        <w:t xml:space="preserve"> (accounting for changes in entacapone use)</w:t>
      </w:r>
      <w:r w:rsidRPr="00C13F90">
        <w:t xml:space="preserve"> was estimated </w:t>
      </w:r>
      <w:r w:rsidR="00A05C32" w:rsidRPr="00C13F90">
        <w:t>to be</w:t>
      </w:r>
      <w:r w:rsidRPr="00C13F90">
        <w:t xml:space="preserve"> </w:t>
      </w:r>
      <w:r w:rsidR="00C7283A" w:rsidRPr="00C13F90">
        <w:t>less than $</w:t>
      </w:r>
      <w:r w:rsidR="00536AAE">
        <w:t xml:space="preserve">0 to &lt; $10 million </w:t>
      </w:r>
      <w:r w:rsidR="00C7283A" w:rsidRPr="00C13F90">
        <w:t>per year in all of years 1-6.</w:t>
      </w:r>
    </w:p>
    <w:p w:rsidR="0000223F" w:rsidRPr="00C13F90" w:rsidRDefault="004D329C" w:rsidP="0000223F">
      <w:pPr>
        <w:pStyle w:val="3-BodyText"/>
      </w:pPr>
      <w:r w:rsidRPr="00C13F90">
        <w:rPr>
          <w:iCs/>
        </w:rPr>
        <w:t xml:space="preserve">The submission did not </w:t>
      </w:r>
      <w:r w:rsidR="001E10A9" w:rsidRPr="00C13F90">
        <w:rPr>
          <w:iCs/>
        </w:rPr>
        <w:t>consider</w:t>
      </w:r>
      <w:r w:rsidRPr="00C13F90">
        <w:rPr>
          <w:iCs/>
        </w:rPr>
        <w:t xml:space="preserve"> that the overall market for entacapone is dominated by the FDC of levodopa</w:t>
      </w:r>
      <w:r w:rsidR="004837C3" w:rsidRPr="00C13F90">
        <w:rPr>
          <w:iCs/>
        </w:rPr>
        <w:t>/</w:t>
      </w:r>
      <w:r w:rsidRPr="00C13F90">
        <w:rPr>
          <w:iCs/>
        </w:rPr>
        <w:t>carbidopa</w:t>
      </w:r>
      <w:r w:rsidR="004837C3" w:rsidRPr="00C13F90">
        <w:rPr>
          <w:iCs/>
        </w:rPr>
        <w:t>/</w:t>
      </w:r>
      <w:r w:rsidRPr="00C13F90">
        <w:rPr>
          <w:iCs/>
        </w:rPr>
        <w:t xml:space="preserve">entacapone. Based on PBS prescription data, the total number of prescriptions for the FDC with entacapone is close to </w:t>
      </w:r>
      <w:r w:rsidR="00536AAE">
        <w:rPr>
          <w:iCs/>
        </w:rPr>
        <w:t>60,000 to &lt; 70,000</w:t>
      </w:r>
      <w:r w:rsidRPr="00C13F90">
        <w:rPr>
          <w:iCs/>
        </w:rPr>
        <w:t xml:space="preserve"> in 2020. Although clinically it is unlikely that there would be a straight substitution of opic</w:t>
      </w:r>
      <w:r w:rsidR="00124ACE" w:rsidRPr="00C13F90">
        <w:rPr>
          <w:iCs/>
        </w:rPr>
        <w:t>a</w:t>
      </w:r>
      <w:r w:rsidRPr="00C13F90">
        <w:rPr>
          <w:iCs/>
        </w:rPr>
        <w:t>pone plus levodopa</w:t>
      </w:r>
      <w:r w:rsidR="00124ACE" w:rsidRPr="00C13F90">
        <w:rPr>
          <w:iCs/>
        </w:rPr>
        <w:t xml:space="preserve"> for the entacapone</w:t>
      </w:r>
      <w:r w:rsidRPr="00C13F90">
        <w:rPr>
          <w:iCs/>
        </w:rPr>
        <w:t xml:space="preserve"> FDC for a large proportion of this market, it is certainly possible that for some patients</w:t>
      </w:r>
      <w:r w:rsidR="002A4249" w:rsidRPr="00C13F90">
        <w:rPr>
          <w:iCs/>
        </w:rPr>
        <w:t>,</w:t>
      </w:r>
      <w:r w:rsidRPr="00C13F90">
        <w:rPr>
          <w:iCs/>
        </w:rPr>
        <w:t xml:space="preserve"> opicapone may be seen as a reasonable and useful alternative. It is therefore likely that the market for opicapone will be larger than estimated by the submission</w:t>
      </w:r>
      <w:r w:rsidR="00ED4680" w:rsidRPr="00C13F90">
        <w:rPr>
          <w:iCs/>
        </w:rPr>
        <w:t>,</w:t>
      </w:r>
      <w:r w:rsidRPr="00C13F90">
        <w:rPr>
          <w:iCs/>
        </w:rPr>
        <w:t xml:space="preserve"> although it is difficult to predict the </w:t>
      </w:r>
      <w:r w:rsidR="001E10A9" w:rsidRPr="00C13F90">
        <w:rPr>
          <w:iCs/>
        </w:rPr>
        <w:t>size</w:t>
      </w:r>
      <w:r w:rsidRPr="00C13F90">
        <w:rPr>
          <w:iCs/>
        </w:rPr>
        <w:t xml:space="preserve"> of the difference. </w:t>
      </w:r>
    </w:p>
    <w:p w:rsidR="00CC7637" w:rsidRPr="00C13F90" w:rsidRDefault="00CC7637" w:rsidP="0000223F">
      <w:pPr>
        <w:pStyle w:val="3-BodyText"/>
      </w:pPr>
      <w:r w:rsidRPr="00C13F90">
        <w:t xml:space="preserve">The PSCR </w:t>
      </w:r>
      <w:r w:rsidR="00DF765F" w:rsidRPr="00C13F90">
        <w:t>stated</w:t>
      </w:r>
      <w:r w:rsidRPr="00C13F90">
        <w:t xml:space="preserve"> that while it was difficult to predict the extent to which an opicapone-based regimen may replace the FDC, the extent of switching was likely to be impacted by the PBS eligibility requirements for the FDC which require patients to be stable on a concomitant regimen prior to initiation. Further, the PSCR also argued it is unlikely that switching a patient who is stable on the FDC away from a simple regimen was likely to occur widely in practice. The ESC considered these arguments were reasonable, however noted there was also a portion of patients with Parkinson Disease who are entacapone resistant (approximately 20%</w:t>
      </w:r>
      <w:r w:rsidR="005805A1" w:rsidRPr="00C13F90">
        <w:t>, per the TGA CER</w:t>
      </w:r>
      <w:r w:rsidRPr="00C13F90">
        <w:t xml:space="preserve">) who may be untreated with entacapone and not captured in the </w:t>
      </w:r>
      <w:r w:rsidR="001E10A9" w:rsidRPr="00C13F90">
        <w:t>market</w:t>
      </w:r>
      <w:r w:rsidR="001E10A9">
        <w:t>-</w:t>
      </w:r>
      <w:r w:rsidRPr="00C13F90">
        <w:t>share analysis.</w:t>
      </w:r>
      <w:r w:rsidR="00DF765F" w:rsidRPr="00C13F90">
        <w:t xml:space="preserve"> Therefore, the ESC considered the utilisation of opicapone may be underestimated.</w:t>
      </w:r>
      <w:r w:rsidR="0012320B" w:rsidRPr="00C13F90">
        <w:t xml:space="preserve"> The Pre-PBAC Response acknowledged these uncertainties with the utilisation and financial estimates, however reiterated the sponsor’s view that these are unlikely to have a major impact on the utilisation of opicapone on the PBS.</w:t>
      </w:r>
    </w:p>
    <w:p w:rsidR="004F6D58" w:rsidRPr="00C13F90" w:rsidRDefault="004F6D58" w:rsidP="004F6D58">
      <w:pPr>
        <w:ind w:firstLine="709"/>
        <w:rPr>
          <w:rFonts w:asciiTheme="minorHAnsi" w:hAnsiTheme="minorHAnsi"/>
          <w:i/>
        </w:rPr>
      </w:pPr>
      <w:r w:rsidRPr="00C13F90">
        <w:rPr>
          <w:rFonts w:asciiTheme="minorHAnsi" w:hAnsiTheme="minorHAnsi"/>
          <w:i/>
        </w:rPr>
        <w:t>For more detail on PBAC’s view, see section 7 PBAC outcome.</w:t>
      </w:r>
    </w:p>
    <w:p w:rsidR="00EA226A" w:rsidRPr="00C13F90" w:rsidRDefault="00EA226A" w:rsidP="004F6D58">
      <w:pPr>
        <w:ind w:firstLine="709"/>
        <w:rPr>
          <w:rFonts w:asciiTheme="minorHAnsi" w:hAnsiTheme="minorHAnsi"/>
          <w:i/>
        </w:rPr>
      </w:pPr>
    </w:p>
    <w:p w:rsidR="00EA226A" w:rsidRPr="00C13F90" w:rsidRDefault="00EA226A" w:rsidP="00312E4A">
      <w:pPr>
        <w:keepNext/>
        <w:widowControl w:val="0"/>
        <w:numPr>
          <w:ilvl w:val="0"/>
          <w:numId w:val="1"/>
        </w:numPr>
        <w:spacing w:before="240" w:after="120"/>
        <w:outlineLvl w:val="0"/>
        <w:rPr>
          <w:rFonts w:asciiTheme="minorHAnsi" w:hAnsiTheme="minorHAnsi"/>
          <w:b/>
          <w:bCs/>
          <w:snapToGrid w:val="0"/>
          <w:sz w:val="32"/>
        </w:rPr>
      </w:pPr>
      <w:r w:rsidRPr="00C13F90">
        <w:rPr>
          <w:rFonts w:asciiTheme="minorHAnsi" w:hAnsiTheme="minorHAnsi"/>
          <w:b/>
          <w:bCs/>
          <w:snapToGrid w:val="0"/>
          <w:sz w:val="32"/>
        </w:rPr>
        <w:t>PBAC Outcome</w:t>
      </w:r>
    </w:p>
    <w:p w:rsidR="00EA226A" w:rsidRPr="00C13F90" w:rsidRDefault="00EA226A"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recommended</w:t>
      </w:r>
      <w:r w:rsidR="0012320B" w:rsidRPr="00C13F90">
        <w:rPr>
          <w:rFonts w:asciiTheme="minorHAnsi" w:hAnsiTheme="minorHAnsi"/>
          <w:bCs/>
          <w:snapToGrid w:val="0"/>
        </w:rPr>
        <w:t xml:space="preserve"> </w:t>
      </w:r>
      <w:r w:rsidR="00E71F9F" w:rsidRPr="00C13F90">
        <w:rPr>
          <w:rFonts w:asciiTheme="minorHAnsi" w:hAnsiTheme="minorHAnsi"/>
          <w:bCs/>
          <w:snapToGrid w:val="0"/>
        </w:rPr>
        <w:t xml:space="preserve">listing opicapone as a </w:t>
      </w:r>
      <w:r w:rsidR="0012320B" w:rsidRPr="00C13F90">
        <w:rPr>
          <w:rFonts w:asciiTheme="minorHAnsi" w:hAnsiTheme="minorHAnsi"/>
          <w:bCs/>
          <w:snapToGrid w:val="0"/>
        </w:rPr>
        <w:t>General Schedule Restricted Benefit</w:t>
      </w:r>
      <w:r w:rsidRPr="00C13F90">
        <w:rPr>
          <w:rFonts w:asciiTheme="minorHAnsi" w:hAnsiTheme="minorHAnsi"/>
          <w:bCs/>
          <w:snapToGrid w:val="0"/>
        </w:rPr>
        <w:t xml:space="preserve"> </w:t>
      </w:r>
      <w:r w:rsidR="0012320B" w:rsidRPr="00C13F90">
        <w:rPr>
          <w:rFonts w:asciiTheme="minorHAnsi" w:hAnsiTheme="minorHAnsi"/>
          <w:bCs/>
          <w:snapToGrid w:val="0"/>
        </w:rPr>
        <w:t xml:space="preserve">for </w:t>
      </w:r>
      <w:r w:rsidR="00E71F9F" w:rsidRPr="00C13F90">
        <w:rPr>
          <w:rFonts w:asciiTheme="minorHAnsi" w:hAnsiTheme="minorHAnsi"/>
          <w:bCs/>
          <w:snapToGrid w:val="0"/>
        </w:rPr>
        <w:t xml:space="preserve">Parkinson disease, with the same circumstances of use as entacapone, </w:t>
      </w:r>
      <w:r w:rsidR="0012320B" w:rsidRPr="00C13F90">
        <w:rPr>
          <w:rFonts w:asciiTheme="minorHAnsi" w:hAnsiTheme="minorHAnsi"/>
          <w:bCs/>
          <w:snapToGrid w:val="0"/>
        </w:rPr>
        <w:t xml:space="preserve">on a </w:t>
      </w:r>
      <w:r w:rsidR="006B0E08">
        <w:rPr>
          <w:rFonts w:asciiTheme="minorHAnsi" w:hAnsiTheme="minorHAnsi"/>
          <w:bCs/>
          <w:snapToGrid w:val="0"/>
        </w:rPr>
        <w:t>cost-minimisation</w:t>
      </w:r>
      <w:r w:rsidR="0012320B" w:rsidRPr="00C13F90">
        <w:rPr>
          <w:rFonts w:asciiTheme="minorHAnsi" w:hAnsiTheme="minorHAnsi"/>
          <w:bCs/>
          <w:snapToGrid w:val="0"/>
        </w:rPr>
        <w:t xml:space="preserve"> basis with entacapone.</w:t>
      </w:r>
    </w:p>
    <w:p w:rsidR="00EA226A" w:rsidRPr="00C13F90" w:rsidRDefault="0012320B"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advised the equi-effective doses are opicapone 49.2</w:t>
      </w:r>
      <w:r w:rsidR="00E54B71" w:rsidRPr="00C13F90">
        <w:rPr>
          <w:rFonts w:asciiTheme="minorHAnsi" w:hAnsiTheme="minorHAnsi"/>
          <w:bCs/>
          <w:snapToGrid w:val="0"/>
        </w:rPr>
        <w:t xml:space="preserve"> </w:t>
      </w:r>
      <w:r w:rsidRPr="00C13F90">
        <w:rPr>
          <w:rFonts w:asciiTheme="minorHAnsi" w:hAnsiTheme="minorHAnsi"/>
          <w:bCs/>
          <w:snapToGrid w:val="0"/>
        </w:rPr>
        <w:t>mg once daily = entacapone 856</w:t>
      </w:r>
      <w:r w:rsidR="00E54B71" w:rsidRPr="00C13F90">
        <w:rPr>
          <w:rFonts w:asciiTheme="minorHAnsi" w:hAnsiTheme="minorHAnsi"/>
          <w:bCs/>
          <w:snapToGrid w:val="0"/>
        </w:rPr>
        <w:t xml:space="preserve"> </w:t>
      </w:r>
      <w:r w:rsidRPr="00C13F90">
        <w:rPr>
          <w:rFonts w:asciiTheme="minorHAnsi" w:hAnsiTheme="minorHAnsi"/>
          <w:bCs/>
          <w:snapToGrid w:val="0"/>
        </w:rPr>
        <w:t>mg daily (given as divided doses with each L-dopa dose).</w:t>
      </w:r>
    </w:p>
    <w:p w:rsidR="00EA226A" w:rsidRPr="00C13F90" w:rsidRDefault="0012320B" w:rsidP="002B038D">
      <w:pPr>
        <w:pStyle w:val="3-BodyText"/>
      </w:pPr>
      <w:r w:rsidRPr="00C13F90">
        <w:t xml:space="preserve">The Committee acknowledged there was a moderate clinical need for additional </w:t>
      </w:r>
      <w:r w:rsidR="002B038D" w:rsidRPr="00C13F90">
        <w:t>therapeutic options to manage</w:t>
      </w:r>
      <w:r w:rsidR="008D6036" w:rsidRPr="00C13F90">
        <w:t xml:space="preserve"> end-of-dose motor fluctuations, as</w:t>
      </w:r>
      <w:r w:rsidR="002B038D" w:rsidRPr="00C13F90">
        <w:t xml:space="preserve"> entacapone </w:t>
      </w:r>
      <w:r w:rsidR="00E71F9F" w:rsidRPr="00C13F90">
        <w:t>i</w:t>
      </w:r>
      <w:r w:rsidR="002B038D" w:rsidRPr="00C13F90">
        <w:t xml:space="preserve">s the only </w:t>
      </w:r>
      <w:r w:rsidR="002B038D" w:rsidRPr="00C13F90">
        <w:rPr>
          <w:bCs/>
        </w:rPr>
        <w:t>catechol-o-methyl transferase (COMT) inhibitor currently on the PBS for this indication and there is a cohort of patients who are resistant to entacapone therapy.</w:t>
      </w:r>
    </w:p>
    <w:p w:rsidR="00EA226A" w:rsidRPr="00C13F90" w:rsidRDefault="002B038D"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considered the nominated compar</w:t>
      </w:r>
      <w:r w:rsidR="005162AB" w:rsidRPr="00C13F90">
        <w:rPr>
          <w:rFonts w:asciiTheme="minorHAnsi" w:hAnsiTheme="minorHAnsi"/>
          <w:bCs/>
          <w:snapToGrid w:val="0"/>
        </w:rPr>
        <w:t xml:space="preserve">ator of entacapone </w:t>
      </w:r>
      <w:r w:rsidRPr="00C13F90">
        <w:rPr>
          <w:rFonts w:asciiTheme="minorHAnsi" w:hAnsiTheme="minorHAnsi"/>
          <w:bCs/>
          <w:snapToGrid w:val="0"/>
        </w:rPr>
        <w:t>was reasonable.</w:t>
      </w:r>
    </w:p>
    <w:p w:rsidR="00EA226A" w:rsidRPr="00C13F90" w:rsidRDefault="002B038D"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noted the BIPARK I study was a small, well condu</w:t>
      </w:r>
      <w:r w:rsidR="005162AB" w:rsidRPr="00C13F90">
        <w:rPr>
          <w:rFonts w:asciiTheme="minorHAnsi" w:hAnsiTheme="minorHAnsi"/>
          <w:bCs/>
          <w:snapToGrid w:val="0"/>
        </w:rPr>
        <w:t>cted study comparing opicapone (5</w:t>
      </w:r>
      <w:r w:rsidR="001E10A9" w:rsidRPr="00C13F90">
        <w:t> </w:t>
      </w:r>
      <w:r w:rsidR="005162AB" w:rsidRPr="00C13F90">
        <w:rPr>
          <w:rFonts w:asciiTheme="minorHAnsi" w:hAnsiTheme="minorHAnsi"/>
          <w:bCs/>
          <w:snapToGrid w:val="0"/>
        </w:rPr>
        <w:t>mg, 25</w:t>
      </w:r>
      <w:r w:rsidR="001E10A9" w:rsidRPr="00C13F90">
        <w:t> </w:t>
      </w:r>
      <w:r w:rsidR="005162AB" w:rsidRPr="00C13F90">
        <w:rPr>
          <w:rFonts w:asciiTheme="minorHAnsi" w:hAnsiTheme="minorHAnsi"/>
          <w:bCs/>
          <w:snapToGrid w:val="0"/>
        </w:rPr>
        <w:t>mg and 50</w:t>
      </w:r>
      <w:r w:rsidR="001E10A9" w:rsidRPr="00C13F90">
        <w:t> </w:t>
      </w:r>
      <w:r w:rsidR="005162AB" w:rsidRPr="00C13F90">
        <w:rPr>
          <w:rFonts w:asciiTheme="minorHAnsi" w:hAnsiTheme="minorHAnsi"/>
          <w:bCs/>
          <w:snapToGrid w:val="0"/>
        </w:rPr>
        <w:t>mg daily)</w:t>
      </w:r>
      <w:r w:rsidRPr="00C13F90">
        <w:rPr>
          <w:rFonts w:asciiTheme="minorHAnsi" w:hAnsiTheme="minorHAnsi"/>
          <w:bCs/>
          <w:snapToGrid w:val="0"/>
        </w:rPr>
        <w:t xml:space="preserve"> to entacapone and placebo and also noted PBS listing was only being sought for the 50</w:t>
      </w:r>
      <w:r w:rsidR="001E10A9" w:rsidRPr="00C13F90">
        <w:t> </w:t>
      </w:r>
      <w:r w:rsidRPr="00C13F90">
        <w:rPr>
          <w:rFonts w:asciiTheme="minorHAnsi" w:hAnsiTheme="minorHAnsi"/>
          <w:bCs/>
          <w:snapToGrid w:val="0"/>
        </w:rPr>
        <w:t>mg dose of opicapone. Based on the evidence presented, the PBAC was satisfied that opicapone 50</w:t>
      </w:r>
      <w:r w:rsidR="001E10A9" w:rsidRPr="00C13F90">
        <w:t> </w:t>
      </w:r>
      <w:r w:rsidRPr="00C13F90">
        <w:rPr>
          <w:rFonts w:asciiTheme="minorHAnsi" w:hAnsiTheme="minorHAnsi"/>
          <w:bCs/>
          <w:snapToGrid w:val="0"/>
        </w:rPr>
        <w:t>mg once daily was of non-inferior comparative safety and efficacy to ent</w:t>
      </w:r>
      <w:r w:rsidR="005162AB" w:rsidRPr="00C13F90">
        <w:rPr>
          <w:rFonts w:asciiTheme="minorHAnsi" w:hAnsiTheme="minorHAnsi"/>
          <w:bCs/>
          <w:snapToGrid w:val="0"/>
        </w:rPr>
        <w:t>acapone 200</w:t>
      </w:r>
      <w:r w:rsidR="001E10A9" w:rsidRPr="00C13F90">
        <w:t> </w:t>
      </w:r>
      <w:r w:rsidR="005162AB" w:rsidRPr="00C13F90">
        <w:rPr>
          <w:rFonts w:asciiTheme="minorHAnsi" w:hAnsiTheme="minorHAnsi"/>
          <w:bCs/>
          <w:snapToGrid w:val="0"/>
        </w:rPr>
        <w:t>mg given with each L</w:t>
      </w:r>
      <w:r w:rsidR="005162AB" w:rsidRPr="00C13F90">
        <w:rPr>
          <w:rFonts w:asciiTheme="minorHAnsi" w:hAnsiTheme="minorHAnsi"/>
          <w:bCs/>
          <w:snapToGrid w:val="0"/>
        </w:rPr>
        <w:noBreakHyphen/>
      </w:r>
      <w:r w:rsidRPr="00C13F90">
        <w:rPr>
          <w:rFonts w:asciiTheme="minorHAnsi" w:hAnsiTheme="minorHAnsi"/>
          <w:bCs/>
          <w:snapToGrid w:val="0"/>
        </w:rPr>
        <w:t>dopa dose.</w:t>
      </w:r>
    </w:p>
    <w:p w:rsidR="00EA226A" w:rsidRPr="00C13F90" w:rsidRDefault="002B038D"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 xml:space="preserve">The </w:t>
      </w:r>
      <w:r w:rsidR="00624F85" w:rsidRPr="00C13F90">
        <w:rPr>
          <w:rFonts w:asciiTheme="minorHAnsi" w:hAnsiTheme="minorHAnsi"/>
          <w:bCs/>
          <w:snapToGrid w:val="0"/>
        </w:rPr>
        <w:t>Committee</w:t>
      </w:r>
      <w:r w:rsidRPr="00C13F90">
        <w:rPr>
          <w:rFonts w:asciiTheme="minorHAnsi" w:hAnsiTheme="minorHAnsi"/>
          <w:bCs/>
          <w:snapToGrid w:val="0"/>
        </w:rPr>
        <w:t xml:space="preserve"> considered structure of the cost</w:t>
      </w:r>
      <w:r w:rsidR="00E71F9F" w:rsidRPr="00C13F90">
        <w:rPr>
          <w:rFonts w:asciiTheme="minorHAnsi" w:hAnsiTheme="minorHAnsi"/>
          <w:bCs/>
          <w:snapToGrid w:val="0"/>
        </w:rPr>
        <w:t>-</w:t>
      </w:r>
      <w:r w:rsidRPr="00C13F90">
        <w:rPr>
          <w:rFonts w:asciiTheme="minorHAnsi" w:hAnsiTheme="minorHAnsi"/>
          <w:bCs/>
          <w:snapToGrid w:val="0"/>
        </w:rPr>
        <w:t>minimisation analysis was reasonable, however agreed with the ESC and considered the equi-effective doses should be based on the mean doses in the BIPARK I trial, with an adjustment to remove the outlier dose of 7</w:t>
      </w:r>
      <w:r w:rsidR="001E10A9">
        <w:rPr>
          <w:rFonts w:asciiTheme="minorHAnsi" w:hAnsiTheme="minorHAnsi"/>
          <w:bCs/>
          <w:snapToGrid w:val="0"/>
        </w:rPr>
        <w:t>,</w:t>
      </w:r>
      <w:r w:rsidRPr="00C13F90">
        <w:rPr>
          <w:rFonts w:asciiTheme="minorHAnsi" w:hAnsiTheme="minorHAnsi"/>
          <w:bCs/>
          <w:snapToGrid w:val="0"/>
        </w:rPr>
        <w:t>069</w:t>
      </w:r>
      <w:r w:rsidR="00E54B71" w:rsidRPr="00C13F90">
        <w:rPr>
          <w:rFonts w:asciiTheme="minorHAnsi" w:hAnsiTheme="minorHAnsi"/>
          <w:bCs/>
          <w:snapToGrid w:val="0"/>
        </w:rPr>
        <w:t> </w:t>
      </w:r>
      <w:r w:rsidRPr="00C13F90">
        <w:rPr>
          <w:rFonts w:asciiTheme="minorHAnsi" w:hAnsiTheme="minorHAnsi"/>
          <w:bCs/>
          <w:snapToGrid w:val="0"/>
        </w:rPr>
        <w:t>mg daily from the mean calculation in the entacapone arm. The Committee noted the adjusted mean dose of entacapone was 856</w:t>
      </w:r>
      <w:r w:rsidR="00E54B71" w:rsidRPr="00C13F90">
        <w:rPr>
          <w:rFonts w:asciiTheme="minorHAnsi" w:hAnsiTheme="minorHAnsi"/>
          <w:bCs/>
          <w:snapToGrid w:val="0"/>
        </w:rPr>
        <w:t> </w:t>
      </w:r>
      <w:r w:rsidRPr="00C13F90">
        <w:rPr>
          <w:rFonts w:asciiTheme="minorHAnsi" w:hAnsiTheme="minorHAnsi"/>
          <w:bCs/>
          <w:snapToGrid w:val="0"/>
        </w:rPr>
        <w:t>mg daily and considered this was reasonable.</w:t>
      </w:r>
    </w:p>
    <w:p w:rsidR="00EA226A" w:rsidRPr="00C13F90" w:rsidRDefault="00B907E0" w:rsidP="00EA226A">
      <w:pPr>
        <w:widowControl w:val="0"/>
        <w:numPr>
          <w:ilvl w:val="1"/>
          <w:numId w:val="1"/>
        </w:numPr>
        <w:spacing w:after="120"/>
      </w:pPr>
      <w:r w:rsidRPr="00C13F90">
        <w:rPr>
          <w:rFonts w:asciiTheme="minorHAnsi" w:hAnsiTheme="minorHAnsi"/>
          <w:bCs/>
          <w:snapToGrid w:val="0"/>
        </w:rPr>
        <w:t>The PBAC agreed with the ESC and considered the likely utilisation of opicapone was uncertain due to the</w:t>
      </w:r>
      <w:r w:rsidR="002F698F" w:rsidRPr="00C13F90">
        <w:rPr>
          <w:rFonts w:asciiTheme="minorHAnsi" w:hAnsiTheme="minorHAnsi"/>
          <w:bCs/>
          <w:snapToGrid w:val="0"/>
        </w:rPr>
        <w:t xml:space="preserve"> market</w:t>
      </w:r>
      <w:r w:rsidRPr="00C13F90">
        <w:rPr>
          <w:rFonts w:asciiTheme="minorHAnsi" w:hAnsiTheme="minorHAnsi"/>
          <w:bCs/>
          <w:snapToGrid w:val="0"/>
        </w:rPr>
        <w:t xml:space="preserve"> dominance of the L-dopa/carbidopa/entacapone fixed dose combination (FDC) </w:t>
      </w:r>
      <w:r w:rsidR="00275E85" w:rsidRPr="00C13F90">
        <w:rPr>
          <w:rFonts w:asciiTheme="minorHAnsi" w:hAnsiTheme="minorHAnsi"/>
          <w:bCs/>
          <w:snapToGrid w:val="0"/>
        </w:rPr>
        <w:t>and it was unclear what proportion of the FDC market opicapone may capture</w:t>
      </w:r>
      <w:r w:rsidRPr="00C13F90">
        <w:rPr>
          <w:rFonts w:asciiTheme="minorHAnsi" w:hAnsiTheme="minorHAnsi"/>
          <w:bCs/>
          <w:snapToGrid w:val="0"/>
        </w:rPr>
        <w:t>. Furthermore, the PBAC also noted that a proportion of the population is resistant to entacapone and considered some patients may also be treated with opicapone.</w:t>
      </w:r>
      <w:r w:rsidR="00B11C4A" w:rsidRPr="00C13F90">
        <w:rPr>
          <w:rFonts w:asciiTheme="minorHAnsi" w:hAnsiTheme="minorHAnsi"/>
          <w:bCs/>
          <w:snapToGrid w:val="0"/>
        </w:rPr>
        <w:t xml:space="preserve"> </w:t>
      </w:r>
      <w:r w:rsidR="00E54B71" w:rsidRPr="00C13F90">
        <w:rPr>
          <w:rFonts w:asciiTheme="minorHAnsi" w:hAnsiTheme="minorHAnsi"/>
          <w:bCs/>
          <w:snapToGrid w:val="0"/>
        </w:rPr>
        <w:t xml:space="preserve">However, </w:t>
      </w:r>
      <w:r w:rsidR="001E10A9" w:rsidRPr="00C13F90">
        <w:rPr>
          <w:rFonts w:asciiTheme="minorHAnsi" w:hAnsiTheme="minorHAnsi"/>
          <w:bCs/>
          <w:snapToGrid w:val="0"/>
        </w:rPr>
        <w:t>overall</w:t>
      </w:r>
      <w:r w:rsidR="00B11C4A" w:rsidRPr="00C13F90">
        <w:rPr>
          <w:rFonts w:asciiTheme="minorHAnsi" w:hAnsiTheme="minorHAnsi"/>
          <w:bCs/>
          <w:snapToGrid w:val="0"/>
        </w:rPr>
        <w:t xml:space="preserve">, the PBAC considered </w:t>
      </w:r>
      <w:r w:rsidR="002F698F" w:rsidRPr="00C13F90">
        <w:rPr>
          <w:rFonts w:asciiTheme="minorHAnsi" w:hAnsiTheme="minorHAnsi"/>
          <w:bCs/>
          <w:snapToGrid w:val="0"/>
        </w:rPr>
        <w:t>the utilisation and financial risks associated with these uncertainties was likely to be low.</w:t>
      </w:r>
    </w:p>
    <w:p w:rsidR="00EA226A" w:rsidRPr="00C13F90" w:rsidRDefault="00EA226A" w:rsidP="00B11C4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w:t>
      </w:r>
      <w:r w:rsidR="00B11C4A" w:rsidRPr="00C13F90">
        <w:rPr>
          <w:rFonts w:asciiTheme="minorHAnsi" w:hAnsiTheme="minorHAnsi"/>
          <w:bCs/>
          <w:snapToGrid w:val="0"/>
        </w:rPr>
        <w:t xml:space="preserve"> advised</w:t>
      </w:r>
      <w:r w:rsidRPr="00C13F90">
        <w:rPr>
          <w:rFonts w:asciiTheme="minorHAnsi" w:hAnsiTheme="minorHAnsi"/>
          <w:bCs/>
          <w:snapToGrid w:val="0"/>
        </w:rPr>
        <w:t xml:space="preserve"> tha</w:t>
      </w:r>
      <w:r w:rsidR="00B11C4A" w:rsidRPr="00C13F90">
        <w:rPr>
          <w:rFonts w:asciiTheme="minorHAnsi" w:hAnsiTheme="minorHAnsi"/>
          <w:bCs/>
          <w:snapToGrid w:val="0"/>
        </w:rPr>
        <w:t>t</w:t>
      </w:r>
      <w:r w:rsidR="00F703C9">
        <w:rPr>
          <w:rFonts w:asciiTheme="minorHAnsi" w:hAnsiTheme="minorHAnsi"/>
          <w:bCs/>
          <w:snapToGrid w:val="0"/>
        </w:rPr>
        <w:t xml:space="preserve">, under Section 101(3BA) of the </w:t>
      </w:r>
      <w:r w:rsidR="00F703C9">
        <w:rPr>
          <w:rFonts w:asciiTheme="minorHAnsi" w:hAnsiTheme="minorHAnsi"/>
          <w:bCs/>
          <w:i/>
          <w:iCs/>
          <w:snapToGrid w:val="0"/>
        </w:rPr>
        <w:t>National Health Act 1953</w:t>
      </w:r>
      <w:r w:rsidR="00F703C9">
        <w:rPr>
          <w:rFonts w:asciiTheme="minorHAnsi" w:hAnsiTheme="minorHAnsi"/>
          <w:bCs/>
          <w:snapToGrid w:val="0"/>
        </w:rPr>
        <w:t>, that</w:t>
      </w:r>
      <w:r w:rsidR="00B11C4A" w:rsidRPr="00C13F90">
        <w:rPr>
          <w:rFonts w:asciiTheme="minorHAnsi" w:hAnsiTheme="minorHAnsi"/>
          <w:bCs/>
          <w:snapToGrid w:val="0"/>
        </w:rPr>
        <w:t xml:space="preserve"> opicapone</w:t>
      </w:r>
      <w:r w:rsidRPr="00C13F90">
        <w:rPr>
          <w:rFonts w:asciiTheme="minorHAnsi" w:hAnsiTheme="minorHAnsi"/>
          <w:bCs/>
          <w:snapToGrid w:val="0"/>
        </w:rPr>
        <w:t xml:space="preserve"> should be treated as interchangeable on an individual patient basis with </w:t>
      </w:r>
      <w:r w:rsidR="00B11C4A" w:rsidRPr="00C13F90">
        <w:rPr>
          <w:rFonts w:asciiTheme="minorHAnsi" w:hAnsiTheme="minorHAnsi"/>
          <w:bCs/>
          <w:snapToGrid w:val="0"/>
        </w:rPr>
        <w:t xml:space="preserve">entacapone. </w:t>
      </w:r>
    </w:p>
    <w:p w:rsidR="00EA226A" w:rsidRPr="00C13F90" w:rsidRDefault="00EA226A"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 xml:space="preserve">The PBAC advised that </w:t>
      </w:r>
      <w:r w:rsidR="00B11C4A" w:rsidRPr="00C13F90">
        <w:rPr>
          <w:rFonts w:asciiTheme="minorHAnsi" w:hAnsiTheme="minorHAnsi"/>
          <w:bCs/>
          <w:snapToGrid w:val="0"/>
        </w:rPr>
        <w:t>opicapone</w:t>
      </w:r>
      <w:r w:rsidRPr="00C13F90">
        <w:rPr>
          <w:rFonts w:asciiTheme="minorHAnsi" w:hAnsiTheme="minorHAnsi"/>
          <w:bCs/>
          <w:snapToGrid w:val="0"/>
        </w:rPr>
        <w:t xml:space="preserve"> is suitable for presc</w:t>
      </w:r>
      <w:r w:rsidR="00B11C4A" w:rsidRPr="00C13F90">
        <w:rPr>
          <w:rFonts w:asciiTheme="minorHAnsi" w:hAnsiTheme="minorHAnsi"/>
          <w:bCs/>
          <w:snapToGrid w:val="0"/>
        </w:rPr>
        <w:t>ribing by nurse practitioners, consistent with the listing of entacapone.</w:t>
      </w:r>
    </w:p>
    <w:p w:rsidR="00EA226A" w:rsidRPr="00C13F90" w:rsidRDefault="00EA226A" w:rsidP="00EA226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recommended that the Early Supply Rule should</w:t>
      </w:r>
      <w:r w:rsidR="00B11C4A" w:rsidRPr="00C13F90">
        <w:rPr>
          <w:rFonts w:asciiTheme="minorHAnsi" w:hAnsiTheme="minorHAnsi"/>
          <w:bCs/>
          <w:snapToGrid w:val="0"/>
        </w:rPr>
        <w:t xml:space="preserve"> apply.</w:t>
      </w:r>
    </w:p>
    <w:p w:rsidR="00EA226A" w:rsidRPr="00C13F90" w:rsidRDefault="00EA226A" w:rsidP="00B11C4A">
      <w:pPr>
        <w:widowControl w:val="0"/>
        <w:numPr>
          <w:ilvl w:val="1"/>
          <w:numId w:val="1"/>
        </w:numPr>
        <w:spacing w:after="120"/>
        <w:rPr>
          <w:rFonts w:asciiTheme="minorHAnsi" w:hAnsiTheme="minorHAnsi"/>
          <w:bCs/>
          <w:snapToGrid w:val="0"/>
        </w:rPr>
      </w:pPr>
      <w:r w:rsidRPr="00C13F90">
        <w:rPr>
          <w:rFonts w:asciiTheme="minorHAnsi" w:hAnsiTheme="minorHAnsi"/>
          <w:bCs/>
          <w:snapToGrid w:val="0"/>
        </w:rPr>
        <w:t>The PBAC noted that its recommendation was on a cost-minimisation basis and advised that,</w:t>
      </w:r>
      <w:r w:rsidR="00BD7AF0" w:rsidRPr="00C13F90">
        <w:rPr>
          <w:rFonts w:asciiTheme="minorHAnsi" w:hAnsiTheme="minorHAnsi"/>
          <w:bCs/>
          <w:snapToGrid w:val="0"/>
        </w:rPr>
        <w:t xml:space="preserve"> as</w:t>
      </w:r>
      <w:r w:rsidRPr="00C13F90">
        <w:rPr>
          <w:rFonts w:asciiTheme="minorHAnsi" w:hAnsiTheme="minorHAnsi"/>
          <w:bCs/>
          <w:snapToGrid w:val="0"/>
        </w:rPr>
        <w:t xml:space="preserve"> </w:t>
      </w:r>
      <w:r w:rsidR="00B11C4A" w:rsidRPr="00C13F90">
        <w:rPr>
          <w:rFonts w:asciiTheme="minorHAnsi" w:hAnsiTheme="minorHAnsi"/>
          <w:bCs/>
          <w:snapToGrid w:val="0"/>
        </w:rPr>
        <w:t>opicapone</w:t>
      </w:r>
      <w:r w:rsidRPr="00C13F90">
        <w:rPr>
          <w:rFonts w:asciiTheme="minorHAnsi" w:hAnsiTheme="minorHAnsi"/>
          <w:bCs/>
          <w:snapToGrid w:val="0"/>
        </w:rPr>
        <w:t xml:space="preserve"> is not expected to provide a substantial and clinically relevant improvement in efficacy, or reduction of toxicity, ove</w:t>
      </w:r>
      <w:r w:rsidR="00B11C4A" w:rsidRPr="00C13F90">
        <w:rPr>
          <w:rFonts w:asciiTheme="minorHAnsi" w:hAnsiTheme="minorHAnsi"/>
          <w:bCs/>
          <w:snapToGrid w:val="0"/>
        </w:rPr>
        <w:t>r entacapone</w:t>
      </w:r>
      <w:r w:rsidRPr="00C13F90">
        <w:rPr>
          <w:rFonts w:asciiTheme="minorHAnsi" w:hAnsiTheme="minorHAnsi"/>
          <w:bCs/>
          <w:snapToGrid w:val="0"/>
        </w:rPr>
        <w:t xml:space="preserve">, or not expected to address a high and urgent unmet clinical need given the presence of an alternative therapy, the criteria prescribed by the </w:t>
      </w:r>
      <w:r w:rsidRPr="00C13F90">
        <w:rPr>
          <w:rFonts w:asciiTheme="minorHAnsi" w:hAnsiTheme="minorHAnsi"/>
          <w:bCs/>
          <w:i/>
          <w:iCs/>
          <w:snapToGrid w:val="0"/>
        </w:rPr>
        <w:t xml:space="preserve">National Health (Pharmaceuticals and Vaccines – Cost Recovery) Regulations 2009 </w:t>
      </w:r>
      <w:r w:rsidRPr="00C13F90">
        <w:rPr>
          <w:rFonts w:asciiTheme="minorHAnsi" w:hAnsiTheme="minorHAnsi"/>
          <w:bCs/>
          <w:snapToGrid w:val="0"/>
        </w:rPr>
        <w:t>for Pricing Pathway A were not met.</w:t>
      </w:r>
    </w:p>
    <w:p w:rsidR="00C477B4" w:rsidRDefault="00EA226A" w:rsidP="00C477B4">
      <w:pPr>
        <w:widowControl w:val="0"/>
        <w:numPr>
          <w:ilvl w:val="1"/>
          <w:numId w:val="1"/>
        </w:numPr>
        <w:spacing w:after="120"/>
        <w:rPr>
          <w:rFonts w:asciiTheme="minorHAnsi" w:hAnsiTheme="minorHAnsi"/>
          <w:bCs/>
          <w:i/>
          <w:snapToGrid w:val="0"/>
        </w:rPr>
      </w:pPr>
      <w:r w:rsidRPr="00C13F90">
        <w:rPr>
          <w:rFonts w:asciiTheme="minorHAnsi" w:hAnsiTheme="minorHAnsi"/>
          <w:bCs/>
          <w:snapToGrid w:val="0"/>
        </w:rPr>
        <w:t>The PBA</w:t>
      </w:r>
      <w:r w:rsidR="00B11C4A" w:rsidRPr="00C13F90">
        <w:rPr>
          <w:rFonts w:asciiTheme="minorHAnsi" w:hAnsiTheme="minorHAnsi"/>
          <w:bCs/>
          <w:snapToGrid w:val="0"/>
        </w:rPr>
        <w:t xml:space="preserve">C noted that this submission </w:t>
      </w:r>
      <w:r w:rsidRPr="00C13F90">
        <w:rPr>
          <w:rFonts w:asciiTheme="minorHAnsi" w:hAnsiTheme="minorHAnsi"/>
          <w:bCs/>
          <w:snapToGrid w:val="0"/>
        </w:rPr>
        <w:t>is not eligible for an Independent Review</w:t>
      </w:r>
      <w:r w:rsidR="00B11C4A" w:rsidRPr="00C13F90">
        <w:rPr>
          <w:rFonts w:asciiTheme="minorHAnsi" w:hAnsiTheme="minorHAnsi"/>
          <w:bCs/>
          <w:snapToGrid w:val="0"/>
        </w:rPr>
        <w:t xml:space="preserve"> as it received a positive recommendation</w:t>
      </w:r>
      <w:r w:rsidRPr="00C13F90">
        <w:rPr>
          <w:rFonts w:asciiTheme="minorHAnsi" w:hAnsiTheme="minorHAnsi"/>
          <w:bCs/>
          <w:snapToGrid w:val="0"/>
        </w:rPr>
        <w:t xml:space="preserve">. </w:t>
      </w:r>
    </w:p>
    <w:p w:rsidR="00C477B4" w:rsidRDefault="00C477B4" w:rsidP="00C477B4">
      <w:pPr>
        <w:widowControl w:val="0"/>
        <w:spacing w:after="120"/>
        <w:rPr>
          <w:rFonts w:asciiTheme="minorHAnsi" w:hAnsiTheme="minorHAnsi"/>
          <w:bCs/>
          <w:i/>
          <w:snapToGrid w:val="0"/>
        </w:rPr>
      </w:pPr>
    </w:p>
    <w:p w:rsidR="00EA226A" w:rsidRPr="00C477B4" w:rsidRDefault="00B11C4A" w:rsidP="00C477B4">
      <w:pPr>
        <w:widowControl w:val="0"/>
        <w:spacing w:after="120"/>
        <w:rPr>
          <w:rFonts w:asciiTheme="minorHAnsi" w:hAnsiTheme="minorHAnsi"/>
          <w:bCs/>
          <w:i/>
          <w:snapToGrid w:val="0"/>
        </w:rPr>
      </w:pPr>
      <w:r w:rsidRPr="00C477B4">
        <w:rPr>
          <w:rFonts w:asciiTheme="minorHAnsi" w:hAnsiTheme="minorHAnsi"/>
          <w:b/>
          <w:bCs/>
          <w:snapToGrid w:val="0"/>
        </w:rPr>
        <w:t xml:space="preserve">Outcome: </w:t>
      </w:r>
      <w:r w:rsidRPr="00C477B4">
        <w:rPr>
          <w:rFonts w:asciiTheme="minorHAnsi" w:hAnsiTheme="minorHAnsi"/>
          <w:b/>
          <w:bCs/>
          <w:snapToGrid w:val="0"/>
        </w:rPr>
        <w:br/>
      </w:r>
      <w:r w:rsidR="00EA226A" w:rsidRPr="00C477B4">
        <w:rPr>
          <w:rFonts w:asciiTheme="minorHAnsi" w:hAnsiTheme="minorHAnsi"/>
          <w:bCs/>
          <w:snapToGrid w:val="0"/>
        </w:rPr>
        <w:t>Recommended</w:t>
      </w:r>
    </w:p>
    <w:p w:rsidR="00EA226A" w:rsidRPr="00C13F90" w:rsidRDefault="00EA226A" w:rsidP="00EA226A">
      <w:pPr>
        <w:widowControl w:val="0"/>
        <w:rPr>
          <w:rFonts w:asciiTheme="minorHAnsi" w:hAnsiTheme="minorHAnsi"/>
          <w:b/>
          <w:bCs/>
          <w:snapToGrid w:val="0"/>
        </w:rPr>
      </w:pPr>
    </w:p>
    <w:p w:rsidR="00B11C4A" w:rsidRPr="00C13F90" w:rsidRDefault="00B11C4A">
      <w:pPr>
        <w:jc w:val="left"/>
        <w:rPr>
          <w:rFonts w:asciiTheme="minorHAnsi" w:hAnsiTheme="minorHAnsi"/>
          <w:b/>
          <w:bCs/>
          <w:i/>
          <w:snapToGrid w:val="0"/>
          <w:sz w:val="32"/>
          <w:highlight w:val="lightGray"/>
        </w:rPr>
      </w:pPr>
      <w:r w:rsidRPr="00C13F90">
        <w:rPr>
          <w:rFonts w:asciiTheme="minorHAnsi" w:hAnsiTheme="minorHAnsi"/>
          <w:b/>
          <w:bCs/>
          <w:i/>
          <w:snapToGrid w:val="0"/>
          <w:sz w:val="32"/>
          <w:highlight w:val="lightGray"/>
        </w:rPr>
        <w:br w:type="page"/>
      </w:r>
    </w:p>
    <w:p w:rsidR="00EA226A" w:rsidRPr="00C13F90" w:rsidRDefault="00EA226A" w:rsidP="00BD7AF0">
      <w:pPr>
        <w:keepNext/>
        <w:widowControl w:val="0"/>
        <w:numPr>
          <w:ilvl w:val="0"/>
          <w:numId w:val="1"/>
        </w:numPr>
        <w:spacing w:before="240" w:after="120"/>
        <w:outlineLvl w:val="0"/>
        <w:rPr>
          <w:rFonts w:asciiTheme="minorHAnsi" w:hAnsiTheme="minorHAnsi"/>
          <w:b/>
          <w:bCs/>
          <w:snapToGrid w:val="0"/>
          <w:sz w:val="32"/>
        </w:rPr>
      </w:pPr>
      <w:r w:rsidRPr="00C13F90">
        <w:rPr>
          <w:rFonts w:asciiTheme="minorHAnsi" w:hAnsiTheme="minorHAnsi"/>
          <w:b/>
          <w:bCs/>
          <w:snapToGrid w:val="0"/>
          <w:sz w:val="32"/>
        </w:rPr>
        <w:t>Recommended listing</w:t>
      </w:r>
    </w:p>
    <w:p w:rsidR="00EA226A" w:rsidRPr="00C13F90" w:rsidRDefault="00EA226A" w:rsidP="00B11C4A">
      <w:pPr>
        <w:widowControl w:val="0"/>
        <w:numPr>
          <w:ilvl w:val="1"/>
          <w:numId w:val="1"/>
        </w:numPr>
        <w:spacing w:after="120"/>
        <w:contextualSpacing/>
        <w:rPr>
          <w:rFonts w:asciiTheme="minorHAnsi" w:hAnsiTheme="minorHAnsi"/>
          <w:b/>
          <w:bCs/>
          <w:snapToGrid w:val="0"/>
        </w:rPr>
      </w:pPr>
      <w:r w:rsidRPr="00C13F90">
        <w:rPr>
          <w:rFonts w:asciiTheme="minorHAnsi" w:hAnsiTheme="minorHAnsi"/>
          <w:bCs/>
          <w:snapToGrid w:val="0"/>
        </w:rPr>
        <w:t>Add new</w:t>
      </w:r>
      <w:r w:rsidR="001E10A9">
        <w:rPr>
          <w:rFonts w:asciiTheme="minorHAnsi" w:hAnsiTheme="minorHAnsi"/>
          <w:bCs/>
          <w:snapToGrid w:val="0"/>
        </w:rPr>
        <w:t xml:space="preserve"> </w:t>
      </w:r>
      <w:r w:rsidR="00170DE8" w:rsidRPr="00C13F90">
        <w:rPr>
          <w:rFonts w:asciiTheme="minorHAnsi" w:hAnsiTheme="minorHAnsi"/>
          <w:bCs/>
          <w:snapToGrid w:val="0"/>
        </w:rPr>
        <w:t>medi</w:t>
      </w:r>
      <w:r w:rsidR="00547A09" w:rsidRPr="00C13F90">
        <w:rPr>
          <w:rFonts w:asciiTheme="minorHAnsi" w:hAnsiTheme="minorHAnsi"/>
          <w:bCs/>
          <w:snapToGrid w:val="0"/>
        </w:rPr>
        <w:t>ci</w:t>
      </w:r>
      <w:r w:rsidR="00170DE8" w:rsidRPr="00C13F90">
        <w:rPr>
          <w:rFonts w:asciiTheme="minorHAnsi" w:hAnsiTheme="minorHAnsi"/>
          <w:bCs/>
          <w:snapToGrid w:val="0"/>
        </w:rPr>
        <w:t>nal product as follows</w:t>
      </w:r>
      <w:r w:rsidRPr="00C13F90">
        <w:rPr>
          <w:rFonts w:asciiTheme="minorHAnsi" w:hAnsiTheme="minorHAnsi"/>
          <w:bCs/>
          <w:snapToGrid w:val="0"/>
        </w:rPr>
        <w:t>:</w:t>
      </w:r>
    </w:p>
    <w:p w:rsidR="00EA226A" w:rsidRPr="00C13F90" w:rsidRDefault="00EA226A" w:rsidP="00B11C4A">
      <w:pPr>
        <w:contextualSpacing/>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7"/>
        <w:gridCol w:w="1559"/>
        <w:gridCol w:w="1276"/>
        <w:gridCol w:w="1275"/>
        <w:gridCol w:w="1418"/>
        <w:gridCol w:w="1134"/>
        <w:gridCol w:w="1417"/>
      </w:tblGrid>
      <w:tr w:rsidR="00B11C4A" w:rsidRPr="00C13F90" w:rsidTr="005162AB">
        <w:trPr>
          <w:cantSplit/>
          <w:trHeight w:val="471"/>
        </w:trPr>
        <w:tc>
          <w:tcPr>
            <w:tcW w:w="2547" w:type="dxa"/>
            <w:gridSpan w:val="3"/>
          </w:tcPr>
          <w:p w:rsidR="00B11C4A" w:rsidRPr="00C13F90" w:rsidRDefault="00B11C4A" w:rsidP="005162AB">
            <w:pPr>
              <w:keepNext/>
              <w:ind w:left="-57"/>
              <w:rPr>
                <w:rFonts w:ascii="Arial Narrow" w:hAnsi="Arial Narrow"/>
                <w:b/>
                <w:bCs/>
                <w:sz w:val="18"/>
                <w:szCs w:val="18"/>
              </w:rPr>
            </w:pPr>
            <w:r w:rsidRPr="00C13F90">
              <w:rPr>
                <w:rFonts w:ascii="Arial Narrow" w:hAnsi="Arial Narrow"/>
                <w:b/>
                <w:bCs/>
                <w:sz w:val="18"/>
                <w:szCs w:val="18"/>
              </w:rPr>
              <w:t>MEDICINAL PRODUCT</w:t>
            </w:r>
          </w:p>
          <w:p w:rsidR="00B11C4A" w:rsidRPr="00C13F90" w:rsidRDefault="00B11C4A" w:rsidP="005162AB">
            <w:pPr>
              <w:keepNext/>
              <w:ind w:left="-57"/>
              <w:rPr>
                <w:rFonts w:ascii="Arial Narrow" w:hAnsi="Arial Narrow"/>
                <w:b/>
                <w:sz w:val="18"/>
                <w:szCs w:val="18"/>
              </w:rPr>
            </w:pPr>
            <w:r w:rsidRPr="00C13F90">
              <w:rPr>
                <w:rFonts w:ascii="Arial Narrow" w:hAnsi="Arial Narrow"/>
                <w:b/>
                <w:bCs/>
                <w:sz w:val="18"/>
                <w:szCs w:val="18"/>
              </w:rPr>
              <w:t>medicinal product pack</w:t>
            </w:r>
          </w:p>
        </w:tc>
        <w:tc>
          <w:tcPr>
            <w:tcW w:w="1276" w:type="dxa"/>
          </w:tcPr>
          <w:p w:rsidR="00B11C4A" w:rsidRPr="00C13F90" w:rsidRDefault="00B11C4A" w:rsidP="005162AB">
            <w:pPr>
              <w:keepNext/>
              <w:ind w:left="-108"/>
              <w:jc w:val="center"/>
              <w:rPr>
                <w:rFonts w:ascii="Arial Narrow" w:hAnsi="Arial Narrow"/>
                <w:b/>
                <w:sz w:val="18"/>
                <w:szCs w:val="18"/>
              </w:rPr>
            </w:pPr>
            <w:r w:rsidRPr="00C13F90">
              <w:rPr>
                <w:rFonts w:ascii="Arial Narrow" w:hAnsi="Arial Narrow"/>
                <w:b/>
                <w:sz w:val="18"/>
                <w:szCs w:val="18"/>
              </w:rPr>
              <w:t>PBS item code</w:t>
            </w:r>
          </w:p>
        </w:tc>
        <w:tc>
          <w:tcPr>
            <w:tcW w:w="1275" w:type="dxa"/>
          </w:tcPr>
          <w:p w:rsidR="00B11C4A" w:rsidRPr="00C13F90" w:rsidRDefault="00B11C4A" w:rsidP="005162AB">
            <w:pPr>
              <w:keepNext/>
              <w:ind w:left="-108"/>
              <w:jc w:val="center"/>
              <w:rPr>
                <w:rFonts w:ascii="Arial Narrow" w:hAnsi="Arial Narrow"/>
                <w:b/>
                <w:sz w:val="18"/>
                <w:szCs w:val="18"/>
              </w:rPr>
            </w:pPr>
            <w:r w:rsidRPr="00C13F90">
              <w:rPr>
                <w:rFonts w:ascii="Arial Narrow" w:hAnsi="Arial Narrow"/>
                <w:b/>
                <w:sz w:val="18"/>
                <w:szCs w:val="18"/>
              </w:rPr>
              <w:t>Max. qty packs</w:t>
            </w:r>
          </w:p>
        </w:tc>
        <w:tc>
          <w:tcPr>
            <w:tcW w:w="1418" w:type="dxa"/>
          </w:tcPr>
          <w:p w:rsidR="00B11C4A" w:rsidRPr="00C13F90" w:rsidRDefault="00B11C4A" w:rsidP="005162AB">
            <w:pPr>
              <w:keepNext/>
              <w:ind w:left="-108"/>
              <w:jc w:val="center"/>
              <w:rPr>
                <w:rFonts w:ascii="Arial Narrow" w:hAnsi="Arial Narrow"/>
                <w:b/>
                <w:sz w:val="18"/>
                <w:szCs w:val="18"/>
              </w:rPr>
            </w:pPr>
            <w:r w:rsidRPr="00C13F90">
              <w:rPr>
                <w:rFonts w:ascii="Arial Narrow" w:hAnsi="Arial Narrow"/>
                <w:b/>
                <w:sz w:val="18"/>
                <w:szCs w:val="18"/>
              </w:rPr>
              <w:t>Max. qty units</w:t>
            </w:r>
          </w:p>
        </w:tc>
        <w:tc>
          <w:tcPr>
            <w:tcW w:w="1134" w:type="dxa"/>
          </w:tcPr>
          <w:p w:rsidR="00B11C4A" w:rsidRPr="00C13F90" w:rsidRDefault="00B11C4A" w:rsidP="005162AB">
            <w:pPr>
              <w:keepNext/>
              <w:ind w:left="-108"/>
              <w:jc w:val="center"/>
              <w:rPr>
                <w:rFonts w:ascii="Arial Narrow" w:hAnsi="Arial Narrow"/>
                <w:b/>
                <w:sz w:val="18"/>
                <w:szCs w:val="18"/>
              </w:rPr>
            </w:pPr>
            <w:r w:rsidRPr="00C13F90">
              <w:rPr>
                <w:rFonts w:ascii="Arial Narrow" w:hAnsi="Arial Narrow"/>
                <w:b/>
                <w:sz w:val="18"/>
                <w:szCs w:val="18"/>
              </w:rPr>
              <w:t>№.of Rpts</w:t>
            </w:r>
          </w:p>
        </w:tc>
        <w:tc>
          <w:tcPr>
            <w:tcW w:w="1417" w:type="dxa"/>
          </w:tcPr>
          <w:p w:rsidR="00B11C4A" w:rsidRPr="00C13F90" w:rsidRDefault="00B11C4A" w:rsidP="005162AB">
            <w:pPr>
              <w:keepNext/>
              <w:rPr>
                <w:rFonts w:ascii="Arial Narrow" w:hAnsi="Arial Narrow"/>
                <w:b/>
                <w:sz w:val="18"/>
                <w:szCs w:val="18"/>
              </w:rPr>
            </w:pPr>
            <w:r w:rsidRPr="00C13F90">
              <w:rPr>
                <w:rFonts w:ascii="Arial Narrow" w:hAnsi="Arial Narrow"/>
                <w:b/>
                <w:sz w:val="18"/>
                <w:szCs w:val="18"/>
              </w:rPr>
              <w:t>Available brands</w:t>
            </w:r>
          </w:p>
        </w:tc>
      </w:tr>
      <w:tr w:rsidR="00B11C4A" w:rsidRPr="00C13F90" w:rsidTr="005162AB">
        <w:trPr>
          <w:cantSplit/>
          <w:trHeight w:val="224"/>
        </w:trPr>
        <w:tc>
          <w:tcPr>
            <w:tcW w:w="9067" w:type="dxa"/>
            <w:gridSpan w:val="8"/>
          </w:tcPr>
          <w:p w:rsidR="00B11C4A" w:rsidRPr="00C13F90" w:rsidRDefault="00B11C4A" w:rsidP="005162AB">
            <w:pPr>
              <w:keepNext/>
              <w:ind w:left="-57"/>
              <w:rPr>
                <w:rFonts w:ascii="Arial Narrow" w:hAnsi="Arial Narrow"/>
                <w:sz w:val="18"/>
                <w:szCs w:val="18"/>
              </w:rPr>
            </w:pPr>
            <w:r w:rsidRPr="00C13F90">
              <w:rPr>
                <w:rFonts w:ascii="Arial Narrow" w:hAnsi="Arial Narrow"/>
                <w:sz w:val="18"/>
                <w:szCs w:val="18"/>
              </w:rPr>
              <w:t xml:space="preserve">OPICAPONE  </w:t>
            </w:r>
          </w:p>
        </w:tc>
      </w:tr>
      <w:tr w:rsidR="00B11C4A" w:rsidRPr="00C13F90" w:rsidTr="005162AB">
        <w:trPr>
          <w:cantSplit/>
          <w:trHeight w:val="339"/>
        </w:trPr>
        <w:tc>
          <w:tcPr>
            <w:tcW w:w="2547" w:type="dxa"/>
            <w:gridSpan w:val="3"/>
          </w:tcPr>
          <w:p w:rsidR="00B11C4A" w:rsidRPr="00C13F90" w:rsidRDefault="00B11C4A" w:rsidP="005162AB">
            <w:pPr>
              <w:keepNext/>
              <w:ind w:left="-57"/>
              <w:rPr>
                <w:rFonts w:ascii="Arial Narrow" w:hAnsi="Arial Narrow"/>
                <w:sz w:val="18"/>
                <w:szCs w:val="18"/>
              </w:rPr>
            </w:pPr>
            <w:r w:rsidRPr="00C13F90">
              <w:rPr>
                <w:rFonts w:ascii="Arial Narrow" w:hAnsi="Arial Narrow"/>
                <w:sz w:val="18"/>
                <w:szCs w:val="18"/>
              </w:rPr>
              <w:t xml:space="preserve">opicapone 50 mg capsule, 30 </w:t>
            </w:r>
          </w:p>
        </w:tc>
        <w:tc>
          <w:tcPr>
            <w:tcW w:w="1276" w:type="dxa"/>
          </w:tcPr>
          <w:p w:rsidR="00B11C4A" w:rsidRPr="00C13F90" w:rsidRDefault="00B11C4A" w:rsidP="005162AB">
            <w:pPr>
              <w:keepNext/>
              <w:jc w:val="center"/>
              <w:rPr>
                <w:rFonts w:ascii="Arial Narrow" w:hAnsi="Arial Narrow"/>
                <w:sz w:val="18"/>
                <w:szCs w:val="18"/>
              </w:rPr>
            </w:pPr>
            <w:r w:rsidRPr="00C13F90">
              <w:rPr>
                <w:rFonts w:ascii="Arial Narrow" w:hAnsi="Arial Narrow"/>
                <w:sz w:val="18"/>
                <w:szCs w:val="18"/>
              </w:rPr>
              <w:t>NEW</w:t>
            </w:r>
          </w:p>
        </w:tc>
        <w:tc>
          <w:tcPr>
            <w:tcW w:w="1275" w:type="dxa"/>
          </w:tcPr>
          <w:p w:rsidR="00B11C4A" w:rsidRPr="00C13F90" w:rsidRDefault="00B11C4A" w:rsidP="005162AB">
            <w:pPr>
              <w:keepNext/>
              <w:jc w:val="center"/>
              <w:rPr>
                <w:rFonts w:ascii="Arial Narrow" w:hAnsi="Arial Narrow"/>
                <w:sz w:val="18"/>
                <w:szCs w:val="18"/>
              </w:rPr>
            </w:pPr>
            <w:r w:rsidRPr="00C13F90">
              <w:rPr>
                <w:rFonts w:ascii="Arial Narrow" w:hAnsi="Arial Narrow"/>
                <w:sz w:val="18"/>
                <w:szCs w:val="18"/>
              </w:rPr>
              <w:t>1</w:t>
            </w:r>
          </w:p>
        </w:tc>
        <w:tc>
          <w:tcPr>
            <w:tcW w:w="1418" w:type="dxa"/>
          </w:tcPr>
          <w:p w:rsidR="00B11C4A" w:rsidRPr="00C13F90" w:rsidRDefault="00B11C4A" w:rsidP="005162AB">
            <w:pPr>
              <w:keepNext/>
              <w:jc w:val="center"/>
              <w:rPr>
                <w:rFonts w:ascii="Arial Narrow" w:hAnsi="Arial Narrow"/>
                <w:sz w:val="18"/>
                <w:szCs w:val="18"/>
              </w:rPr>
            </w:pPr>
            <w:r w:rsidRPr="00C13F90">
              <w:rPr>
                <w:rFonts w:ascii="Arial Narrow" w:hAnsi="Arial Narrow"/>
                <w:sz w:val="18"/>
                <w:szCs w:val="18"/>
              </w:rPr>
              <w:t>30</w:t>
            </w:r>
          </w:p>
        </w:tc>
        <w:tc>
          <w:tcPr>
            <w:tcW w:w="1134" w:type="dxa"/>
          </w:tcPr>
          <w:p w:rsidR="00B11C4A" w:rsidRPr="00C13F90" w:rsidRDefault="00B11C4A" w:rsidP="005162AB">
            <w:pPr>
              <w:keepNext/>
              <w:jc w:val="center"/>
              <w:rPr>
                <w:rFonts w:ascii="Arial Narrow" w:hAnsi="Arial Narrow"/>
                <w:sz w:val="18"/>
                <w:szCs w:val="18"/>
              </w:rPr>
            </w:pPr>
            <w:r w:rsidRPr="00C13F90">
              <w:rPr>
                <w:rFonts w:ascii="Arial Narrow" w:hAnsi="Arial Narrow"/>
                <w:sz w:val="18"/>
                <w:szCs w:val="18"/>
              </w:rPr>
              <w:t>5</w:t>
            </w:r>
          </w:p>
        </w:tc>
        <w:tc>
          <w:tcPr>
            <w:tcW w:w="1417" w:type="dxa"/>
          </w:tcPr>
          <w:p w:rsidR="00B11C4A" w:rsidRPr="00C13F90" w:rsidRDefault="00B11C4A" w:rsidP="005162AB">
            <w:pPr>
              <w:keepNext/>
              <w:rPr>
                <w:rFonts w:ascii="Arial Narrow" w:hAnsi="Arial Narrow"/>
                <w:sz w:val="18"/>
                <w:szCs w:val="18"/>
              </w:rPr>
            </w:pPr>
            <w:r w:rsidRPr="00C13F90">
              <w:rPr>
                <w:rFonts w:ascii="Arial Narrow" w:hAnsi="Arial Narrow"/>
                <w:sz w:val="18"/>
                <w:szCs w:val="18"/>
              </w:rPr>
              <w:t>Ongentys</w:t>
            </w:r>
          </w:p>
        </w:tc>
      </w:tr>
      <w:tr w:rsidR="00B11C4A" w:rsidRPr="00C13F90" w:rsidTr="005162A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B11C4A" w:rsidRPr="00C13F90" w:rsidRDefault="00B11C4A" w:rsidP="005162AB">
            <w:pPr>
              <w:rPr>
                <w:rFonts w:ascii="Arial Narrow" w:hAnsi="Arial Narrow"/>
                <w:b/>
                <w:sz w:val="18"/>
                <w:szCs w:val="18"/>
              </w:rPr>
            </w:pPr>
          </w:p>
        </w:tc>
      </w:tr>
      <w:tr w:rsidR="00B11C4A" w:rsidRPr="00C13F90" w:rsidTr="005162A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rsidR="00B11C4A" w:rsidRPr="00C13F90" w:rsidRDefault="00B11C4A" w:rsidP="005162AB">
            <w:pPr>
              <w:ind w:left="57"/>
              <w:rPr>
                <w:rFonts w:ascii="Arial Narrow" w:hAnsi="Arial Narrow"/>
                <w:sz w:val="18"/>
                <w:szCs w:val="18"/>
              </w:rPr>
            </w:pPr>
            <w:r w:rsidRPr="00C13F90">
              <w:rPr>
                <w:rFonts w:ascii="Arial Narrow" w:hAnsi="Arial Narrow"/>
                <w:b/>
                <w:sz w:val="18"/>
                <w:szCs w:val="18"/>
              </w:rPr>
              <w:t xml:space="preserve">Restriction Summary / Treatment of Concept: 5133 </w:t>
            </w:r>
            <w:r w:rsidRPr="00C13F90">
              <w:rPr>
                <w:rFonts w:ascii="Arial Narrow" w:hAnsi="Arial Narrow"/>
                <w:sz w:val="18"/>
                <w:szCs w:val="18"/>
              </w:rPr>
              <w:t xml:space="preserve">(as per entacapone 8367J as at 1 </w:t>
            </w:r>
            <w:r w:rsidR="00B73769" w:rsidRPr="00C13F90">
              <w:rPr>
                <w:rFonts w:ascii="Arial Narrow" w:hAnsi="Arial Narrow"/>
                <w:sz w:val="18"/>
                <w:szCs w:val="18"/>
              </w:rPr>
              <w:t>July</w:t>
            </w:r>
            <w:r w:rsidRPr="00C13F90">
              <w:rPr>
                <w:rFonts w:ascii="Arial Narrow" w:hAnsi="Arial Narrow"/>
                <w:sz w:val="18"/>
                <w:szCs w:val="18"/>
              </w:rPr>
              <w:t xml:space="preserve"> 2021)</w:t>
            </w:r>
          </w:p>
        </w:tc>
      </w:tr>
      <w:tr w:rsidR="00B11C4A" w:rsidRPr="00C13F90" w:rsidTr="005162A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B11C4A" w:rsidRPr="00C13F90" w:rsidRDefault="00B11C4A" w:rsidP="005162AB">
            <w:pPr>
              <w:jc w:val="cente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B11C4A" w:rsidRPr="00C13F90" w:rsidRDefault="00B11C4A" w:rsidP="005162AB">
            <w:pPr>
              <w:rPr>
                <w:rFonts w:ascii="Arial Narrow" w:hAnsi="Arial Narrow"/>
                <w:sz w:val="18"/>
                <w:szCs w:val="18"/>
              </w:rPr>
            </w:pPr>
            <w:r w:rsidRPr="00C13F90">
              <w:rPr>
                <w:rFonts w:ascii="Arial Narrow" w:hAnsi="Arial Narrow"/>
                <w:b/>
                <w:sz w:val="18"/>
                <w:szCs w:val="18"/>
              </w:rPr>
              <w:t xml:space="preserve">Category / Program:   </w:t>
            </w:r>
            <w:r w:rsidRPr="00C13F90">
              <w:rPr>
                <w:rFonts w:ascii="Arial Narrow" w:hAnsi="Arial Narrow"/>
                <w:sz w:val="18"/>
                <w:szCs w:val="18"/>
              </w:rPr>
              <w:t>GENERAL – General Schedule (Code GE)</w:t>
            </w:r>
          </w:p>
        </w:tc>
      </w:tr>
      <w:tr w:rsidR="00B11C4A" w:rsidRPr="00C13F90" w:rsidTr="005162A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B11C4A" w:rsidRPr="00C13F90" w:rsidRDefault="00B11C4A" w:rsidP="005162A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B11C4A" w:rsidRPr="00C13F90" w:rsidRDefault="00B11C4A" w:rsidP="005162AB">
            <w:pPr>
              <w:rPr>
                <w:rFonts w:ascii="Arial Narrow" w:hAnsi="Arial Narrow"/>
                <w:b/>
                <w:sz w:val="18"/>
                <w:szCs w:val="18"/>
              </w:rPr>
            </w:pPr>
            <w:r w:rsidRPr="00C13F90">
              <w:rPr>
                <w:rFonts w:ascii="Arial Narrow" w:hAnsi="Arial Narrow"/>
                <w:b/>
                <w:sz w:val="18"/>
                <w:szCs w:val="18"/>
              </w:rPr>
              <w:t xml:space="preserve">Prescriber type:   </w:t>
            </w:r>
            <w:r w:rsidRPr="00C13F90">
              <w:rPr>
                <w:rFonts w:ascii="Arial Narrow" w:hAnsi="Arial Narrow"/>
                <w:sz w:val="18"/>
                <w:szCs w:val="18"/>
              </w:rPr>
              <w:fldChar w:fldCharType="begin">
                <w:ffData>
                  <w:name w:val=""/>
                  <w:enabled/>
                  <w:calcOnExit w:val="0"/>
                  <w:checkBox>
                    <w:sizeAuto/>
                    <w:default w:val="1"/>
                  </w:checkBox>
                </w:ffData>
              </w:fldChar>
            </w:r>
            <w:r w:rsidRPr="00C13F90">
              <w:rPr>
                <w:rFonts w:ascii="Arial Narrow" w:hAnsi="Arial Narrow"/>
                <w:sz w:val="18"/>
                <w:szCs w:val="18"/>
              </w:rPr>
              <w:instrText xml:space="preserve"> FORMCHECKBOX </w:instrText>
            </w:r>
            <w:r w:rsidR="00FD64F2">
              <w:rPr>
                <w:rFonts w:ascii="Arial Narrow" w:hAnsi="Arial Narrow"/>
                <w:sz w:val="18"/>
                <w:szCs w:val="18"/>
              </w:rPr>
            </w:r>
            <w:r w:rsidR="00FD64F2">
              <w:rPr>
                <w:rFonts w:ascii="Arial Narrow" w:hAnsi="Arial Narrow"/>
                <w:sz w:val="18"/>
                <w:szCs w:val="18"/>
              </w:rPr>
              <w:fldChar w:fldCharType="separate"/>
            </w:r>
            <w:r w:rsidRPr="00C13F90">
              <w:rPr>
                <w:rFonts w:ascii="Arial Narrow" w:hAnsi="Arial Narrow"/>
                <w:sz w:val="18"/>
                <w:szCs w:val="18"/>
              </w:rPr>
              <w:fldChar w:fldCharType="end"/>
            </w:r>
            <w:r w:rsidRPr="00C13F90">
              <w:rPr>
                <w:rFonts w:ascii="Arial Narrow" w:hAnsi="Arial Narrow"/>
                <w:sz w:val="18"/>
                <w:szCs w:val="18"/>
              </w:rPr>
              <w:t xml:space="preserve"> Medical Practitioners    </w:t>
            </w:r>
            <w:r w:rsidRPr="00C13F90">
              <w:rPr>
                <w:rFonts w:ascii="Arial Narrow" w:hAnsi="Arial Narrow"/>
                <w:sz w:val="18"/>
                <w:szCs w:val="18"/>
              </w:rPr>
              <w:fldChar w:fldCharType="begin">
                <w:ffData>
                  <w:name w:val="Check3"/>
                  <w:enabled/>
                  <w:calcOnExit w:val="0"/>
                  <w:checkBox>
                    <w:sizeAuto/>
                    <w:default w:val="1"/>
                  </w:checkBox>
                </w:ffData>
              </w:fldChar>
            </w:r>
            <w:r w:rsidRPr="00C13F90">
              <w:rPr>
                <w:rFonts w:ascii="Arial Narrow" w:hAnsi="Arial Narrow"/>
                <w:sz w:val="18"/>
                <w:szCs w:val="18"/>
              </w:rPr>
              <w:instrText xml:space="preserve"> FORMCHECKBOX </w:instrText>
            </w:r>
            <w:r w:rsidR="00FD64F2">
              <w:rPr>
                <w:rFonts w:ascii="Arial Narrow" w:hAnsi="Arial Narrow"/>
                <w:sz w:val="18"/>
                <w:szCs w:val="18"/>
              </w:rPr>
            </w:r>
            <w:r w:rsidR="00FD64F2">
              <w:rPr>
                <w:rFonts w:ascii="Arial Narrow" w:hAnsi="Arial Narrow"/>
                <w:sz w:val="18"/>
                <w:szCs w:val="18"/>
              </w:rPr>
              <w:fldChar w:fldCharType="separate"/>
            </w:r>
            <w:r w:rsidRPr="00C13F90">
              <w:rPr>
                <w:rFonts w:ascii="Arial Narrow" w:hAnsi="Arial Narrow"/>
                <w:sz w:val="18"/>
                <w:szCs w:val="18"/>
              </w:rPr>
              <w:fldChar w:fldCharType="end"/>
            </w:r>
            <w:r w:rsidRPr="00C13F90">
              <w:rPr>
                <w:rFonts w:ascii="Arial Narrow" w:hAnsi="Arial Narrow"/>
                <w:sz w:val="18"/>
                <w:szCs w:val="18"/>
              </w:rPr>
              <w:t xml:space="preserve"> Nurse practitioners - CTO</w:t>
            </w:r>
          </w:p>
        </w:tc>
      </w:tr>
      <w:tr w:rsidR="00B11C4A" w:rsidRPr="00C13F90" w:rsidTr="005162AB">
        <w:tblPrEx>
          <w:tblCellMar>
            <w:top w:w="15" w:type="dxa"/>
            <w:left w:w="15" w:type="dxa"/>
            <w:bottom w:w="15" w:type="dxa"/>
            <w:right w:w="15" w:type="dxa"/>
          </w:tblCellMar>
          <w:tblLook w:val="04A0" w:firstRow="1" w:lastRow="0" w:firstColumn="1" w:lastColumn="0" w:noHBand="0" w:noVBand="1"/>
        </w:tblPrEx>
        <w:trPr>
          <w:trHeight w:val="162"/>
        </w:trPr>
        <w:tc>
          <w:tcPr>
            <w:tcW w:w="981" w:type="dxa"/>
            <w:vMerge/>
            <w:tcBorders>
              <w:left w:val="single" w:sz="4" w:space="0" w:color="auto"/>
              <w:bottom w:val="single" w:sz="4" w:space="0" w:color="auto"/>
              <w:right w:val="single" w:sz="4" w:space="0" w:color="auto"/>
            </w:tcBorders>
          </w:tcPr>
          <w:p w:rsidR="00B11C4A" w:rsidRPr="00C13F90" w:rsidRDefault="00B11C4A" w:rsidP="005162AB">
            <w:pPr>
              <w:rPr>
                <w:rFonts w:ascii="Arial Narrow" w:hAnsi="Arial Narrow"/>
                <w:sz w:val="18"/>
                <w:szCs w:val="18"/>
              </w:rPr>
            </w:pPr>
          </w:p>
        </w:tc>
        <w:tc>
          <w:tcPr>
            <w:tcW w:w="8086" w:type="dxa"/>
            <w:gridSpan w:val="7"/>
            <w:tcBorders>
              <w:top w:val="single" w:sz="4" w:space="0" w:color="auto"/>
              <w:left w:val="single" w:sz="4" w:space="0" w:color="auto"/>
              <w:bottom w:val="single" w:sz="4" w:space="0" w:color="auto"/>
              <w:right w:val="single" w:sz="4" w:space="0" w:color="auto"/>
            </w:tcBorders>
          </w:tcPr>
          <w:p w:rsidR="00B11C4A" w:rsidRPr="00C13F90" w:rsidRDefault="00B11C4A" w:rsidP="005162AB">
            <w:pPr>
              <w:rPr>
                <w:rFonts w:ascii="Arial Narrow" w:eastAsia="Calibri" w:hAnsi="Arial Narrow"/>
                <w:sz w:val="18"/>
                <w:szCs w:val="18"/>
              </w:rPr>
            </w:pPr>
            <w:r w:rsidRPr="00C13F90">
              <w:rPr>
                <w:rFonts w:ascii="Arial Narrow" w:hAnsi="Arial Narrow"/>
                <w:b/>
                <w:sz w:val="18"/>
                <w:szCs w:val="18"/>
              </w:rPr>
              <w:t xml:space="preserve">Restriction type:  </w:t>
            </w:r>
            <w:r w:rsidRPr="00C13F90">
              <w:rPr>
                <w:rFonts w:ascii="Arial Narrow" w:eastAsia="Calibri" w:hAnsi="Arial Narrow"/>
                <w:sz w:val="18"/>
                <w:szCs w:val="18"/>
              </w:rPr>
              <w:fldChar w:fldCharType="begin">
                <w:ffData>
                  <w:name w:val="Check1"/>
                  <w:enabled/>
                  <w:calcOnExit w:val="0"/>
                  <w:checkBox>
                    <w:sizeAuto/>
                    <w:default w:val="1"/>
                  </w:checkBox>
                </w:ffData>
              </w:fldChar>
            </w:r>
            <w:r w:rsidRPr="00C13F90">
              <w:rPr>
                <w:rFonts w:ascii="Arial Narrow" w:eastAsia="Calibri" w:hAnsi="Arial Narrow"/>
                <w:sz w:val="18"/>
                <w:szCs w:val="18"/>
              </w:rPr>
              <w:instrText xml:space="preserve"> FORMCHECKBOX </w:instrText>
            </w:r>
            <w:r w:rsidR="00FD64F2">
              <w:rPr>
                <w:rFonts w:ascii="Arial Narrow" w:eastAsia="Calibri" w:hAnsi="Arial Narrow"/>
                <w:sz w:val="18"/>
                <w:szCs w:val="18"/>
              </w:rPr>
            </w:r>
            <w:r w:rsidR="00FD64F2">
              <w:rPr>
                <w:rFonts w:ascii="Arial Narrow" w:eastAsia="Calibri" w:hAnsi="Arial Narrow"/>
                <w:sz w:val="18"/>
                <w:szCs w:val="18"/>
              </w:rPr>
              <w:fldChar w:fldCharType="separate"/>
            </w:r>
            <w:r w:rsidRPr="00C13F90">
              <w:rPr>
                <w:rFonts w:ascii="Arial Narrow" w:eastAsia="Calibri" w:hAnsi="Arial Narrow"/>
                <w:sz w:val="18"/>
                <w:szCs w:val="18"/>
              </w:rPr>
              <w:fldChar w:fldCharType="end"/>
            </w:r>
            <w:r w:rsidRPr="00C13F90">
              <w:rPr>
                <w:rFonts w:ascii="Arial Narrow" w:eastAsia="Calibri" w:hAnsi="Arial Narrow"/>
                <w:sz w:val="18"/>
                <w:szCs w:val="18"/>
              </w:rPr>
              <w:t xml:space="preserve"> Restricted benefit</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Indication:</w:t>
            </w:r>
            <w:r w:rsidRPr="00C13F90">
              <w:rPr>
                <w:rFonts w:ascii="Arial Narrow" w:hAnsi="Arial Narrow"/>
                <w:color w:val="333333"/>
                <w:sz w:val="18"/>
                <w:szCs w:val="18"/>
              </w:rPr>
              <w:t xml:space="preserve"> Parkinson disease</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Clinical criteria:</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color w:val="333333"/>
                <w:sz w:val="18"/>
                <w:szCs w:val="18"/>
              </w:rPr>
              <w:t>The treatment must be as adjunctive therapy to a levodopa-decarboxylase inhibitor combination</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AND</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Clinical criteria:</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color w:val="333333"/>
                <w:sz w:val="18"/>
                <w:szCs w:val="18"/>
              </w:rPr>
              <w:t>Patient must be experiencing fluctuations in motor function due to end-of-dose effect</w:t>
            </w:r>
          </w:p>
        </w:tc>
      </w:tr>
      <w:tr w:rsidR="00B11C4A" w:rsidRPr="00C13F90" w:rsidTr="0037375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rsidR="00B11C4A" w:rsidRPr="00C13F90" w:rsidRDefault="00B11C4A" w:rsidP="005162AB">
            <w:pPr>
              <w:jc w:val="center"/>
              <w:rPr>
                <w:rFonts w:ascii="Arial Narrow" w:hAnsi="Arial Narrow"/>
                <w:color w:val="333333"/>
                <w:sz w:val="18"/>
                <w:szCs w:val="18"/>
              </w:rPr>
            </w:pPr>
          </w:p>
        </w:tc>
        <w:tc>
          <w:tcPr>
            <w:tcW w:w="8079" w:type="dxa"/>
            <w:gridSpan w:val="6"/>
            <w:vAlign w:val="center"/>
            <w:hideMark/>
          </w:tcPr>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Administrative Advice:</w:t>
            </w:r>
          </w:p>
          <w:p w:rsidR="00B11C4A" w:rsidRPr="00C13F90" w:rsidRDefault="00B11C4A" w:rsidP="005162AB">
            <w:pPr>
              <w:rPr>
                <w:rFonts w:ascii="Arial Narrow" w:hAnsi="Arial Narrow"/>
                <w:color w:val="333333"/>
                <w:sz w:val="18"/>
                <w:szCs w:val="18"/>
              </w:rPr>
            </w:pPr>
            <w:r w:rsidRPr="00C13F90">
              <w:rPr>
                <w:rFonts w:ascii="Arial Narrow" w:hAnsi="Arial Narrow"/>
                <w:b/>
                <w:bCs/>
                <w:color w:val="333333"/>
                <w:sz w:val="18"/>
                <w:szCs w:val="18"/>
              </w:rPr>
              <w:t>Continuing Therapy Only:</w:t>
            </w:r>
            <w:r w:rsidRPr="00C13F90">
              <w:rPr>
                <w:rFonts w:ascii="Arial Narrow" w:hAnsi="Arial Narrow"/>
                <w:color w:val="333333"/>
                <w:sz w:val="18"/>
                <w:szCs w:val="18"/>
              </w:rPr>
              <w:t xml:space="preserve"> </w:t>
            </w:r>
          </w:p>
          <w:p w:rsidR="00B11C4A" w:rsidRPr="00C13F90" w:rsidRDefault="00B11C4A" w:rsidP="005162AB">
            <w:pPr>
              <w:rPr>
                <w:rFonts w:ascii="Arial Narrow" w:hAnsi="Arial Narrow"/>
                <w:color w:val="333333"/>
                <w:sz w:val="18"/>
                <w:szCs w:val="18"/>
              </w:rPr>
            </w:pPr>
            <w:r w:rsidRPr="00C13F90">
              <w:rPr>
                <w:rFonts w:ascii="Arial Narrow" w:hAnsi="Arial Narrow"/>
                <w:color w:val="333333"/>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B11C4A" w:rsidRPr="00C13F90" w:rsidRDefault="00B11C4A" w:rsidP="00B11C4A">
      <w:pPr>
        <w:contextualSpacing/>
      </w:pPr>
    </w:p>
    <w:p w:rsidR="00170DE8" w:rsidRPr="00B8761D" w:rsidRDefault="00170DE8" w:rsidP="00170DE8">
      <w:pPr>
        <w:jc w:val="left"/>
        <w:rPr>
          <w:rFonts w:cs="Calibri"/>
          <w:b/>
          <w:i/>
          <w:iCs/>
        </w:rPr>
      </w:pPr>
      <w:r w:rsidRPr="00B8761D">
        <w:rPr>
          <w:rFonts w:cs="Calibri"/>
          <w:b/>
          <w:i/>
          <w:iCs/>
        </w:rPr>
        <w:t>This restriction may be subject to further review. Should there be any changes made to the restriction the Sponsor will be informed.</w:t>
      </w:r>
    </w:p>
    <w:p w:rsidR="00B11C4A" w:rsidRPr="00C13F90" w:rsidRDefault="00B11C4A" w:rsidP="00B11C4A">
      <w:pPr>
        <w:contextualSpacing/>
      </w:pPr>
    </w:p>
    <w:p w:rsidR="0054544F" w:rsidRPr="0054544F" w:rsidRDefault="0054544F" w:rsidP="0054544F">
      <w:pPr>
        <w:keepNext/>
        <w:widowControl w:val="0"/>
        <w:numPr>
          <w:ilvl w:val="0"/>
          <w:numId w:val="1"/>
        </w:numPr>
        <w:spacing w:before="240" w:after="120"/>
        <w:outlineLvl w:val="0"/>
        <w:rPr>
          <w:rFonts w:asciiTheme="minorHAnsi" w:hAnsiTheme="minorHAnsi"/>
          <w:b/>
          <w:bCs/>
          <w:snapToGrid w:val="0"/>
          <w:sz w:val="32"/>
        </w:rPr>
      </w:pPr>
      <w:r w:rsidRPr="0054544F">
        <w:rPr>
          <w:rFonts w:asciiTheme="minorHAnsi" w:hAnsiTheme="minorHAnsi"/>
          <w:b/>
          <w:bCs/>
          <w:snapToGrid w:val="0"/>
          <w:sz w:val="32"/>
        </w:rPr>
        <w:t>Context for Decision</w:t>
      </w:r>
    </w:p>
    <w:p w:rsidR="0054544F" w:rsidRPr="007129F2" w:rsidRDefault="0054544F" w:rsidP="0054544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4544F" w:rsidRPr="0054544F" w:rsidRDefault="0054544F" w:rsidP="0054544F">
      <w:pPr>
        <w:keepNext/>
        <w:widowControl w:val="0"/>
        <w:numPr>
          <w:ilvl w:val="0"/>
          <w:numId w:val="1"/>
        </w:numPr>
        <w:spacing w:before="240" w:after="120"/>
        <w:outlineLvl w:val="0"/>
        <w:rPr>
          <w:rFonts w:asciiTheme="minorHAnsi" w:hAnsiTheme="minorHAnsi"/>
          <w:b/>
          <w:bCs/>
          <w:snapToGrid w:val="0"/>
          <w:sz w:val="32"/>
        </w:rPr>
      </w:pPr>
      <w:r w:rsidRPr="0054544F">
        <w:rPr>
          <w:rFonts w:asciiTheme="minorHAnsi" w:hAnsiTheme="minorHAnsi"/>
          <w:b/>
          <w:bCs/>
          <w:snapToGrid w:val="0"/>
          <w:sz w:val="32"/>
        </w:rPr>
        <w:t>Sponsor’s Comment</w:t>
      </w:r>
    </w:p>
    <w:p w:rsidR="00D836F0" w:rsidRPr="00C13F90" w:rsidRDefault="0054544F" w:rsidP="00413D42">
      <w:pPr>
        <w:spacing w:after="120"/>
        <w:ind w:left="720"/>
        <w:rPr>
          <w:rFonts w:asciiTheme="minorHAnsi" w:hAnsiTheme="minorHAnsi"/>
          <w:i/>
          <w:snapToGrid w:val="0"/>
        </w:rPr>
      </w:pPr>
      <w:r w:rsidRPr="00C07617">
        <w:rPr>
          <w:rFonts w:asciiTheme="minorHAnsi" w:hAnsiTheme="minorHAnsi"/>
          <w:bCs/>
        </w:rPr>
        <w:t>The sponsor had no comment.</w:t>
      </w:r>
    </w:p>
    <w:sectPr w:rsidR="00D836F0" w:rsidRPr="00C13F90"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F2" w:rsidRDefault="00FD64F2" w:rsidP="00124A51">
      <w:r>
        <w:separator/>
      </w:r>
    </w:p>
    <w:p w:rsidR="00FD64F2" w:rsidRDefault="00FD64F2"/>
  </w:endnote>
  <w:endnote w:type="continuationSeparator" w:id="0">
    <w:p w:rsidR="00FD64F2" w:rsidRDefault="00FD64F2" w:rsidP="00124A51">
      <w:r>
        <w:continuationSeparator/>
      </w:r>
    </w:p>
    <w:p w:rsidR="00FD64F2" w:rsidRDefault="00FD6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Default="00FD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Default="00FD64F2" w:rsidP="00730F2F">
    <w:pPr>
      <w:ind w:left="709"/>
      <w:contextualSpacing/>
      <w:jc w:val="center"/>
      <w:rPr>
        <w:rFonts w:eastAsia="Calibri"/>
        <w:szCs w:val="22"/>
      </w:rPr>
    </w:pPr>
  </w:p>
  <w:p w:rsidR="00FD64F2" w:rsidRPr="00F90A91" w:rsidRDefault="00FD64F2" w:rsidP="004F6D58">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6F5906">
      <w:rPr>
        <w:b/>
        <w:noProof/>
      </w:rPr>
      <w:t>12</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Default="00FD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F2" w:rsidRDefault="00FD64F2" w:rsidP="00124A51">
      <w:r>
        <w:separator/>
      </w:r>
    </w:p>
    <w:p w:rsidR="00FD64F2" w:rsidRDefault="00FD64F2"/>
  </w:footnote>
  <w:footnote w:type="continuationSeparator" w:id="0">
    <w:p w:rsidR="00FD64F2" w:rsidRDefault="00FD64F2" w:rsidP="00124A51">
      <w:r>
        <w:continuationSeparator/>
      </w:r>
    </w:p>
    <w:p w:rsidR="00FD64F2" w:rsidRDefault="00FD64F2"/>
  </w:footnote>
  <w:footnote w:id="1">
    <w:p w:rsidR="00FD64F2" w:rsidRDefault="00FD64F2">
      <w:pPr>
        <w:pStyle w:val="FootnoteText"/>
      </w:pPr>
      <w:r>
        <w:rPr>
          <w:rStyle w:val="FootnoteReference"/>
        </w:rPr>
        <w:footnoteRef/>
      </w:r>
      <w:r>
        <w:t xml:space="preserve"> </w:t>
      </w:r>
      <w:r w:rsidRPr="008E1FDB">
        <w:t>Brodell, D. W., Stanford, N. T., Jacobson, C. E., Schmidt, P., &amp; Okun, M. S. (2012). Carbidopa/levodopa dose elevation and safety concerns in Parkinson’s patients: A cross-sectional and cohort design. BMJ Open, 2(6), 1–6. https://doi.org/10.1136/bmjopen-2012-001971</w:t>
      </w:r>
    </w:p>
  </w:footnote>
  <w:footnote w:id="2">
    <w:p w:rsidR="00FD64F2" w:rsidRDefault="00FD64F2">
      <w:pPr>
        <w:pStyle w:val="FootnoteText"/>
      </w:pPr>
      <w:r>
        <w:rPr>
          <w:rStyle w:val="FootnoteReference"/>
        </w:rPr>
        <w:footnoteRef/>
      </w:r>
      <w:r>
        <w:t xml:space="preserve"> </w:t>
      </w:r>
      <w:r w:rsidRPr="008E1FDB">
        <w:t>Zadikoff, C., Poewe, W., Boyd, J. T., Bergmann, L., Ijacu, H., Kukreja, P., … Antonini, A. (2020). Safety of Levodopa-Carbidopa Intestinal Gel Treatment in Patients with Advanced Parkinson’s Disease Receiving ≥2000 mg Daily Dose of Levodopa. Parkinson’s Disease, 2020. https://doi.org/10.1155/2020/9716317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Default="00FD6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Pr="00056684" w:rsidRDefault="00FD64F2" w:rsidP="004F6D58">
    <w:pPr>
      <w:pStyle w:val="Header"/>
      <w:ind w:left="360"/>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July 2021</w:t>
    </w:r>
    <w:r w:rsidRPr="00056684">
      <w:rPr>
        <w:rFonts w:asciiTheme="minorHAnsi" w:hAnsiTheme="minorHAnsi"/>
        <w:i/>
        <w:color w:val="808080"/>
      </w:rPr>
      <w:t xml:space="preserve"> PBAC Meeting</w:t>
    </w:r>
  </w:p>
  <w:p w:rsidR="00FD64F2" w:rsidRDefault="00FD64F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4F2" w:rsidRDefault="00FD6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E648F"/>
    <w:multiLevelType w:val="hybridMultilevel"/>
    <w:tmpl w:val="ABC42D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609A551C"/>
    <w:lvl w:ilvl="0" w:tplc="8D92946E">
      <w:start w:val="1"/>
      <w:numFmt w:val="decimal"/>
      <w:lvlText w:val="%1."/>
      <w:lvlJc w:val="left"/>
      <w:pPr>
        <w:ind w:left="1778" w:hanging="360"/>
      </w:pPr>
      <w:rPr>
        <w:rFonts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B1A25"/>
    <w:multiLevelType w:val="hybridMultilevel"/>
    <w:tmpl w:val="CA86ED72"/>
    <w:lvl w:ilvl="0" w:tplc="EB047D1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40A80"/>
    <w:multiLevelType w:val="hybridMultilevel"/>
    <w:tmpl w:val="1D6E53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76C72"/>
    <w:multiLevelType w:val="hybridMultilevel"/>
    <w:tmpl w:val="24264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D4158"/>
    <w:multiLevelType w:val="hybridMultilevel"/>
    <w:tmpl w:val="05D8A2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71B5390"/>
    <w:multiLevelType w:val="hybridMultilevel"/>
    <w:tmpl w:val="224C2D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9"/>
  </w:num>
  <w:num w:numId="2">
    <w:abstractNumId w:val="12"/>
  </w:num>
  <w:num w:numId="3">
    <w:abstractNumId w:val="13"/>
  </w:num>
  <w:num w:numId="4">
    <w:abstractNumId w:val="0"/>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18"/>
  </w:num>
  <w:num w:numId="10">
    <w:abstractNumId w:val="3"/>
  </w:num>
  <w:num w:numId="11">
    <w:abstractNumId w:val="14"/>
  </w:num>
  <w:num w:numId="12">
    <w:abstractNumId w:val="6"/>
  </w:num>
  <w:num w:numId="13">
    <w:abstractNumId w:val="20"/>
  </w:num>
  <w:num w:numId="14">
    <w:abstractNumId w:val="8"/>
  </w:num>
  <w:num w:numId="15">
    <w:abstractNumId w:val="13"/>
  </w:num>
  <w:num w:numId="16">
    <w:abstractNumId w:val="13"/>
  </w:num>
  <w:num w:numId="17">
    <w:abstractNumId w:val="19"/>
  </w:num>
  <w:num w:numId="18">
    <w:abstractNumId w:val="10"/>
  </w:num>
  <w:num w:numId="19">
    <w:abstractNumId w:val="15"/>
  </w:num>
  <w:num w:numId="20">
    <w:abstractNumId w:val="16"/>
  </w:num>
  <w:num w:numId="21">
    <w:abstractNumId w:val="2"/>
  </w:num>
  <w:num w:numId="22">
    <w:abstractNumId w:val="1"/>
  </w:num>
  <w:num w:numId="23">
    <w:abstractNumId w:val="7"/>
  </w:num>
  <w:num w:numId="24">
    <w:abstractNumId w:val="9"/>
  </w:num>
  <w:num w:numId="25">
    <w:abstractNumId w:val="5"/>
  </w:num>
  <w:num w:numId="2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23F"/>
    <w:rsid w:val="00003499"/>
    <w:rsid w:val="000039B7"/>
    <w:rsid w:val="0000639A"/>
    <w:rsid w:val="00006D45"/>
    <w:rsid w:val="00010EC9"/>
    <w:rsid w:val="00013247"/>
    <w:rsid w:val="0001328B"/>
    <w:rsid w:val="00015886"/>
    <w:rsid w:val="000162EF"/>
    <w:rsid w:val="00016C15"/>
    <w:rsid w:val="000207C9"/>
    <w:rsid w:val="00021714"/>
    <w:rsid w:val="00021DB7"/>
    <w:rsid w:val="0002225F"/>
    <w:rsid w:val="00023763"/>
    <w:rsid w:val="000274B8"/>
    <w:rsid w:val="00033863"/>
    <w:rsid w:val="00035DC0"/>
    <w:rsid w:val="00036829"/>
    <w:rsid w:val="000407E3"/>
    <w:rsid w:val="00040895"/>
    <w:rsid w:val="000416BA"/>
    <w:rsid w:val="000435EE"/>
    <w:rsid w:val="00043C37"/>
    <w:rsid w:val="00045017"/>
    <w:rsid w:val="0004541C"/>
    <w:rsid w:val="00045A2B"/>
    <w:rsid w:val="0004698F"/>
    <w:rsid w:val="00053636"/>
    <w:rsid w:val="000539D0"/>
    <w:rsid w:val="00054621"/>
    <w:rsid w:val="000546D7"/>
    <w:rsid w:val="00055E59"/>
    <w:rsid w:val="00056513"/>
    <w:rsid w:val="00056ECF"/>
    <w:rsid w:val="000604DF"/>
    <w:rsid w:val="000620A6"/>
    <w:rsid w:val="000653B5"/>
    <w:rsid w:val="00066360"/>
    <w:rsid w:val="00066AF8"/>
    <w:rsid w:val="00071248"/>
    <w:rsid w:val="000720B9"/>
    <w:rsid w:val="000737F7"/>
    <w:rsid w:val="0007672F"/>
    <w:rsid w:val="00076B54"/>
    <w:rsid w:val="000774F0"/>
    <w:rsid w:val="00080909"/>
    <w:rsid w:val="000812CA"/>
    <w:rsid w:val="00081E63"/>
    <w:rsid w:val="0008258D"/>
    <w:rsid w:val="000825A0"/>
    <w:rsid w:val="00083E99"/>
    <w:rsid w:val="00084426"/>
    <w:rsid w:val="00084FA8"/>
    <w:rsid w:val="000856C5"/>
    <w:rsid w:val="00085C31"/>
    <w:rsid w:val="000902D9"/>
    <w:rsid w:val="00090C7E"/>
    <w:rsid w:val="00092600"/>
    <w:rsid w:val="0009262B"/>
    <w:rsid w:val="00093310"/>
    <w:rsid w:val="0009445C"/>
    <w:rsid w:val="00094718"/>
    <w:rsid w:val="00095200"/>
    <w:rsid w:val="00095FE5"/>
    <w:rsid w:val="00096284"/>
    <w:rsid w:val="000A1BC0"/>
    <w:rsid w:val="000A57CF"/>
    <w:rsid w:val="000A6039"/>
    <w:rsid w:val="000A7453"/>
    <w:rsid w:val="000A7D08"/>
    <w:rsid w:val="000B0121"/>
    <w:rsid w:val="000B0670"/>
    <w:rsid w:val="000B0E75"/>
    <w:rsid w:val="000B2DCB"/>
    <w:rsid w:val="000B5610"/>
    <w:rsid w:val="000B5CE0"/>
    <w:rsid w:val="000B6CAC"/>
    <w:rsid w:val="000B7612"/>
    <w:rsid w:val="000B78AE"/>
    <w:rsid w:val="000C3DF9"/>
    <w:rsid w:val="000C6713"/>
    <w:rsid w:val="000D0420"/>
    <w:rsid w:val="000D1BFC"/>
    <w:rsid w:val="000D1D5D"/>
    <w:rsid w:val="000D281A"/>
    <w:rsid w:val="000D2848"/>
    <w:rsid w:val="000D326A"/>
    <w:rsid w:val="000D3525"/>
    <w:rsid w:val="000D51FB"/>
    <w:rsid w:val="000E0640"/>
    <w:rsid w:val="000E074C"/>
    <w:rsid w:val="000E135D"/>
    <w:rsid w:val="000E1EF7"/>
    <w:rsid w:val="000E292F"/>
    <w:rsid w:val="000F00BA"/>
    <w:rsid w:val="000F316A"/>
    <w:rsid w:val="000F3C74"/>
    <w:rsid w:val="000F4BB8"/>
    <w:rsid w:val="000F4FA9"/>
    <w:rsid w:val="000F53FB"/>
    <w:rsid w:val="000F6E36"/>
    <w:rsid w:val="000F7127"/>
    <w:rsid w:val="000F7B54"/>
    <w:rsid w:val="000F7C6E"/>
    <w:rsid w:val="00100F8A"/>
    <w:rsid w:val="0010452E"/>
    <w:rsid w:val="0010591E"/>
    <w:rsid w:val="00105AE2"/>
    <w:rsid w:val="001060C6"/>
    <w:rsid w:val="00106828"/>
    <w:rsid w:val="00106B80"/>
    <w:rsid w:val="0011032E"/>
    <w:rsid w:val="001118CA"/>
    <w:rsid w:val="0011348B"/>
    <w:rsid w:val="00115982"/>
    <w:rsid w:val="00115D37"/>
    <w:rsid w:val="00116C53"/>
    <w:rsid w:val="00121799"/>
    <w:rsid w:val="001222FC"/>
    <w:rsid w:val="0012320B"/>
    <w:rsid w:val="00123902"/>
    <w:rsid w:val="00124A51"/>
    <w:rsid w:val="00124ACE"/>
    <w:rsid w:val="00126621"/>
    <w:rsid w:val="00126B1D"/>
    <w:rsid w:val="001301E9"/>
    <w:rsid w:val="00131D82"/>
    <w:rsid w:val="00132B22"/>
    <w:rsid w:val="00133D36"/>
    <w:rsid w:val="001342EF"/>
    <w:rsid w:val="001348A8"/>
    <w:rsid w:val="00136A26"/>
    <w:rsid w:val="00137645"/>
    <w:rsid w:val="0014015A"/>
    <w:rsid w:val="00140E99"/>
    <w:rsid w:val="00143F67"/>
    <w:rsid w:val="00145540"/>
    <w:rsid w:val="001456B0"/>
    <w:rsid w:val="00145B59"/>
    <w:rsid w:val="00154CA4"/>
    <w:rsid w:val="00156F8F"/>
    <w:rsid w:val="00157130"/>
    <w:rsid w:val="001576B1"/>
    <w:rsid w:val="0016047B"/>
    <w:rsid w:val="00160A4C"/>
    <w:rsid w:val="00162913"/>
    <w:rsid w:val="00163EFF"/>
    <w:rsid w:val="00163F66"/>
    <w:rsid w:val="00164B02"/>
    <w:rsid w:val="00165152"/>
    <w:rsid w:val="001661FB"/>
    <w:rsid w:val="001671A0"/>
    <w:rsid w:val="0016767F"/>
    <w:rsid w:val="00170DE8"/>
    <w:rsid w:val="00172CAF"/>
    <w:rsid w:val="00173565"/>
    <w:rsid w:val="00173B07"/>
    <w:rsid w:val="001751FA"/>
    <w:rsid w:val="00176767"/>
    <w:rsid w:val="00177BD9"/>
    <w:rsid w:val="00181D9C"/>
    <w:rsid w:val="00184B0E"/>
    <w:rsid w:val="00184F1B"/>
    <w:rsid w:val="0018752F"/>
    <w:rsid w:val="00187FDC"/>
    <w:rsid w:val="00193838"/>
    <w:rsid w:val="00194AD8"/>
    <w:rsid w:val="00195222"/>
    <w:rsid w:val="001975D8"/>
    <w:rsid w:val="001A178E"/>
    <w:rsid w:val="001A43FA"/>
    <w:rsid w:val="001A47C5"/>
    <w:rsid w:val="001A47C6"/>
    <w:rsid w:val="001A59FB"/>
    <w:rsid w:val="001A5E9E"/>
    <w:rsid w:val="001A6354"/>
    <w:rsid w:val="001A6366"/>
    <w:rsid w:val="001A7AE8"/>
    <w:rsid w:val="001B204E"/>
    <w:rsid w:val="001B2372"/>
    <w:rsid w:val="001B3443"/>
    <w:rsid w:val="001B4D20"/>
    <w:rsid w:val="001C1D64"/>
    <w:rsid w:val="001C2A9B"/>
    <w:rsid w:val="001C4015"/>
    <w:rsid w:val="001C4299"/>
    <w:rsid w:val="001C4874"/>
    <w:rsid w:val="001C5EE3"/>
    <w:rsid w:val="001C5F94"/>
    <w:rsid w:val="001C6E66"/>
    <w:rsid w:val="001C76EA"/>
    <w:rsid w:val="001D1100"/>
    <w:rsid w:val="001D1391"/>
    <w:rsid w:val="001D25D7"/>
    <w:rsid w:val="001D2F3F"/>
    <w:rsid w:val="001D4B9B"/>
    <w:rsid w:val="001D50B2"/>
    <w:rsid w:val="001D7645"/>
    <w:rsid w:val="001E10A9"/>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4081"/>
    <w:rsid w:val="001F7361"/>
    <w:rsid w:val="002011B0"/>
    <w:rsid w:val="00203181"/>
    <w:rsid w:val="00203783"/>
    <w:rsid w:val="0020385F"/>
    <w:rsid w:val="002068A0"/>
    <w:rsid w:val="00207021"/>
    <w:rsid w:val="0020732F"/>
    <w:rsid w:val="00207D00"/>
    <w:rsid w:val="002105C1"/>
    <w:rsid w:val="00213EF5"/>
    <w:rsid w:val="00214AD2"/>
    <w:rsid w:val="00215119"/>
    <w:rsid w:val="00216BF5"/>
    <w:rsid w:val="00223B49"/>
    <w:rsid w:val="00223D5A"/>
    <w:rsid w:val="00224DD4"/>
    <w:rsid w:val="002278A0"/>
    <w:rsid w:val="002309CC"/>
    <w:rsid w:val="0023209F"/>
    <w:rsid w:val="00232201"/>
    <w:rsid w:val="00233C01"/>
    <w:rsid w:val="0023413C"/>
    <w:rsid w:val="002346F0"/>
    <w:rsid w:val="0023629D"/>
    <w:rsid w:val="00237255"/>
    <w:rsid w:val="0023733B"/>
    <w:rsid w:val="002424AF"/>
    <w:rsid w:val="002424D7"/>
    <w:rsid w:val="002439DC"/>
    <w:rsid w:val="002441D2"/>
    <w:rsid w:val="00244DC8"/>
    <w:rsid w:val="002458BA"/>
    <w:rsid w:val="00245CE9"/>
    <w:rsid w:val="0024636C"/>
    <w:rsid w:val="00247925"/>
    <w:rsid w:val="00251006"/>
    <w:rsid w:val="00251ABE"/>
    <w:rsid w:val="00251C94"/>
    <w:rsid w:val="002524D5"/>
    <w:rsid w:val="00253B1D"/>
    <w:rsid w:val="00254DCF"/>
    <w:rsid w:val="0025534B"/>
    <w:rsid w:val="00255BB7"/>
    <w:rsid w:val="00256572"/>
    <w:rsid w:val="00257541"/>
    <w:rsid w:val="00257A39"/>
    <w:rsid w:val="00257AC4"/>
    <w:rsid w:val="00261EEF"/>
    <w:rsid w:val="00262A1A"/>
    <w:rsid w:val="00262A87"/>
    <w:rsid w:val="00262B63"/>
    <w:rsid w:val="00264201"/>
    <w:rsid w:val="00264D26"/>
    <w:rsid w:val="00265BA0"/>
    <w:rsid w:val="00267642"/>
    <w:rsid w:val="00267AEA"/>
    <w:rsid w:val="002700E6"/>
    <w:rsid w:val="0027067B"/>
    <w:rsid w:val="002713D3"/>
    <w:rsid w:val="00272264"/>
    <w:rsid w:val="0027294B"/>
    <w:rsid w:val="00273EB4"/>
    <w:rsid w:val="00274682"/>
    <w:rsid w:val="00275C5A"/>
    <w:rsid w:val="00275D9F"/>
    <w:rsid w:val="00275E85"/>
    <w:rsid w:val="00281014"/>
    <w:rsid w:val="00281250"/>
    <w:rsid w:val="0028665D"/>
    <w:rsid w:val="00290DBD"/>
    <w:rsid w:val="002A14AB"/>
    <w:rsid w:val="002A2ADE"/>
    <w:rsid w:val="002A2F50"/>
    <w:rsid w:val="002A4249"/>
    <w:rsid w:val="002B038D"/>
    <w:rsid w:val="002B05A1"/>
    <w:rsid w:val="002B09A4"/>
    <w:rsid w:val="002B1C1F"/>
    <w:rsid w:val="002B2341"/>
    <w:rsid w:val="002B432F"/>
    <w:rsid w:val="002B62B3"/>
    <w:rsid w:val="002B6754"/>
    <w:rsid w:val="002B6CCE"/>
    <w:rsid w:val="002B7CE2"/>
    <w:rsid w:val="002C2510"/>
    <w:rsid w:val="002C2775"/>
    <w:rsid w:val="002C27C1"/>
    <w:rsid w:val="002C5099"/>
    <w:rsid w:val="002C5889"/>
    <w:rsid w:val="002C60BA"/>
    <w:rsid w:val="002C71CE"/>
    <w:rsid w:val="002D08F8"/>
    <w:rsid w:val="002D1392"/>
    <w:rsid w:val="002D1DDD"/>
    <w:rsid w:val="002D1E08"/>
    <w:rsid w:val="002D577C"/>
    <w:rsid w:val="002D7B9B"/>
    <w:rsid w:val="002E1071"/>
    <w:rsid w:val="002E15B9"/>
    <w:rsid w:val="002E1D75"/>
    <w:rsid w:val="002E2158"/>
    <w:rsid w:val="002E4F02"/>
    <w:rsid w:val="002E7722"/>
    <w:rsid w:val="002F07BA"/>
    <w:rsid w:val="002F0DA9"/>
    <w:rsid w:val="002F1014"/>
    <w:rsid w:val="002F643C"/>
    <w:rsid w:val="002F698F"/>
    <w:rsid w:val="002F71C0"/>
    <w:rsid w:val="002F74F1"/>
    <w:rsid w:val="00300E20"/>
    <w:rsid w:val="00301017"/>
    <w:rsid w:val="0030155F"/>
    <w:rsid w:val="0030587B"/>
    <w:rsid w:val="00306D98"/>
    <w:rsid w:val="0030757B"/>
    <w:rsid w:val="0030786C"/>
    <w:rsid w:val="0031031A"/>
    <w:rsid w:val="00310981"/>
    <w:rsid w:val="003124D9"/>
    <w:rsid w:val="00312594"/>
    <w:rsid w:val="00312E4A"/>
    <w:rsid w:val="00313461"/>
    <w:rsid w:val="00315498"/>
    <w:rsid w:val="00316474"/>
    <w:rsid w:val="0032118A"/>
    <w:rsid w:val="003215F4"/>
    <w:rsid w:val="00322107"/>
    <w:rsid w:val="00322355"/>
    <w:rsid w:val="00322846"/>
    <w:rsid w:val="00323A00"/>
    <w:rsid w:val="003240C9"/>
    <w:rsid w:val="00326915"/>
    <w:rsid w:val="00326DA7"/>
    <w:rsid w:val="003270E4"/>
    <w:rsid w:val="00327B99"/>
    <w:rsid w:val="00330DAA"/>
    <w:rsid w:val="00330F5C"/>
    <w:rsid w:val="003328BE"/>
    <w:rsid w:val="0033502E"/>
    <w:rsid w:val="003366C9"/>
    <w:rsid w:val="003371B0"/>
    <w:rsid w:val="00340DF1"/>
    <w:rsid w:val="0035019D"/>
    <w:rsid w:val="003517F9"/>
    <w:rsid w:val="00351BA9"/>
    <w:rsid w:val="00354F64"/>
    <w:rsid w:val="003553C7"/>
    <w:rsid w:val="0035620E"/>
    <w:rsid w:val="00360345"/>
    <w:rsid w:val="00361A05"/>
    <w:rsid w:val="003624C4"/>
    <w:rsid w:val="00362F37"/>
    <w:rsid w:val="00363B00"/>
    <w:rsid w:val="003654AC"/>
    <w:rsid w:val="003710CF"/>
    <w:rsid w:val="003726D0"/>
    <w:rsid w:val="0037358A"/>
    <w:rsid w:val="0037375B"/>
    <w:rsid w:val="003750F6"/>
    <w:rsid w:val="003760FC"/>
    <w:rsid w:val="0038365C"/>
    <w:rsid w:val="0038369B"/>
    <w:rsid w:val="00383B78"/>
    <w:rsid w:val="00385A9D"/>
    <w:rsid w:val="003902B1"/>
    <w:rsid w:val="0039179C"/>
    <w:rsid w:val="00396896"/>
    <w:rsid w:val="00396FD0"/>
    <w:rsid w:val="00397C7A"/>
    <w:rsid w:val="003A1A7A"/>
    <w:rsid w:val="003A2392"/>
    <w:rsid w:val="003A2831"/>
    <w:rsid w:val="003A3CB6"/>
    <w:rsid w:val="003A3ED1"/>
    <w:rsid w:val="003A44DB"/>
    <w:rsid w:val="003B3971"/>
    <w:rsid w:val="003B55D1"/>
    <w:rsid w:val="003B5B61"/>
    <w:rsid w:val="003B717F"/>
    <w:rsid w:val="003C1654"/>
    <w:rsid w:val="003C3893"/>
    <w:rsid w:val="003C5542"/>
    <w:rsid w:val="003C7D19"/>
    <w:rsid w:val="003C7D2F"/>
    <w:rsid w:val="003D1828"/>
    <w:rsid w:val="003D1DE4"/>
    <w:rsid w:val="003D1E9A"/>
    <w:rsid w:val="003D2422"/>
    <w:rsid w:val="003D250B"/>
    <w:rsid w:val="003D2B3B"/>
    <w:rsid w:val="003D39A1"/>
    <w:rsid w:val="003D3FBF"/>
    <w:rsid w:val="003D4A30"/>
    <w:rsid w:val="003D7452"/>
    <w:rsid w:val="003D79BB"/>
    <w:rsid w:val="003D7C98"/>
    <w:rsid w:val="003D7D9D"/>
    <w:rsid w:val="003E0543"/>
    <w:rsid w:val="003E0672"/>
    <w:rsid w:val="003E749E"/>
    <w:rsid w:val="003F2CF3"/>
    <w:rsid w:val="003F3238"/>
    <w:rsid w:val="003F4156"/>
    <w:rsid w:val="003F5ADF"/>
    <w:rsid w:val="00400B29"/>
    <w:rsid w:val="0040504B"/>
    <w:rsid w:val="004059F4"/>
    <w:rsid w:val="00407627"/>
    <w:rsid w:val="00407FE5"/>
    <w:rsid w:val="004101B0"/>
    <w:rsid w:val="00410326"/>
    <w:rsid w:val="00410708"/>
    <w:rsid w:val="00410EC7"/>
    <w:rsid w:val="00411B39"/>
    <w:rsid w:val="00411E49"/>
    <w:rsid w:val="00412260"/>
    <w:rsid w:val="004127A7"/>
    <w:rsid w:val="00412E87"/>
    <w:rsid w:val="00413A1E"/>
    <w:rsid w:val="00413D42"/>
    <w:rsid w:val="00414476"/>
    <w:rsid w:val="00414C2E"/>
    <w:rsid w:val="004151CF"/>
    <w:rsid w:val="00416364"/>
    <w:rsid w:val="00420183"/>
    <w:rsid w:val="0042047F"/>
    <w:rsid w:val="00420AA6"/>
    <w:rsid w:val="00420B9F"/>
    <w:rsid w:val="0042192C"/>
    <w:rsid w:val="00422260"/>
    <w:rsid w:val="0042413F"/>
    <w:rsid w:val="004319F8"/>
    <w:rsid w:val="00431E55"/>
    <w:rsid w:val="004321F6"/>
    <w:rsid w:val="00433044"/>
    <w:rsid w:val="00434088"/>
    <w:rsid w:val="00434704"/>
    <w:rsid w:val="004375B9"/>
    <w:rsid w:val="004428D0"/>
    <w:rsid w:val="00444185"/>
    <w:rsid w:val="004443A7"/>
    <w:rsid w:val="0044442C"/>
    <w:rsid w:val="00445941"/>
    <w:rsid w:val="004464EB"/>
    <w:rsid w:val="00447D26"/>
    <w:rsid w:val="00447DFC"/>
    <w:rsid w:val="00454F78"/>
    <w:rsid w:val="00455D45"/>
    <w:rsid w:val="00460446"/>
    <w:rsid w:val="004635F5"/>
    <w:rsid w:val="00464595"/>
    <w:rsid w:val="004658B5"/>
    <w:rsid w:val="00471EA5"/>
    <w:rsid w:val="00472A79"/>
    <w:rsid w:val="00473F19"/>
    <w:rsid w:val="00475E22"/>
    <w:rsid w:val="0048088E"/>
    <w:rsid w:val="00480F2B"/>
    <w:rsid w:val="00482720"/>
    <w:rsid w:val="004835E7"/>
    <w:rsid w:val="004837C3"/>
    <w:rsid w:val="00484225"/>
    <w:rsid w:val="004867E2"/>
    <w:rsid w:val="0048776C"/>
    <w:rsid w:val="00490B17"/>
    <w:rsid w:val="00491B3A"/>
    <w:rsid w:val="00492CFD"/>
    <w:rsid w:val="00494207"/>
    <w:rsid w:val="00494DD5"/>
    <w:rsid w:val="004962D2"/>
    <w:rsid w:val="00497B5A"/>
    <w:rsid w:val="004A0DA1"/>
    <w:rsid w:val="004A13D6"/>
    <w:rsid w:val="004A52E9"/>
    <w:rsid w:val="004A6040"/>
    <w:rsid w:val="004A6597"/>
    <w:rsid w:val="004A6713"/>
    <w:rsid w:val="004A7848"/>
    <w:rsid w:val="004B1CB4"/>
    <w:rsid w:val="004B2F18"/>
    <w:rsid w:val="004B3DDB"/>
    <w:rsid w:val="004B44FD"/>
    <w:rsid w:val="004B5CFC"/>
    <w:rsid w:val="004B6F79"/>
    <w:rsid w:val="004B7748"/>
    <w:rsid w:val="004B774D"/>
    <w:rsid w:val="004C4AED"/>
    <w:rsid w:val="004D2C2D"/>
    <w:rsid w:val="004D329C"/>
    <w:rsid w:val="004D4002"/>
    <w:rsid w:val="004D69B5"/>
    <w:rsid w:val="004D7227"/>
    <w:rsid w:val="004E0E7F"/>
    <w:rsid w:val="004E0EB8"/>
    <w:rsid w:val="004E18E9"/>
    <w:rsid w:val="004E2ADC"/>
    <w:rsid w:val="004E43B2"/>
    <w:rsid w:val="004F1D02"/>
    <w:rsid w:val="004F2679"/>
    <w:rsid w:val="004F2F21"/>
    <w:rsid w:val="004F3DE5"/>
    <w:rsid w:val="004F6913"/>
    <w:rsid w:val="004F6D58"/>
    <w:rsid w:val="004F77D0"/>
    <w:rsid w:val="004F7865"/>
    <w:rsid w:val="0050174E"/>
    <w:rsid w:val="00501854"/>
    <w:rsid w:val="0050219B"/>
    <w:rsid w:val="00503F17"/>
    <w:rsid w:val="00506928"/>
    <w:rsid w:val="005077EF"/>
    <w:rsid w:val="00511AD5"/>
    <w:rsid w:val="00511DC7"/>
    <w:rsid w:val="005142C5"/>
    <w:rsid w:val="0051501B"/>
    <w:rsid w:val="005152B5"/>
    <w:rsid w:val="005162AB"/>
    <w:rsid w:val="0052123C"/>
    <w:rsid w:val="00521319"/>
    <w:rsid w:val="00522BC8"/>
    <w:rsid w:val="00523C28"/>
    <w:rsid w:val="005270B3"/>
    <w:rsid w:val="0053176B"/>
    <w:rsid w:val="00536AAE"/>
    <w:rsid w:val="00536F42"/>
    <w:rsid w:val="00537182"/>
    <w:rsid w:val="00540D6B"/>
    <w:rsid w:val="00541CE4"/>
    <w:rsid w:val="00541EDD"/>
    <w:rsid w:val="00542743"/>
    <w:rsid w:val="00542C2D"/>
    <w:rsid w:val="0054544F"/>
    <w:rsid w:val="005478BD"/>
    <w:rsid w:val="005479E3"/>
    <w:rsid w:val="00547A09"/>
    <w:rsid w:val="00551985"/>
    <w:rsid w:val="00552BD3"/>
    <w:rsid w:val="005532A0"/>
    <w:rsid w:val="00555109"/>
    <w:rsid w:val="00556B35"/>
    <w:rsid w:val="0055741A"/>
    <w:rsid w:val="005611B7"/>
    <w:rsid w:val="005618D4"/>
    <w:rsid w:val="0056388A"/>
    <w:rsid w:val="00565DF0"/>
    <w:rsid w:val="0056696F"/>
    <w:rsid w:val="00571795"/>
    <w:rsid w:val="00572269"/>
    <w:rsid w:val="0057244A"/>
    <w:rsid w:val="00572BF4"/>
    <w:rsid w:val="00572F26"/>
    <w:rsid w:val="005750C5"/>
    <w:rsid w:val="005752DE"/>
    <w:rsid w:val="00575D8D"/>
    <w:rsid w:val="00576972"/>
    <w:rsid w:val="005805A1"/>
    <w:rsid w:val="005828A1"/>
    <w:rsid w:val="00583699"/>
    <w:rsid w:val="00585CDD"/>
    <w:rsid w:val="00587058"/>
    <w:rsid w:val="00591957"/>
    <w:rsid w:val="00597895"/>
    <w:rsid w:val="00597BF9"/>
    <w:rsid w:val="005A309A"/>
    <w:rsid w:val="005A373D"/>
    <w:rsid w:val="005A4EAA"/>
    <w:rsid w:val="005A651C"/>
    <w:rsid w:val="005B0B58"/>
    <w:rsid w:val="005B2F66"/>
    <w:rsid w:val="005B4E53"/>
    <w:rsid w:val="005B5857"/>
    <w:rsid w:val="005C19C4"/>
    <w:rsid w:val="005C1B83"/>
    <w:rsid w:val="005C25FF"/>
    <w:rsid w:val="005C2D55"/>
    <w:rsid w:val="005C346B"/>
    <w:rsid w:val="005C7A5C"/>
    <w:rsid w:val="005D044D"/>
    <w:rsid w:val="005D0ABD"/>
    <w:rsid w:val="005D18AD"/>
    <w:rsid w:val="005D26B4"/>
    <w:rsid w:val="005D3F1A"/>
    <w:rsid w:val="005D4727"/>
    <w:rsid w:val="005D6DE6"/>
    <w:rsid w:val="005D7EAD"/>
    <w:rsid w:val="005E562E"/>
    <w:rsid w:val="005E6CBC"/>
    <w:rsid w:val="005E72FF"/>
    <w:rsid w:val="005E73C0"/>
    <w:rsid w:val="005F2706"/>
    <w:rsid w:val="005F35C9"/>
    <w:rsid w:val="005F6A8F"/>
    <w:rsid w:val="005F6BB7"/>
    <w:rsid w:val="005F7588"/>
    <w:rsid w:val="00603B47"/>
    <w:rsid w:val="00603DB9"/>
    <w:rsid w:val="00606FBA"/>
    <w:rsid w:val="00607669"/>
    <w:rsid w:val="006076F4"/>
    <w:rsid w:val="00607AFD"/>
    <w:rsid w:val="00612F97"/>
    <w:rsid w:val="0061345D"/>
    <w:rsid w:val="0061549B"/>
    <w:rsid w:val="00616802"/>
    <w:rsid w:val="00617E12"/>
    <w:rsid w:val="00620C25"/>
    <w:rsid w:val="00621477"/>
    <w:rsid w:val="00621ADA"/>
    <w:rsid w:val="00623F7B"/>
    <w:rsid w:val="00624F85"/>
    <w:rsid w:val="0063158F"/>
    <w:rsid w:val="00631D6B"/>
    <w:rsid w:val="00632183"/>
    <w:rsid w:val="006330A1"/>
    <w:rsid w:val="0063479F"/>
    <w:rsid w:val="006353F0"/>
    <w:rsid w:val="006357B5"/>
    <w:rsid w:val="006364A1"/>
    <w:rsid w:val="0063678E"/>
    <w:rsid w:val="00637BFD"/>
    <w:rsid w:val="00641C4E"/>
    <w:rsid w:val="00641CAE"/>
    <w:rsid w:val="00641FB3"/>
    <w:rsid w:val="0064434C"/>
    <w:rsid w:val="006464EA"/>
    <w:rsid w:val="006471CC"/>
    <w:rsid w:val="00647A29"/>
    <w:rsid w:val="006505D0"/>
    <w:rsid w:val="0065079F"/>
    <w:rsid w:val="00652A28"/>
    <w:rsid w:val="0065379F"/>
    <w:rsid w:val="00656188"/>
    <w:rsid w:val="0065715A"/>
    <w:rsid w:val="00660BAE"/>
    <w:rsid w:val="006610F1"/>
    <w:rsid w:val="00661C6B"/>
    <w:rsid w:val="00671004"/>
    <w:rsid w:val="00672646"/>
    <w:rsid w:val="00674E42"/>
    <w:rsid w:val="00675B00"/>
    <w:rsid w:val="006813F8"/>
    <w:rsid w:val="00682112"/>
    <w:rsid w:val="00682BA6"/>
    <w:rsid w:val="00686957"/>
    <w:rsid w:val="006872BA"/>
    <w:rsid w:val="00690795"/>
    <w:rsid w:val="00691648"/>
    <w:rsid w:val="006917D7"/>
    <w:rsid w:val="0069434C"/>
    <w:rsid w:val="00694F44"/>
    <w:rsid w:val="00696F51"/>
    <w:rsid w:val="006979A5"/>
    <w:rsid w:val="00697E81"/>
    <w:rsid w:val="006A0EF6"/>
    <w:rsid w:val="006A3557"/>
    <w:rsid w:val="006A6B3F"/>
    <w:rsid w:val="006A6B99"/>
    <w:rsid w:val="006A7E5F"/>
    <w:rsid w:val="006B0E08"/>
    <w:rsid w:val="006B1348"/>
    <w:rsid w:val="006B261B"/>
    <w:rsid w:val="006B2C90"/>
    <w:rsid w:val="006B35E6"/>
    <w:rsid w:val="006B465A"/>
    <w:rsid w:val="006B6DD0"/>
    <w:rsid w:val="006C0399"/>
    <w:rsid w:val="006C2A8E"/>
    <w:rsid w:val="006C3255"/>
    <w:rsid w:val="006C3F26"/>
    <w:rsid w:val="006D0203"/>
    <w:rsid w:val="006D0D17"/>
    <w:rsid w:val="006D1F85"/>
    <w:rsid w:val="006D3C7D"/>
    <w:rsid w:val="006D4659"/>
    <w:rsid w:val="006D5D5F"/>
    <w:rsid w:val="006D68FB"/>
    <w:rsid w:val="006E2868"/>
    <w:rsid w:val="006E2B5F"/>
    <w:rsid w:val="006F306C"/>
    <w:rsid w:val="006F4E29"/>
    <w:rsid w:val="006F5906"/>
    <w:rsid w:val="006F63A5"/>
    <w:rsid w:val="0070142B"/>
    <w:rsid w:val="0070276E"/>
    <w:rsid w:val="00702F8F"/>
    <w:rsid w:val="007079FC"/>
    <w:rsid w:val="00711A36"/>
    <w:rsid w:val="00713302"/>
    <w:rsid w:val="00714C26"/>
    <w:rsid w:val="0071524B"/>
    <w:rsid w:val="0071529C"/>
    <w:rsid w:val="007170DA"/>
    <w:rsid w:val="007172AD"/>
    <w:rsid w:val="00720801"/>
    <w:rsid w:val="00722B1B"/>
    <w:rsid w:val="00723D97"/>
    <w:rsid w:val="0072416F"/>
    <w:rsid w:val="00727C94"/>
    <w:rsid w:val="00727E9B"/>
    <w:rsid w:val="00730F2F"/>
    <w:rsid w:val="00731B0A"/>
    <w:rsid w:val="00731EAE"/>
    <w:rsid w:val="00733073"/>
    <w:rsid w:val="00733F84"/>
    <w:rsid w:val="00735033"/>
    <w:rsid w:val="007351DB"/>
    <w:rsid w:val="00735328"/>
    <w:rsid w:val="0073685B"/>
    <w:rsid w:val="00737C28"/>
    <w:rsid w:val="007449BF"/>
    <w:rsid w:val="00745ED7"/>
    <w:rsid w:val="00746BC0"/>
    <w:rsid w:val="007510B4"/>
    <w:rsid w:val="00752142"/>
    <w:rsid w:val="007523F9"/>
    <w:rsid w:val="0075357E"/>
    <w:rsid w:val="007545CA"/>
    <w:rsid w:val="007573E8"/>
    <w:rsid w:val="00760C4E"/>
    <w:rsid w:val="00760D56"/>
    <w:rsid w:val="00760F9E"/>
    <w:rsid w:val="00762200"/>
    <w:rsid w:val="007627BE"/>
    <w:rsid w:val="00764F03"/>
    <w:rsid w:val="00765104"/>
    <w:rsid w:val="00765B1A"/>
    <w:rsid w:val="00766E16"/>
    <w:rsid w:val="007675F2"/>
    <w:rsid w:val="00777335"/>
    <w:rsid w:val="00780706"/>
    <w:rsid w:val="007843F2"/>
    <w:rsid w:val="00785A9F"/>
    <w:rsid w:val="007925DF"/>
    <w:rsid w:val="007A08AA"/>
    <w:rsid w:val="007A0A12"/>
    <w:rsid w:val="007A132D"/>
    <w:rsid w:val="007A1345"/>
    <w:rsid w:val="007A13AF"/>
    <w:rsid w:val="007A2DDB"/>
    <w:rsid w:val="007A70BA"/>
    <w:rsid w:val="007B0D68"/>
    <w:rsid w:val="007B251D"/>
    <w:rsid w:val="007B4014"/>
    <w:rsid w:val="007B4F58"/>
    <w:rsid w:val="007B528D"/>
    <w:rsid w:val="007B63CA"/>
    <w:rsid w:val="007B77D1"/>
    <w:rsid w:val="007C07C7"/>
    <w:rsid w:val="007C1CD9"/>
    <w:rsid w:val="007C32EF"/>
    <w:rsid w:val="007C361D"/>
    <w:rsid w:val="007C486A"/>
    <w:rsid w:val="007C4B84"/>
    <w:rsid w:val="007C70FF"/>
    <w:rsid w:val="007C7C25"/>
    <w:rsid w:val="007D004F"/>
    <w:rsid w:val="007D0B38"/>
    <w:rsid w:val="007D5440"/>
    <w:rsid w:val="007D69EB"/>
    <w:rsid w:val="007E128F"/>
    <w:rsid w:val="007E5ED2"/>
    <w:rsid w:val="007F1017"/>
    <w:rsid w:val="007F4A3F"/>
    <w:rsid w:val="007F4A61"/>
    <w:rsid w:val="007F5255"/>
    <w:rsid w:val="007F56CC"/>
    <w:rsid w:val="007F61C2"/>
    <w:rsid w:val="00801EF0"/>
    <w:rsid w:val="00802E66"/>
    <w:rsid w:val="00805142"/>
    <w:rsid w:val="00805FCE"/>
    <w:rsid w:val="00807A8B"/>
    <w:rsid w:val="00811383"/>
    <w:rsid w:val="00812149"/>
    <w:rsid w:val="00812CAC"/>
    <w:rsid w:val="00816361"/>
    <w:rsid w:val="008166EF"/>
    <w:rsid w:val="00816FEF"/>
    <w:rsid w:val="00820A8C"/>
    <w:rsid w:val="008215FB"/>
    <w:rsid w:val="00823174"/>
    <w:rsid w:val="00825751"/>
    <w:rsid w:val="008264EB"/>
    <w:rsid w:val="00833B05"/>
    <w:rsid w:val="00833F0F"/>
    <w:rsid w:val="008362B4"/>
    <w:rsid w:val="00840042"/>
    <w:rsid w:val="00840CA2"/>
    <w:rsid w:val="008423D4"/>
    <w:rsid w:val="0084374F"/>
    <w:rsid w:val="008443E1"/>
    <w:rsid w:val="00844A22"/>
    <w:rsid w:val="0084766B"/>
    <w:rsid w:val="00847703"/>
    <w:rsid w:val="00847DF5"/>
    <w:rsid w:val="00850A00"/>
    <w:rsid w:val="0085309D"/>
    <w:rsid w:val="0085360A"/>
    <w:rsid w:val="00856897"/>
    <w:rsid w:val="00856E9A"/>
    <w:rsid w:val="0085759E"/>
    <w:rsid w:val="0086075D"/>
    <w:rsid w:val="00862092"/>
    <w:rsid w:val="00862502"/>
    <w:rsid w:val="00862CC1"/>
    <w:rsid w:val="008660D4"/>
    <w:rsid w:val="008716BD"/>
    <w:rsid w:val="00871FA9"/>
    <w:rsid w:val="008728E9"/>
    <w:rsid w:val="0087308F"/>
    <w:rsid w:val="00882874"/>
    <w:rsid w:val="00882E3C"/>
    <w:rsid w:val="00883787"/>
    <w:rsid w:val="008855E4"/>
    <w:rsid w:val="00886CD2"/>
    <w:rsid w:val="00890E82"/>
    <w:rsid w:val="00890F92"/>
    <w:rsid w:val="00891E6F"/>
    <w:rsid w:val="0089275D"/>
    <w:rsid w:val="00892A36"/>
    <w:rsid w:val="00893239"/>
    <w:rsid w:val="00894489"/>
    <w:rsid w:val="00895FA9"/>
    <w:rsid w:val="008963A5"/>
    <w:rsid w:val="00896D5D"/>
    <w:rsid w:val="008A3363"/>
    <w:rsid w:val="008A3371"/>
    <w:rsid w:val="008A361B"/>
    <w:rsid w:val="008A3C3E"/>
    <w:rsid w:val="008A4ED9"/>
    <w:rsid w:val="008A79DE"/>
    <w:rsid w:val="008B1757"/>
    <w:rsid w:val="008B77C3"/>
    <w:rsid w:val="008B7992"/>
    <w:rsid w:val="008B7D7E"/>
    <w:rsid w:val="008C32F9"/>
    <w:rsid w:val="008C363D"/>
    <w:rsid w:val="008C5610"/>
    <w:rsid w:val="008C5739"/>
    <w:rsid w:val="008C7ECB"/>
    <w:rsid w:val="008D3B86"/>
    <w:rsid w:val="008D4755"/>
    <w:rsid w:val="008D4C3D"/>
    <w:rsid w:val="008D6036"/>
    <w:rsid w:val="008D743C"/>
    <w:rsid w:val="008D7600"/>
    <w:rsid w:val="008E0D3C"/>
    <w:rsid w:val="008E1B9E"/>
    <w:rsid w:val="008E1FDB"/>
    <w:rsid w:val="008E55AB"/>
    <w:rsid w:val="008F120A"/>
    <w:rsid w:val="008F2346"/>
    <w:rsid w:val="008F27E0"/>
    <w:rsid w:val="008F37C9"/>
    <w:rsid w:val="008F48EB"/>
    <w:rsid w:val="008F4F0B"/>
    <w:rsid w:val="008F6A01"/>
    <w:rsid w:val="00901058"/>
    <w:rsid w:val="009046C4"/>
    <w:rsid w:val="009062A5"/>
    <w:rsid w:val="00910FA7"/>
    <w:rsid w:val="00911272"/>
    <w:rsid w:val="009135D6"/>
    <w:rsid w:val="00914C77"/>
    <w:rsid w:val="00921ACB"/>
    <w:rsid w:val="0092369B"/>
    <w:rsid w:val="009257A5"/>
    <w:rsid w:val="00932D1A"/>
    <w:rsid w:val="009334B7"/>
    <w:rsid w:val="00934988"/>
    <w:rsid w:val="00937089"/>
    <w:rsid w:val="009426A3"/>
    <w:rsid w:val="00944F8A"/>
    <w:rsid w:val="009510A2"/>
    <w:rsid w:val="00951CE1"/>
    <w:rsid w:val="00952CEC"/>
    <w:rsid w:val="00953257"/>
    <w:rsid w:val="00953451"/>
    <w:rsid w:val="0095474C"/>
    <w:rsid w:val="00957F29"/>
    <w:rsid w:val="009610AA"/>
    <w:rsid w:val="00962CB9"/>
    <w:rsid w:val="00964312"/>
    <w:rsid w:val="00965B8A"/>
    <w:rsid w:val="0097071F"/>
    <w:rsid w:val="009717AC"/>
    <w:rsid w:val="009751C1"/>
    <w:rsid w:val="00977C3C"/>
    <w:rsid w:val="009811F1"/>
    <w:rsid w:val="00983E57"/>
    <w:rsid w:val="009856F4"/>
    <w:rsid w:val="00985C8C"/>
    <w:rsid w:val="00985DE2"/>
    <w:rsid w:val="0098675D"/>
    <w:rsid w:val="009926E0"/>
    <w:rsid w:val="00992A35"/>
    <w:rsid w:val="00992A81"/>
    <w:rsid w:val="0099451E"/>
    <w:rsid w:val="00996B1A"/>
    <w:rsid w:val="009A2DCC"/>
    <w:rsid w:val="009A5ABC"/>
    <w:rsid w:val="009A7F10"/>
    <w:rsid w:val="009B3E26"/>
    <w:rsid w:val="009B6611"/>
    <w:rsid w:val="009C1608"/>
    <w:rsid w:val="009C3706"/>
    <w:rsid w:val="009C3A3A"/>
    <w:rsid w:val="009C595E"/>
    <w:rsid w:val="009C6CEA"/>
    <w:rsid w:val="009C7B85"/>
    <w:rsid w:val="009D0254"/>
    <w:rsid w:val="009D0701"/>
    <w:rsid w:val="009D1A64"/>
    <w:rsid w:val="009D5B91"/>
    <w:rsid w:val="009D792E"/>
    <w:rsid w:val="009E0DFE"/>
    <w:rsid w:val="009E31F6"/>
    <w:rsid w:val="009E4C07"/>
    <w:rsid w:val="009E6AE2"/>
    <w:rsid w:val="009F302E"/>
    <w:rsid w:val="009F3369"/>
    <w:rsid w:val="009F4B5B"/>
    <w:rsid w:val="00A00006"/>
    <w:rsid w:val="00A01184"/>
    <w:rsid w:val="00A01B42"/>
    <w:rsid w:val="00A037C2"/>
    <w:rsid w:val="00A03D43"/>
    <w:rsid w:val="00A04380"/>
    <w:rsid w:val="00A05472"/>
    <w:rsid w:val="00A05C32"/>
    <w:rsid w:val="00A0653F"/>
    <w:rsid w:val="00A11CD0"/>
    <w:rsid w:val="00A13948"/>
    <w:rsid w:val="00A1555B"/>
    <w:rsid w:val="00A155C5"/>
    <w:rsid w:val="00A16AD8"/>
    <w:rsid w:val="00A16DAA"/>
    <w:rsid w:val="00A21C95"/>
    <w:rsid w:val="00A21CF3"/>
    <w:rsid w:val="00A2417B"/>
    <w:rsid w:val="00A24813"/>
    <w:rsid w:val="00A27AEC"/>
    <w:rsid w:val="00A320DB"/>
    <w:rsid w:val="00A35D16"/>
    <w:rsid w:val="00A37BCD"/>
    <w:rsid w:val="00A41689"/>
    <w:rsid w:val="00A41C07"/>
    <w:rsid w:val="00A42592"/>
    <w:rsid w:val="00A43C59"/>
    <w:rsid w:val="00A50ECD"/>
    <w:rsid w:val="00A518F3"/>
    <w:rsid w:val="00A52729"/>
    <w:rsid w:val="00A53675"/>
    <w:rsid w:val="00A564D7"/>
    <w:rsid w:val="00A56B6A"/>
    <w:rsid w:val="00A578DC"/>
    <w:rsid w:val="00A635A8"/>
    <w:rsid w:val="00A640E2"/>
    <w:rsid w:val="00A64D65"/>
    <w:rsid w:val="00A65371"/>
    <w:rsid w:val="00A6725B"/>
    <w:rsid w:val="00A70605"/>
    <w:rsid w:val="00A73134"/>
    <w:rsid w:val="00A76001"/>
    <w:rsid w:val="00A777B2"/>
    <w:rsid w:val="00A80EF1"/>
    <w:rsid w:val="00A825D4"/>
    <w:rsid w:val="00A828F6"/>
    <w:rsid w:val="00A82B73"/>
    <w:rsid w:val="00A86E8B"/>
    <w:rsid w:val="00A87164"/>
    <w:rsid w:val="00A93072"/>
    <w:rsid w:val="00A934B1"/>
    <w:rsid w:val="00A938BD"/>
    <w:rsid w:val="00A93953"/>
    <w:rsid w:val="00A959D8"/>
    <w:rsid w:val="00AA113D"/>
    <w:rsid w:val="00AA173E"/>
    <w:rsid w:val="00AA6BD5"/>
    <w:rsid w:val="00AA6BD8"/>
    <w:rsid w:val="00AA6C7D"/>
    <w:rsid w:val="00AA7FD6"/>
    <w:rsid w:val="00AB042A"/>
    <w:rsid w:val="00AB1458"/>
    <w:rsid w:val="00AB19EF"/>
    <w:rsid w:val="00AB2D34"/>
    <w:rsid w:val="00AB3430"/>
    <w:rsid w:val="00AB37B9"/>
    <w:rsid w:val="00AB3FED"/>
    <w:rsid w:val="00AB4AD1"/>
    <w:rsid w:val="00AB5E07"/>
    <w:rsid w:val="00AB7CFA"/>
    <w:rsid w:val="00AC5B48"/>
    <w:rsid w:val="00AD1450"/>
    <w:rsid w:val="00AD514C"/>
    <w:rsid w:val="00AD6502"/>
    <w:rsid w:val="00AE0695"/>
    <w:rsid w:val="00AE3E7E"/>
    <w:rsid w:val="00AE4EA2"/>
    <w:rsid w:val="00AE7FFB"/>
    <w:rsid w:val="00AF1315"/>
    <w:rsid w:val="00AF19BF"/>
    <w:rsid w:val="00AF2DC3"/>
    <w:rsid w:val="00AF32F2"/>
    <w:rsid w:val="00AF42F8"/>
    <w:rsid w:val="00AF6FA1"/>
    <w:rsid w:val="00B033E5"/>
    <w:rsid w:val="00B03A63"/>
    <w:rsid w:val="00B05A93"/>
    <w:rsid w:val="00B0721A"/>
    <w:rsid w:val="00B10BAE"/>
    <w:rsid w:val="00B11C4A"/>
    <w:rsid w:val="00B15505"/>
    <w:rsid w:val="00B201A4"/>
    <w:rsid w:val="00B201D1"/>
    <w:rsid w:val="00B213A6"/>
    <w:rsid w:val="00B221DA"/>
    <w:rsid w:val="00B235B0"/>
    <w:rsid w:val="00B24DF6"/>
    <w:rsid w:val="00B34FE2"/>
    <w:rsid w:val="00B35166"/>
    <w:rsid w:val="00B357D8"/>
    <w:rsid w:val="00B360F4"/>
    <w:rsid w:val="00B36A00"/>
    <w:rsid w:val="00B37BFC"/>
    <w:rsid w:val="00B40358"/>
    <w:rsid w:val="00B41614"/>
    <w:rsid w:val="00B42851"/>
    <w:rsid w:val="00B42B9D"/>
    <w:rsid w:val="00B42F80"/>
    <w:rsid w:val="00B435CB"/>
    <w:rsid w:val="00B4528E"/>
    <w:rsid w:val="00B505C8"/>
    <w:rsid w:val="00B50DB8"/>
    <w:rsid w:val="00B53654"/>
    <w:rsid w:val="00B53905"/>
    <w:rsid w:val="00B54B5B"/>
    <w:rsid w:val="00B5562E"/>
    <w:rsid w:val="00B55862"/>
    <w:rsid w:val="00B55D65"/>
    <w:rsid w:val="00B57000"/>
    <w:rsid w:val="00B57462"/>
    <w:rsid w:val="00B60939"/>
    <w:rsid w:val="00B60AFD"/>
    <w:rsid w:val="00B6217C"/>
    <w:rsid w:val="00B62715"/>
    <w:rsid w:val="00B65611"/>
    <w:rsid w:val="00B70E8E"/>
    <w:rsid w:val="00B73769"/>
    <w:rsid w:val="00B73870"/>
    <w:rsid w:val="00B76C92"/>
    <w:rsid w:val="00B802CC"/>
    <w:rsid w:val="00B818A4"/>
    <w:rsid w:val="00B821E6"/>
    <w:rsid w:val="00B82C75"/>
    <w:rsid w:val="00B84117"/>
    <w:rsid w:val="00B858F0"/>
    <w:rsid w:val="00B85AA2"/>
    <w:rsid w:val="00B8649C"/>
    <w:rsid w:val="00B86953"/>
    <w:rsid w:val="00B8695D"/>
    <w:rsid w:val="00B8761D"/>
    <w:rsid w:val="00B87F0A"/>
    <w:rsid w:val="00B907E0"/>
    <w:rsid w:val="00B92D0B"/>
    <w:rsid w:val="00B94945"/>
    <w:rsid w:val="00B94DD6"/>
    <w:rsid w:val="00BA0B45"/>
    <w:rsid w:val="00BA322D"/>
    <w:rsid w:val="00BA5B6F"/>
    <w:rsid w:val="00BA63FA"/>
    <w:rsid w:val="00BB00B3"/>
    <w:rsid w:val="00BB0BDD"/>
    <w:rsid w:val="00BB10DF"/>
    <w:rsid w:val="00BB176C"/>
    <w:rsid w:val="00BB2A73"/>
    <w:rsid w:val="00BB3A45"/>
    <w:rsid w:val="00BB4366"/>
    <w:rsid w:val="00BB4ACC"/>
    <w:rsid w:val="00BB703E"/>
    <w:rsid w:val="00BB732D"/>
    <w:rsid w:val="00BB7405"/>
    <w:rsid w:val="00BC3631"/>
    <w:rsid w:val="00BC4806"/>
    <w:rsid w:val="00BC591F"/>
    <w:rsid w:val="00BC7D6D"/>
    <w:rsid w:val="00BD2108"/>
    <w:rsid w:val="00BD68A3"/>
    <w:rsid w:val="00BD6938"/>
    <w:rsid w:val="00BD6CF3"/>
    <w:rsid w:val="00BD7AF0"/>
    <w:rsid w:val="00BE0ECA"/>
    <w:rsid w:val="00BE2180"/>
    <w:rsid w:val="00BE21F2"/>
    <w:rsid w:val="00BE4275"/>
    <w:rsid w:val="00BF06AE"/>
    <w:rsid w:val="00BF0F95"/>
    <w:rsid w:val="00BF137B"/>
    <w:rsid w:val="00BF2433"/>
    <w:rsid w:val="00BF61C9"/>
    <w:rsid w:val="00BF6C94"/>
    <w:rsid w:val="00C00424"/>
    <w:rsid w:val="00C01E1D"/>
    <w:rsid w:val="00C01FF5"/>
    <w:rsid w:val="00C1089E"/>
    <w:rsid w:val="00C1179F"/>
    <w:rsid w:val="00C1183B"/>
    <w:rsid w:val="00C12C14"/>
    <w:rsid w:val="00C13F90"/>
    <w:rsid w:val="00C15F04"/>
    <w:rsid w:val="00C179B3"/>
    <w:rsid w:val="00C17E3F"/>
    <w:rsid w:val="00C200AA"/>
    <w:rsid w:val="00C22DAF"/>
    <w:rsid w:val="00C237ED"/>
    <w:rsid w:val="00C24632"/>
    <w:rsid w:val="00C25418"/>
    <w:rsid w:val="00C25D9C"/>
    <w:rsid w:val="00C2654E"/>
    <w:rsid w:val="00C2778B"/>
    <w:rsid w:val="00C31649"/>
    <w:rsid w:val="00C3434C"/>
    <w:rsid w:val="00C36F01"/>
    <w:rsid w:val="00C37C37"/>
    <w:rsid w:val="00C40385"/>
    <w:rsid w:val="00C41768"/>
    <w:rsid w:val="00C475AA"/>
    <w:rsid w:val="00C477B4"/>
    <w:rsid w:val="00C53C98"/>
    <w:rsid w:val="00C56FCF"/>
    <w:rsid w:val="00C57B6C"/>
    <w:rsid w:val="00C6072A"/>
    <w:rsid w:val="00C628A6"/>
    <w:rsid w:val="00C62CF7"/>
    <w:rsid w:val="00C64344"/>
    <w:rsid w:val="00C65108"/>
    <w:rsid w:val="00C65576"/>
    <w:rsid w:val="00C66165"/>
    <w:rsid w:val="00C67545"/>
    <w:rsid w:val="00C7060A"/>
    <w:rsid w:val="00C7151A"/>
    <w:rsid w:val="00C717E3"/>
    <w:rsid w:val="00C71F60"/>
    <w:rsid w:val="00C72241"/>
    <w:rsid w:val="00C7283A"/>
    <w:rsid w:val="00C74C67"/>
    <w:rsid w:val="00C750C8"/>
    <w:rsid w:val="00C7560F"/>
    <w:rsid w:val="00C76B09"/>
    <w:rsid w:val="00C80A0E"/>
    <w:rsid w:val="00C8213F"/>
    <w:rsid w:val="00C85154"/>
    <w:rsid w:val="00C8797A"/>
    <w:rsid w:val="00C900B8"/>
    <w:rsid w:val="00C90C71"/>
    <w:rsid w:val="00C91FD1"/>
    <w:rsid w:val="00C931CF"/>
    <w:rsid w:val="00C938CF"/>
    <w:rsid w:val="00C94053"/>
    <w:rsid w:val="00C951A3"/>
    <w:rsid w:val="00C9624D"/>
    <w:rsid w:val="00C969DA"/>
    <w:rsid w:val="00C97E08"/>
    <w:rsid w:val="00CA0EDE"/>
    <w:rsid w:val="00CA2C77"/>
    <w:rsid w:val="00CA444F"/>
    <w:rsid w:val="00CA5245"/>
    <w:rsid w:val="00CA71F4"/>
    <w:rsid w:val="00CA7B09"/>
    <w:rsid w:val="00CB12A5"/>
    <w:rsid w:val="00CB1CAC"/>
    <w:rsid w:val="00CB2F2A"/>
    <w:rsid w:val="00CB5B1A"/>
    <w:rsid w:val="00CB60BB"/>
    <w:rsid w:val="00CB6B22"/>
    <w:rsid w:val="00CB6D0C"/>
    <w:rsid w:val="00CB7F5F"/>
    <w:rsid w:val="00CC1B39"/>
    <w:rsid w:val="00CC35EA"/>
    <w:rsid w:val="00CC3848"/>
    <w:rsid w:val="00CC4A08"/>
    <w:rsid w:val="00CC7637"/>
    <w:rsid w:val="00CC781C"/>
    <w:rsid w:val="00CD16ED"/>
    <w:rsid w:val="00CD1CF6"/>
    <w:rsid w:val="00CD3F77"/>
    <w:rsid w:val="00CD6ADC"/>
    <w:rsid w:val="00CD7193"/>
    <w:rsid w:val="00CE1793"/>
    <w:rsid w:val="00CE38C8"/>
    <w:rsid w:val="00CE6274"/>
    <w:rsid w:val="00CE77B6"/>
    <w:rsid w:val="00CF2B8D"/>
    <w:rsid w:val="00CF456B"/>
    <w:rsid w:val="00CF5A22"/>
    <w:rsid w:val="00CF6333"/>
    <w:rsid w:val="00D0262E"/>
    <w:rsid w:val="00D05E3D"/>
    <w:rsid w:val="00D06139"/>
    <w:rsid w:val="00D110BD"/>
    <w:rsid w:val="00D12FAB"/>
    <w:rsid w:val="00D13675"/>
    <w:rsid w:val="00D141E1"/>
    <w:rsid w:val="00D15314"/>
    <w:rsid w:val="00D17D6C"/>
    <w:rsid w:val="00D200B4"/>
    <w:rsid w:val="00D2155B"/>
    <w:rsid w:val="00D23AAA"/>
    <w:rsid w:val="00D23D11"/>
    <w:rsid w:val="00D244B6"/>
    <w:rsid w:val="00D2754D"/>
    <w:rsid w:val="00D27B27"/>
    <w:rsid w:val="00D33BE9"/>
    <w:rsid w:val="00D33F93"/>
    <w:rsid w:val="00D34B7C"/>
    <w:rsid w:val="00D357FF"/>
    <w:rsid w:val="00D3587B"/>
    <w:rsid w:val="00D424C7"/>
    <w:rsid w:val="00D43B2A"/>
    <w:rsid w:val="00D43D83"/>
    <w:rsid w:val="00D459EC"/>
    <w:rsid w:val="00D47575"/>
    <w:rsid w:val="00D51BAC"/>
    <w:rsid w:val="00D51DEF"/>
    <w:rsid w:val="00D5243B"/>
    <w:rsid w:val="00D533EC"/>
    <w:rsid w:val="00D56664"/>
    <w:rsid w:val="00D56A95"/>
    <w:rsid w:val="00D70F16"/>
    <w:rsid w:val="00D72F57"/>
    <w:rsid w:val="00D730EE"/>
    <w:rsid w:val="00D74994"/>
    <w:rsid w:val="00D753F3"/>
    <w:rsid w:val="00D76A44"/>
    <w:rsid w:val="00D815EF"/>
    <w:rsid w:val="00D81F26"/>
    <w:rsid w:val="00D827B0"/>
    <w:rsid w:val="00D836F0"/>
    <w:rsid w:val="00D86231"/>
    <w:rsid w:val="00D91923"/>
    <w:rsid w:val="00D93753"/>
    <w:rsid w:val="00D95116"/>
    <w:rsid w:val="00DA3167"/>
    <w:rsid w:val="00DA4DC3"/>
    <w:rsid w:val="00DA5D7C"/>
    <w:rsid w:val="00DA77A5"/>
    <w:rsid w:val="00DB0B40"/>
    <w:rsid w:val="00DB3DBF"/>
    <w:rsid w:val="00DB484F"/>
    <w:rsid w:val="00DC04F6"/>
    <w:rsid w:val="00DC0690"/>
    <w:rsid w:val="00DC1D65"/>
    <w:rsid w:val="00DC3C57"/>
    <w:rsid w:val="00DC5501"/>
    <w:rsid w:val="00DC5C71"/>
    <w:rsid w:val="00DC7154"/>
    <w:rsid w:val="00DC7E8A"/>
    <w:rsid w:val="00DD0F78"/>
    <w:rsid w:val="00DD273C"/>
    <w:rsid w:val="00DD3F28"/>
    <w:rsid w:val="00DD4537"/>
    <w:rsid w:val="00DD4E15"/>
    <w:rsid w:val="00DE16B6"/>
    <w:rsid w:val="00DE2304"/>
    <w:rsid w:val="00DE3138"/>
    <w:rsid w:val="00DE37F8"/>
    <w:rsid w:val="00DE4FCB"/>
    <w:rsid w:val="00DE5D07"/>
    <w:rsid w:val="00DE6E74"/>
    <w:rsid w:val="00DE72A7"/>
    <w:rsid w:val="00DE7832"/>
    <w:rsid w:val="00DF18FC"/>
    <w:rsid w:val="00DF5D2B"/>
    <w:rsid w:val="00DF6B3C"/>
    <w:rsid w:val="00DF765F"/>
    <w:rsid w:val="00E0023B"/>
    <w:rsid w:val="00E005E8"/>
    <w:rsid w:val="00E00E8E"/>
    <w:rsid w:val="00E05630"/>
    <w:rsid w:val="00E06DBB"/>
    <w:rsid w:val="00E10149"/>
    <w:rsid w:val="00E11340"/>
    <w:rsid w:val="00E122A1"/>
    <w:rsid w:val="00E16372"/>
    <w:rsid w:val="00E20E4D"/>
    <w:rsid w:val="00E20ED6"/>
    <w:rsid w:val="00E21358"/>
    <w:rsid w:val="00E2249B"/>
    <w:rsid w:val="00E22A0D"/>
    <w:rsid w:val="00E244F6"/>
    <w:rsid w:val="00E2771E"/>
    <w:rsid w:val="00E311EF"/>
    <w:rsid w:val="00E32180"/>
    <w:rsid w:val="00E33ECA"/>
    <w:rsid w:val="00E34948"/>
    <w:rsid w:val="00E37569"/>
    <w:rsid w:val="00E401B2"/>
    <w:rsid w:val="00E41E30"/>
    <w:rsid w:val="00E42F73"/>
    <w:rsid w:val="00E43D70"/>
    <w:rsid w:val="00E466F3"/>
    <w:rsid w:val="00E47B2C"/>
    <w:rsid w:val="00E51560"/>
    <w:rsid w:val="00E53FC8"/>
    <w:rsid w:val="00E54347"/>
    <w:rsid w:val="00E54B71"/>
    <w:rsid w:val="00E55424"/>
    <w:rsid w:val="00E55915"/>
    <w:rsid w:val="00E55BB5"/>
    <w:rsid w:val="00E65E79"/>
    <w:rsid w:val="00E66BA2"/>
    <w:rsid w:val="00E67416"/>
    <w:rsid w:val="00E718B6"/>
    <w:rsid w:val="00E71F9F"/>
    <w:rsid w:val="00E723BA"/>
    <w:rsid w:val="00E7356A"/>
    <w:rsid w:val="00E73581"/>
    <w:rsid w:val="00E833F7"/>
    <w:rsid w:val="00E83BDF"/>
    <w:rsid w:val="00E869F3"/>
    <w:rsid w:val="00E87A1D"/>
    <w:rsid w:val="00E9094A"/>
    <w:rsid w:val="00E91D35"/>
    <w:rsid w:val="00E926A5"/>
    <w:rsid w:val="00E94316"/>
    <w:rsid w:val="00EA17C3"/>
    <w:rsid w:val="00EA226A"/>
    <w:rsid w:val="00EA2CAA"/>
    <w:rsid w:val="00EA3864"/>
    <w:rsid w:val="00EA5D52"/>
    <w:rsid w:val="00EA7F1C"/>
    <w:rsid w:val="00EB0FAD"/>
    <w:rsid w:val="00EB15B6"/>
    <w:rsid w:val="00EB2C9A"/>
    <w:rsid w:val="00EB385B"/>
    <w:rsid w:val="00EB3D06"/>
    <w:rsid w:val="00EB4916"/>
    <w:rsid w:val="00EC00C9"/>
    <w:rsid w:val="00EC0DD9"/>
    <w:rsid w:val="00EC2649"/>
    <w:rsid w:val="00EC31ED"/>
    <w:rsid w:val="00EC5836"/>
    <w:rsid w:val="00EC6252"/>
    <w:rsid w:val="00EC688C"/>
    <w:rsid w:val="00ED24E8"/>
    <w:rsid w:val="00ED4680"/>
    <w:rsid w:val="00ED57EA"/>
    <w:rsid w:val="00ED5BD4"/>
    <w:rsid w:val="00ED7A07"/>
    <w:rsid w:val="00EE07D3"/>
    <w:rsid w:val="00EE1996"/>
    <w:rsid w:val="00EE1C01"/>
    <w:rsid w:val="00EE22AF"/>
    <w:rsid w:val="00EE4DFD"/>
    <w:rsid w:val="00EF0171"/>
    <w:rsid w:val="00EF1B25"/>
    <w:rsid w:val="00EF1DA0"/>
    <w:rsid w:val="00EF4747"/>
    <w:rsid w:val="00EF4BF8"/>
    <w:rsid w:val="00F02253"/>
    <w:rsid w:val="00F03C2E"/>
    <w:rsid w:val="00F04A66"/>
    <w:rsid w:val="00F04B4B"/>
    <w:rsid w:val="00F0516C"/>
    <w:rsid w:val="00F067A2"/>
    <w:rsid w:val="00F07B9E"/>
    <w:rsid w:val="00F1116F"/>
    <w:rsid w:val="00F1263A"/>
    <w:rsid w:val="00F14731"/>
    <w:rsid w:val="00F15B77"/>
    <w:rsid w:val="00F22173"/>
    <w:rsid w:val="00F24837"/>
    <w:rsid w:val="00F2486D"/>
    <w:rsid w:val="00F2575F"/>
    <w:rsid w:val="00F27565"/>
    <w:rsid w:val="00F275FB"/>
    <w:rsid w:val="00F27EA4"/>
    <w:rsid w:val="00F310D4"/>
    <w:rsid w:val="00F31D5A"/>
    <w:rsid w:val="00F33975"/>
    <w:rsid w:val="00F33DE9"/>
    <w:rsid w:val="00F35E6D"/>
    <w:rsid w:val="00F3619A"/>
    <w:rsid w:val="00F40AAA"/>
    <w:rsid w:val="00F40BA7"/>
    <w:rsid w:val="00F40DD9"/>
    <w:rsid w:val="00F40F9D"/>
    <w:rsid w:val="00F41ACD"/>
    <w:rsid w:val="00F46CB6"/>
    <w:rsid w:val="00F4756D"/>
    <w:rsid w:val="00F47DE8"/>
    <w:rsid w:val="00F509F8"/>
    <w:rsid w:val="00F542C1"/>
    <w:rsid w:val="00F55E73"/>
    <w:rsid w:val="00F55EDA"/>
    <w:rsid w:val="00F56924"/>
    <w:rsid w:val="00F56C80"/>
    <w:rsid w:val="00F60092"/>
    <w:rsid w:val="00F61C18"/>
    <w:rsid w:val="00F65F4B"/>
    <w:rsid w:val="00F671A9"/>
    <w:rsid w:val="00F67A69"/>
    <w:rsid w:val="00F703C9"/>
    <w:rsid w:val="00F70BFF"/>
    <w:rsid w:val="00F70C9D"/>
    <w:rsid w:val="00F74CD9"/>
    <w:rsid w:val="00F80A7B"/>
    <w:rsid w:val="00F80E5D"/>
    <w:rsid w:val="00F81E78"/>
    <w:rsid w:val="00F82665"/>
    <w:rsid w:val="00F836BC"/>
    <w:rsid w:val="00F851CE"/>
    <w:rsid w:val="00F91219"/>
    <w:rsid w:val="00F92444"/>
    <w:rsid w:val="00F93312"/>
    <w:rsid w:val="00F9393E"/>
    <w:rsid w:val="00F958D4"/>
    <w:rsid w:val="00F96FD0"/>
    <w:rsid w:val="00F97A78"/>
    <w:rsid w:val="00F97E81"/>
    <w:rsid w:val="00FA0B20"/>
    <w:rsid w:val="00FA24B2"/>
    <w:rsid w:val="00FA24E7"/>
    <w:rsid w:val="00FA5EE6"/>
    <w:rsid w:val="00FA7956"/>
    <w:rsid w:val="00FB01E6"/>
    <w:rsid w:val="00FB2330"/>
    <w:rsid w:val="00FB2FCB"/>
    <w:rsid w:val="00FB7C55"/>
    <w:rsid w:val="00FC1074"/>
    <w:rsid w:val="00FC1884"/>
    <w:rsid w:val="00FC371D"/>
    <w:rsid w:val="00FC41FD"/>
    <w:rsid w:val="00FC5F0B"/>
    <w:rsid w:val="00FD1DA5"/>
    <w:rsid w:val="00FD2100"/>
    <w:rsid w:val="00FD436C"/>
    <w:rsid w:val="00FD446D"/>
    <w:rsid w:val="00FD4F2C"/>
    <w:rsid w:val="00FD5120"/>
    <w:rsid w:val="00FD6394"/>
    <w:rsid w:val="00FD64F2"/>
    <w:rsid w:val="00FE0E6C"/>
    <w:rsid w:val="00FE16AE"/>
    <w:rsid w:val="00FE1CDC"/>
    <w:rsid w:val="00FE70C3"/>
    <w:rsid w:val="00FF2ACB"/>
    <w:rsid w:val="00FF2AD9"/>
    <w:rsid w:val="00FF359F"/>
    <w:rsid w:val="00FF3DCF"/>
    <w:rsid w:val="00FF492C"/>
    <w:rsid w:val="00FF4A21"/>
    <w:rsid w:val="00FF5AA3"/>
    <w:rsid w:val="00FF5AD8"/>
    <w:rsid w:val="00FF6D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28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styleId="IntenseEmphasis">
    <w:name w:val="Intense Emphasis"/>
    <w:uiPriority w:val="21"/>
    <w:qFormat/>
    <w:rsid w:val="00454F78"/>
    <w:rPr>
      <w:b/>
      <w:bCs/>
      <w:i/>
      <w:iCs/>
    </w:rPr>
  </w:style>
  <w:style w:type="paragraph" w:customStyle="1" w:styleId="TableFootnote">
    <w:name w:val="Table Footnote"/>
    <w:basedOn w:val="Normal"/>
    <w:qFormat/>
    <w:rsid w:val="00ED24E8"/>
    <w:pPr>
      <w:spacing w:after="160" w:line="259" w:lineRule="auto"/>
      <w:jc w:val="left"/>
    </w:pPr>
    <w:rPr>
      <w:rFonts w:asciiTheme="minorHAnsi" w:eastAsiaTheme="minorHAnsi" w:hAnsiTheme="minorHAnsi"/>
      <w:sz w:val="18"/>
      <w:szCs w:val="18"/>
      <w:lang w:eastAsia="en-GB"/>
    </w:rPr>
  </w:style>
  <w:style w:type="character" w:customStyle="1" w:styleId="Small">
    <w:name w:val="Small"/>
    <w:basedOn w:val="DefaultParagraphFont"/>
    <w:uiPriority w:val="4"/>
    <w:qFormat/>
    <w:rsid w:val="001348A8"/>
    <w:rPr>
      <w:rFonts w:ascii="Calibri" w:hAnsi="Calibri"/>
      <w:sz w:val="20"/>
    </w:rPr>
  </w:style>
  <w:style w:type="paragraph" w:customStyle="1" w:styleId="TableLeft">
    <w:name w:val="Table Left"/>
    <w:basedOn w:val="Normal"/>
    <w:link w:val="TableLeftChar"/>
    <w:uiPriority w:val="99"/>
    <w:qFormat/>
    <w:rsid w:val="001348A8"/>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1348A8"/>
    <w:rPr>
      <w:rFonts w:ascii="Calibri" w:eastAsiaTheme="majorEastAsia" w:hAnsi="Calibri" w:cstheme="majorBidi"/>
      <w:sz w:val="18"/>
      <w:szCs w:val="22"/>
      <w:lang w:eastAsia="en-US" w:bidi="en-US"/>
    </w:rPr>
  </w:style>
  <w:style w:type="character" w:customStyle="1" w:styleId="SmallBold">
    <w:name w:val="Small Bold"/>
    <w:basedOn w:val="Small"/>
    <w:uiPriority w:val="4"/>
    <w:qFormat/>
    <w:rsid w:val="001348A8"/>
    <w:rPr>
      <w:rFonts w:ascii="Calibri" w:hAnsi="Calibri"/>
      <w:b/>
      <w:sz w:val="20"/>
      <w:lang w:val="en-AU"/>
    </w:rPr>
  </w:style>
  <w:style w:type="table" w:customStyle="1" w:styleId="TableGrid1">
    <w:name w:val="Table Grid1"/>
    <w:basedOn w:val="TableNormal"/>
    <w:next w:val="TableGrid"/>
    <w:uiPriority w:val="59"/>
    <w:rsid w:val="001348A8"/>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ubmissionstandard">
    <w:name w:val="Submission standard"/>
    <w:basedOn w:val="TableNormal"/>
    <w:uiPriority w:val="99"/>
    <w:qFormat/>
    <w:rsid w:val="00411E4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customStyle="1" w:styleId="TableCentre">
    <w:name w:val="Table Centre"/>
    <w:basedOn w:val="Normal"/>
    <w:link w:val="TableCentreChar"/>
    <w:qFormat/>
    <w:rsid w:val="00F40DD9"/>
    <w:pPr>
      <w:jc w:val="center"/>
    </w:pPr>
    <w:rPr>
      <w:rFonts w:eastAsiaTheme="majorEastAsia" w:cstheme="majorBidi"/>
      <w:sz w:val="18"/>
      <w:szCs w:val="22"/>
      <w:lang w:eastAsia="en-US" w:bidi="en-US"/>
    </w:rPr>
  </w:style>
  <w:style w:type="character" w:customStyle="1" w:styleId="TableCentreChar">
    <w:name w:val="Table Centre Char"/>
    <w:basedOn w:val="DefaultParagraphFont"/>
    <w:link w:val="TableCentre"/>
    <w:rsid w:val="00F40DD9"/>
    <w:rPr>
      <w:rFonts w:ascii="Calibri" w:eastAsiaTheme="majorEastAsia" w:hAnsi="Calibri" w:cstheme="majorBidi"/>
      <w:sz w:val="18"/>
      <w:szCs w:val="22"/>
      <w:lang w:eastAsia="en-US" w:bidi="en-US"/>
    </w:rPr>
  </w:style>
  <w:style w:type="table" w:customStyle="1" w:styleId="Submissionstandard1">
    <w:name w:val="Submission standard1"/>
    <w:basedOn w:val="TableNormal"/>
    <w:uiPriority w:val="99"/>
    <w:qFormat/>
    <w:rsid w:val="00016C15"/>
    <w:rPr>
      <w:rFonts w:ascii="Arial Narrow" w:eastAsia="MS Gothic" w:hAnsi="Arial Narrow"/>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Narrow" w:hAnsi="Arial Narrow"/>
        <w:b/>
        <w:sz w:val="20"/>
      </w:rPr>
      <w:tblPr/>
      <w:tcPr>
        <w:shd w:val="clear" w:color="auto" w:fill="BFBFBF"/>
      </w:tcPr>
    </w:tblStylePr>
  </w:style>
  <w:style w:type="paragraph" w:customStyle="1" w:styleId="TableBullets">
    <w:name w:val="Table Bullets"/>
    <w:basedOn w:val="TableLeft"/>
    <w:uiPriority w:val="5"/>
    <w:qFormat/>
    <w:rsid w:val="00E7356A"/>
    <w:pPr>
      <w:numPr>
        <w:numId w:val="10"/>
      </w:numPr>
      <w:ind w:left="170" w:hanging="170"/>
    </w:pPr>
  </w:style>
  <w:style w:type="character" w:customStyle="1" w:styleId="UnresolvedMention1">
    <w:name w:val="Unresolved Mention1"/>
    <w:basedOn w:val="DefaultParagraphFont"/>
    <w:uiPriority w:val="99"/>
    <w:semiHidden/>
    <w:unhideWhenUsed/>
    <w:rsid w:val="00B86953"/>
    <w:rPr>
      <w:color w:val="605E5C"/>
      <w:shd w:val="clear" w:color="auto" w:fill="E1DFDD"/>
    </w:rPr>
  </w:style>
  <w:style w:type="paragraph" w:styleId="FootnoteText">
    <w:name w:val="footnote text"/>
    <w:basedOn w:val="Normal"/>
    <w:link w:val="FootnoteTextChar"/>
    <w:semiHidden/>
    <w:unhideWhenUsed/>
    <w:rsid w:val="00326915"/>
    <w:rPr>
      <w:sz w:val="20"/>
      <w:szCs w:val="20"/>
    </w:rPr>
  </w:style>
  <w:style w:type="character" w:customStyle="1" w:styleId="FootnoteTextChar">
    <w:name w:val="Footnote Text Char"/>
    <w:basedOn w:val="DefaultParagraphFont"/>
    <w:link w:val="FootnoteText"/>
    <w:semiHidden/>
    <w:rsid w:val="00326915"/>
    <w:rPr>
      <w:rFonts w:ascii="Calibri" w:hAnsi="Calibri" w:cs="Arial"/>
    </w:rPr>
  </w:style>
  <w:style w:type="character" w:styleId="FootnoteReference">
    <w:name w:val="footnote reference"/>
    <w:basedOn w:val="DefaultParagraphFont"/>
    <w:semiHidden/>
    <w:unhideWhenUsed/>
    <w:rsid w:val="00326915"/>
    <w:rPr>
      <w:vertAlign w:val="superscript"/>
    </w:rPr>
  </w:style>
  <w:style w:type="paragraph" w:customStyle="1" w:styleId="ExecSumBodyText">
    <w:name w:val="Exec Sum Body Text"/>
    <w:basedOn w:val="Normal"/>
    <w:link w:val="ExecSumBodyTextChar"/>
    <w:qFormat/>
    <w:rsid w:val="004F6D58"/>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4F6D58"/>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02">
      <w:bodyDiv w:val="1"/>
      <w:marLeft w:val="0"/>
      <w:marRight w:val="0"/>
      <w:marTop w:val="0"/>
      <w:marBottom w:val="0"/>
      <w:divBdr>
        <w:top w:val="none" w:sz="0" w:space="0" w:color="auto"/>
        <w:left w:val="none" w:sz="0" w:space="0" w:color="auto"/>
        <w:bottom w:val="none" w:sz="0" w:space="0" w:color="auto"/>
        <w:right w:val="none" w:sz="0" w:space="0" w:color="auto"/>
      </w:divBdr>
      <w:divsChild>
        <w:div w:id="1626349337">
          <w:marLeft w:val="0"/>
          <w:marRight w:val="0"/>
          <w:marTop w:val="0"/>
          <w:marBottom w:val="0"/>
          <w:divBdr>
            <w:top w:val="none" w:sz="0" w:space="0" w:color="auto"/>
            <w:left w:val="none" w:sz="0" w:space="0" w:color="auto"/>
            <w:bottom w:val="none" w:sz="0" w:space="0" w:color="auto"/>
            <w:right w:val="none" w:sz="0" w:space="0" w:color="auto"/>
          </w:divBdr>
          <w:divsChild>
            <w:div w:id="901019128">
              <w:marLeft w:val="0"/>
              <w:marRight w:val="0"/>
              <w:marTop w:val="0"/>
              <w:marBottom w:val="0"/>
              <w:divBdr>
                <w:top w:val="none" w:sz="0" w:space="0" w:color="auto"/>
                <w:left w:val="none" w:sz="0" w:space="0" w:color="auto"/>
                <w:bottom w:val="none" w:sz="0" w:space="0" w:color="auto"/>
                <w:right w:val="none" w:sz="0" w:space="0" w:color="auto"/>
              </w:divBdr>
              <w:divsChild>
                <w:div w:id="892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3831433">
      <w:bodyDiv w:val="1"/>
      <w:marLeft w:val="0"/>
      <w:marRight w:val="0"/>
      <w:marTop w:val="0"/>
      <w:marBottom w:val="0"/>
      <w:divBdr>
        <w:top w:val="none" w:sz="0" w:space="0" w:color="auto"/>
        <w:left w:val="none" w:sz="0" w:space="0" w:color="auto"/>
        <w:bottom w:val="none" w:sz="0" w:space="0" w:color="auto"/>
        <w:right w:val="none" w:sz="0" w:space="0" w:color="auto"/>
      </w:divBdr>
    </w:div>
    <w:div w:id="23543321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49750925">
      <w:bodyDiv w:val="1"/>
      <w:marLeft w:val="0"/>
      <w:marRight w:val="0"/>
      <w:marTop w:val="0"/>
      <w:marBottom w:val="0"/>
      <w:divBdr>
        <w:top w:val="none" w:sz="0" w:space="0" w:color="auto"/>
        <w:left w:val="none" w:sz="0" w:space="0" w:color="auto"/>
        <w:bottom w:val="none" w:sz="0" w:space="0" w:color="auto"/>
        <w:right w:val="none" w:sz="0" w:space="0" w:color="auto"/>
      </w:divBdr>
    </w:div>
    <w:div w:id="776215001">
      <w:bodyDiv w:val="1"/>
      <w:marLeft w:val="0"/>
      <w:marRight w:val="0"/>
      <w:marTop w:val="0"/>
      <w:marBottom w:val="0"/>
      <w:divBdr>
        <w:top w:val="none" w:sz="0" w:space="0" w:color="auto"/>
        <w:left w:val="none" w:sz="0" w:space="0" w:color="auto"/>
        <w:bottom w:val="none" w:sz="0" w:space="0" w:color="auto"/>
        <w:right w:val="none" w:sz="0" w:space="0" w:color="auto"/>
      </w:divBdr>
      <w:divsChild>
        <w:div w:id="1489975211">
          <w:marLeft w:val="0"/>
          <w:marRight w:val="0"/>
          <w:marTop w:val="0"/>
          <w:marBottom w:val="0"/>
          <w:divBdr>
            <w:top w:val="none" w:sz="0" w:space="0" w:color="auto"/>
            <w:left w:val="none" w:sz="0" w:space="0" w:color="auto"/>
            <w:bottom w:val="none" w:sz="0" w:space="0" w:color="auto"/>
            <w:right w:val="none" w:sz="0" w:space="0" w:color="auto"/>
          </w:divBdr>
          <w:divsChild>
            <w:div w:id="570164040">
              <w:marLeft w:val="0"/>
              <w:marRight w:val="0"/>
              <w:marTop w:val="0"/>
              <w:marBottom w:val="0"/>
              <w:divBdr>
                <w:top w:val="none" w:sz="0" w:space="0" w:color="auto"/>
                <w:left w:val="none" w:sz="0" w:space="0" w:color="auto"/>
                <w:bottom w:val="none" w:sz="0" w:space="0" w:color="auto"/>
                <w:right w:val="none" w:sz="0" w:space="0" w:color="auto"/>
              </w:divBdr>
              <w:divsChild>
                <w:div w:id="3143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5559">
      <w:bodyDiv w:val="1"/>
      <w:marLeft w:val="0"/>
      <w:marRight w:val="0"/>
      <w:marTop w:val="0"/>
      <w:marBottom w:val="0"/>
      <w:divBdr>
        <w:top w:val="none" w:sz="0" w:space="0" w:color="auto"/>
        <w:left w:val="none" w:sz="0" w:space="0" w:color="auto"/>
        <w:bottom w:val="none" w:sz="0" w:space="0" w:color="auto"/>
        <w:right w:val="none" w:sz="0" w:space="0" w:color="auto"/>
      </w:divBdr>
    </w:div>
    <w:div w:id="970477404">
      <w:bodyDiv w:val="1"/>
      <w:marLeft w:val="0"/>
      <w:marRight w:val="0"/>
      <w:marTop w:val="0"/>
      <w:marBottom w:val="0"/>
      <w:divBdr>
        <w:top w:val="none" w:sz="0" w:space="0" w:color="auto"/>
        <w:left w:val="none" w:sz="0" w:space="0" w:color="auto"/>
        <w:bottom w:val="none" w:sz="0" w:space="0" w:color="auto"/>
        <w:right w:val="none" w:sz="0" w:space="0" w:color="auto"/>
      </w:divBdr>
    </w:div>
    <w:div w:id="115861443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0363">
      <w:bodyDiv w:val="1"/>
      <w:marLeft w:val="0"/>
      <w:marRight w:val="0"/>
      <w:marTop w:val="0"/>
      <w:marBottom w:val="0"/>
      <w:divBdr>
        <w:top w:val="none" w:sz="0" w:space="0" w:color="auto"/>
        <w:left w:val="none" w:sz="0" w:space="0" w:color="auto"/>
        <w:bottom w:val="none" w:sz="0" w:space="0" w:color="auto"/>
        <w:right w:val="none" w:sz="0" w:space="0" w:color="auto"/>
      </w:divBdr>
      <w:divsChild>
        <w:div w:id="1817869273">
          <w:marLeft w:val="0"/>
          <w:marRight w:val="0"/>
          <w:marTop w:val="0"/>
          <w:marBottom w:val="0"/>
          <w:divBdr>
            <w:top w:val="none" w:sz="0" w:space="0" w:color="auto"/>
            <w:left w:val="none" w:sz="0" w:space="0" w:color="auto"/>
            <w:bottom w:val="none" w:sz="0" w:space="0" w:color="auto"/>
            <w:right w:val="none" w:sz="0" w:space="0" w:color="auto"/>
          </w:divBdr>
          <w:divsChild>
            <w:div w:id="1092355652">
              <w:marLeft w:val="0"/>
              <w:marRight w:val="0"/>
              <w:marTop w:val="0"/>
              <w:marBottom w:val="0"/>
              <w:divBdr>
                <w:top w:val="none" w:sz="0" w:space="0" w:color="auto"/>
                <w:left w:val="none" w:sz="0" w:space="0" w:color="auto"/>
                <w:bottom w:val="none" w:sz="0" w:space="0" w:color="auto"/>
                <w:right w:val="none" w:sz="0" w:space="0" w:color="auto"/>
              </w:divBdr>
              <w:divsChild>
                <w:div w:id="777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4370">
      <w:bodyDiv w:val="1"/>
      <w:marLeft w:val="0"/>
      <w:marRight w:val="0"/>
      <w:marTop w:val="0"/>
      <w:marBottom w:val="0"/>
      <w:divBdr>
        <w:top w:val="none" w:sz="0" w:space="0" w:color="auto"/>
        <w:left w:val="none" w:sz="0" w:space="0" w:color="auto"/>
        <w:bottom w:val="none" w:sz="0" w:space="0" w:color="auto"/>
        <w:right w:val="none" w:sz="0" w:space="0" w:color="auto"/>
      </w:divBdr>
      <w:divsChild>
        <w:div w:id="1999920257">
          <w:marLeft w:val="0"/>
          <w:marRight w:val="0"/>
          <w:marTop w:val="0"/>
          <w:marBottom w:val="0"/>
          <w:divBdr>
            <w:top w:val="none" w:sz="0" w:space="0" w:color="auto"/>
            <w:left w:val="none" w:sz="0" w:space="0" w:color="auto"/>
            <w:bottom w:val="none" w:sz="0" w:space="0" w:color="auto"/>
            <w:right w:val="none" w:sz="0" w:space="0" w:color="auto"/>
          </w:divBdr>
          <w:divsChild>
            <w:div w:id="31729570">
              <w:marLeft w:val="0"/>
              <w:marRight w:val="0"/>
              <w:marTop w:val="0"/>
              <w:marBottom w:val="0"/>
              <w:divBdr>
                <w:top w:val="none" w:sz="0" w:space="0" w:color="auto"/>
                <w:left w:val="none" w:sz="0" w:space="0" w:color="auto"/>
                <w:bottom w:val="none" w:sz="0" w:space="0" w:color="auto"/>
                <w:right w:val="none" w:sz="0" w:space="0" w:color="auto"/>
              </w:divBdr>
              <w:divsChild>
                <w:div w:id="14513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0462">
      <w:bodyDiv w:val="1"/>
      <w:marLeft w:val="0"/>
      <w:marRight w:val="0"/>
      <w:marTop w:val="0"/>
      <w:marBottom w:val="0"/>
      <w:divBdr>
        <w:top w:val="none" w:sz="0" w:space="0" w:color="auto"/>
        <w:left w:val="none" w:sz="0" w:space="0" w:color="auto"/>
        <w:bottom w:val="none" w:sz="0" w:space="0" w:color="auto"/>
        <w:right w:val="none" w:sz="0" w:space="0" w:color="auto"/>
      </w:divBdr>
    </w:div>
    <w:div w:id="1849367827">
      <w:bodyDiv w:val="1"/>
      <w:marLeft w:val="0"/>
      <w:marRight w:val="0"/>
      <w:marTop w:val="0"/>
      <w:marBottom w:val="0"/>
      <w:divBdr>
        <w:top w:val="none" w:sz="0" w:space="0" w:color="auto"/>
        <w:left w:val="none" w:sz="0" w:space="0" w:color="auto"/>
        <w:bottom w:val="none" w:sz="0" w:space="0" w:color="auto"/>
        <w:right w:val="none" w:sz="0" w:space="0" w:color="auto"/>
      </w:divBdr>
      <w:divsChild>
        <w:div w:id="1892765941">
          <w:marLeft w:val="0"/>
          <w:marRight w:val="0"/>
          <w:marTop w:val="0"/>
          <w:marBottom w:val="0"/>
          <w:divBdr>
            <w:top w:val="none" w:sz="0" w:space="0" w:color="auto"/>
            <w:left w:val="none" w:sz="0" w:space="0" w:color="auto"/>
            <w:bottom w:val="none" w:sz="0" w:space="0" w:color="auto"/>
            <w:right w:val="none" w:sz="0" w:space="0" w:color="auto"/>
          </w:divBdr>
          <w:divsChild>
            <w:div w:id="2134858251">
              <w:marLeft w:val="0"/>
              <w:marRight w:val="0"/>
              <w:marTop w:val="0"/>
              <w:marBottom w:val="0"/>
              <w:divBdr>
                <w:top w:val="none" w:sz="0" w:space="0" w:color="auto"/>
                <w:left w:val="none" w:sz="0" w:space="0" w:color="auto"/>
                <w:bottom w:val="none" w:sz="0" w:space="0" w:color="auto"/>
                <w:right w:val="none" w:sz="0" w:space="0" w:color="auto"/>
              </w:divBdr>
              <w:divsChild>
                <w:div w:id="21294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293B5-1087-4CBD-9AD6-5347C3FB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3991</Words>
  <Characters>22383</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5.06	OPICAPONE, Capsule 50 mg, Ongentys®, MAXX Pharma Pty Ltd.</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Clinical claim</vt:lpstr>
      <vt:lpstr>    Economic analysis </vt:lpstr>
      <vt:lpstr>    Drug cost/patient/year: $1,830.05</vt:lpstr>
      <vt:lpstr>    Estimated PBS usage &amp; financial implications</vt:lpstr>
      <vt:lpstr>PBAC Outcome</vt:lpstr>
      <vt:lpstr>Recommended listing</vt:lpstr>
      <vt:lpstr>Context for Decision</vt:lpstr>
      <vt:lpstr>Sponsor’s Comment</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2021-10-25T03:04:00Z</dcterms:created>
  <dcterms:modified xsi:type="dcterms:W3CDTF">2021-10-25T03:06:00Z</dcterms:modified>
</cp:coreProperties>
</file>