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AC" w:rsidRPr="001A05F4" w:rsidRDefault="00E50EAD" w:rsidP="007A514F">
      <w:pPr>
        <w:pStyle w:val="1-MainHeading"/>
        <w:keepLines/>
      </w:pPr>
      <w:r w:rsidRPr="001A05F4">
        <w:t>7.03</w:t>
      </w:r>
      <w:r w:rsidR="00B60939" w:rsidRPr="001A05F4">
        <w:tab/>
      </w:r>
      <w:r w:rsidR="00A605AC" w:rsidRPr="001A05F4">
        <w:t>NUSINERSEN,</w:t>
      </w:r>
      <w:r w:rsidR="00A605AC" w:rsidRPr="001A05F4">
        <w:br/>
        <w:t>Solution for injection 12</w:t>
      </w:r>
      <w:r w:rsidR="0044343D" w:rsidRPr="001A05F4">
        <w:t xml:space="preserve">.6 </w:t>
      </w:r>
      <w:r w:rsidR="00A605AC" w:rsidRPr="001A05F4">
        <w:t>mg in 5</w:t>
      </w:r>
      <w:r w:rsidR="0044343D" w:rsidRPr="001A05F4">
        <w:t xml:space="preserve"> </w:t>
      </w:r>
      <w:r w:rsidR="00A605AC" w:rsidRPr="001A05F4">
        <w:t>mL,</w:t>
      </w:r>
      <w:r w:rsidR="00A605AC" w:rsidRPr="001A05F4">
        <w:br/>
        <w:t>Spinraza</w:t>
      </w:r>
      <w:r w:rsidR="00A605AC" w:rsidRPr="001A05F4">
        <w:rPr>
          <w:vertAlign w:val="superscript"/>
        </w:rPr>
        <w:t>®</w:t>
      </w:r>
      <w:r w:rsidR="00A605AC" w:rsidRPr="001A05F4">
        <w:t>,</w:t>
      </w:r>
      <w:bookmarkStart w:id="0" w:name="_Toc50701407"/>
      <w:r w:rsidR="00A605AC" w:rsidRPr="001A05F4">
        <w:t xml:space="preserve"> </w:t>
      </w:r>
      <w:r w:rsidR="007D4E2A" w:rsidRPr="001A05F4">
        <w:br/>
      </w:r>
      <w:r w:rsidR="00A605AC" w:rsidRPr="001A05F4">
        <w:t>Biogen Australia Pty Ltd</w:t>
      </w:r>
      <w:bookmarkEnd w:id="0"/>
    </w:p>
    <w:p w:rsidR="0080594D" w:rsidRPr="001A05F4" w:rsidRDefault="0080594D" w:rsidP="00F9436F">
      <w:pPr>
        <w:pStyle w:val="2-SectionHeading"/>
        <w:numPr>
          <w:ilvl w:val="0"/>
          <w:numId w:val="2"/>
        </w:numPr>
      </w:pPr>
      <w:bookmarkStart w:id="1" w:name="_Toc50701409"/>
      <w:r w:rsidRPr="001A05F4">
        <w:t>Purpose of resubmission</w:t>
      </w:r>
      <w:bookmarkEnd w:id="1"/>
    </w:p>
    <w:p w:rsidR="00C66BE6" w:rsidRPr="001A05F4" w:rsidRDefault="00C66BE6" w:rsidP="00F9436F">
      <w:pPr>
        <w:pStyle w:val="3-BodyText"/>
        <w:numPr>
          <w:ilvl w:val="1"/>
          <w:numId w:val="2"/>
        </w:numPr>
      </w:pPr>
      <w:r w:rsidRPr="001A05F4">
        <w:t xml:space="preserve">The resubmission requested a Section 100 (Highly Specialised Drugs Program), Authority Required listing for nusinersen for the treatment of adult patients diagnosed with spinal muscular atrophy (SMA). This listing was requested </w:t>
      </w:r>
      <w:r w:rsidR="00BA71CC" w:rsidRPr="001A05F4">
        <w:t xml:space="preserve">as an extension to the </w:t>
      </w:r>
      <w:r w:rsidRPr="001A05F4">
        <w:t>existing paediatric restrictions for nusinersen.</w:t>
      </w:r>
    </w:p>
    <w:p w:rsidR="00C66BE6" w:rsidRPr="001A05F4" w:rsidRDefault="00C66BE6" w:rsidP="00F9436F">
      <w:pPr>
        <w:pStyle w:val="3-BodyText"/>
        <w:numPr>
          <w:ilvl w:val="1"/>
          <w:numId w:val="2"/>
        </w:numPr>
      </w:pPr>
      <w:r w:rsidRPr="001A05F4">
        <w:t xml:space="preserve">Listing was requested on the basis of a cost-effectiveness analysis of nusinersen </w:t>
      </w:r>
      <w:r w:rsidR="00BA71CC" w:rsidRPr="001A05F4">
        <w:t>(</w:t>
      </w:r>
      <w:r w:rsidRPr="001A05F4">
        <w:t>and standard of care</w:t>
      </w:r>
      <w:r w:rsidR="00BA71CC" w:rsidRPr="001A05F4">
        <w:t>)</w:t>
      </w:r>
      <w:r w:rsidRPr="001A05F4">
        <w:t xml:space="preserve"> versus standard of care alone in adult patients (&gt;18 years of age) diagnosed with 5q SMA with symptom onset prior to 19 years of age</w:t>
      </w:r>
      <w:r w:rsidR="00BA71CC" w:rsidRPr="001A05F4">
        <w:t xml:space="preserve"> (</w:t>
      </w:r>
      <w:r w:rsidR="00BA71CC" w:rsidRPr="001A05F4">
        <w:rPr>
          <w:rFonts w:cstheme="minorHAnsi"/>
        </w:rPr>
        <w:t>≤</w:t>
      </w:r>
      <w:r w:rsidR="00BA71CC" w:rsidRPr="001A05F4">
        <w:t>18 years of age)</w:t>
      </w:r>
      <w:r w:rsidRPr="001A05F4">
        <w:t xml:space="preserve">. </w:t>
      </w:r>
      <w:r w:rsidR="00BC2D8D" w:rsidRPr="001A05F4">
        <w:t>Table 1</w:t>
      </w:r>
      <w:r w:rsidR="00BA71CC" w:rsidRPr="001A05F4">
        <w:t xml:space="preserve"> </w:t>
      </w:r>
      <w:r w:rsidRPr="001A05F4">
        <w:t>provides a summary of the key components of the resubmission.</w:t>
      </w:r>
    </w:p>
    <w:p w:rsidR="00C66BE6" w:rsidRPr="001A05F4" w:rsidRDefault="00BA71CC" w:rsidP="00BA71CC">
      <w:pPr>
        <w:keepNext/>
        <w:widowControl/>
        <w:rPr>
          <w:rStyle w:val="CommentReference"/>
        </w:rPr>
      </w:pPr>
      <w:bookmarkStart w:id="2" w:name="_Ref71578994"/>
      <w:r w:rsidRPr="001A05F4">
        <w:rPr>
          <w:rStyle w:val="CommentReference"/>
        </w:rPr>
        <w:t xml:space="preserve">Table </w:t>
      </w:r>
      <w:r w:rsidR="00BC2D8D" w:rsidRPr="001A05F4">
        <w:rPr>
          <w:rStyle w:val="CommentReference"/>
        </w:rPr>
        <w:t>1</w:t>
      </w:r>
      <w:bookmarkEnd w:id="2"/>
      <w:r w:rsidRPr="001A05F4">
        <w:rPr>
          <w:rStyle w:val="CommentReference"/>
        </w:rPr>
        <w:t xml:space="preserve">: </w:t>
      </w:r>
      <w:r w:rsidR="00C66BE6" w:rsidRPr="001A05F4">
        <w:rPr>
          <w:rStyle w:val="CommentReference"/>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885"/>
      </w:tblGrid>
      <w:tr w:rsidR="00C66BE6" w:rsidRPr="001A05F4" w:rsidTr="00927040">
        <w:tc>
          <w:tcPr>
            <w:tcW w:w="1271" w:type="dxa"/>
            <w:vAlign w:val="center"/>
          </w:tcPr>
          <w:p w:rsidR="00C66BE6" w:rsidRPr="001A05F4" w:rsidRDefault="00C66BE6" w:rsidP="00927040">
            <w:pPr>
              <w:pStyle w:val="Tabletext"/>
              <w:keepNext/>
              <w:keepLines/>
              <w:rPr>
                <w:b/>
              </w:rPr>
            </w:pPr>
            <w:r w:rsidRPr="001A05F4">
              <w:rPr>
                <w:b/>
              </w:rPr>
              <w:t>Component</w:t>
            </w:r>
          </w:p>
        </w:tc>
        <w:tc>
          <w:tcPr>
            <w:tcW w:w="7885" w:type="dxa"/>
            <w:vAlign w:val="center"/>
          </w:tcPr>
          <w:p w:rsidR="00C66BE6" w:rsidRPr="001A05F4" w:rsidRDefault="00C66BE6" w:rsidP="00927040">
            <w:pPr>
              <w:pStyle w:val="Tabletext"/>
              <w:keepNext/>
              <w:keepLines/>
              <w:jc w:val="center"/>
              <w:rPr>
                <w:b/>
              </w:rPr>
            </w:pPr>
            <w:r w:rsidRPr="001A05F4">
              <w:rPr>
                <w:b/>
              </w:rPr>
              <w:t>Description</w:t>
            </w:r>
          </w:p>
        </w:tc>
      </w:tr>
      <w:tr w:rsidR="00C66BE6" w:rsidRPr="001A05F4" w:rsidTr="00927040">
        <w:tc>
          <w:tcPr>
            <w:tcW w:w="1271" w:type="dxa"/>
            <w:vAlign w:val="center"/>
          </w:tcPr>
          <w:p w:rsidR="00C66BE6" w:rsidRPr="001A05F4" w:rsidRDefault="00C66BE6" w:rsidP="00927040">
            <w:pPr>
              <w:pStyle w:val="Tabletext"/>
              <w:keepNext/>
              <w:keepLines/>
            </w:pPr>
            <w:r w:rsidRPr="001A05F4">
              <w:t>Population</w:t>
            </w:r>
          </w:p>
        </w:tc>
        <w:tc>
          <w:tcPr>
            <w:tcW w:w="7885" w:type="dxa"/>
          </w:tcPr>
          <w:p w:rsidR="00C66BE6" w:rsidRPr="001A05F4" w:rsidRDefault="00C66BE6" w:rsidP="00927040">
            <w:pPr>
              <w:pStyle w:val="Tabletext"/>
              <w:keepNext/>
              <w:keepLines/>
            </w:pPr>
            <w:r w:rsidRPr="001A05F4">
              <w:t>Treatment of adult patients (aged &gt;18 years) genetically diagnosed with 5q SMA with symptoms of SMA prior to 19 years of age.</w:t>
            </w:r>
          </w:p>
        </w:tc>
      </w:tr>
      <w:tr w:rsidR="00C66BE6" w:rsidRPr="001A05F4" w:rsidTr="00927040">
        <w:tc>
          <w:tcPr>
            <w:tcW w:w="1271" w:type="dxa"/>
            <w:vAlign w:val="center"/>
          </w:tcPr>
          <w:p w:rsidR="00C66BE6" w:rsidRPr="001A05F4" w:rsidRDefault="00C66BE6" w:rsidP="00927040">
            <w:pPr>
              <w:pStyle w:val="Tabletext"/>
              <w:keepNext/>
              <w:keepLines/>
            </w:pPr>
            <w:r w:rsidRPr="001A05F4">
              <w:t>Intervention</w:t>
            </w:r>
          </w:p>
        </w:tc>
        <w:tc>
          <w:tcPr>
            <w:tcW w:w="7885" w:type="dxa"/>
          </w:tcPr>
          <w:p w:rsidR="00C66BE6" w:rsidRPr="001A05F4" w:rsidRDefault="00C66BE6" w:rsidP="00927040">
            <w:pPr>
              <w:pStyle w:val="Tabletext"/>
              <w:keepNext/>
              <w:keepLines/>
            </w:pPr>
            <w:r w:rsidRPr="001A05F4">
              <w:t>Nusinersen administered at a dose of 12</w:t>
            </w:r>
            <w:r w:rsidR="00C35794" w:rsidRPr="001A05F4">
              <w:t xml:space="preserve"> </w:t>
            </w:r>
            <w:r w:rsidRPr="001A05F4">
              <w:t>mg via intrathecal injection with four loading doses and two maintenance doses in year 1 and three doses per year thereafter.</w:t>
            </w:r>
          </w:p>
        </w:tc>
      </w:tr>
      <w:tr w:rsidR="00C66BE6" w:rsidRPr="001A05F4" w:rsidTr="00927040">
        <w:tc>
          <w:tcPr>
            <w:tcW w:w="1271" w:type="dxa"/>
            <w:vAlign w:val="center"/>
          </w:tcPr>
          <w:p w:rsidR="00C66BE6" w:rsidRPr="001A05F4" w:rsidRDefault="00C66BE6" w:rsidP="00927040">
            <w:pPr>
              <w:pStyle w:val="Tabletext"/>
              <w:keepNext/>
              <w:keepLines/>
            </w:pPr>
            <w:r w:rsidRPr="001A05F4">
              <w:t>Comparator</w:t>
            </w:r>
          </w:p>
        </w:tc>
        <w:tc>
          <w:tcPr>
            <w:tcW w:w="7885" w:type="dxa"/>
          </w:tcPr>
          <w:p w:rsidR="00C66BE6" w:rsidRPr="001A05F4" w:rsidRDefault="00C66BE6" w:rsidP="00927040">
            <w:pPr>
              <w:pStyle w:val="Tabletext"/>
              <w:keepNext/>
              <w:keepLines/>
            </w:pPr>
            <w:r w:rsidRPr="001A05F4">
              <w:t>Standard of care (for no treatment)</w:t>
            </w:r>
          </w:p>
        </w:tc>
      </w:tr>
      <w:tr w:rsidR="00C66BE6" w:rsidRPr="001A05F4" w:rsidTr="00927040">
        <w:tc>
          <w:tcPr>
            <w:tcW w:w="1271" w:type="dxa"/>
            <w:vAlign w:val="center"/>
          </w:tcPr>
          <w:p w:rsidR="00C66BE6" w:rsidRPr="001A05F4" w:rsidRDefault="00C66BE6" w:rsidP="00927040">
            <w:pPr>
              <w:pStyle w:val="Tabletext"/>
              <w:keepNext/>
              <w:keepLines/>
            </w:pPr>
            <w:r w:rsidRPr="001A05F4">
              <w:t>Outcomes</w:t>
            </w:r>
          </w:p>
        </w:tc>
        <w:tc>
          <w:tcPr>
            <w:tcW w:w="7885" w:type="dxa"/>
          </w:tcPr>
          <w:p w:rsidR="00C66BE6" w:rsidRPr="001A05F4" w:rsidRDefault="00C66BE6" w:rsidP="00927040">
            <w:pPr>
              <w:pStyle w:val="Tabletext"/>
              <w:keepNext/>
              <w:keepLines/>
            </w:pPr>
            <w:r w:rsidRPr="001A05F4">
              <w:t>Key efficacy endpoints – motor function:</w:t>
            </w:r>
          </w:p>
          <w:p w:rsidR="00C66BE6" w:rsidRPr="001A05F4" w:rsidRDefault="00C66BE6" w:rsidP="00F9436F">
            <w:pPr>
              <w:pStyle w:val="Tabletext"/>
              <w:keepNext/>
              <w:keepLines/>
              <w:numPr>
                <w:ilvl w:val="0"/>
                <w:numId w:val="4"/>
              </w:numPr>
            </w:pPr>
            <w:r w:rsidRPr="001A05F4">
              <w:t>HFMSE</w:t>
            </w:r>
          </w:p>
          <w:p w:rsidR="00C66BE6" w:rsidRPr="001A05F4" w:rsidRDefault="00C66BE6" w:rsidP="00F9436F">
            <w:pPr>
              <w:pStyle w:val="Tabletext"/>
              <w:keepNext/>
              <w:keepLines/>
              <w:numPr>
                <w:ilvl w:val="0"/>
                <w:numId w:val="4"/>
              </w:numPr>
            </w:pPr>
            <w:r w:rsidRPr="001A05F4">
              <w:t>RULM</w:t>
            </w:r>
          </w:p>
          <w:p w:rsidR="00C66BE6" w:rsidRPr="001A05F4" w:rsidRDefault="00C66BE6" w:rsidP="00F9436F">
            <w:pPr>
              <w:pStyle w:val="Tabletext"/>
              <w:keepNext/>
              <w:keepLines/>
              <w:numPr>
                <w:ilvl w:val="0"/>
                <w:numId w:val="4"/>
              </w:numPr>
            </w:pPr>
            <w:r w:rsidRPr="001A05F4">
              <w:t>6MWT</w:t>
            </w:r>
          </w:p>
          <w:p w:rsidR="00C66BE6" w:rsidRPr="001A05F4" w:rsidRDefault="00C66BE6" w:rsidP="00927040">
            <w:pPr>
              <w:pStyle w:val="Tabletext"/>
              <w:keepNext/>
              <w:keepLines/>
            </w:pPr>
            <w:r w:rsidRPr="001A05F4">
              <w:t>Key efficacy endpoints – respiratory function:</w:t>
            </w:r>
          </w:p>
          <w:p w:rsidR="00C66BE6" w:rsidRPr="001A05F4" w:rsidRDefault="00C66BE6" w:rsidP="00F9436F">
            <w:pPr>
              <w:pStyle w:val="Tabletext"/>
              <w:keepNext/>
              <w:keepLines/>
              <w:numPr>
                <w:ilvl w:val="0"/>
                <w:numId w:val="4"/>
              </w:numPr>
            </w:pPr>
            <w:r w:rsidRPr="001A05F4">
              <w:t>FVC</w:t>
            </w:r>
          </w:p>
          <w:p w:rsidR="00C66BE6" w:rsidRPr="001A05F4" w:rsidRDefault="00C66BE6" w:rsidP="00F9436F">
            <w:pPr>
              <w:pStyle w:val="Tabletext"/>
              <w:keepNext/>
              <w:keepLines/>
              <w:numPr>
                <w:ilvl w:val="0"/>
                <w:numId w:val="4"/>
              </w:numPr>
            </w:pPr>
            <w:r w:rsidRPr="001A05F4">
              <w:t>Peak cough flow</w:t>
            </w:r>
          </w:p>
          <w:p w:rsidR="00C66BE6" w:rsidRPr="001A05F4" w:rsidRDefault="00C66BE6" w:rsidP="00927040">
            <w:pPr>
              <w:pStyle w:val="Tabletext"/>
              <w:keepNext/>
              <w:keepLines/>
              <w:rPr>
                <w:highlight w:val="green"/>
              </w:rPr>
            </w:pPr>
            <w:r w:rsidRPr="001A05F4">
              <w:rPr>
                <w:szCs w:val="20"/>
              </w:rPr>
              <w:t>Safety</w:t>
            </w:r>
          </w:p>
        </w:tc>
      </w:tr>
      <w:tr w:rsidR="00C66BE6" w:rsidRPr="001A05F4" w:rsidTr="00927040">
        <w:tc>
          <w:tcPr>
            <w:tcW w:w="1271" w:type="dxa"/>
            <w:vAlign w:val="center"/>
          </w:tcPr>
          <w:p w:rsidR="00C66BE6" w:rsidRPr="001A05F4" w:rsidRDefault="00C66BE6" w:rsidP="00927040">
            <w:pPr>
              <w:pStyle w:val="Tabletext"/>
              <w:keepNext/>
              <w:keepLines/>
            </w:pPr>
            <w:r w:rsidRPr="001A05F4">
              <w:t>Clinical claim</w:t>
            </w:r>
          </w:p>
        </w:tc>
        <w:tc>
          <w:tcPr>
            <w:tcW w:w="7885" w:type="dxa"/>
          </w:tcPr>
          <w:p w:rsidR="00C66BE6" w:rsidRPr="001A05F4" w:rsidRDefault="00C66BE6" w:rsidP="00927040">
            <w:pPr>
              <w:pStyle w:val="Tabletext"/>
              <w:keepNext/>
              <w:keepLines/>
            </w:pPr>
            <w:r w:rsidRPr="001A05F4">
              <w:t>Nusinersen has superior efficacy and non-inferior safety compared to standard of care.</w:t>
            </w:r>
          </w:p>
        </w:tc>
      </w:tr>
    </w:tbl>
    <w:p w:rsidR="00C66BE6" w:rsidRPr="001A05F4" w:rsidRDefault="00C66BE6" w:rsidP="00C66BE6">
      <w:pPr>
        <w:pStyle w:val="TableFooter"/>
        <w:keepNext/>
        <w:keepLines/>
        <w:widowControl/>
        <w:rPr>
          <w:szCs w:val="18"/>
        </w:rPr>
      </w:pPr>
      <w:r w:rsidRPr="001A05F4">
        <w:rPr>
          <w:szCs w:val="18"/>
        </w:rPr>
        <w:t>FVC = forced vital capacity; HFMSE = Hammersmith Functional Motor Scale-Expanded; 6MWT = 6 minute walk test; RULM = revised upper limb module;</w:t>
      </w:r>
      <w:r w:rsidRPr="001A05F4">
        <w:t xml:space="preserve"> SMA = spinal muscular atrophy</w:t>
      </w:r>
    </w:p>
    <w:p w:rsidR="00C66BE6" w:rsidRPr="001A05F4" w:rsidRDefault="00C66BE6" w:rsidP="00C66BE6">
      <w:pPr>
        <w:pStyle w:val="TableFooter"/>
        <w:keepNext/>
        <w:keepLines/>
        <w:widowControl/>
        <w:rPr>
          <w:szCs w:val="18"/>
        </w:rPr>
      </w:pPr>
      <w:r w:rsidRPr="001A05F4">
        <w:rPr>
          <w:szCs w:val="18"/>
        </w:rPr>
        <w:t>Source: Table 1.2, p15 and Table 2.30, p139 of the resubmission</w:t>
      </w:r>
    </w:p>
    <w:p w:rsidR="00C66BE6" w:rsidRPr="001A05F4" w:rsidRDefault="00C66BE6" w:rsidP="00F9436F">
      <w:pPr>
        <w:pStyle w:val="2-SectionHeading"/>
        <w:numPr>
          <w:ilvl w:val="0"/>
          <w:numId w:val="2"/>
        </w:numPr>
      </w:pPr>
      <w:r w:rsidRPr="001A05F4">
        <w:t>Background</w:t>
      </w:r>
    </w:p>
    <w:p w:rsidR="00C66BE6" w:rsidRPr="001A05F4" w:rsidRDefault="00C66BE6" w:rsidP="00C66BE6">
      <w:pPr>
        <w:pStyle w:val="4-SubsectionHeading"/>
      </w:pPr>
      <w:bookmarkStart w:id="3" w:name="_Toc72327826"/>
      <w:r w:rsidRPr="001A05F4">
        <w:t>Registration status</w:t>
      </w:r>
      <w:bookmarkEnd w:id="3"/>
    </w:p>
    <w:p w:rsidR="00C66BE6" w:rsidRPr="001A05F4" w:rsidRDefault="00C66BE6" w:rsidP="00F9436F">
      <w:pPr>
        <w:pStyle w:val="3-BodyText"/>
        <w:numPr>
          <w:ilvl w:val="1"/>
          <w:numId w:val="2"/>
        </w:numPr>
        <w:spacing w:after="0"/>
      </w:pPr>
      <w:bookmarkStart w:id="4" w:name="_Hlk68175921"/>
      <w:bookmarkStart w:id="5" w:name="_Hlk68175942"/>
      <w:r w:rsidRPr="001A05F4">
        <w:t xml:space="preserve">Nusinersen was TGA registered for the treatment of 5q spinal muscular atrophy (SMA) </w:t>
      </w:r>
      <w:bookmarkEnd w:id="4"/>
      <w:r w:rsidRPr="001A05F4">
        <w:t>on 2 November 2017.</w:t>
      </w:r>
    </w:p>
    <w:p w:rsidR="00C66BE6" w:rsidRPr="001A05F4" w:rsidRDefault="00C66BE6" w:rsidP="00C66BE6">
      <w:pPr>
        <w:pStyle w:val="4-SubsectionHeading"/>
      </w:pPr>
      <w:bookmarkStart w:id="6" w:name="_Toc72327827"/>
      <w:bookmarkEnd w:id="5"/>
      <w:r w:rsidRPr="001A05F4">
        <w:t>Previous PBAC consideration</w:t>
      </w:r>
      <w:bookmarkEnd w:id="6"/>
    </w:p>
    <w:p w:rsidR="00C66BE6" w:rsidRPr="001A05F4" w:rsidRDefault="00C66BE6" w:rsidP="00F9436F">
      <w:pPr>
        <w:pStyle w:val="3-BodyText"/>
        <w:numPr>
          <w:ilvl w:val="1"/>
          <w:numId w:val="2"/>
        </w:numPr>
      </w:pPr>
      <w:r w:rsidRPr="001A05F4">
        <w:t xml:space="preserve">Nusinersen has been considered by the PBAC on several occasions. The first submission was considered at the PBAC meeting in November 2017. Listing was </w:t>
      </w:r>
      <w:r w:rsidRPr="001A05F4">
        <w:lastRenderedPageBreak/>
        <w:t>requested in a broad SMA population comprising patients with infantile-onset (Type I) and childhood-onset (Types II &amp; Type III) with no restrictions proposed regarding the age of nusinersen commencement. This was not recommended by the PBAC.</w:t>
      </w:r>
    </w:p>
    <w:p w:rsidR="00C66BE6" w:rsidRPr="001A05F4" w:rsidRDefault="00C66BE6" w:rsidP="00F9436F">
      <w:pPr>
        <w:pStyle w:val="3-BodyText"/>
        <w:numPr>
          <w:ilvl w:val="1"/>
          <w:numId w:val="2"/>
        </w:numPr>
      </w:pPr>
      <w:r w:rsidRPr="001A05F4">
        <w:t xml:space="preserve">A minor </w:t>
      </w:r>
      <w:r w:rsidR="00C34FD4" w:rsidRPr="001A05F4">
        <w:t>re</w:t>
      </w:r>
      <w:r w:rsidRPr="001A05F4">
        <w:t xml:space="preserve">submission was considered at the March 2018 PBAC meeting for symptomatic SMA patients. At this meeting nusinersen received a positive recommendation from the PBAC and was listed for the treatment of patients aged 18 years or less at initiation of treatment, who have had at least two of the defined signs and symptoms of SMA Type I, II or IIIa prior to 3 years of age. </w:t>
      </w:r>
    </w:p>
    <w:p w:rsidR="00C66BE6" w:rsidRPr="001A05F4" w:rsidRDefault="00C66BE6" w:rsidP="00F9436F">
      <w:pPr>
        <w:pStyle w:val="3-BodyText"/>
        <w:numPr>
          <w:ilvl w:val="1"/>
          <w:numId w:val="2"/>
        </w:numPr>
      </w:pPr>
      <w:r w:rsidRPr="001A05F4">
        <w:t>In November 2020</w:t>
      </w:r>
      <w:r w:rsidR="00C34FD4" w:rsidRPr="001A05F4">
        <w:t>,</w:t>
      </w:r>
      <w:r w:rsidRPr="001A05F4">
        <w:t xml:space="preserve"> the first resubmission was made to request extending the nusinersen listing to include adults with SMA, specifically in patients with symptom onset prior to 19 years of age and removal of the upper age limit of 18 years for initiation of treatment. This was not recommended by the PBAC.</w:t>
      </w:r>
    </w:p>
    <w:p w:rsidR="00C66BE6" w:rsidRPr="001A05F4" w:rsidRDefault="00C66BE6" w:rsidP="00F9436F">
      <w:pPr>
        <w:pStyle w:val="3-BodyText"/>
        <w:keepLines/>
        <w:numPr>
          <w:ilvl w:val="1"/>
          <w:numId w:val="2"/>
        </w:numPr>
      </w:pPr>
      <w:r w:rsidRPr="001A05F4">
        <w:t>The current resubmission requests</w:t>
      </w:r>
      <w:r w:rsidR="00732BE2" w:rsidRPr="001A05F4">
        <w:t xml:space="preserve"> extending the current PBS</w:t>
      </w:r>
      <w:r w:rsidRPr="001A05F4">
        <w:t xml:space="preserve"> listing of nusinersen </w:t>
      </w:r>
      <w:r w:rsidR="00350A82" w:rsidRPr="001A05F4">
        <w:t xml:space="preserve">to include </w:t>
      </w:r>
      <w:r w:rsidRPr="001A05F4">
        <w:t>adults with SMA (&gt;18 years of age) who have experienced signs and symptoms of SMA prior to 19 years of age</w:t>
      </w:r>
      <w:r w:rsidR="00C34FD4" w:rsidRPr="001A05F4">
        <w:t xml:space="preserve"> (≤18 years of age)</w:t>
      </w:r>
      <w:r w:rsidRPr="001A05F4">
        <w:t>. For this patient population, the key matters of concern from the November 2020 PBAC meeting are summarised in</w:t>
      </w:r>
      <w:r w:rsidR="00C34FD4" w:rsidRPr="001A05F4">
        <w:t xml:space="preserve"> </w:t>
      </w:r>
      <w:r w:rsidR="00BC2D8D" w:rsidRPr="001A05F4">
        <w:t>Table 2</w:t>
      </w:r>
      <w:r w:rsidRPr="001A05F4">
        <w:t>.</w:t>
      </w:r>
    </w:p>
    <w:p w:rsidR="00C66BE6" w:rsidRPr="001A05F4" w:rsidRDefault="00C66BE6" w:rsidP="00926CD7"/>
    <w:p w:rsidR="00C66BE6" w:rsidRPr="001A05F4" w:rsidRDefault="00C34FD4" w:rsidP="00AA4C6F">
      <w:pPr>
        <w:keepNext/>
        <w:rPr>
          <w:rStyle w:val="CommentReference"/>
        </w:rPr>
      </w:pPr>
      <w:bookmarkStart w:id="7" w:name="_Ref71579431"/>
      <w:r w:rsidRPr="001A05F4">
        <w:rPr>
          <w:rStyle w:val="CommentReference"/>
        </w:rPr>
        <w:t xml:space="preserve">Table </w:t>
      </w:r>
      <w:r w:rsidR="00BC2D8D" w:rsidRPr="001A05F4">
        <w:rPr>
          <w:rStyle w:val="CommentReference"/>
        </w:rPr>
        <w:t>2</w:t>
      </w:r>
      <w:bookmarkEnd w:id="7"/>
      <w:r w:rsidR="00BC2D8D" w:rsidRPr="001A05F4">
        <w:rPr>
          <w:rStyle w:val="CommentReference"/>
        </w:rPr>
        <w:t>:</w:t>
      </w:r>
      <w:r w:rsidR="00C66BE6" w:rsidRPr="001A05F4">
        <w:rPr>
          <w:rStyle w:val="CommentReference"/>
        </w:rPr>
        <w:t xml:space="preserve"> Summary of outstanding matters of concern</w:t>
      </w:r>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9"/>
        <w:gridCol w:w="4510"/>
      </w:tblGrid>
      <w:tr w:rsidR="00C66BE6" w:rsidRPr="001A05F4" w:rsidTr="00AA4C6F">
        <w:trPr>
          <w:cantSplit/>
          <w:tblHeader/>
        </w:trPr>
        <w:tc>
          <w:tcPr>
            <w:tcW w:w="4509" w:type="dxa"/>
            <w:tcBorders>
              <w:top w:val="single" w:sz="6" w:space="0" w:color="auto"/>
              <w:left w:val="single" w:sz="6" w:space="0" w:color="auto"/>
              <w:bottom w:val="double" w:sz="6" w:space="0" w:color="auto"/>
              <w:right w:val="single" w:sz="6" w:space="0" w:color="auto"/>
            </w:tcBorders>
            <w:shd w:val="clear" w:color="auto" w:fill="auto"/>
            <w:vAlign w:val="center"/>
            <w:hideMark/>
          </w:tcPr>
          <w:p w:rsidR="00C66BE6" w:rsidRPr="001A05F4" w:rsidRDefault="00C66BE6" w:rsidP="00AA4C6F">
            <w:pPr>
              <w:keepNext/>
              <w:ind w:left="142" w:right="131"/>
              <w:jc w:val="center"/>
              <w:textAlignment w:val="baseline"/>
              <w:rPr>
                <w:rFonts w:ascii="Arial Narrow" w:hAnsi="Arial Narrow" w:cs="Segoe UI"/>
                <w:b/>
                <w:sz w:val="20"/>
                <w:szCs w:val="20"/>
              </w:rPr>
            </w:pPr>
            <w:r w:rsidRPr="001A05F4">
              <w:rPr>
                <w:rFonts w:ascii="Arial Narrow" w:hAnsi="Arial Narrow" w:cs="Calibri"/>
                <w:b/>
                <w:sz w:val="20"/>
                <w:szCs w:val="20"/>
              </w:rPr>
              <w:t>Matter of concern (November 2020 PBAC Meeting)</w:t>
            </w:r>
          </w:p>
        </w:tc>
        <w:tc>
          <w:tcPr>
            <w:tcW w:w="4510" w:type="dxa"/>
            <w:tcBorders>
              <w:top w:val="single" w:sz="6" w:space="0" w:color="auto"/>
              <w:left w:val="single" w:sz="6" w:space="0" w:color="auto"/>
              <w:bottom w:val="double" w:sz="6" w:space="0" w:color="auto"/>
              <w:right w:val="single" w:sz="6" w:space="0" w:color="auto"/>
            </w:tcBorders>
            <w:shd w:val="clear" w:color="auto" w:fill="auto"/>
            <w:vAlign w:val="center"/>
            <w:hideMark/>
          </w:tcPr>
          <w:p w:rsidR="00C66BE6" w:rsidRPr="001A05F4" w:rsidRDefault="00C66BE6" w:rsidP="00AA4C6F">
            <w:pPr>
              <w:keepNext/>
              <w:ind w:left="139" w:right="74"/>
              <w:jc w:val="center"/>
              <w:textAlignment w:val="baseline"/>
              <w:rPr>
                <w:rFonts w:ascii="Arial Narrow" w:hAnsi="Arial Narrow" w:cs="Segoe UI"/>
                <w:b/>
                <w:sz w:val="20"/>
                <w:szCs w:val="20"/>
              </w:rPr>
            </w:pPr>
            <w:r w:rsidRPr="001A05F4">
              <w:rPr>
                <w:rFonts w:ascii="Arial Narrow" w:hAnsi="Arial Narrow" w:cs="Calibri"/>
                <w:b/>
                <w:sz w:val="20"/>
                <w:szCs w:val="20"/>
              </w:rPr>
              <w:t>How the March 2021 resubmission addressed it</w:t>
            </w:r>
          </w:p>
        </w:tc>
      </w:tr>
      <w:tr w:rsidR="00C66BE6" w:rsidRPr="001A05F4" w:rsidTr="00AA4C6F">
        <w:trPr>
          <w:cantSplit/>
        </w:trPr>
        <w:tc>
          <w:tcPr>
            <w:tcW w:w="0" w:type="auto"/>
            <w:gridSpan w:val="2"/>
            <w:tcBorders>
              <w:top w:val="double" w:sz="6" w:space="0" w:color="auto"/>
              <w:left w:val="single" w:sz="6" w:space="0" w:color="auto"/>
              <w:bottom w:val="single" w:sz="6" w:space="0" w:color="auto"/>
              <w:right w:val="single" w:sz="6" w:space="0" w:color="auto"/>
            </w:tcBorders>
            <w:shd w:val="clear" w:color="auto" w:fill="auto"/>
            <w:vAlign w:val="center"/>
            <w:hideMark/>
          </w:tcPr>
          <w:p w:rsidR="00C66BE6" w:rsidRPr="001A05F4" w:rsidRDefault="00C66BE6" w:rsidP="00AA4C6F">
            <w:pPr>
              <w:keepNext/>
              <w:ind w:left="139" w:right="74"/>
              <w:textAlignment w:val="baseline"/>
              <w:rPr>
                <w:rFonts w:ascii="Arial Narrow" w:hAnsi="Arial Narrow" w:cs="Segoe UI"/>
                <w:sz w:val="20"/>
                <w:szCs w:val="20"/>
              </w:rPr>
            </w:pPr>
            <w:r w:rsidRPr="001A05F4">
              <w:rPr>
                <w:rFonts w:ascii="Arial Narrow" w:hAnsi="Arial Narrow" w:cs="Calibri"/>
                <w:b/>
                <w:sz w:val="20"/>
                <w:szCs w:val="20"/>
              </w:rPr>
              <w:t>PBS restriction</w:t>
            </w:r>
          </w:p>
        </w:tc>
      </w:tr>
      <w:tr w:rsidR="00C66BE6" w:rsidRPr="001A05F4" w:rsidTr="00AA4C6F">
        <w:trPr>
          <w:cantSplit/>
        </w:trPr>
        <w:tc>
          <w:tcPr>
            <w:tcW w:w="4509" w:type="dxa"/>
            <w:tcBorders>
              <w:top w:val="single" w:sz="6" w:space="0" w:color="auto"/>
              <w:left w:val="single" w:sz="6" w:space="0" w:color="auto"/>
              <w:bottom w:val="single" w:sz="6" w:space="0" w:color="auto"/>
              <w:right w:val="single" w:sz="6" w:space="0" w:color="auto"/>
            </w:tcBorders>
            <w:shd w:val="clear" w:color="auto" w:fill="auto"/>
          </w:tcPr>
          <w:p w:rsidR="00C66BE6" w:rsidRPr="001A05F4" w:rsidRDefault="00C66BE6" w:rsidP="00AA4C6F">
            <w:pPr>
              <w:keepNext/>
              <w:ind w:left="142" w:right="131"/>
              <w:jc w:val="left"/>
              <w:rPr>
                <w:rFonts w:ascii="Arial Narrow" w:hAnsi="Arial Narrow" w:cstheme="minorHAnsi"/>
                <w:sz w:val="20"/>
                <w:szCs w:val="20"/>
              </w:rPr>
            </w:pPr>
            <w:r w:rsidRPr="001A05F4">
              <w:rPr>
                <w:rFonts w:ascii="Arial Narrow" w:hAnsi="Arial Narrow" w:cstheme="minorHAnsi"/>
                <w:sz w:val="20"/>
                <w:szCs w:val="20"/>
              </w:rPr>
              <w:t>The resubmission had not adequately defined the appropriate adult population for nusinersen and PBAC considered that alternative criteria could be considered that identify patients most likely to benefit (e</w:t>
            </w:r>
            <w:r w:rsidR="00356087" w:rsidRPr="001A05F4">
              <w:rPr>
                <w:rFonts w:ascii="Arial Narrow" w:hAnsi="Arial Narrow" w:cstheme="minorHAnsi"/>
                <w:sz w:val="20"/>
                <w:szCs w:val="20"/>
              </w:rPr>
              <w:t>.</w:t>
            </w:r>
            <w:r w:rsidRPr="001A05F4">
              <w:rPr>
                <w:rFonts w:ascii="Arial Narrow" w:hAnsi="Arial Narrow" w:cstheme="minorHAnsi"/>
                <w:sz w:val="20"/>
                <w:szCs w:val="20"/>
              </w:rPr>
              <w:t>g</w:t>
            </w:r>
            <w:r w:rsidR="00356087" w:rsidRPr="001A05F4">
              <w:rPr>
                <w:rFonts w:ascii="Arial Narrow" w:hAnsi="Arial Narrow" w:cstheme="minorHAnsi"/>
                <w:sz w:val="20"/>
                <w:szCs w:val="20"/>
              </w:rPr>
              <w:t>.</w:t>
            </w:r>
            <w:r w:rsidRPr="001A05F4">
              <w:rPr>
                <w:rFonts w:ascii="Arial Narrow" w:hAnsi="Arial Narrow" w:cstheme="minorHAnsi"/>
                <w:sz w:val="20"/>
                <w:szCs w:val="20"/>
              </w:rPr>
              <w:t xml:space="preserve"> based on level or type of disability). Specialist clinical input would be required to help determine such criteria and thus define the appropriate patient population (paragraphs 7.1 and 7.2).</w:t>
            </w:r>
          </w:p>
        </w:tc>
        <w:tc>
          <w:tcPr>
            <w:tcW w:w="4510" w:type="dxa"/>
            <w:tcBorders>
              <w:top w:val="single" w:sz="6" w:space="0" w:color="auto"/>
              <w:left w:val="single" w:sz="6" w:space="0" w:color="auto"/>
              <w:bottom w:val="single" w:sz="6" w:space="0" w:color="auto"/>
              <w:right w:val="single" w:sz="6" w:space="0" w:color="auto"/>
            </w:tcBorders>
            <w:shd w:val="clear" w:color="auto" w:fill="auto"/>
          </w:tcPr>
          <w:p w:rsidR="00C66BE6" w:rsidRPr="001A05F4" w:rsidRDefault="00C66BE6" w:rsidP="00AA4C6F">
            <w:pPr>
              <w:keepNext/>
              <w:ind w:left="139" w:right="74"/>
              <w:textAlignment w:val="baseline"/>
              <w:rPr>
                <w:rFonts w:ascii="Arial Narrow" w:hAnsi="Arial Narrow" w:cs="Segoe UI"/>
                <w:sz w:val="20"/>
                <w:szCs w:val="20"/>
              </w:rPr>
            </w:pPr>
            <w:r w:rsidRPr="001A05F4">
              <w:rPr>
                <w:rFonts w:ascii="Arial Narrow" w:hAnsi="Arial Narrow" w:cs="Segoe UI"/>
                <w:sz w:val="20"/>
                <w:szCs w:val="20"/>
              </w:rPr>
              <w:t xml:space="preserve">The sponsor received specialist clinical advice from two adult SMA Advisory Boards. The resubmission stated that clinicians indicated that functional status in adults with SMA is the most clinically relevant factor in determining patient capacity to benefit from treatment, with adults less severely affected by the disease and those who have more function to preserve (e.g. ambulant patients) expected to have the potential to gain the most from treatment. </w:t>
            </w:r>
          </w:p>
          <w:p w:rsidR="00C66BE6" w:rsidRPr="001A05F4" w:rsidRDefault="00C66BE6" w:rsidP="00AA4C6F">
            <w:pPr>
              <w:keepNext/>
              <w:ind w:left="139" w:right="74"/>
              <w:textAlignment w:val="baseline"/>
              <w:rPr>
                <w:rFonts w:ascii="Arial Narrow" w:hAnsi="Arial Narrow" w:cs="Segoe UI"/>
                <w:iCs/>
                <w:sz w:val="20"/>
                <w:szCs w:val="20"/>
              </w:rPr>
            </w:pPr>
            <w:r w:rsidRPr="001A05F4">
              <w:rPr>
                <w:rFonts w:ascii="Arial Narrow" w:hAnsi="Arial Narrow" w:cs="Segoe UI"/>
                <w:iCs/>
                <w:sz w:val="20"/>
                <w:szCs w:val="20"/>
              </w:rPr>
              <w:t>Partially addressed.</w:t>
            </w:r>
            <w:r w:rsidRPr="001A05F4">
              <w:rPr>
                <w:rFonts w:ascii="Arial Narrow" w:hAnsi="Arial Narrow" w:cs="Segoe UI"/>
                <w:sz w:val="20"/>
                <w:szCs w:val="20"/>
              </w:rPr>
              <w:t xml:space="preserve"> </w:t>
            </w:r>
            <w:r w:rsidRPr="001A05F4">
              <w:rPr>
                <w:rFonts w:ascii="Arial Narrow" w:hAnsi="Arial Narrow" w:cs="Segoe UI"/>
                <w:iCs/>
                <w:sz w:val="20"/>
                <w:szCs w:val="20"/>
              </w:rPr>
              <w:t>The resubmission did not propose listing criteria based on a subpopulation of SMA patients who are most likely to benefit from treatment with nusinersen</w:t>
            </w:r>
            <w:r w:rsidR="00C34FD4" w:rsidRPr="001A05F4">
              <w:rPr>
                <w:rFonts w:ascii="Arial Narrow" w:hAnsi="Arial Narrow" w:cs="Segoe UI"/>
                <w:iCs/>
                <w:sz w:val="20"/>
                <w:szCs w:val="20"/>
              </w:rPr>
              <w:t xml:space="preserve"> but clinical data and </w:t>
            </w:r>
            <w:r w:rsidR="00350A82" w:rsidRPr="001A05F4">
              <w:rPr>
                <w:rFonts w:ascii="Arial Narrow" w:hAnsi="Arial Narrow" w:cs="Segoe UI"/>
                <w:iCs/>
                <w:sz w:val="20"/>
                <w:szCs w:val="20"/>
              </w:rPr>
              <w:t xml:space="preserve">the economic </w:t>
            </w:r>
            <w:r w:rsidR="00C34FD4" w:rsidRPr="001A05F4">
              <w:rPr>
                <w:rFonts w:ascii="Arial Narrow" w:hAnsi="Arial Narrow" w:cs="Segoe UI"/>
                <w:iCs/>
                <w:sz w:val="20"/>
                <w:szCs w:val="20"/>
              </w:rPr>
              <w:t xml:space="preserve">model was presented based on ambulation status. </w:t>
            </w:r>
          </w:p>
          <w:p w:rsidR="00AF09DA" w:rsidRPr="001A05F4" w:rsidRDefault="00AF09DA" w:rsidP="00AA4C6F">
            <w:pPr>
              <w:keepNext/>
              <w:ind w:left="139" w:right="74"/>
              <w:textAlignment w:val="baseline"/>
              <w:rPr>
                <w:rFonts w:ascii="Arial Narrow" w:hAnsi="Arial Narrow" w:cs="Segoe UI"/>
                <w:sz w:val="20"/>
                <w:szCs w:val="20"/>
              </w:rPr>
            </w:pPr>
            <w:r w:rsidRPr="001A05F4">
              <w:rPr>
                <w:rFonts w:ascii="Arial Narrow" w:hAnsi="Arial Narrow" w:cs="Segoe UI"/>
                <w:sz w:val="20"/>
                <w:szCs w:val="20"/>
              </w:rPr>
              <w:t>The ESC considered that this matter of concern was not adequately addressed in the resubmission and the focus on gross motor outcomes in the clinical data and economic model may not reflect the most clinically relevant outcomes for many patients.</w:t>
            </w:r>
          </w:p>
        </w:tc>
      </w:tr>
      <w:tr w:rsidR="00C66BE6" w:rsidRPr="001A05F4" w:rsidTr="00AA4C6F">
        <w:trPr>
          <w:cantSplit/>
        </w:trPr>
        <w:tc>
          <w:tcPr>
            <w:tcW w:w="4509" w:type="dxa"/>
            <w:tcBorders>
              <w:top w:val="single" w:sz="6" w:space="0" w:color="auto"/>
              <w:left w:val="single" w:sz="6" w:space="0" w:color="auto"/>
              <w:bottom w:val="single" w:sz="6" w:space="0" w:color="auto"/>
              <w:right w:val="single" w:sz="6" w:space="0" w:color="auto"/>
            </w:tcBorders>
            <w:shd w:val="clear" w:color="auto" w:fill="auto"/>
          </w:tcPr>
          <w:p w:rsidR="00C66BE6" w:rsidRPr="001A05F4" w:rsidRDefault="00C66BE6" w:rsidP="00AA4C6F">
            <w:pPr>
              <w:keepNext/>
              <w:ind w:left="142" w:right="131"/>
              <w:jc w:val="left"/>
              <w:textAlignment w:val="baseline"/>
              <w:rPr>
                <w:rFonts w:ascii="Arial Narrow" w:hAnsi="Arial Narrow" w:cs="Segoe UI"/>
                <w:sz w:val="20"/>
                <w:szCs w:val="20"/>
              </w:rPr>
            </w:pPr>
            <w:r w:rsidRPr="001A05F4">
              <w:rPr>
                <w:rFonts w:ascii="Arial Narrow" w:hAnsi="Arial Narrow" w:cs="Calibri"/>
                <w:b/>
                <w:sz w:val="20"/>
                <w:szCs w:val="20"/>
              </w:rPr>
              <w:t>Clinical effectiveness</w:t>
            </w:r>
          </w:p>
        </w:tc>
        <w:tc>
          <w:tcPr>
            <w:tcW w:w="4510" w:type="dxa"/>
            <w:tcBorders>
              <w:top w:val="single" w:sz="6" w:space="0" w:color="auto"/>
              <w:left w:val="single" w:sz="6" w:space="0" w:color="auto"/>
              <w:bottom w:val="single" w:sz="6" w:space="0" w:color="auto"/>
              <w:right w:val="single" w:sz="6" w:space="0" w:color="auto"/>
            </w:tcBorders>
            <w:shd w:val="clear" w:color="auto" w:fill="auto"/>
            <w:vAlign w:val="center"/>
          </w:tcPr>
          <w:p w:rsidR="00C66BE6" w:rsidRPr="001A05F4" w:rsidRDefault="00C66BE6" w:rsidP="00AA4C6F">
            <w:pPr>
              <w:keepNext/>
              <w:ind w:left="139" w:right="74"/>
              <w:textAlignment w:val="baseline"/>
              <w:rPr>
                <w:rFonts w:ascii="Arial Narrow" w:hAnsi="Arial Narrow" w:cs="Segoe UI"/>
                <w:sz w:val="20"/>
                <w:szCs w:val="20"/>
              </w:rPr>
            </w:pPr>
          </w:p>
        </w:tc>
      </w:tr>
      <w:tr w:rsidR="00C66BE6" w:rsidRPr="001A05F4" w:rsidTr="00AA4C6F">
        <w:trPr>
          <w:cantSplit/>
        </w:trPr>
        <w:tc>
          <w:tcPr>
            <w:tcW w:w="4509" w:type="dxa"/>
            <w:tcBorders>
              <w:top w:val="single" w:sz="6" w:space="0" w:color="auto"/>
              <w:left w:val="single" w:sz="6" w:space="0" w:color="auto"/>
              <w:bottom w:val="single" w:sz="6" w:space="0" w:color="auto"/>
              <w:right w:val="single" w:sz="6" w:space="0" w:color="auto"/>
            </w:tcBorders>
            <w:shd w:val="clear" w:color="auto" w:fill="auto"/>
          </w:tcPr>
          <w:p w:rsidR="00C66BE6" w:rsidRPr="001A05F4" w:rsidRDefault="00C66BE6" w:rsidP="00AA4C6F">
            <w:pPr>
              <w:keepNext/>
              <w:ind w:left="142" w:right="131"/>
              <w:jc w:val="left"/>
              <w:rPr>
                <w:rFonts w:ascii="Arial Narrow" w:hAnsi="Arial Narrow"/>
                <w:sz w:val="20"/>
                <w:szCs w:val="20"/>
              </w:rPr>
            </w:pPr>
            <w:r w:rsidRPr="001A05F4">
              <w:rPr>
                <w:rFonts w:ascii="Arial Narrow" w:hAnsi="Arial Narrow"/>
                <w:sz w:val="20"/>
                <w:szCs w:val="20"/>
              </w:rPr>
              <w:t xml:space="preserve">The incremental benefit of nusinersen was unclear due to: </w:t>
            </w:r>
          </w:p>
          <w:p w:rsidR="00C66BE6" w:rsidRPr="001A05F4" w:rsidRDefault="00C66BE6" w:rsidP="00AA4C6F">
            <w:pPr>
              <w:pStyle w:val="ListParagraph"/>
              <w:keepNext/>
              <w:widowControl/>
              <w:numPr>
                <w:ilvl w:val="0"/>
                <w:numId w:val="12"/>
              </w:numPr>
              <w:spacing w:after="0"/>
              <w:ind w:right="131"/>
              <w:contextualSpacing/>
              <w:jc w:val="left"/>
              <w:rPr>
                <w:rFonts w:ascii="Arial Narrow" w:hAnsi="Arial Narrow"/>
                <w:sz w:val="20"/>
                <w:szCs w:val="20"/>
              </w:rPr>
            </w:pPr>
            <w:r w:rsidRPr="001A05F4">
              <w:rPr>
                <w:rFonts w:ascii="Arial Narrow" w:hAnsi="Arial Narrow"/>
                <w:sz w:val="20"/>
                <w:szCs w:val="20"/>
              </w:rPr>
              <w:t xml:space="preserve">lack of randomised comparative data and lack of statistical analyses for the indirect naïve comparisons presented; </w:t>
            </w:r>
          </w:p>
          <w:p w:rsidR="00C66BE6" w:rsidRPr="001A05F4" w:rsidRDefault="00C66BE6" w:rsidP="00AA4C6F">
            <w:pPr>
              <w:pStyle w:val="ListParagraph"/>
              <w:keepNext/>
              <w:widowControl/>
              <w:numPr>
                <w:ilvl w:val="0"/>
                <w:numId w:val="12"/>
              </w:numPr>
              <w:spacing w:after="0"/>
              <w:ind w:right="131"/>
              <w:contextualSpacing/>
              <w:jc w:val="left"/>
              <w:rPr>
                <w:rFonts w:ascii="Arial Narrow" w:hAnsi="Arial Narrow"/>
                <w:sz w:val="20"/>
                <w:szCs w:val="20"/>
              </w:rPr>
            </w:pPr>
            <w:r w:rsidRPr="001A05F4">
              <w:rPr>
                <w:rFonts w:ascii="Arial Narrow" w:hAnsi="Arial Narrow"/>
                <w:sz w:val="20"/>
                <w:szCs w:val="20"/>
              </w:rPr>
              <w:t>lack of transitivity between studies, particularly for the studies used to support the outcome of HFMSE noting the unknown impact of variables such as ambulant / non ambulant status, age of patient and rate of decline across types of SMA;</w:t>
            </w:r>
          </w:p>
          <w:p w:rsidR="00C66BE6" w:rsidRPr="001A05F4" w:rsidRDefault="00C66BE6" w:rsidP="00AA4C6F">
            <w:pPr>
              <w:pStyle w:val="ListParagraph"/>
              <w:keepNext/>
              <w:widowControl/>
              <w:numPr>
                <w:ilvl w:val="0"/>
                <w:numId w:val="12"/>
              </w:numPr>
              <w:spacing w:after="0"/>
              <w:ind w:right="131"/>
              <w:contextualSpacing/>
              <w:jc w:val="left"/>
              <w:rPr>
                <w:rFonts w:ascii="Arial Narrow" w:hAnsi="Arial Narrow"/>
                <w:sz w:val="20"/>
                <w:szCs w:val="20"/>
              </w:rPr>
            </w:pPr>
            <w:r w:rsidRPr="001A05F4">
              <w:rPr>
                <w:rFonts w:ascii="Arial Narrow" w:hAnsi="Arial Narrow"/>
                <w:sz w:val="20"/>
                <w:szCs w:val="20"/>
              </w:rPr>
              <w:t>potential for a placebo effect and inappropriate exclusion of studies (p</w:t>
            </w:r>
            <w:r w:rsidRPr="001A05F4">
              <w:rPr>
                <w:rFonts w:ascii="Arial Narrow" w:hAnsi="Arial Narrow" w:cstheme="minorHAnsi"/>
                <w:sz w:val="20"/>
                <w:szCs w:val="20"/>
              </w:rPr>
              <w:t>aragraph</w:t>
            </w:r>
            <w:r w:rsidRPr="001A05F4">
              <w:rPr>
                <w:rFonts w:ascii="Arial Narrow" w:hAnsi="Arial Narrow"/>
                <w:sz w:val="20"/>
                <w:szCs w:val="20"/>
              </w:rPr>
              <w:t xml:space="preserve"> 7.7)</w:t>
            </w:r>
          </w:p>
        </w:tc>
        <w:tc>
          <w:tcPr>
            <w:tcW w:w="4510" w:type="dxa"/>
            <w:tcBorders>
              <w:top w:val="single" w:sz="6" w:space="0" w:color="auto"/>
              <w:left w:val="single" w:sz="6" w:space="0" w:color="auto"/>
              <w:bottom w:val="single" w:sz="6" w:space="0" w:color="auto"/>
              <w:right w:val="single" w:sz="6" w:space="0" w:color="auto"/>
            </w:tcBorders>
            <w:shd w:val="clear" w:color="auto" w:fill="auto"/>
          </w:tcPr>
          <w:p w:rsidR="00C66BE6" w:rsidRPr="001A05F4" w:rsidRDefault="00C66BE6" w:rsidP="00AA4C6F">
            <w:pPr>
              <w:keepNext/>
              <w:ind w:left="139" w:right="74"/>
              <w:rPr>
                <w:rFonts w:ascii="Arial Narrow" w:hAnsi="Arial Narrow"/>
                <w:iCs/>
                <w:sz w:val="20"/>
                <w:szCs w:val="20"/>
              </w:rPr>
            </w:pPr>
            <w:r w:rsidRPr="001A05F4">
              <w:rPr>
                <w:rFonts w:ascii="Arial Narrow" w:hAnsi="Arial Narrow"/>
                <w:iCs/>
                <w:sz w:val="20"/>
                <w:szCs w:val="20"/>
              </w:rPr>
              <w:t>Not addressed. No randomised comparative data or additional statistical analyses for the</w:t>
            </w:r>
            <w:r w:rsidR="004100B9" w:rsidRPr="001A05F4">
              <w:rPr>
                <w:rFonts w:ascii="Arial Narrow" w:hAnsi="Arial Narrow"/>
                <w:iCs/>
                <w:sz w:val="20"/>
                <w:szCs w:val="20"/>
              </w:rPr>
              <w:t xml:space="preserve"> indirect</w:t>
            </w:r>
            <w:r w:rsidRPr="001A05F4">
              <w:rPr>
                <w:rFonts w:ascii="Arial Narrow" w:hAnsi="Arial Narrow"/>
                <w:iCs/>
                <w:sz w:val="20"/>
                <w:szCs w:val="20"/>
              </w:rPr>
              <w:t xml:space="preserve"> naïve comparison were presented in the resubmission. Concerns regarding the transitivity between studies remain applicable. The potential for a placebo effect remained.</w:t>
            </w:r>
          </w:p>
          <w:p w:rsidR="00C66BE6" w:rsidRPr="001A05F4" w:rsidRDefault="00C66BE6" w:rsidP="00AA4C6F">
            <w:pPr>
              <w:keepNext/>
              <w:ind w:left="139" w:right="74"/>
              <w:rPr>
                <w:rFonts w:ascii="Arial Narrow" w:hAnsi="Arial Narrow"/>
                <w:sz w:val="20"/>
                <w:szCs w:val="20"/>
              </w:rPr>
            </w:pPr>
          </w:p>
        </w:tc>
      </w:tr>
      <w:tr w:rsidR="00C66BE6" w:rsidRPr="001A05F4" w:rsidTr="00AA4C6F">
        <w:trPr>
          <w:cantSplit/>
        </w:trPr>
        <w:tc>
          <w:tcPr>
            <w:tcW w:w="4509" w:type="dxa"/>
            <w:tcBorders>
              <w:top w:val="single" w:sz="6" w:space="0" w:color="auto"/>
              <w:left w:val="single" w:sz="6" w:space="0" w:color="auto"/>
              <w:bottom w:val="single" w:sz="6" w:space="0" w:color="auto"/>
              <w:right w:val="single" w:sz="6" w:space="0" w:color="auto"/>
            </w:tcBorders>
            <w:shd w:val="clear" w:color="auto" w:fill="auto"/>
          </w:tcPr>
          <w:p w:rsidR="00C66BE6" w:rsidRPr="001A05F4" w:rsidRDefault="00C66BE6" w:rsidP="00C35794">
            <w:pPr>
              <w:ind w:left="142" w:right="131"/>
              <w:jc w:val="left"/>
              <w:textAlignment w:val="baseline"/>
              <w:rPr>
                <w:rFonts w:ascii="Arial Narrow" w:hAnsi="Arial Narrow" w:cs="Segoe UI"/>
                <w:sz w:val="20"/>
                <w:szCs w:val="20"/>
              </w:rPr>
            </w:pPr>
            <w:r w:rsidRPr="001A05F4">
              <w:rPr>
                <w:rFonts w:ascii="Arial Narrow" w:hAnsi="Arial Narrow"/>
                <w:sz w:val="20"/>
                <w:szCs w:val="20"/>
              </w:rPr>
              <w:t>The magnitude and durability of benefit of nusinersen in adults</w:t>
            </w:r>
            <w:r w:rsidR="00430C4E" w:rsidRPr="001A05F4">
              <w:rPr>
                <w:rFonts w:ascii="Arial Narrow" w:hAnsi="Arial Narrow"/>
                <w:sz w:val="20"/>
                <w:szCs w:val="20"/>
              </w:rPr>
              <w:t xml:space="preserve"> with</w:t>
            </w:r>
            <w:r w:rsidRPr="001A05F4">
              <w:rPr>
                <w:rFonts w:ascii="Arial Narrow" w:hAnsi="Arial Narrow"/>
                <w:sz w:val="20"/>
                <w:szCs w:val="20"/>
              </w:rPr>
              <w:t xml:space="preserve"> SMA was not able to be quantified and clinical input may be required to better understand the clinical significance of the outcomes in adults (p</w:t>
            </w:r>
            <w:r w:rsidRPr="001A05F4">
              <w:rPr>
                <w:rFonts w:ascii="Arial Narrow" w:hAnsi="Arial Narrow" w:cstheme="minorHAnsi"/>
                <w:sz w:val="20"/>
                <w:szCs w:val="20"/>
              </w:rPr>
              <w:t>aragraphs</w:t>
            </w:r>
            <w:r w:rsidRPr="001A05F4">
              <w:rPr>
                <w:rFonts w:ascii="Arial Narrow" w:hAnsi="Arial Narrow"/>
                <w:sz w:val="20"/>
                <w:szCs w:val="20"/>
              </w:rPr>
              <w:t xml:space="preserve"> 7.9 and 7.10).</w:t>
            </w:r>
          </w:p>
        </w:tc>
        <w:tc>
          <w:tcPr>
            <w:tcW w:w="4510" w:type="dxa"/>
            <w:tcBorders>
              <w:top w:val="single" w:sz="6" w:space="0" w:color="auto"/>
              <w:left w:val="single" w:sz="6" w:space="0" w:color="auto"/>
              <w:bottom w:val="single" w:sz="6" w:space="0" w:color="auto"/>
              <w:right w:val="single" w:sz="6" w:space="0" w:color="auto"/>
            </w:tcBorders>
            <w:shd w:val="clear" w:color="auto" w:fill="auto"/>
          </w:tcPr>
          <w:p w:rsidR="00C66BE6" w:rsidRPr="001A05F4" w:rsidRDefault="00C66BE6" w:rsidP="00927040">
            <w:pPr>
              <w:ind w:left="139" w:right="74"/>
              <w:rPr>
                <w:rFonts w:ascii="Arial Narrow" w:hAnsi="Arial Narrow" w:cs="Segoe UI"/>
                <w:sz w:val="20"/>
                <w:szCs w:val="20"/>
              </w:rPr>
            </w:pPr>
            <w:r w:rsidRPr="001A05F4">
              <w:rPr>
                <w:rFonts w:ascii="Arial Narrow" w:hAnsi="Arial Narrow"/>
                <w:iCs/>
                <w:sz w:val="20"/>
                <w:szCs w:val="20"/>
              </w:rPr>
              <w:t>Not addressed. The clinical results provided in the resubmission appear consistent in direction with data previously presented to the PBAC but still did not allow for a reliable quantification of the incremental benefit of nusinersen treatment in adults with SMA.</w:t>
            </w:r>
            <w:r w:rsidR="00C34FD4" w:rsidRPr="001A05F4">
              <w:rPr>
                <w:rFonts w:ascii="Arial Narrow" w:hAnsi="Arial Narrow"/>
                <w:iCs/>
                <w:sz w:val="20"/>
                <w:szCs w:val="20"/>
              </w:rPr>
              <w:t xml:space="preserve"> No </w:t>
            </w:r>
            <w:r w:rsidR="001A05F4" w:rsidRPr="001A05F4">
              <w:rPr>
                <w:rFonts w:ascii="Arial Narrow" w:hAnsi="Arial Narrow"/>
                <w:iCs/>
                <w:sz w:val="20"/>
                <w:szCs w:val="20"/>
              </w:rPr>
              <w:t>long-term</w:t>
            </w:r>
            <w:r w:rsidR="00C34FD4" w:rsidRPr="001A05F4">
              <w:rPr>
                <w:rFonts w:ascii="Arial Narrow" w:hAnsi="Arial Narrow"/>
                <w:iCs/>
                <w:sz w:val="20"/>
                <w:szCs w:val="20"/>
              </w:rPr>
              <w:t xml:space="preserve"> data was presented. </w:t>
            </w:r>
          </w:p>
        </w:tc>
      </w:tr>
      <w:tr w:rsidR="00C66BE6" w:rsidRPr="001A05F4" w:rsidTr="00AA4C6F">
        <w:trPr>
          <w:cantSplit/>
        </w:trPr>
        <w:tc>
          <w:tcPr>
            <w:tcW w:w="4509" w:type="dxa"/>
            <w:tcBorders>
              <w:top w:val="single" w:sz="6" w:space="0" w:color="auto"/>
              <w:left w:val="single" w:sz="6" w:space="0" w:color="auto"/>
              <w:bottom w:val="single" w:sz="6" w:space="0" w:color="auto"/>
              <w:right w:val="single" w:sz="6" w:space="0" w:color="auto"/>
            </w:tcBorders>
            <w:shd w:val="clear" w:color="auto" w:fill="auto"/>
          </w:tcPr>
          <w:p w:rsidR="00C66BE6" w:rsidRPr="001A05F4" w:rsidRDefault="00C66BE6" w:rsidP="00C35794">
            <w:pPr>
              <w:ind w:left="142" w:right="131"/>
              <w:jc w:val="left"/>
              <w:textAlignment w:val="baseline"/>
              <w:rPr>
                <w:rFonts w:ascii="Arial Narrow" w:hAnsi="Arial Narrow" w:cs="Segoe UI"/>
                <w:sz w:val="20"/>
                <w:szCs w:val="20"/>
              </w:rPr>
            </w:pPr>
            <w:r w:rsidRPr="001A05F4">
              <w:rPr>
                <w:rFonts w:ascii="Arial Narrow" w:hAnsi="Arial Narrow"/>
                <w:sz w:val="20"/>
                <w:szCs w:val="20"/>
              </w:rPr>
              <w:t>The claim of non-inferior comparative safety was not adequately supported by the data as there may be long term implications from repeated lumbar puncture administrations (p</w:t>
            </w:r>
            <w:r w:rsidRPr="001A05F4">
              <w:rPr>
                <w:rFonts w:ascii="Arial Narrow" w:hAnsi="Arial Narrow" w:cstheme="minorHAnsi"/>
                <w:sz w:val="20"/>
                <w:szCs w:val="20"/>
              </w:rPr>
              <w:t>aragraph</w:t>
            </w:r>
            <w:r w:rsidRPr="001A05F4">
              <w:rPr>
                <w:rFonts w:ascii="Arial Narrow" w:hAnsi="Arial Narrow"/>
                <w:sz w:val="20"/>
                <w:szCs w:val="20"/>
              </w:rPr>
              <w:t>. 7.11).</w:t>
            </w:r>
          </w:p>
        </w:tc>
        <w:tc>
          <w:tcPr>
            <w:tcW w:w="4510" w:type="dxa"/>
            <w:tcBorders>
              <w:top w:val="single" w:sz="6" w:space="0" w:color="auto"/>
              <w:left w:val="single" w:sz="6" w:space="0" w:color="auto"/>
              <w:bottom w:val="single" w:sz="6" w:space="0" w:color="auto"/>
              <w:right w:val="single" w:sz="6" w:space="0" w:color="auto"/>
            </w:tcBorders>
            <w:shd w:val="clear" w:color="auto" w:fill="auto"/>
          </w:tcPr>
          <w:p w:rsidR="00C66BE6" w:rsidRPr="001A05F4" w:rsidRDefault="00C66BE6" w:rsidP="00927040">
            <w:pPr>
              <w:ind w:left="139" w:right="74"/>
              <w:textAlignment w:val="baseline"/>
              <w:rPr>
                <w:rFonts w:ascii="Arial Narrow" w:hAnsi="Arial Narrow" w:cs="Segoe UI"/>
                <w:iCs/>
                <w:sz w:val="20"/>
                <w:szCs w:val="20"/>
              </w:rPr>
            </w:pPr>
            <w:r w:rsidRPr="001A05F4">
              <w:rPr>
                <w:rFonts w:ascii="Arial Narrow" w:hAnsi="Arial Narrow" w:cs="Segoe UI"/>
                <w:iCs/>
                <w:sz w:val="20"/>
                <w:szCs w:val="20"/>
              </w:rPr>
              <w:t>Not addressed. The resubmission again made a claim of non-inferior comparative safety but did not support this claim with a comparison of nusinersen to standard of care with respect to safety.</w:t>
            </w:r>
          </w:p>
        </w:tc>
      </w:tr>
      <w:tr w:rsidR="00C66BE6" w:rsidRPr="001A05F4" w:rsidTr="00AA4C6F">
        <w:trPr>
          <w:cantSplit/>
        </w:trPr>
        <w:tc>
          <w:tcPr>
            <w:tcW w:w="4509" w:type="dxa"/>
            <w:tcBorders>
              <w:top w:val="single" w:sz="6" w:space="0" w:color="auto"/>
              <w:left w:val="single" w:sz="6" w:space="0" w:color="auto"/>
              <w:bottom w:val="single" w:sz="6" w:space="0" w:color="auto"/>
              <w:right w:val="single" w:sz="6" w:space="0" w:color="auto"/>
            </w:tcBorders>
            <w:shd w:val="clear" w:color="auto" w:fill="auto"/>
          </w:tcPr>
          <w:p w:rsidR="00C66BE6" w:rsidRPr="001A05F4" w:rsidRDefault="00C66BE6" w:rsidP="00926CD7">
            <w:pPr>
              <w:keepNext/>
              <w:ind w:left="142" w:right="131"/>
              <w:jc w:val="left"/>
              <w:textAlignment w:val="baseline"/>
              <w:rPr>
                <w:rFonts w:ascii="Arial Narrow" w:hAnsi="Arial Narrow" w:cs="Segoe UI"/>
                <w:sz w:val="20"/>
                <w:szCs w:val="20"/>
              </w:rPr>
            </w:pPr>
            <w:r w:rsidRPr="001A05F4">
              <w:rPr>
                <w:rFonts w:ascii="Arial Narrow" w:hAnsi="Arial Narrow" w:cs="Calibri"/>
                <w:b/>
                <w:sz w:val="20"/>
                <w:szCs w:val="20"/>
              </w:rPr>
              <w:t>Cost-effectiveness</w:t>
            </w:r>
          </w:p>
        </w:tc>
        <w:tc>
          <w:tcPr>
            <w:tcW w:w="4510" w:type="dxa"/>
            <w:tcBorders>
              <w:top w:val="single" w:sz="6" w:space="0" w:color="auto"/>
              <w:left w:val="single" w:sz="6" w:space="0" w:color="auto"/>
              <w:bottom w:val="single" w:sz="6" w:space="0" w:color="auto"/>
              <w:right w:val="single" w:sz="6" w:space="0" w:color="auto"/>
            </w:tcBorders>
            <w:shd w:val="clear" w:color="auto" w:fill="auto"/>
            <w:vAlign w:val="center"/>
          </w:tcPr>
          <w:p w:rsidR="00C66BE6" w:rsidRPr="001A05F4" w:rsidRDefault="00C66BE6" w:rsidP="00926CD7">
            <w:pPr>
              <w:keepNext/>
              <w:ind w:left="139" w:right="74"/>
              <w:textAlignment w:val="baseline"/>
              <w:rPr>
                <w:rFonts w:ascii="Arial Narrow" w:hAnsi="Arial Narrow" w:cs="Segoe UI"/>
                <w:sz w:val="20"/>
                <w:szCs w:val="20"/>
              </w:rPr>
            </w:pPr>
          </w:p>
        </w:tc>
      </w:tr>
      <w:tr w:rsidR="00C66BE6" w:rsidRPr="001A05F4" w:rsidTr="00AA4C6F">
        <w:trPr>
          <w:cantSplit/>
        </w:trPr>
        <w:tc>
          <w:tcPr>
            <w:tcW w:w="4509" w:type="dxa"/>
            <w:tcBorders>
              <w:top w:val="single" w:sz="6" w:space="0" w:color="auto"/>
              <w:left w:val="single" w:sz="6" w:space="0" w:color="auto"/>
              <w:bottom w:val="single" w:sz="6" w:space="0" w:color="auto"/>
              <w:right w:val="single" w:sz="6" w:space="0" w:color="auto"/>
            </w:tcBorders>
            <w:shd w:val="clear" w:color="auto" w:fill="auto"/>
          </w:tcPr>
          <w:p w:rsidR="00C66BE6" w:rsidRPr="001A05F4" w:rsidRDefault="00C66BE6" w:rsidP="00926CD7">
            <w:pPr>
              <w:keepNext/>
              <w:ind w:left="142" w:right="131"/>
              <w:jc w:val="left"/>
              <w:textAlignment w:val="baseline"/>
              <w:rPr>
                <w:rFonts w:ascii="Arial Narrow" w:hAnsi="Arial Narrow" w:cs="Segoe UI"/>
                <w:sz w:val="20"/>
                <w:szCs w:val="20"/>
              </w:rPr>
            </w:pPr>
            <w:r w:rsidRPr="001A05F4">
              <w:rPr>
                <w:rFonts w:ascii="Arial Narrow" w:hAnsi="Arial Narrow"/>
                <w:sz w:val="20"/>
                <w:szCs w:val="20"/>
              </w:rPr>
              <w:t>The economic model was uncertain and ICER high based on issues relating to (i) model inputs (transition probabilities, resource use estimates, utility weights), (ii) approach used to extrapolate duration of benefit for nusinersen, and (iii) cost effectiveness of nusinersen in non-adult patients with symptom onset between 3 and 18 years of age (p</w:t>
            </w:r>
            <w:r w:rsidRPr="001A05F4">
              <w:rPr>
                <w:rFonts w:ascii="Arial Narrow" w:hAnsi="Arial Narrow" w:cstheme="minorHAnsi"/>
                <w:sz w:val="20"/>
                <w:szCs w:val="20"/>
              </w:rPr>
              <w:t>aragraph</w:t>
            </w:r>
            <w:r w:rsidRPr="001A05F4">
              <w:rPr>
                <w:rFonts w:ascii="Arial Narrow" w:hAnsi="Arial Narrow"/>
                <w:sz w:val="20"/>
                <w:szCs w:val="20"/>
              </w:rPr>
              <w:t xml:space="preserve"> 7.13).</w:t>
            </w:r>
          </w:p>
        </w:tc>
        <w:tc>
          <w:tcPr>
            <w:tcW w:w="4510" w:type="dxa"/>
            <w:tcBorders>
              <w:top w:val="single" w:sz="6" w:space="0" w:color="auto"/>
              <w:left w:val="single" w:sz="6" w:space="0" w:color="auto"/>
              <w:bottom w:val="single" w:sz="6" w:space="0" w:color="auto"/>
              <w:right w:val="single" w:sz="6" w:space="0" w:color="auto"/>
            </w:tcBorders>
            <w:shd w:val="clear" w:color="auto" w:fill="auto"/>
          </w:tcPr>
          <w:p w:rsidR="00C66BE6" w:rsidRPr="001A05F4" w:rsidRDefault="00C66BE6" w:rsidP="00926CD7">
            <w:pPr>
              <w:keepNext/>
              <w:ind w:left="139" w:right="74"/>
              <w:textAlignment w:val="baseline"/>
              <w:rPr>
                <w:rFonts w:ascii="Arial Narrow" w:hAnsi="Arial Narrow" w:cs="Segoe UI"/>
                <w:sz w:val="20"/>
                <w:szCs w:val="20"/>
              </w:rPr>
            </w:pPr>
            <w:r w:rsidRPr="001A05F4">
              <w:rPr>
                <w:rFonts w:ascii="Arial Narrow" w:hAnsi="Arial Narrow" w:cs="Segoe UI"/>
                <w:sz w:val="20"/>
                <w:szCs w:val="20"/>
              </w:rPr>
              <w:t>The economic evaluation was updated with results presented for a range of adult patient populations defined by age, motor function status and age of onset of SMA. Listing in non-adult patients with symptom onset between 3 and 18 years was not requested in the resubmission.</w:t>
            </w:r>
          </w:p>
          <w:p w:rsidR="00C66BE6" w:rsidRPr="001A05F4" w:rsidRDefault="00C66BE6" w:rsidP="00926CD7">
            <w:pPr>
              <w:keepNext/>
              <w:ind w:left="139" w:right="74"/>
              <w:textAlignment w:val="baseline"/>
              <w:rPr>
                <w:rFonts w:ascii="Arial Narrow" w:hAnsi="Arial Narrow" w:cs="Segoe UI"/>
                <w:sz w:val="20"/>
                <w:szCs w:val="20"/>
              </w:rPr>
            </w:pPr>
            <w:r w:rsidRPr="001A05F4">
              <w:rPr>
                <w:rFonts w:ascii="Arial Narrow" w:hAnsi="Arial Narrow" w:cs="Segoe UI"/>
                <w:iCs/>
                <w:sz w:val="20"/>
                <w:szCs w:val="20"/>
              </w:rPr>
              <w:t>Partially addressed. Transition probabilities, utility weights and the duration of benefit for nusinersen remain uncertain.</w:t>
            </w:r>
          </w:p>
        </w:tc>
      </w:tr>
      <w:tr w:rsidR="00C66BE6" w:rsidRPr="001A05F4" w:rsidTr="00AA4C6F">
        <w:trPr>
          <w:cantSplit/>
        </w:trPr>
        <w:tc>
          <w:tcPr>
            <w:tcW w:w="4509" w:type="dxa"/>
            <w:tcBorders>
              <w:top w:val="single" w:sz="6" w:space="0" w:color="auto"/>
              <w:left w:val="single" w:sz="6" w:space="0" w:color="auto"/>
              <w:bottom w:val="single" w:sz="6" w:space="0" w:color="auto"/>
              <w:right w:val="single" w:sz="6" w:space="0" w:color="auto"/>
            </w:tcBorders>
            <w:shd w:val="clear" w:color="auto" w:fill="auto"/>
          </w:tcPr>
          <w:p w:rsidR="00C66BE6" w:rsidRPr="001A05F4" w:rsidRDefault="00C66BE6" w:rsidP="00926CD7">
            <w:pPr>
              <w:keepNext/>
              <w:ind w:left="142" w:right="131"/>
              <w:jc w:val="left"/>
              <w:textAlignment w:val="baseline"/>
              <w:rPr>
                <w:rFonts w:ascii="Arial Narrow" w:hAnsi="Arial Narrow" w:cs="Segoe UI"/>
                <w:b/>
                <w:sz w:val="20"/>
                <w:szCs w:val="20"/>
              </w:rPr>
            </w:pPr>
            <w:r w:rsidRPr="001A05F4">
              <w:rPr>
                <w:rFonts w:ascii="Arial Narrow" w:hAnsi="Arial Narrow" w:cs="Segoe UI"/>
                <w:b/>
                <w:sz w:val="20"/>
                <w:szCs w:val="20"/>
              </w:rPr>
              <w:t>Financial estimates</w:t>
            </w:r>
          </w:p>
        </w:tc>
        <w:tc>
          <w:tcPr>
            <w:tcW w:w="4510" w:type="dxa"/>
            <w:tcBorders>
              <w:top w:val="single" w:sz="6" w:space="0" w:color="auto"/>
              <w:left w:val="single" w:sz="6" w:space="0" w:color="auto"/>
              <w:bottom w:val="single" w:sz="6" w:space="0" w:color="auto"/>
              <w:right w:val="single" w:sz="6" w:space="0" w:color="auto"/>
            </w:tcBorders>
            <w:shd w:val="clear" w:color="auto" w:fill="auto"/>
            <w:vAlign w:val="center"/>
          </w:tcPr>
          <w:p w:rsidR="00C66BE6" w:rsidRPr="001A05F4" w:rsidRDefault="00C66BE6" w:rsidP="00926CD7">
            <w:pPr>
              <w:keepNext/>
              <w:ind w:left="139" w:right="74"/>
              <w:textAlignment w:val="baseline"/>
              <w:rPr>
                <w:rFonts w:ascii="Arial Narrow" w:hAnsi="Arial Narrow" w:cs="Segoe UI"/>
                <w:sz w:val="20"/>
                <w:szCs w:val="20"/>
              </w:rPr>
            </w:pPr>
          </w:p>
        </w:tc>
      </w:tr>
      <w:tr w:rsidR="00C66BE6" w:rsidRPr="001A05F4" w:rsidTr="00AA4C6F">
        <w:trPr>
          <w:cantSplit/>
        </w:trPr>
        <w:tc>
          <w:tcPr>
            <w:tcW w:w="4509" w:type="dxa"/>
            <w:tcBorders>
              <w:top w:val="single" w:sz="6" w:space="0" w:color="auto"/>
              <w:left w:val="single" w:sz="6" w:space="0" w:color="auto"/>
              <w:bottom w:val="single" w:sz="6" w:space="0" w:color="auto"/>
              <w:right w:val="single" w:sz="6" w:space="0" w:color="auto"/>
            </w:tcBorders>
            <w:shd w:val="clear" w:color="auto" w:fill="auto"/>
          </w:tcPr>
          <w:p w:rsidR="00C66BE6" w:rsidRPr="001A05F4" w:rsidRDefault="00430C4E" w:rsidP="00C35794">
            <w:pPr>
              <w:ind w:left="142" w:right="131"/>
              <w:jc w:val="left"/>
              <w:textAlignment w:val="baseline"/>
              <w:rPr>
                <w:rFonts w:ascii="Arial Narrow" w:hAnsi="Arial Narrow" w:cs="Segoe UI"/>
                <w:sz w:val="20"/>
                <w:szCs w:val="20"/>
              </w:rPr>
            </w:pPr>
            <w:r w:rsidRPr="001A05F4">
              <w:rPr>
                <w:rFonts w:ascii="Arial Narrow" w:hAnsi="Arial Narrow"/>
                <w:sz w:val="20"/>
                <w:szCs w:val="20"/>
              </w:rPr>
              <w:t xml:space="preserve">The </w:t>
            </w:r>
            <w:r w:rsidR="00C66BE6" w:rsidRPr="001A05F4">
              <w:rPr>
                <w:rFonts w:ascii="Arial Narrow" w:hAnsi="Arial Narrow"/>
                <w:sz w:val="20"/>
                <w:szCs w:val="20"/>
              </w:rPr>
              <w:t>PBAC considered financial estimates were uncertain due to (i) assumed uptake and discontinuation rates, (ii) estimated number of patients with Type II and III SMA, (iii) average age of patients likely to access nusinersen and distribution of Type IIIa or IIIb patients, (iv) potential use beyond the requested restriction in adult patients with Type IV SMA (p</w:t>
            </w:r>
            <w:r w:rsidR="00C66BE6" w:rsidRPr="001A05F4">
              <w:rPr>
                <w:rFonts w:ascii="Arial Narrow" w:hAnsi="Arial Narrow" w:cstheme="minorHAnsi"/>
                <w:sz w:val="20"/>
                <w:szCs w:val="20"/>
              </w:rPr>
              <w:t>aragraphs</w:t>
            </w:r>
            <w:r w:rsidR="00C66BE6" w:rsidRPr="001A05F4">
              <w:rPr>
                <w:rFonts w:ascii="Arial Narrow" w:hAnsi="Arial Narrow"/>
                <w:sz w:val="20"/>
                <w:szCs w:val="20"/>
              </w:rPr>
              <w:t xml:space="preserve"> 7.15 – 7.17).</w:t>
            </w:r>
          </w:p>
        </w:tc>
        <w:tc>
          <w:tcPr>
            <w:tcW w:w="4510" w:type="dxa"/>
            <w:tcBorders>
              <w:top w:val="single" w:sz="6" w:space="0" w:color="auto"/>
              <w:left w:val="single" w:sz="6" w:space="0" w:color="auto"/>
              <w:bottom w:val="single" w:sz="6" w:space="0" w:color="auto"/>
              <w:right w:val="single" w:sz="6" w:space="0" w:color="auto"/>
            </w:tcBorders>
            <w:shd w:val="clear" w:color="auto" w:fill="auto"/>
          </w:tcPr>
          <w:p w:rsidR="00C66BE6" w:rsidRPr="001A05F4" w:rsidRDefault="00C66BE6" w:rsidP="00927040">
            <w:pPr>
              <w:ind w:left="139" w:right="74"/>
              <w:textAlignment w:val="baseline"/>
              <w:rPr>
                <w:rFonts w:ascii="Arial Narrow" w:hAnsi="Arial Narrow" w:cs="Segoe UI"/>
                <w:sz w:val="20"/>
                <w:szCs w:val="20"/>
              </w:rPr>
            </w:pPr>
            <w:r w:rsidRPr="001A05F4">
              <w:rPr>
                <w:rFonts w:ascii="Arial Narrow" w:hAnsi="Arial Narrow" w:cs="Segoe UI"/>
                <w:sz w:val="20"/>
                <w:szCs w:val="20"/>
              </w:rPr>
              <w:t xml:space="preserve">The resubmission presented updated financial </w:t>
            </w:r>
            <w:r w:rsidR="001A05F4" w:rsidRPr="001A05F4">
              <w:rPr>
                <w:rFonts w:ascii="Arial Narrow" w:hAnsi="Arial Narrow" w:cs="Segoe UI"/>
                <w:sz w:val="20"/>
                <w:szCs w:val="20"/>
              </w:rPr>
              <w:t>estimates but</w:t>
            </w:r>
            <w:r w:rsidRPr="001A05F4">
              <w:rPr>
                <w:rFonts w:ascii="Arial Narrow" w:hAnsi="Arial Narrow" w:cs="Segoe UI"/>
                <w:sz w:val="20"/>
                <w:szCs w:val="20"/>
              </w:rPr>
              <w:t xml:space="preserve"> used the same uptake and discontinuation rates as in the November 2020 resubmission.</w:t>
            </w:r>
          </w:p>
          <w:p w:rsidR="00C66BE6" w:rsidRPr="001A05F4" w:rsidRDefault="00C66BE6" w:rsidP="00927040">
            <w:pPr>
              <w:ind w:left="139" w:right="74"/>
              <w:textAlignment w:val="baseline"/>
              <w:rPr>
                <w:rFonts w:ascii="Arial Narrow" w:hAnsi="Arial Narrow" w:cs="Segoe UI"/>
                <w:sz w:val="20"/>
                <w:szCs w:val="20"/>
              </w:rPr>
            </w:pPr>
            <w:r w:rsidRPr="001A05F4">
              <w:rPr>
                <w:rFonts w:ascii="Arial Narrow" w:hAnsi="Arial Narrow" w:cs="Segoe UI"/>
                <w:sz w:val="20"/>
                <w:szCs w:val="20"/>
              </w:rPr>
              <w:t>While the previous resubmission proposed that the existing RSA for nusinersen in the paediatric setting be extended to include financial estimates for adults, the current resubmission proposed a separate RSA for adults with SMA.</w:t>
            </w:r>
          </w:p>
          <w:p w:rsidR="00C66BE6" w:rsidRPr="001A05F4" w:rsidRDefault="00C66BE6" w:rsidP="00927040">
            <w:pPr>
              <w:ind w:left="139" w:right="74"/>
              <w:textAlignment w:val="baseline"/>
              <w:rPr>
                <w:rFonts w:ascii="Arial Narrow" w:hAnsi="Arial Narrow" w:cs="Segoe UI"/>
                <w:iCs/>
                <w:sz w:val="20"/>
                <w:szCs w:val="20"/>
              </w:rPr>
            </w:pPr>
            <w:r w:rsidRPr="001A05F4">
              <w:rPr>
                <w:rFonts w:ascii="Arial Narrow" w:hAnsi="Arial Narrow" w:cs="Segoe UI"/>
                <w:iCs/>
                <w:sz w:val="20"/>
                <w:szCs w:val="20"/>
              </w:rPr>
              <w:t xml:space="preserve">Partially addressed. </w:t>
            </w:r>
          </w:p>
        </w:tc>
      </w:tr>
    </w:tbl>
    <w:p w:rsidR="00C66BE6" w:rsidRPr="001A05F4" w:rsidRDefault="00C66BE6" w:rsidP="00C66BE6">
      <w:pPr>
        <w:pStyle w:val="TableFooter"/>
      </w:pPr>
      <w:r w:rsidRPr="001A05F4">
        <w:t>RSA= risk share arrangement</w:t>
      </w:r>
    </w:p>
    <w:p w:rsidR="00C66BE6" w:rsidRPr="001A05F4" w:rsidRDefault="00C66BE6" w:rsidP="00C66BE6">
      <w:pPr>
        <w:pStyle w:val="TableFooter"/>
      </w:pPr>
      <w:r w:rsidRPr="001A05F4">
        <w:t>Source: Table 0.1, p4</w:t>
      </w:r>
      <w:r w:rsidR="00A9446F" w:rsidRPr="001A05F4">
        <w:t xml:space="preserve"> of the </w:t>
      </w:r>
      <w:r w:rsidR="0044481F" w:rsidRPr="001A05F4">
        <w:t>re</w:t>
      </w:r>
      <w:r w:rsidR="00A9446F" w:rsidRPr="001A05F4">
        <w:t>submission.</w:t>
      </w:r>
    </w:p>
    <w:p w:rsidR="00C66BE6" w:rsidRDefault="00C66BE6" w:rsidP="00C66BE6"/>
    <w:p w:rsidR="004258E0" w:rsidRPr="004258E0" w:rsidRDefault="004258E0" w:rsidP="00C66BE6">
      <w:pPr>
        <w:rPr>
          <w:i/>
          <w:iCs/>
        </w:rPr>
      </w:pPr>
      <w:r>
        <w:tab/>
      </w:r>
      <w:r w:rsidRPr="004258E0">
        <w:rPr>
          <w:i/>
          <w:iCs/>
        </w:rPr>
        <w:t>For more details on PBAC’s view, see section 7 PBAC outcome.</w:t>
      </w:r>
    </w:p>
    <w:p w:rsidR="00EC78F1" w:rsidRPr="001A05F4" w:rsidRDefault="00C66BE6" w:rsidP="00F9436F">
      <w:pPr>
        <w:pStyle w:val="2-SectionHeading"/>
        <w:numPr>
          <w:ilvl w:val="0"/>
          <w:numId w:val="2"/>
        </w:numPr>
      </w:pPr>
      <w:r w:rsidRPr="001A05F4">
        <w:t>Requested listing</w:t>
      </w: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2541"/>
        <w:gridCol w:w="975"/>
        <w:gridCol w:w="1304"/>
        <w:gridCol w:w="2410"/>
        <w:gridCol w:w="1842"/>
      </w:tblGrid>
      <w:tr w:rsidR="00C66BE6" w:rsidRPr="001A05F4" w:rsidTr="00927040">
        <w:tc>
          <w:tcPr>
            <w:tcW w:w="2541" w:type="dxa"/>
            <w:tcBorders>
              <w:bottom w:val="single" w:sz="4" w:space="0" w:color="auto"/>
            </w:tcBorders>
          </w:tcPr>
          <w:p w:rsidR="00C66BE6" w:rsidRPr="001A05F4" w:rsidRDefault="00C66BE6" w:rsidP="00927040">
            <w:pPr>
              <w:pStyle w:val="Tabletext"/>
              <w:rPr>
                <w:b/>
                <w:bCs/>
              </w:rPr>
            </w:pPr>
            <w:r w:rsidRPr="001A05F4">
              <w:rPr>
                <w:b/>
              </w:rPr>
              <w:t>Name, restriction, manner of administration, form</w:t>
            </w:r>
          </w:p>
        </w:tc>
        <w:tc>
          <w:tcPr>
            <w:tcW w:w="975" w:type="dxa"/>
            <w:tcBorders>
              <w:bottom w:val="single" w:sz="4" w:space="0" w:color="auto"/>
            </w:tcBorders>
          </w:tcPr>
          <w:p w:rsidR="00C66BE6" w:rsidRPr="001A05F4" w:rsidRDefault="00C66BE6" w:rsidP="00927040">
            <w:pPr>
              <w:pStyle w:val="Tabletext"/>
              <w:jc w:val="center"/>
              <w:rPr>
                <w:b/>
                <w:bCs/>
              </w:rPr>
            </w:pPr>
            <w:r w:rsidRPr="001A05F4">
              <w:rPr>
                <w:b/>
              </w:rPr>
              <w:t>Maximum quantity (packs)</w:t>
            </w:r>
          </w:p>
        </w:tc>
        <w:tc>
          <w:tcPr>
            <w:tcW w:w="1304" w:type="dxa"/>
            <w:tcBorders>
              <w:bottom w:val="single" w:sz="4" w:space="0" w:color="auto"/>
            </w:tcBorders>
          </w:tcPr>
          <w:p w:rsidR="00C66BE6" w:rsidRPr="001A05F4" w:rsidRDefault="00C66BE6" w:rsidP="00927040">
            <w:pPr>
              <w:pStyle w:val="Tabletext"/>
              <w:jc w:val="center"/>
              <w:rPr>
                <w:b/>
                <w:bCs/>
              </w:rPr>
            </w:pPr>
            <w:r w:rsidRPr="001A05F4">
              <w:rPr>
                <w:b/>
              </w:rPr>
              <w:t>No. of repeats</w:t>
            </w:r>
          </w:p>
        </w:tc>
        <w:tc>
          <w:tcPr>
            <w:tcW w:w="2410" w:type="dxa"/>
            <w:tcBorders>
              <w:bottom w:val="single" w:sz="4" w:space="0" w:color="auto"/>
            </w:tcBorders>
          </w:tcPr>
          <w:p w:rsidR="00C66BE6" w:rsidRPr="001A05F4" w:rsidRDefault="00C66BE6" w:rsidP="00927040">
            <w:pPr>
              <w:pStyle w:val="Tabletext"/>
              <w:jc w:val="center"/>
              <w:rPr>
                <w:b/>
                <w:bCs/>
              </w:rPr>
            </w:pPr>
            <w:r w:rsidRPr="001A05F4">
              <w:rPr>
                <w:b/>
              </w:rPr>
              <w:t>Dispensed price for maximum quantity for adult SMA^</w:t>
            </w:r>
          </w:p>
        </w:tc>
        <w:tc>
          <w:tcPr>
            <w:tcW w:w="1842" w:type="dxa"/>
            <w:tcBorders>
              <w:bottom w:val="single" w:sz="4" w:space="0" w:color="auto"/>
            </w:tcBorders>
          </w:tcPr>
          <w:p w:rsidR="00C66BE6" w:rsidRPr="001A05F4" w:rsidRDefault="00C66BE6" w:rsidP="00927040">
            <w:pPr>
              <w:pStyle w:val="Tabletext"/>
              <w:jc w:val="center"/>
              <w:rPr>
                <w:b/>
                <w:bCs/>
              </w:rPr>
            </w:pPr>
            <w:r w:rsidRPr="001A05F4">
              <w:rPr>
                <w:b/>
              </w:rPr>
              <w:t>Proprietary name and manufacturer</w:t>
            </w:r>
          </w:p>
        </w:tc>
      </w:tr>
      <w:tr w:rsidR="00C66BE6" w:rsidRPr="001A05F4" w:rsidTr="00927040">
        <w:tc>
          <w:tcPr>
            <w:tcW w:w="2541" w:type="dxa"/>
            <w:tcBorders>
              <w:bottom w:val="single" w:sz="4" w:space="0" w:color="auto"/>
            </w:tcBorders>
          </w:tcPr>
          <w:p w:rsidR="00C66BE6" w:rsidRPr="001A05F4" w:rsidRDefault="00C66BE6" w:rsidP="00927040">
            <w:pPr>
              <w:pStyle w:val="Tabletext"/>
            </w:pPr>
            <w:r w:rsidRPr="001A05F4">
              <w:t>NUSINERSEN</w:t>
            </w:r>
          </w:p>
          <w:p w:rsidR="00C66BE6" w:rsidRPr="001A05F4" w:rsidRDefault="00C66BE6" w:rsidP="00927040">
            <w:pPr>
              <w:pStyle w:val="Tabletext"/>
            </w:pPr>
            <w:r w:rsidRPr="001A05F4">
              <w:t>Initial loading dose</w:t>
            </w:r>
          </w:p>
          <w:p w:rsidR="00C66BE6" w:rsidRPr="001A05F4" w:rsidRDefault="00C66BE6" w:rsidP="00927040">
            <w:pPr>
              <w:pStyle w:val="Tabletext"/>
            </w:pPr>
            <w:r w:rsidRPr="001A05F4">
              <w:t>12*mg/ 5 mL injection, 5ml vial</w:t>
            </w:r>
          </w:p>
          <w:p w:rsidR="00C66BE6" w:rsidRPr="001A05F4" w:rsidRDefault="00C66BE6" w:rsidP="00927040">
            <w:pPr>
              <w:pStyle w:val="Tabletext"/>
            </w:pPr>
            <w:r w:rsidRPr="001A05F4">
              <w:t>Maintenance treatment</w:t>
            </w:r>
          </w:p>
          <w:p w:rsidR="00C66BE6" w:rsidRPr="001A05F4" w:rsidRDefault="00C66BE6" w:rsidP="00927040">
            <w:pPr>
              <w:pStyle w:val="Tabletext"/>
              <w:rPr>
                <w:b/>
                <w:bCs/>
              </w:rPr>
            </w:pPr>
            <w:r w:rsidRPr="001A05F4">
              <w:t>12*mg/ 5 mL injection, 5ml vial</w:t>
            </w:r>
          </w:p>
        </w:tc>
        <w:tc>
          <w:tcPr>
            <w:tcW w:w="975" w:type="dxa"/>
            <w:tcBorders>
              <w:bottom w:val="single" w:sz="4" w:space="0" w:color="auto"/>
            </w:tcBorders>
          </w:tcPr>
          <w:p w:rsidR="00C66BE6" w:rsidRPr="001A05F4" w:rsidRDefault="00C66BE6" w:rsidP="00927040">
            <w:pPr>
              <w:pStyle w:val="Tabletext"/>
              <w:jc w:val="center"/>
            </w:pPr>
          </w:p>
          <w:p w:rsidR="00C66BE6" w:rsidRPr="001A05F4" w:rsidRDefault="00C66BE6" w:rsidP="00927040">
            <w:pPr>
              <w:pStyle w:val="Tabletext"/>
              <w:jc w:val="center"/>
            </w:pPr>
          </w:p>
          <w:p w:rsidR="00C66BE6" w:rsidRPr="001A05F4" w:rsidRDefault="00C66BE6" w:rsidP="00927040">
            <w:pPr>
              <w:pStyle w:val="Tabletext"/>
              <w:jc w:val="center"/>
            </w:pPr>
            <w:r w:rsidRPr="001A05F4">
              <w:t>1</w:t>
            </w:r>
          </w:p>
          <w:p w:rsidR="00C66BE6" w:rsidRPr="001A05F4" w:rsidRDefault="00C66BE6" w:rsidP="00927040">
            <w:pPr>
              <w:pStyle w:val="Tabletext"/>
              <w:jc w:val="center"/>
            </w:pPr>
          </w:p>
          <w:p w:rsidR="00C66BE6" w:rsidRPr="001A05F4" w:rsidRDefault="00C66BE6" w:rsidP="00927040">
            <w:pPr>
              <w:pStyle w:val="Tabletext"/>
              <w:jc w:val="center"/>
              <w:rPr>
                <w:rFonts w:ascii="Times" w:hAnsi="Times"/>
              </w:rPr>
            </w:pPr>
            <w:r w:rsidRPr="001A05F4">
              <w:t>1</w:t>
            </w:r>
          </w:p>
        </w:tc>
        <w:tc>
          <w:tcPr>
            <w:tcW w:w="1304" w:type="dxa"/>
            <w:tcBorders>
              <w:bottom w:val="single" w:sz="4" w:space="0" w:color="auto"/>
            </w:tcBorders>
          </w:tcPr>
          <w:p w:rsidR="00C66BE6" w:rsidRPr="001A05F4" w:rsidRDefault="00C66BE6" w:rsidP="00927040">
            <w:pPr>
              <w:pStyle w:val="Tabletext"/>
              <w:jc w:val="center"/>
            </w:pPr>
          </w:p>
          <w:p w:rsidR="00C66BE6" w:rsidRPr="001A05F4" w:rsidRDefault="00C66BE6" w:rsidP="00927040">
            <w:pPr>
              <w:pStyle w:val="Tabletext"/>
              <w:jc w:val="center"/>
            </w:pPr>
          </w:p>
          <w:p w:rsidR="00C66BE6" w:rsidRPr="001A05F4" w:rsidRDefault="00C66BE6" w:rsidP="00927040">
            <w:pPr>
              <w:pStyle w:val="Tabletext"/>
              <w:jc w:val="center"/>
            </w:pPr>
            <w:r w:rsidRPr="001A05F4">
              <w:t>3</w:t>
            </w:r>
          </w:p>
          <w:p w:rsidR="00C66BE6" w:rsidRPr="001A05F4" w:rsidRDefault="00C66BE6" w:rsidP="00927040">
            <w:pPr>
              <w:pStyle w:val="Tabletext"/>
              <w:jc w:val="center"/>
            </w:pPr>
          </w:p>
          <w:p w:rsidR="00C66BE6" w:rsidRPr="001A05F4" w:rsidRDefault="00C66BE6" w:rsidP="00927040">
            <w:pPr>
              <w:pStyle w:val="Tabletext"/>
              <w:jc w:val="center"/>
              <w:rPr>
                <w:rFonts w:ascii="Times" w:hAnsi="Times"/>
              </w:rPr>
            </w:pPr>
            <w:r w:rsidRPr="001A05F4">
              <w:t>0</w:t>
            </w:r>
          </w:p>
        </w:tc>
        <w:tc>
          <w:tcPr>
            <w:tcW w:w="2410" w:type="dxa"/>
            <w:tcBorders>
              <w:bottom w:val="single" w:sz="4" w:space="0" w:color="auto"/>
            </w:tcBorders>
          </w:tcPr>
          <w:p w:rsidR="00C66BE6" w:rsidRPr="001A05F4" w:rsidRDefault="00C66BE6" w:rsidP="00927040">
            <w:pPr>
              <w:pStyle w:val="Tabletext"/>
              <w:jc w:val="center"/>
            </w:pPr>
          </w:p>
          <w:p w:rsidR="00C66BE6" w:rsidRPr="001A05F4" w:rsidRDefault="00C66BE6" w:rsidP="00927040">
            <w:pPr>
              <w:pStyle w:val="Tabletext"/>
              <w:jc w:val="center"/>
            </w:pPr>
            <w:r w:rsidRPr="001A05F4">
              <w:t>$110,000 published price</w:t>
            </w:r>
          </w:p>
          <w:p w:rsidR="00C66BE6" w:rsidRPr="001A05F4" w:rsidRDefault="00C66BE6" w:rsidP="00927040">
            <w:pPr>
              <w:pStyle w:val="Tabletext"/>
              <w:jc w:val="center"/>
            </w:pPr>
            <w:r w:rsidRPr="001A05F4">
              <w:t>$</w:t>
            </w:r>
            <w:r w:rsidR="006B0D96">
              <w:rPr>
                <w:noProof/>
                <w:color w:val="000000"/>
                <w:highlight w:val="black"/>
              </w:rPr>
              <w:t>'''''''''''''''''</w:t>
            </w:r>
            <w:r w:rsidRPr="001A05F4">
              <w:t xml:space="preserve"> effective price</w:t>
            </w:r>
          </w:p>
          <w:p w:rsidR="00C66BE6" w:rsidRPr="001A05F4" w:rsidRDefault="00C66BE6" w:rsidP="00927040">
            <w:pPr>
              <w:pStyle w:val="Tabletext"/>
              <w:jc w:val="center"/>
            </w:pPr>
            <w:r w:rsidRPr="001A05F4">
              <w:t>$110,000 published price</w:t>
            </w:r>
          </w:p>
          <w:p w:rsidR="00C66BE6" w:rsidRPr="001A05F4" w:rsidRDefault="00C66BE6" w:rsidP="00927040">
            <w:pPr>
              <w:pStyle w:val="Tabletext"/>
              <w:jc w:val="center"/>
              <w:rPr>
                <w:rFonts w:ascii="Times" w:hAnsi="Times"/>
              </w:rPr>
            </w:pPr>
            <w:r w:rsidRPr="001A05F4">
              <w:t>$</w:t>
            </w:r>
            <w:r w:rsidR="006B0D96">
              <w:rPr>
                <w:noProof/>
                <w:color w:val="000000"/>
                <w:highlight w:val="black"/>
              </w:rPr>
              <w:t>''''''''''''''''</w:t>
            </w:r>
            <w:r w:rsidRPr="001A05F4">
              <w:t xml:space="preserve"> effective price</w:t>
            </w:r>
          </w:p>
        </w:tc>
        <w:tc>
          <w:tcPr>
            <w:tcW w:w="1842" w:type="dxa"/>
            <w:tcBorders>
              <w:bottom w:val="single" w:sz="4" w:space="0" w:color="auto"/>
            </w:tcBorders>
          </w:tcPr>
          <w:p w:rsidR="00C66BE6" w:rsidRPr="001A05F4" w:rsidRDefault="00C66BE6" w:rsidP="00927040">
            <w:pPr>
              <w:pStyle w:val="Tabletext"/>
              <w:jc w:val="center"/>
            </w:pPr>
          </w:p>
          <w:p w:rsidR="00C66BE6" w:rsidRPr="001A05F4" w:rsidRDefault="00C66BE6" w:rsidP="00927040">
            <w:pPr>
              <w:pStyle w:val="Tabletext"/>
              <w:jc w:val="center"/>
            </w:pPr>
            <w:r w:rsidRPr="001A05F4">
              <w:t>Spinraza,</w:t>
            </w:r>
          </w:p>
          <w:p w:rsidR="00C66BE6" w:rsidRPr="001A05F4" w:rsidRDefault="00C66BE6" w:rsidP="00927040">
            <w:pPr>
              <w:pStyle w:val="Tabletext"/>
              <w:jc w:val="center"/>
              <w:rPr>
                <w:rFonts w:ascii="Times" w:hAnsi="Times"/>
              </w:rPr>
            </w:pPr>
            <w:r w:rsidRPr="001A05F4">
              <w:t>Biogen Australia Pty Ltd</w:t>
            </w:r>
          </w:p>
        </w:tc>
      </w:tr>
    </w:tbl>
    <w:p w:rsidR="00C66BE6" w:rsidRPr="001A05F4" w:rsidRDefault="00C66BE6" w:rsidP="00C66BE6">
      <w:pPr>
        <w:pStyle w:val="TableFooter"/>
      </w:pPr>
    </w:p>
    <w:tbl>
      <w:tblPr>
        <w:tblW w:w="5109" w:type="pct"/>
        <w:tblInd w:w="-5" w:type="dxa"/>
        <w:tblLook w:val="04A0" w:firstRow="1" w:lastRow="0" w:firstColumn="1" w:lastColumn="0" w:noHBand="0" w:noVBand="1"/>
      </w:tblPr>
      <w:tblGrid>
        <w:gridCol w:w="2366"/>
        <w:gridCol w:w="6848"/>
      </w:tblGrid>
      <w:tr w:rsidR="00C66BE6" w:rsidRPr="001A05F4" w:rsidTr="00C34FD4">
        <w:trPr>
          <w:cantSplit/>
          <w:trHeight w:val="20"/>
        </w:trPr>
        <w:tc>
          <w:tcPr>
            <w:tcW w:w="1284" w:type="pct"/>
            <w:tcBorders>
              <w:top w:val="single" w:sz="4" w:space="0" w:color="auto"/>
              <w:left w:val="single" w:sz="4" w:space="0" w:color="auto"/>
              <w:bottom w:val="single" w:sz="4" w:space="0" w:color="auto"/>
              <w:right w:val="single" w:sz="4" w:space="0" w:color="auto"/>
            </w:tcBorders>
            <w:hideMark/>
          </w:tcPr>
          <w:p w:rsidR="00C66BE6" w:rsidRPr="001A05F4" w:rsidRDefault="00C66BE6" w:rsidP="00C34FD4">
            <w:pPr>
              <w:pStyle w:val="Tabletext"/>
              <w:keepNext/>
              <w:keepLines/>
              <w:rPr>
                <w:b/>
                <w:bCs/>
                <w:lang w:eastAsia="en-AU"/>
              </w:rPr>
            </w:pPr>
            <w:r w:rsidRPr="001A05F4">
              <w:rPr>
                <w:b/>
                <w:bCs/>
                <w:lang w:eastAsia="en-AU"/>
              </w:rPr>
              <w:t>Category/Program:</w:t>
            </w:r>
          </w:p>
        </w:tc>
        <w:tc>
          <w:tcPr>
            <w:tcW w:w="3716" w:type="pct"/>
            <w:tcBorders>
              <w:top w:val="single" w:sz="4" w:space="0" w:color="auto"/>
              <w:left w:val="single" w:sz="4" w:space="0" w:color="auto"/>
              <w:bottom w:val="single" w:sz="4" w:space="0" w:color="auto"/>
              <w:right w:val="single" w:sz="4" w:space="0" w:color="auto"/>
            </w:tcBorders>
            <w:hideMark/>
          </w:tcPr>
          <w:p w:rsidR="00C66BE6" w:rsidRPr="001A05F4" w:rsidRDefault="00C66BE6" w:rsidP="00C34FD4">
            <w:pPr>
              <w:pStyle w:val="Tabletext"/>
              <w:keepNext/>
              <w:keepLines/>
              <w:rPr>
                <w:lang w:eastAsia="en-AU"/>
              </w:rPr>
            </w:pPr>
            <w:r w:rsidRPr="001A05F4">
              <w:rPr>
                <w:lang w:eastAsia="en-AU"/>
              </w:rPr>
              <w:t>Section 100 – Highly Specialised Drugs Program</w:t>
            </w:r>
          </w:p>
        </w:tc>
      </w:tr>
      <w:tr w:rsidR="00C66BE6" w:rsidRPr="001A05F4" w:rsidTr="00C34FD4">
        <w:trPr>
          <w:cantSplit/>
          <w:trHeight w:val="20"/>
        </w:trPr>
        <w:tc>
          <w:tcPr>
            <w:tcW w:w="1284" w:type="pct"/>
            <w:tcBorders>
              <w:top w:val="single" w:sz="4" w:space="0" w:color="auto"/>
              <w:left w:val="single" w:sz="4" w:space="0" w:color="auto"/>
              <w:bottom w:val="single" w:sz="4" w:space="0" w:color="auto"/>
              <w:right w:val="single" w:sz="4" w:space="0" w:color="auto"/>
            </w:tcBorders>
            <w:hideMark/>
          </w:tcPr>
          <w:p w:rsidR="00C66BE6" w:rsidRPr="001A05F4" w:rsidRDefault="00C66BE6" w:rsidP="00C34FD4">
            <w:pPr>
              <w:pStyle w:val="Tabletext"/>
              <w:keepNext/>
              <w:keepLines/>
              <w:rPr>
                <w:b/>
                <w:bCs/>
                <w:lang w:eastAsia="en-AU"/>
              </w:rPr>
            </w:pPr>
            <w:r w:rsidRPr="001A05F4">
              <w:rPr>
                <w:b/>
                <w:bCs/>
                <w:lang w:eastAsia="en-AU"/>
              </w:rPr>
              <w:t>Prescriber type:</w:t>
            </w:r>
          </w:p>
        </w:tc>
        <w:tc>
          <w:tcPr>
            <w:tcW w:w="3716" w:type="pct"/>
            <w:tcBorders>
              <w:top w:val="single" w:sz="4" w:space="0" w:color="auto"/>
              <w:left w:val="single" w:sz="4" w:space="0" w:color="auto"/>
              <w:bottom w:val="single" w:sz="4" w:space="0" w:color="auto"/>
              <w:right w:val="single" w:sz="4" w:space="0" w:color="auto"/>
            </w:tcBorders>
            <w:hideMark/>
          </w:tcPr>
          <w:p w:rsidR="00C66BE6" w:rsidRPr="001A05F4" w:rsidRDefault="00C66BE6" w:rsidP="00C34FD4">
            <w:pPr>
              <w:pStyle w:val="Tabletext"/>
              <w:keepNext/>
              <w:keepLines/>
              <w:rPr>
                <w:lang w:eastAsia="en-AU"/>
              </w:rPr>
            </w:pPr>
            <w:r w:rsidRPr="001A05F4">
              <w:rPr>
                <w:lang w:eastAsia="en-AU"/>
              </w:rPr>
              <w:fldChar w:fldCharType="begin">
                <w:ffData>
                  <w:name w:val=""/>
                  <w:enabled/>
                  <w:calcOnExit w:val="0"/>
                  <w:checkBox>
                    <w:sizeAuto/>
                    <w:default w:val="1"/>
                  </w:checkBox>
                </w:ffData>
              </w:fldChar>
            </w:r>
            <w:r w:rsidRPr="001A05F4">
              <w:rPr>
                <w:lang w:eastAsia="en-AU"/>
              </w:rPr>
              <w:instrText xml:space="preserve"> FORMCHECKBOX </w:instrText>
            </w:r>
            <w:r w:rsidR="007D52E8">
              <w:rPr>
                <w:lang w:eastAsia="en-AU"/>
              </w:rPr>
            </w:r>
            <w:r w:rsidR="007D52E8">
              <w:rPr>
                <w:lang w:eastAsia="en-AU"/>
              </w:rPr>
              <w:fldChar w:fldCharType="separate"/>
            </w:r>
            <w:r w:rsidRPr="001A05F4">
              <w:rPr>
                <w:lang w:eastAsia="en-AU"/>
              </w:rPr>
              <w:fldChar w:fldCharType="end"/>
            </w:r>
            <w:r w:rsidRPr="001A05F4">
              <w:rPr>
                <w:lang w:eastAsia="en-AU"/>
              </w:rPr>
              <w:tab/>
              <w:t>Medical Practitioners</w:t>
            </w:r>
          </w:p>
        </w:tc>
      </w:tr>
      <w:tr w:rsidR="00C66BE6" w:rsidRPr="001A05F4" w:rsidTr="00C34FD4">
        <w:trPr>
          <w:cantSplit/>
          <w:trHeight w:val="20"/>
        </w:trPr>
        <w:tc>
          <w:tcPr>
            <w:tcW w:w="1284" w:type="pct"/>
            <w:tcBorders>
              <w:top w:val="single" w:sz="4" w:space="0" w:color="auto"/>
              <w:left w:val="single" w:sz="4" w:space="0" w:color="auto"/>
              <w:bottom w:val="single" w:sz="4" w:space="0" w:color="auto"/>
              <w:right w:val="single" w:sz="4" w:space="0" w:color="auto"/>
            </w:tcBorders>
            <w:hideMark/>
          </w:tcPr>
          <w:p w:rsidR="00C66BE6" w:rsidRPr="001A05F4" w:rsidRDefault="00C66BE6" w:rsidP="00C34FD4">
            <w:pPr>
              <w:pStyle w:val="Tabletext"/>
              <w:keepNext/>
              <w:keepLines/>
              <w:rPr>
                <w:b/>
                <w:bCs/>
                <w:lang w:eastAsia="en-AU"/>
              </w:rPr>
            </w:pPr>
            <w:r w:rsidRPr="001A05F4">
              <w:rPr>
                <w:b/>
                <w:bCs/>
                <w:lang w:eastAsia="en-AU"/>
              </w:rPr>
              <w:t>Condition:</w:t>
            </w:r>
          </w:p>
        </w:tc>
        <w:tc>
          <w:tcPr>
            <w:tcW w:w="3716" w:type="pct"/>
            <w:tcBorders>
              <w:top w:val="single" w:sz="4" w:space="0" w:color="auto"/>
              <w:left w:val="single" w:sz="4" w:space="0" w:color="auto"/>
              <w:bottom w:val="single" w:sz="4" w:space="0" w:color="auto"/>
              <w:right w:val="single" w:sz="4" w:space="0" w:color="auto"/>
            </w:tcBorders>
            <w:hideMark/>
          </w:tcPr>
          <w:p w:rsidR="00C66BE6" w:rsidRPr="001A05F4" w:rsidRDefault="00C66BE6" w:rsidP="00C34FD4">
            <w:pPr>
              <w:pStyle w:val="Tabletext"/>
              <w:keepNext/>
              <w:keepLines/>
              <w:rPr>
                <w:lang w:eastAsia="en-AU"/>
              </w:rPr>
            </w:pPr>
            <w:r w:rsidRPr="001A05F4">
              <w:rPr>
                <w:lang w:eastAsia="en-AU"/>
              </w:rPr>
              <w:t>Spinal muscular atrophy (SMA)</w:t>
            </w:r>
          </w:p>
        </w:tc>
      </w:tr>
      <w:tr w:rsidR="00C66BE6" w:rsidRPr="001A05F4" w:rsidTr="00C34FD4">
        <w:trPr>
          <w:cantSplit/>
          <w:trHeight w:val="20"/>
        </w:trPr>
        <w:tc>
          <w:tcPr>
            <w:tcW w:w="1284" w:type="pct"/>
            <w:tcBorders>
              <w:top w:val="single" w:sz="4" w:space="0" w:color="auto"/>
              <w:left w:val="single" w:sz="4" w:space="0" w:color="auto"/>
              <w:bottom w:val="single" w:sz="4" w:space="0" w:color="auto"/>
              <w:right w:val="single" w:sz="4" w:space="0" w:color="auto"/>
            </w:tcBorders>
            <w:hideMark/>
          </w:tcPr>
          <w:p w:rsidR="00C66BE6" w:rsidRPr="001A05F4" w:rsidRDefault="00C66BE6" w:rsidP="00C34FD4">
            <w:pPr>
              <w:pStyle w:val="Tabletext"/>
              <w:keepNext/>
              <w:keepLines/>
              <w:rPr>
                <w:b/>
                <w:bCs/>
                <w:lang w:eastAsia="en-AU"/>
              </w:rPr>
            </w:pPr>
            <w:r w:rsidRPr="001A05F4">
              <w:rPr>
                <w:b/>
                <w:bCs/>
                <w:lang w:eastAsia="en-AU"/>
              </w:rPr>
              <w:t>PBS Indication:</w:t>
            </w:r>
          </w:p>
        </w:tc>
        <w:tc>
          <w:tcPr>
            <w:tcW w:w="3716" w:type="pct"/>
            <w:tcBorders>
              <w:top w:val="single" w:sz="4" w:space="0" w:color="auto"/>
              <w:left w:val="single" w:sz="4" w:space="0" w:color="auto"/>
              <w:bottom w:val="single" w:sz="4" w:space="0" w:color="auto"/>
              <w:right w:val="single" w:sz="4" w:space="0" w:color="auto"/>
            </w:tcBorders>
            <w:hideMark/>
          </w:tcPr>
          <w:p w:rsidR="00C66BE6" w:rsidRPr="001A05F4" w:rsidRDefault="00C66BE6" w:rsidP="00C34FD4">
            <w:pPr>
              <w:pStyle w:val="Tabletext"/>
              <w:keepNext/>
              <w:keepLines/>
              <w:rPr>
                <w:lang w:eastAsia="en-AU"/>
              </w:rPr>
            </w:pPr>
            <w:r w:rsidRPr="001A05F4">
              <w:rPr>
                <w:lang w:eastAsia="en-AU"/>
              </w:rPr>
              <w:t>Treatment of SMA (Adults)</w:t>
            </w:r>
          </w:p>
        </w:tc>
      </w:tr>
      <w:tr w:rsidR="00C66BE6" w:rsidRPr="001A05F4" w:rsidTr="00C34FD4">
        <w:trPr>
          <w:cantSplit/>
          <w:trHeight w:val="20"/>
        </w:trPr>
        <w:tc>
          <w:tcPr>
            <w:tcW w:w="1284" w:type="pct"/>
            <w:tcBorders>
              <w:top w:val="single" w:sz="4" w:space="0" w:color="auto"/>
              <w:left w:val="single" w:sz="4" w:space="0" w:color="auto"/>
              <w:bottom w:val="single" w:sz="4" w:space="0" w:color="auto"/>
              <w:right w:val="single" w:sz="4" w:space="0" w:color="auto"/>
            </w:tcBorders>
            <w:hideMark/>
          </w:tcPr>
          <w:p w:rsidR="00C66BE6" w:rsidRPr="001A05F4" w:rsidRDefault="00C66BE6" w:rsidP="00C34FD4">
            <w:pPr>
              <w:pStyle w:val="Tabletext"/>
              <w:keepNext/>
              <w:keepLines/>
              <w:rPr>
                <w:b/>
                <w:bCs/>
                <w:lang w:eastAsia="en-AU"/>
              </w:rPr>
            </w:pPr>
            <w:r w:rsidRPr="001A05F4">
              <w:rPr>
                <w:b/>
                <w:bCs/>
                <w:lang w:eastAsia="en-AU"/>
              </w:rPr>
              <w:t>Treatment phase:</w:t>
            </w:r>
          </w:p>
        </w:tc>
        <w:tc>
          <w:tcPr>
            <w:tcW w:w="3716" w:type="pct"/>
            <w:tcBorders>
              <w:top w:val="single" w:sz="4" w:space="0" w:color="auto"/>
              <w:left w:val="single" w:sz="4" w:space="0" w:color="auto"/>
              <w:bottom w:val="single" w:sz="4" w:space="0" w:color="auto"/>
              <w:right w:val="single" w:sz="4" w:space="0" w:color="auto"/>
            </w:tcBorders>
            <w:hideMark/>
          </w:tcPr>
          <w:p w:rsidR="00C66BE6" w:rsidRPr="001A05F4" w:rsidRDefault="00C66BE6" w:rsidP="00C34FD4">
            <w:pPr>
              <w:pStyle w:val="Tabletext"/>
              <w:keepNext/>
              <w:keepLines/>
              <w:rPr>
                <w:lang w:eastAsia="en-AU"/>
              </w:rPr>
            </w:pPr>
            <w:r w:rsidRPr="001A05F4">
              <w:rPr>
                <w:lang w:eastAsia="en-AU"/>
              </w:rPr>
              <w:t>Initial – New patients</w:t>
            </w:r>
          </w:p>
        </w:tc>
      </w:tr>
      <w:tr w:rsidR="00C66BE6" w:rsidRPr="001A05F4" w:rsidTr="00C34FD4">
        <w:trPr>
          <w:cantSplit/>
          <w:trHeight w:val="20"/>
        </w:trPr>
        <w:tc>
          <w:tcPr>
            <w:tcW w:w="1284" w:type="pct"/>
            <w:tcBorders>
              <w:top w:val="single" w:sz="4" w:space="0" w:color="auto"/>
              <w:left w:val="single" w:sz="4" w:space="0" w:color="auto"/>
              <w:bottom w:val="single" w:sz="4" w:space="0" w:color="auto"/>
              <w:right w:val="single" w:sz="4" w:space="0" w:color="auto"/>
            </w:tcBorders>
            <w:hideMark/>
          </w:tcPr>
          <w:p w:rsidR="00C66BE6" w:rsidRPr="001A05F4" w:rsidRDefault="00C66BE6" w:rsidP="00C34FD4">
            <w:pPr>
              <w:pStyle w:val="Tabletext"/>
              <w:keepNext/>
              <w:keepLines/>
              <w:rPr>
                <w:b/>
                <w:bCs/>
                <w:lang w:eastAsia="en-AU"/>
              </w:rPr>
            </w:pPr>
            <w:r w:rsidRPr="001A05F4">
              <w:rPr>
                <w:b/>
                <w:bCs/>
                <w:lang w:eastAsia="en-AU"/>
              </w:rPr>
              <w:t>Restriction:</w:t>
            </w:r>
          </w:p>
        </w:tc>
        <w:tc>
          <w:tcPr>
            <w:tcW w:w="3716" w:type="pct"/>
            <w:tcBorders>
              <w:top w:val="single" w:sz="4" w:space="0" w:color="auto"/>
              <w:left w:val="single" w:sz="4" w:space="0" w:color="auto"/>
              <w:bottom w:val="single" w:sz="4" w:space="0" w:color="auto"/>
              <w:right w:val="single" w:sz="4" w:space="0" w:color="auto"/>
            </w:tcBorders>
            <w:hideMark/>
          </w:tcPr>
          <w:p w:rsidR="00C66BE6" w:rsidRPr="001A05F4" w:rsidRDefault="00C66BE6" w:rsidP="00C34FD4">
            <w:pPr>
              <w:pStyle w:val="Tabletext"/>
              <w:keepNext/>
              <w:keepLines/>
              <w:rPr>
                <w:lang w:eastAsia="en-AU"/>
              </w:rPr>
            </w:pPr>
            <w:r w:rsidRPr="001A05F4">
              <w:rPr>
                <w:lang w:eastAsia="en-AU"/>
              </w:rPr>
              <w:fldChar w:fldCharType="begin">
                <w:ffData>
                  <w:name w:val=""/>
                  <w:enabled/>
                  <w:calcOnExit w:val="0"/>
                  <w:checkBox>
                    <w:sizeAuto/>
                    <w:default w:val="1"/>
                  </w:checkBox>
                </w:ffData>
              </w:fldChar>
            </w:r>
            <w:r w:rsidRPr="001A05F4">
              <w:rPr>
                <w:lang w:eastAsia="en-AU"/>
              </w:rPr>
              <w:instrText xml:space="preserve"> FORMCHECKBOX </w:instrText>
            </w:r>
            <w:r w:rsidR="007D52E8">
              <w:rPr>
                <w:lang w:eastAsia="en-AU"/>
              </w:rPr>
            </w:r>
            <w:r w:rsidR="007D52E8">
              <w:rPr>
                <w:lang w:eastAsia="en-AU"/>
              </w:rPr>
              <w:fldChar w:fldCharType="separate"/>
            </w:r>
            <w:r w:rsidRPr="001A05F4">
              <w:rPr>
                <w:lang w:eastAsia="en-AU"/>
              </w:rPr>
              <w:fldChar w:fldCharType="end"/>
            </w:r>
            <w:r w:rsidRPr="001A05F4">
              <w:rPr>
                <w:lang w:eastAsia="en-AU"/>
              </w:rPr>
              <w:tab/>
              <w:t>Authority Required - In Writing</w:t>
            </w:r>
          </w:p>
        </w:tc>
      </w:tr>
      <w:tr w:rsidR="00C66BE6" w:rsidRPr="001A05F4" w:rsidTr="00C34FD4">
        <w:trPr>
          <w:cantSplit/>
          <w:trHeight w:val="20"/>
        </w:trPr>
        <w:tc>
          <w:tcPr>
            <w:tcW w:w="1284" w:type="pct"/>
            <w:tcBorders>
              <w:top w:val="single" w:sz="4" w:space="0" w:color="auto"/>
              <w:left w:val="single" w:sz="4" w:space="0" w:color="auto"/>
              <w:bottom w:val="single" w:sz="4" w:space="0" w:color="auto"/>
              <w:right w:val="single" w:sz="4" w:space="0" w:color="auto"/>
            </w:tcBorders>
          </w:tcPr>
          <w:p w:rsidR="00C66BE6" w:rsidRPr="001A05F4" w:rsidRDefault="00C66BE6" w:rsidP="00C34FD4">
            <w:pPr>
              <w:pStyle w:val="Tabletext"/>
              <w:keepNext/>
              <w:keepLines/>
              <w:rPr>
                <w:b/>
                <w:bCs/>
                <w:lang w:eastAsia="en-AU"/>
              </w:rPr>
            </w:pPr>
            <w:r w:rsidRPr="001A05F4">
              <w:rPr>
                <w:b/>
                <w:bCs/>
                <w:lang w:eastAsia="en-AU"/>
              </w:rPr>
              <w:t>Treatment criteria:</w:t>
            </w:r>
          </w:p>
        </w:tc>
        <w:tc>
          <w:tcPr>
            <w:tcW w:w="3716" w:type="pct"/>
            <w:tcBorders>
              <w:top w:val="single" w:sz="4" w:space="0" w:color="auto"/>
              <w:left w:val="single" w:sz="4" w:space="0" w:color="auto"/>
              <w:bottom w:val="single" w:sz="4" w:space="0" w:color="auto"/>
              <w:right w:val="single" w:sz="4" w:space="0" w:color="auto"/>
            </w:tcBorders>
          </w:tcPr>
          <w:p w:rsidR="00C66BE6" w:rsidRPr="001A05F4" w:rsidRDefault="00C66BE6" w:rsidP="00C34FD4">
            <w:pPr>
              <w:pStyle w:val="Tabletext"/>
              <w:keepNext/>
              <w:keepLines/>
              <w:rPr>
                <w:lang w:eastAsia="en-AU"/>
              </w:rPr>
            </w:pPr>
            <w:r w:rsidRPr="001A05F4">
              <w:rPr>
                <w:lang w:eastAsia="en-AU"/>
              </w:rPr>
              <w:t>Must be treated by a specialist medical practitioner experienced in the diagnosis and management of SMA; or in consultation with a specialist medical practitioner experienced in the diagnosis and management of SMA.</w:t>
            </w:r>
          </w:p>
        </w:tc>
      </w:tr>
      <w:tr w:rsidR="00C66BE6" w:rsidRPr="001A05F4" w:rsidTr="00C34FD4">
        <w:trPr>
          <w:cantSplit/>
          <w:trHeight w:val="20"/>
        </w:trPr>
        <w:tc>
          <w:tcPr>
            <w:tcW w:w="1284" w:type="pct"/>
            <w:tcBorders>
              <w:top w:val="single" w:sz="4" w:space="0" w:color="auto"/>
              <w:left w:val="single" w:sz="4" w:space="0" w:color="auto"/>
              <w:right w:val="single" w:sz="4" w:space="0" w:color="auto"/>
            </w:tcBorders>
          </w:tcPr>
          <w:p w:rsidR="00C66BE6" w:rsidRPr="001A05F4" w:rsidRDefault="00C66BE6" w:rsidP="00C34FD4">
            <w:pPr>
              <w:pStyle w:val="Tabletext"/>
              <w:keepNext/>
              <w:keepLines/>
              <w:rPr>
                <w:b/>
                <w:bCs/>
                <w:lang w:eastAsia="en-AU"/>
              </w:rPr>
            </w:pPr>
            <w:r w:rsidRPr="001A05F4">
              <w:rPr>
                <w:b/>
                <w:bCs/>
                <w:lang w:eastAsia="en-AU"/>
              </w:rPr>
              <w:t>Clinical criteria:</w:t>
            </w:r>
          </w:p>
        </w:tc>
        <w:tc>
          <w:tcPr>
            <w:tcW w:w="3716" w:type="pct"/>
            <w:tcBorders>
              <w:top w:val="single" w:sz="4" w:space="0" w:color="auto"/>
              <w:left w:val="single" w:sz="4" w:space="0" w:color="auto"/>
              <w:right w:val="single" w:sz="4" w:space="0" w:color="auto"/>
            </w:tcBorders>
          </w:tcPr>
          <w:p w:rsidR="00C66BE6" w:rsidRPr="001A05F4" w:rsidRDefault="00C66BE6" w:rsidP="00C34FD4">
            <w:pPr>
              <w:pStyle w:val="Tabletext"/>
              <w:keepNext/>
              <w:keepLines/>
            </w:pPr>
            <w:r w:rsidRPr="001A05F4">
              <w:rPr>
                <w:rFonts w:cs="Arial"/>
                <w:lang w:eastAsia="en-AU"/>
              </w:rPr>
              <w:t xml:space="preserve">The condition must be 5q homozygous deletion, mutation of, or compound heterozygous mutation in the SMN1 gene; </w:t>
            </w:r>
            <w:r w:rsidRPr="001A05F4">
              <w:t>AND</w:t>
            </w:r>
          </w:p>
          <w:p w:rsidR="00C66BE6" w:rsidRPr="001A05F4" w:rsidRDefault="00C66BE6" w:rsidP="00C34FD4">
            <w:pPr>
              <w:pStyle w:val="Tabletext"/>
              <w:keepNext/>
              <w:keepLines/>
            </w:pPr>
            <w:r w:rsidRPr="001A05F4">
              <w:t>Patient must have experienced signs and symptoms of SMA prior to 19 years of age; AND</w:t>
            </w:r>
          </w:p>
          <w:p w:rsidR="00C66BE6" w:rsidRPr="001A05F4" w:rsidRDefault="00C66BE6" w:rsidP="00C34FD4">
            <w:pPr>
              <w:pStyle w:val="Tabletext"/>
              <w:keepNext/>
              <w:keepLines/>
            </w:pPr>
            <w:r w:rsidRPr="001A05F4">
              <w:rPr>
                <w:lang w:eastAsia="en-AU"/>
              </w:rPr>
              <w:t xml:space="preserve">The treatment must not be used in combination with other SMA disease-modifying treatments; </w:t>
            </w:r>
            <w:r w:rsidRPr="001A05F4">
              <w:t>AND</w:t>
            </w:r>
          </w:p>
          <w:p w:rsidR="00C66BE6" w:rsidRPr="001A05F4" w:rsidRDefault="00C66BE6" w:rsidP="00C34FD4">
            <w:pPr>
              <w:pStyle w:val="Tabletext"/>
              <w:keepNext/>
              <w:keepLines/>
              <w:rPr>
                <w:rFonts w:cs="Arial"/>
                <w:lang w:eastAsia="en-AU"/>
              </w:rPr>
            </w:pPr>
            <w:r w:rsidRPr="001A05F4">
              <w:t xml:space="preserve">The treatment must be given concomitantly with standard of care for this condition; </w:t>
            </w:r>
            <w:r w:rsidRPr="001A05F4">
              <w:rPr>
                <w:rFonts w:cs="Arial"/>
                <w:lang w:eastAsia="en-AU"/>
              </w:rPr>
              <w:t>AND</w:t>
            </w:r>
          </w:p>
          <w:p w:rsidR="00C66BE6" w:rsidRPr="001A05F4" w:rsidRDefault="00C66BE6" w:rsidP="00C34FD4">
            <w:pPr>
              <w:pStyle w:val="Tabletext"/>
              <w:keepNext/>
              <w:keepLines/>
            </w:pPr>
            <w:r w:rsidRPr="001A05F4">
              <w:t>The treatment must not exceed four loading doses (at days 0, 14, 28 and 63) under this restriction.</w:t>
            </w:r>
          </w:p>
        </w:tc>
      </w:tr>
      <w:tr w:rsidR="00C66BE6" w:rsidRPr="001A05F4" w:rsidTr="00C34FD4">
        <w:trPr>
          <w:cantSplit/>
          <w:trHeight w:val="20"/>
        </w:trPr>
        <w:tc>
          <w:tcPr>
            <w:tcW w:w="1284" w:type="pct"/>
            <w:tcBorders>
              <w:top w:val="single" w:sz="4" w:space="0" w:color="auto"/>
              <w:left w:val="single" w:sz="4" w:space="0" w:color="auto"/>
              <w:bottom w:val="single" w:sz="4" w:space="0" w:color="auto"/>
              <w:right w:val="single" w:sz="4" w:space="0" w:color="auto"/>
            </w:tcBorders>
          </w:tcPr>
          <w:p w:rsidR="00C66BE6" w:rsidRPr="001A05F4" w:rsidRDefault="00C66BE6" w:rsidP="00C34FD4">
            <w:pPr>
              <w:pStyle w:val="Tabletext"/>
              <w:keepNext/>
              <w:keepLines/>
              <w:rPr>
                <w:b/>
                <w:bCs/>
                <w:lang w:eastAsia="en-AU"/>
              </w:rPr>
            </w:pPr>
            <w:r w:rsidRPr="001A05F4">
              <w:rPr>
                <w:b/>
                <w:bCs/>
                <w:lang w:eastAsia="en-AU"/>
              </w:rPr>
              <w:t>Population criteria:</w:t>
            </w:r>
          </w:p>
        </w:tc>
        <w:tc>
          <w:tcPr>
            <w:tcW w:w="3716" w:type="pct"/>
            <w:tcBorders>
              <w:top w:val="single" w:sz="4" w:space="0" w:color="auto"/>
              <w:left w:val="single" w:sz="4" w:space="0" w:color="auto"/>
              <w:bottom w:val="single" w:sz="4" w:space="0" w:color="auto"/>
              <w:right w:val="single" w:sz="4" w:space="0" w:color="auto"/>
            </w:tcBorders>
          </w:tcPr>
          <w:p w:rsidR="00C66BE6" w:rsidRPr="001A05F4" w:rsidRDefault="00C66BE6" w:rsidP="00C34FD4">
            <w:pPr>
              <w:pStyle w:val="Tabletext"/>
              <w:keepNext/>
              <w:keepLines/>
              <w:rPr>
                <w:lang w:eastAsia="en-AU"/>
              </w:rPr>
            </w:pPr>
            <w:r w:rsidRPr="001A05F4">
              <w:rPr>
                <w:lang w:eastAsia="en-AU"/>
              </w:rPr>
              <w:t xml:space="preserve">Patient must be over 18 years of age. </w:t>
            </w:r>
          </w:p>
        </w:tc>
      </w:tr>
      <w:tr w:rsidR="00C66BE6" w:rsidRPr="001A05F4" w:rsidTr="00C34FD4">
        <w:trPr>
          <w:cantSplit/>
          <w:trHeight w:val="20"/>
        </w:trPr>
        <w:tc>
          <w:tcPr>
            <w:tcW w:w="1284" w:type="pct"/>
            <w:tcBorders>
              <w:top w:val="single" w:sz="4" w:space="0" w:color="auto"/>
              <w:left w:val="single" w:sz="4" w:space="0" w:color="auto"/>
              <w:bottom w:val="double" w:sz="4" w:space="0" w:color="auto"/>
              <w:right w:val="single" w:sz="4" w:space="0" w:color="auto"/>
            </w:tcBorders>
          </w:tcPr>
          <w:p w:rsidR="00C66BE6" w:rsidRPr="001A05F4" w:rsidRDefault="00C66BE6" w:rsidP="00C34FD4">
            <w:pPr>
              <w:pStyle w:val="Tabletext"/>
              <w:keepNext/>
              <w:keepLines/>
              <w:rPr>
                <w:b/>
                <w:bCs/>
                <w:lang w:eastAsia="en-AU"/>
              </w:rPr>
            </w:pPr>
            <w:r w:rsidRPr="001A05F4">
              <w:rPr>
                <w:b/>
                <w:bCs/>
                <w:lang w:eastAsia="en-AU"/>
              </w:rPr>
              <w:t>Administrative Advice</w:t>
            </w:r>
          </w:p>
          <w:p w:rsidR="00C66BE6" w:rsidRPr="001A05F4" w:rsidRDefault="00C66BE6" w:rsidP="00C34FD4">
            <w:pPr>
              <w:pStyle w:val="Tabletext"/>
              <w:keepNext/>
              <w:keepLines/>
              <w:rPr>
                <w:b/>
                <w:bCs/>
                <w:i/>
                <w:lang w:eastAsia="en-AU"/>
              </w:rPr>
            </w:pPr>
          </w:p>
        </w:tc>
        <w:tc>
          <w:tcPr>
            <w:tcW w:w="3716" w:type="pct"/>
            <w:tcBorders>
              <w:top w:val="single" w:sz="4" w:space="0" w:color="auto"/>
              <w:left w:val="single" w:sz="4" w:space="0" w:color="auto"/>
              <w:bottom w:val="double" w:sz="4" w:space="0" w:color="auto"/>
              <w:right w:val="single" w:sz="4" w:space="0" w:color="auto"/>
            </w:tcBorders>
            <w:hideMark/>
          </w:tcPr>
          <w:p w:rsidR="00C66BE6" w:rsidRPr="001A05F4" w:rsidRDefault="00C66BE6" w:rsidP="00C34FD4">
            <w:pPr>
              <w:pStyle w:val="Tabletext"/>
              <w:keepNext/>
              <w:keepLines/>
              <w:rPr>
                <w:lang w:eastAsia="en-AU"/>
              </w:rPr>
            </w:pPr>
            <w:r w:rsidRPr="001A05F4">
              <w:rPr>
                <w:lang w:eastAsia="en-AU"/>
              </w:rPr>
              <w:t>Special Pricing Arrangements apply.</w:t>
            </w:r>
          </w:p>
          <w:p w:rsidR="00C66BE6" w:rsidRPr="001A05F4" w:rsidRDefault="00C66BE6" w:rsidP="00C34FD4">
            <w:pPr>
              <w:pStyle w:val="Tabletext"/>
              <w:keepNext/>
              <w:keepLines/>
              <w:rPr>
                <w:lang w:eastAsia="en-AU"/>
              </w:rPr>
            </w:pPr>
            <w:r w:rsidRPr="001A05F4">
              <w:rPr>
                <w:lang w:eastAsia="en-AU"/>
              </w:rPr>
              <w:t>No increase in the maximum number of repeats may be authorised.</w:t>
            </w:r>
          </w:p>
        </w:tc>
      </w:tr>
      <w:tr w:rsidR="00C34FD4" w:rsidRPr="001A05F4" w:rsidTr="00C34FD4">
        <w:trPr>
          <w:cantSplit/>
          <w:trHeight w:val="20"/>
        </w:trPr>
        <w:tc>
          <w:tcPr>
            <w:tcW w:w="1284" w:type="pct"/>
            <w:tcBorders>
              <w:top w:val="double" w:sz="4" w:space="0" w:color="auto"/>
              <w:left w:val="single" w:sz="4" w:space="0" w:color="auto"/>
              <w:bottom w:val="single" w:sz="4" w:space="0" w:color="auto"/>
              <w:right w:val="single" w:sz="4" w:space="0" w:color="auto"/>
            </w:tcBorders>
          </w:tcPr>
          <w:p w:rsidR="00C34FD4" w:rsidRPr="001A05F4" w:rsidRDefault="00C34FD4" w:rsidP="00C34FD4">
            <w:pPr>
              <w:pStyle w:val="Tabletext"/>
              <w:keepNext/>
              <w:keepLines/>
              <w:rPr>
                <w:b/>
                <w:bCs/>
                <w:lang w:eastAsia="en-AU"/>
              </w:rPr>
            </w:pPr>
            <w:r w:rsidRPr="001A05F4">
              <w:rPr>
                <w:b/>
                <w:bCs/>
                <w:lang w:eastAsia="en-AU"/>
              </w:rPr>
              <w:t>Treatment phase:</w:t>
            </w:r>
          </w:p>
        </w:tc>
        <w:tc>
          <w:tcPr>
            <w:tcW w:w="3716" w:type="pct"/>
            <w:tcBorders>
              <w:top w:val="double" w:sz="4" w:space="0" w:color="auto"/>
              <w:left w:val="single" w:sz="4" w:space="0" w:color="auto"/>
              <w:bottom w:val="single" w:sz="4" w:space="0" w:color="auto"/>
              <w:right w:val="single" w:sz="4" w:space="0" w:color="auto"/>
            </w:tcBorders>
            <w:hideMark/>
          </w:tcPr>
          <w:p w:rsidR="00C34FD4" w:rsidRPr="001A05F4" w:rsidRDefault="00C34FD4" w:rsidP="00C34FD4">
            <w:pPr>
              <w:pStyle w:val="Tabletext"/>
              <w:keepNext/>
              <w:keepLines/>
              <w:rPr>
                <w:lang w:eastAsia="en-AU"/>
              </w:rPr>
            </w:pPr>
            <w:r w:rsidRPr="001A05F4">
              <w:rPr>
                <w:lang w:eastAsia="en-AU"/>
              </w:rPr>
              <w:t>Continuing treatment - Maintenance</w:t>
            </w:r>
          </w:p>
        </w:tc>
      </w:tr>
      <w:tr w:rsidR="00C34FD4" w:rsidRPr="001A05F4" w:rsidTr="00C34FD4">
        <w:trPr>
          <w:cantSplit/>
          <w:trHeight w:val="20"/>
        </w:trPr>
        <w:tc>
          <w:tcPr>
            <w:tcW w:w="1284" w:type="pct"/>
            <w:tcBorders>
              <w:top w:val="single" w:sz="4" w:space="0" w:color="auto"/>
              <w:left w:val="single" w:sz="4" w:space="0" w:color="auto"/>
              <w:bottom w:val="single" w:sz="4" w:space="0" w:color="auto"/>
              <w:right w:val="single" w:sz="4" w:space="0" w:color="auto"/>
            </w:tcBorders>
          </w:tcPr>
          <w:p w:rsidR="00C34FD4" w:rsidRPr="001A05F4" w:rsidRDefault="00C34FD4" w:rsidP="00C34FD4">
            <w:pPr>
              <w:pStyle w:val="Tabletext"/>
              <w:keepNext/>
              <w:keepLines/>
              <w:rPr>
                <w:b/>
                <w:bCs/>
                <w:lang w:eastAsia="en-AU"/>
              </w:rPr>
            </w:pPr>
            <w:r w:rsidRPr="001A05F4">
              <w:rPr>
                <w:b/>
                <w:bCs/>
                <w:lang w:eastAsia="en-AU"/>
              </w:rPr>
              <w:t>Treatment criteria:</w:t>
            </w:r>
          </w:p>
        </w:tc>
        <w:tc>
          <w:tcPr>
            <w:tcW w:w="3716" w:type="pct"/>
            <w:tcBorders>
              <w:top w:val="single" w:sz="4" w:space="0" w:color="auto"/>
              <w:left w:val="single" w:sz="4" w:space="0" w:color="auto"/>
              <w:bottom w:val="single" w:sz="4" w:space="0" w:color="auto"/>
              <w:right w:val="single" w:sz="4" w:space="0" w:color="auto"/>
            </w:tcBorders>
            <w:hideMark/>
          </w:tcPr>
          <w:p w:rsidR="00C34FD4" w:rsidRPr="001A05F4" w:rsidRDefault="00C34FD4" w:rsidP="00C34FD4">
            <w:pPr>
              <w:pStyle w:val="Tabletext"/>
              <w:keepNext/>
              <w:keepLines/>
              <w:rPr>
                <w:lang w:eastAsia="en-AU"/>
              </w:rPr>
            </w:pPr>
            <w:r w:rsidRPr="001A05F4">
              <w:rPr>
                <w:lang w:eastAsia="en-AU"/>
              </w:rPr>
              <w:t>Must be treated by a specialist medical practitioner experienced in the diagnosis and management of SMA; or in consultation with a specialist medical practitioner experienced in the diagnosis and management of SMA.</w:t>
            </w:r>
          </w:p>
        </w:tc>
      </w:tr>
      <w:tr w:rsidR="00C34FD4" w:rsidRPr="001A05F4" w:rsidTr="00C34FD4">
        <w:trPr>
          <w:cantSplit/>
          <w:trHeight w:val="20"/>
        </w:trPr>
        <w:tc>
          <w:tcPr>
            <w:tcW w:w="1284" w:type="pct"/>
            <w:tcBorders>
              <w:top w:val="single" w:sz="4" w:space="0" w:color="auto"/>
              <w:left w:val="single" w:sz="4" w:space="0" w:color="auto"/>
              <w:bottom w:val="single" w:sz="4" w:space="0" w:color="auto"/>
              <w:right w:val="single" w:sz="4" w:space="0" w:color="auto"/>
            </w:tcBorders>
          </w:tcPr>
          <w:p w:rsidR="00C34FD4" w:rsidRPr="001A05F4" w:rsidRDefault="00C34FD4" w:rsidP="00C34FD4">
            <w:pPr>
              <w:pStyle w:val="Tabletext"/>
              <w:keepNext/>
              <w:keepLines/>
              <w:rPr>
                <w:b/>
                <w:bCs/>
                <w:lang w:eastAsia="en-AU"/>
              </w:rPr>
            </w:pPr>
            <w:r w:rsidRPr="001A05F4">
              <w:rPr>
                <w:b/>
                <w:bCs/>
                <w:lang w:eastAsia="en-AU"/>
              </w:rPr>
              <w:t>Clinical criteria:</w:t>
            </w:r>
          </w:p>
        </w:tc>
        <w:tc>
          <w:tcPr>
            <w:tcW w:w="3716" w:type="pct"/>
            <w:tcBorders>
              <w:top w:val="single" w:sz="4" w:space="0" w:color="auto"/>
              <w:left w:val="single" w:sz="4" w:space="0" w:color="auto"/>
              <w:bottom w:val="single" w:sz="4" w:space="0" w:color="auto"/>
              <w:right w:val="single" w:sz="4" w:space="0" w:color="auto"/>
            </w:tcBorders>
            <w:hideMark/>
          </w:tcPr>
          <w:p w:rsidR="00C34FD4" w:rsidRPr="001A05F4" w:rsidRDefault="00C34FD4" w:rsidP="00C34FD4">
            <w:pPr>
              <w:pStyle w:val="Tabletext"/>
              <w:keepNext/>
              <w:keepLines/>
              <w:rPr>
                <w:lang w:eastAsia="en-AU"/>
              </w:rPr>
            </w:pPr>
            <w:r w:rsidRPr="001A05F4">
              <w:rPr>
                <w:lang w:eastAsia="en-AU"/>
              </w:rPr>
              <w:t>Patient must have previously received PBS-subsidised treatment with this drug for this condition; AND</w:t>
            </w:r>
          </w:p>
          <w:p w:rsidR="00C34FD4" w:rsidRPr="001A05F4" w:rsidRDefault="00C34FD4" w:rsidP="00C34FD4">
            <w:pPr>
              <w:pStyle w:val="Tabletext"/>
              <w:keepNext/>
              <w:keepLines/>
              <w:rPr>
                <w:lang w:eastAsia="en-AU"/>
              </w:rPr>
            </w:pPr>
            <w:r w:rsidRPr="001A05F4">
              <w:rPr>
                <w:lang w:eastAsia="en-AU"/>
              </w:rPr>
              <w:t>The treatment must be given concomitantly with standard of care for this condition; AND</w:t>
            </w:r>
          </w:p>
          <w:p w:rsidR="00C34FD4" w:rsidRPr="001A05F4" w:rsidRDefault="00C34FD4" w:rsidP="00C34FD4">
            <w:pPr>
              <w:pStyle w:val="Tabletext"/>
              <w:keepNext/>
              <w:keepLines/>
              <w:rPr>
                <w:lang w:eastAsia="en-AU"/>
              </w:rPr>
            </w:pPr>
            <w:r w:rsidRPr="001A05F4">
              <w:rPr>
                <w:lang w:eastAsia="en-AU"/>
              </w:rPr>
              <w:t>The treatment must be ceased when the patient experiences a clinically significant decline in motor function resulting in loss of function or when invasive permanent assisted ventilation is required in the absence of a potentially reversible cause while being treated with this drug**.</w:t>
            </w:r>
          </w:p>
        </w:tc>
      </w:tr>
      <w:tr w:rsidR="00C34FD4" w:rsidRPr="001A05F4" w:rsidTr="00C34FD4">
        <w:trPr>
          <w:cantSplit/>
          <w:trHeight w:val="20"/>
        </w:trPr>
        <w:tc>
          <w:tcPr>
            <w:tcW w:w="1284" w:type="pct"/>
            <w:tcBorders>
              <w:top w:val="single" w:sz="4" w:space="0" w:color="auto"/>
              <w:left w:val="single" w:sz="4" w:space="0" w:color="auto"/>
              <w:bottom w:val="single" w:sz="4" w:space="0" w:color="auto"/>
              <w:right w:val="single" w:sz="4" w:space="0" w:color="auto"/>
            </w:tcBorders>
          </w:tcPr>
          <w:p w:rsidR="00C34FD4" w:rsidRPr="001A05F4" w:rsidRDefault="00C34FD4" w:rsidP="00C34FD4">
            <w:pPr>
              <w:pStyle w:val="Tabletext"/>
              <w:keepNext/>
              <w:keepLines/>
              <w:rPr>
                <w:b/>
                <w:bCs/>
                <w:lang w:eastAsia="en-AU"/>
              </w:rPr>
            </w:pPr>
            <w:r w:rsidRPr="001A05F4">
              <w:rPr>
                <w:b/>
                <w:bCs/>
                <w:lang w:eastAsia="en-AU"/>
              </w:rPr>
              <w:t>Population criteria:</w:t>
            </w:r>
          </w:p>
        </w:tc>
        <w:tc>
          <w:tcPr>
            <w:tcW w:w="3716" w:type="pct"/>
            <w:tcBorders>
              <w:top w:val="single" w:sz="4" w:space="0" w:color="auto"/>
              <w:left w:val="single" w:sz="4" w:space="0" w:color="auto"/>
              <w:bottom w:val="single" w:sz="4" w:space="0" w:color="auto"/>
              <w:right w:val="single" w:sz="4" w:space="0" w:color="auto"/>
            </w:tcBorders>
            <w:hideMark/>
          </w:tcPr>
          <w:p w:rsidR="00C34FD4" w:rsidRPr="001A05F4" w:rsidRDefault="00C34FD4" w:rsidP="00C34FD4">
            <w:pPr>
              <w:pStyle w:val="Tabletext"/>
              <w:keepNext/>
              <w:keepLines/>
              <w:rPr>
                <w:lang w:eastAsia="en-AU"/>
              </w:rPr>
            </w:pPr>
            <w:r w:rsidRPr="001A05F4">
              <w:rPr>
                <w:lang w:eastAsia="en-AU"/>
              </w:rPr>
              <w:t xml:space="preserve">Patient must be over 18 years of age. </w:t>
            </w:r>
          </w:p>
        </w:tc>
      </w:tr>
    </w:tbl>
    <w:p w:rsidR="00C66BE6" w:rsidRPr="001A05F4" w:rsidRDefault="00C66BE6" w:rsidP="00C34FD4">
      <w:pPr>
        <w:pStyle w:val="TableFooter"/>
        <w:keepNext/>
        <w:keepLines/>
      </w:pPr>
      <w:r w:rsidRPr="001A05F4">
        <w:t>* The resubmission refers to the strength as 12.6mg/5mL.</w:t>
      </w:r>
    </w:p>
    <w:p w:rsidR="00C66BE6" w:rsidRPr="001A05F4" w:rsidRDefault="00C66BE6" w:rsidP="00C34FD4">
      <w:pPr>
        <w:pStyle w:val="TableFooter"/>
        <w:keepNext/>
        <w:keepLines/>
      </w:pPr>
      <w:r w:rsidRPr="001A05F4">
        <w:t>^ Effective price applicable only to SMA patients who initiate nusinersen as adults. The effective price for treatment initiation as paediatric patients with SMA continues at $</w:t>
      </w:r>
      <w:r w:rsidR="006B0D96">
        <w:rPr>
          <w:noProof/>
          <w:color w:val="000000"/>
          <w:highlight w:val="black"/>
        </w:rPr>
        <w:t>'''''''''''''''''</w:t>
      </w:r>
      <w:r w:rsidRPr="001A05F4">
        <w:t xml:space="preserve"> per dose. The proposed list price for nusinersen for the treatment of adult patients with SMA is the same as the current PBS list price for nusinersen.</w:t>
      </w:r>
    </w:p>
    <w:p w:rsidR="00C66BE6" w:rsidRPr="001A05F4" w:rsidRDefault="00C66BE6" w:rsidP="00C34FD4">
      <w:pPr>
        <w:pStyle w:val="TableFooter"/>
        <w:keepNext/>
        <w:keepLines/>
      </w:pPr>
      <w:r w:rsidRPr="001A05F4">
        <w:t>** In alignment with the current PBS restriction, invasive permanent assisted ventilation means ventilation via tracheostomy tube for greater than or equal to 16 hours per day. However, the proposed inclusion for the requirement for a decline in motor function is only applicable to adults; it is not applicable to the current PBS continuation criteria for nusinersen in the paediatric setting.</w:t>
      </w:r>
    </w:p>
    <w:p w:rsidR="00C66BE6" w:rsidRPr="001A05F4" w:rsidRDefault="00C66BE6" w:rsidP="00C34FD4">
      <w:pPr>
        <w:pStyle w:val="TableFooter"/>
        <w:keepNext/>
        <w:keepLines/>
      </w:pPr>
      <w:r w:rsidRPr="001A05F4">
        <w:t>Source: Tables 1.5, 1.6 and 1.7, p31, 34 and 36 of the resubmission</w:t>
      </w:r>
      <w:r w:rsidR="00BC2D8D" w:rsidRPr="001A05F4">
        <w:t>.</w:t>
      </w:r>
    </w:p>
    <w:p w:rsidR="00C34FD4" w:rsidRPr="001A05F4" w:rsidRDefault="00C34FD4" w:rsidP="00C66BE6">
      <w:pPr>
        <w:rPr>
          <w:i/>
          <w:iCs/>
        </w:rPr>
      </w:pPr>
    </w:p>
    <w:p w:rsidR="00C66BE6" w:rsidRPr="001A05F4" w:rsidRDefault="00C66BE6" w:rsidP="00F9436F">
      <w:pPr>
        <w:pStyle w:val="3-BodyText"/>
        <w:numPr>
          <w:ilvl w:val="1"/>
          <w:numId w:val="2"/>
        </w:numPr>
        <w:spacing w:after="0"/>
      </w:pPr>
      <w:r w:rsidRPr="001A05F4">
        <w:t>The revised pricing for adult SMA patients proposed in the resubmission included:</w:t>
      </w:r>
    </w:p>
    <w:p w:rsidR="00C66BE6" w:rsidRPr="001A05F4" w:rsidRDefault="00C66BE6" w:rsidP="00F9436F">
      <w:pPr>
        <w:pStyle w:val="Bulletpoints"/>
        <w:numPr>
          <w:ilvl w:val="1"/>
          <w:numId w:val="6"/>
        </w:numPr>
        <w:ind w:left="1276" w:hanging="425"/>
      </w:pPr>
      <w:r w:rsidRPr="001A05F4">
        <w:t xml:space="preserve">In addition to the current special pricing arrangement (SPA), a further </w:t>
      </w:r>
      <w:r w:rsidR="006B0D96">
        <w:rPr>
          <w:noProof/>
          <w:color w:val="000000"/>
          <w:highlight w:val="black"/>
        </w:rPr>
        <w:t>'''''</w:t>
      </w:r>
      <w:r w:rsidRPr="001A05F4">
        <w:t>% rebate was offered for the adult population (resulting in an effective price for the adult population of $</w:t>
      </w:r>
      <w:r w:rsidR="006B0D96">
        <w:rPr>
          <w:noProof/>
          <w:color w:val="000000"/>
          <w:highlight w:val="black"/>
        </w:rPr>
        <w:t>''''''''''''''</w:t>
      </w:r>
      <w:r w:rsidRPr="001A05F4">
        <w:t>/vial); and</w:t>
      </w:r>
    </w:p>
    <w:p w:rsidR="00C66BE6" w:rsidRPr="001A05F4" w:rsidRDefault="006B0D96" w:rsidP="00F9436F">
      <w:pPr>
        <w:pStyle w:val="Bulletpoints"/>
        <w:numPr>
          <w:ilvl w:val="1"/>
          <w:numId w:val="6"/>
        </w:numPr>
        <w:ind w:left="1276" w:hanging="425"/>
      </w:pPr>
      <w:r>
        <w:rPr>
          <w:noProof/>
          <w:color w:val="000000"/>
          <w:highlight w:val="black"/>
        </w:rPr>
        <w:t>'''''''' ''''''' ''''''''''''''' '''''''''' '''''''</w:t>
      </w:r>
      <w:r w:rsidR="00C66BE6" w:rsidRPr="001A05F4">
        <w:t xml:space="preserve"> for all adults with SMA initiating nusinersen therapy; and</w:t>
      </w:r>
    </w:p>
    <w:p w:rsidR="00C66BE6" w:rsidRPr="00010D4E" w:rsidRDefault="006B0D96" w:rsidP="00F9436F">
      <w:pPr>
        <w:pStyle w:val="Bulletpoints"/>
        <w:numPr>
          <w:ilvl w:val="1"/>
          <w:numId w:val="6"/>
        </w:numPr>
        <w:spacing w:after="160"/>
        <w:ind w:left="1276" w:hanging="425"/>
      </w:pPr>
      <w:r>
        <w:rPr>
          <w:noProof/>
          <w:color w:val="000000"/>
          <w:highlight w:val="black"/>
        </w:rPr>
        <w:t>'''''''''''''''''''''''' ''''''''''''''''''''''' '''''''''</w:t>
      </w:r>
      <w:r w:rsidR="00C66BE6" w:rsidRPr="00010D4E">
        <w:t xml:space="preserve"> for nusinersen.</w:t>
      </w:r>
    </w:p>
    <w:p w:rsidR="00C66BE6" w:rsidRPr="001A05F4" w:rsidRDefault="00C66BE6" w:rsidP="00F9436F">
      <w:pPr>
        <w:pStyle w:val="3-BodyText"/>
        <w:numPr>
          <w:ilvl w:val="1"/>
          <w:numId w:val="2"/>
        </w:numPr>
      </w:pPr>
      <w:r w:rsidRPr="001A05F4">
        <w:t>The proposed restriction d</w:t>
      </w:r>
      <w:r w:rsidR="00A911C2" w:rsidRPr="001A05F4">
        <w:t>id</w:t>
      </w:r>
      <w:r w:rsidRPr="001A05F4">
        <w:t xml:space="preserve"> not include </w:t>
      </w:r>
      <w:r w:rsidR="00D03E0F" w:rsidRPr="001A05F4">
        <w:t xml:space="preserve">initiation </w:t>
      </w:r>
      <w:r w:rsidR="00A911C2" w:rsidRPr="001A05F4">
        <w:t xml:space="preserve">of nusinersen </w:t>
      </w:r>
      <w:r w:rsidR="00D03E0F" w:rsidRPr="001A05F4">
        <w:t xml:space="preserve">in </w:t>
      </w:r>
      <w:r w:rsidRPr="001A05F4">
        <w:t>patients aged 18 years or younger who are not currently covered by the existing symptomatic listing for nusinersen</w:t>
      </w:r>
      <w:r w:rsidR="000372CA" w:rsidRPr="001A05F4">
        <w:t xml:space="preserve"> (</w:t>
      </w:r>
      <w:r w:rsidRPr="001A05F4">
        <w:t>i.e. patients with Type IIIb SMA</w:t>
      </w:r>
      <w:r w:rsidR="000372CA" w:rsidRPr="001A05F4">
        <w:t>)</w:t>
      </w:r>
      <w:r w:rsidRPr="001A05F4">
        <w:t xml:space="preserve"> where onset of symptoms commenced between 3 and 18 years of age. This was in contrast to the </w:t>
      </w:r>
      <w:r w:rsidR="00A911C2" w:rsidRPr="001A05F4">
        <w:t>re</w:t>
      </w:r>
      <w:r w:rsidRPr="001A05F4">
        <w:t xml:space="preserve">submission in November 2020 where listing for paediatric patients with Type IIIb SMA was requested. Consequently, under the </w:t>
      </w:r>
      <w:r w:rsidR="00A911C2" w:rsidRPr="001A05F4">
        <w:t xml:space="preserve">current </w:t>
      </w:r>
      <w:r w:rsidRPr="001A05F4">
        <w:t xml:space="preserve">requested PBS restriction, patients whose symptoms began at between 3 and 18 years of age </w:t>
      </w:r>
      <w:r w:rsidR="00BF159A" w:rsidRPr="001A05F4">
        <w:t xml:space="preserve">would not </w:t>
      </w:r>
      <w:r w:rsidRPr="001A05F4">
        <w:t>receive PBS funded nusinersen until they turn 1</w:t>
      </w:r>
      <w:r w:rsidR="00BF159A" w:rsidRPr="001A05F4">
        <w:t>8</w:t>
      </w:r>
      <w:r w:rsidRPr="001A05F4">
        <w:t xml:space="preserve"> years of age</w:t>
      </w:r>
      <w:r w:rsidR="00A911C2" w:rsidRPr="001A05F4">
        <w:t>; for example, a patient who experienced initial symptoms of SMA at 4 years of age would need to wait until they were aged over 18 years to be eligible for PBS-listed nusinersen</w:t>
      </w:r>
      <w:r w:rsidRPr="001A05F4">
        <w:t>.</w:t>
      </w:r>
      <w:r w:rsidR="00FE67C0" w:rsidRPr="001A05F4">
        <w:t xml:space="preserve"> Such a delay may be considered clinically inappropriate and</w:t>
      </w:r>
      <w:r w:rsidRPr="001A05F4">
        <w:t xml:space="preserve"> </w:t>
      </w:r>
      <w:r w:rsidR="00FE67C0" w:rsidRPr="001A05F4">
        <w:t>t</w:t>
      </w:r>
      <w:r w:rsidRPr="001A05F4">
        <w:t xml:space="preserve">he </w:t>
      </w:r>
      <w:r w:rsidR="00D26990" w:rsidRPr="001A05F4">
        <w:t xml:space="preserve">resulting </w:t>
      </w:r>
      <w:r w:rsidRPr="001A05F4">
        <w:t>discontinuity could potentially lead to confusion and a perceived inequity for those paediatric patients who remain ineligible</w:t>
      </w:r>
      <w:r w:rsidR="00A911C2" w:rsidRPr="001A05F4">
        <w:t xml:space="preserve"> despite being symptomatic</w:t>
      </w:r>
      <w:r w:rsidRPr="001A05F4">
        <w:t xml:space="preserve">. </w:t>
      </w:r>
      <w:r w:rsidR="002A64CA" w:rsidRPr="001A05F4">
        <w:t xml:space="preserve">The </w:t>
      </w:r>
      <w:r w:rsidR="00675C37">
        <w:t>Pre-Sub-Committee Response (PSCR)</w:t>
      </w:r>
      <w:r w:rsidR="002A64CA" w:rsidRPr="001A05F4">
        <w:t xml:space="preserve"> acknowledged that the resubmission was not able to present evidence specific to this population due to a lack of available data</w:t>
      </w:r>
      <w:r w:rsidR="00D26990" w:rsidRPr="001A05F4">
        <w:t>,</w:t>
      </w:r>
      <w:r w:rsidR="002A64CA" w:rsidRPr="001A05F4">
        <w:t xml:space="preserve"> but stated that the</w:t>
      </w:r>
      <w:r w:rsidR="00D26990" w:rsidRPr="001A05F4">
        <w:t xml:space="preserve"> sponsor</w:t>
      </w:r>
      <w:r w:rsidR="002A64CA" w:rsidRPr="001A05F4">
        <w:t xml:space="preserve"> would welcome a pragmatic approach to addressing this issue via a risk share agreement. </w:t>
      </w:r>
      <w:r w:rsidR="000F26F0" w:rsidRPr="001A05F4">
        <w:t xml:space="preserve">The ESC agreed that the exclusion of patients aged &lt;18 years with Type IIIb SMA, where onset of symptoms commenced between 3 and 18 years of age, was not clinically appropriate and was likely to lead to confusion and inequity. </w:t>
      </w:r>
      <w:r w:rsidR="00C81DB3" w:rsidRPr="001A05F4">
        <w:t>The ESC advised that consideration should be given to including this population as part of any extension to nusinersen listings based on this submission</w:t>
      </w:r>
      <w:r w:rsidR="000F26F0" w:rsidRPr="001A05F4">
        <w:t xml:space="preserve">. As such, the ESC advised that PBAC should give consideration to the cost-effectiveness of treatment in this population to the extent possible given the limitations of the data. </w:t>
      </w:r>
      <w:r w:rsidR="00C84063" w:rsidRPr="001A05F4">
        <w:t xml:space="preserve">The pre-PBAC </w:t>
      </w:r>
      <w:r w:rsidR="00F724CB" w:rsidRPr="001A05F4">
        <w:t>r</w:t>
      </w:r>
      <w:r w:rsidR="00C84063" w:rsidRPr="001A05F4">
        <w:t xml:space="preserve">esponse proposed </w:t>
      </w:r>
      <w:r w:rsidR="006F0D36" w:rsidRPr="001A05F4">
        <w:t xml:space="preserve">including </w:t>
      </w:r>
      <w:r w:rsidR="00C84063" w:rsidRPr="001A05F4">
        <w:t>paediatric patients with Type IIIb SMA</w:t>
      </w:r>
      <w:r w:rsidR="006F0D36" w:rsidRPr="001A05F4">
        <w:t xml:space="preserve"> </w:t>
      </w:r>
      <w:r w:rsidR="00C84063" w:rsidRPr="001A05F4">
        <w:t>in the existing Risk Sharing Arrangement (RSA) for nusinersen</w:t>
      </w:r>
      <w:r w:rsidR="006F0D36" w:rsidRPr="001A05F4">
        <w:t>,</w:t>
      </w:r>
      <w:r w:rsidR="00C84063" w:rsidRPr="001A05F4">
        <w:t xml:space="preserve"> noting the size of the eligible paediatric Type IIIb SMA patient population is expected to be small.</w:t>
      </w:r>
    </w:p>
    <w:p w:rsidR="000F26F0" w:rsidRPr="001A05F4" w:rsidRDefault="00AF2BA5" w:rsidP="00F9436F">
      <w:pPr>
        <w:pStyle w:val="3-BodyText"/>
        <w:numPr>
          <w:ilvl w:val="1"/>
          <w:numId w:val="2"/>
        </w:numPr>
      </w:pPr>
      <w:r w:rsidRPr="001A05F4">
        <w:t>The PSCR noted that the Secretariat</w:t>
      </w:r>
      <w:r w:rsidR="000F26F0" w:rsidRPr="001A05F4">
        <w:t xml:space="preserve"> suggested updating the proposed clinical criteria of the PBS restriction, to require adults</w:t>
      </w:r>
      <w:r w:rsidRPr="001A05F4">
        <w:t xml:space="preserve"> with SMA to have </w:t>
      </w:r>
      <w:r w:rsidR="000F26F0" w:rsidRPr="001A05F4">
        <w:t xml:space="preserve">documented evidence of symptom onset </w:t>
      </w:r>
      <w:r w:rsidRPr="001A05F4">
        <w:t>prior to 19 years of age, in order to reduce the potential use of nusinersen in adults with Type IV SMA</w:t>
      </w:r>
      <w:r w:rsidR="000F26F0" w:rsidRPr="001A05F4">
        <w:t xml:space="preserve">. The </w:t>
      </w:r>
      <w:r w:rsidRPr="001A05F4">
        <w:t>P</w:t>
      </w:r>
      <w:r w:rsidR="00E653CE" w:rsidRPr="001A05F4">
        <w:t>S</w:t>
      </w:r>
      <w:r w:rsidRPr="001A05F4">
        <w:t xml:space="preserve">CR stated the </w:t>
      </w:r>
      <w:r w:rsidR="00CC6319" w:rsidRPr="001A05F4">
        <w:t>s</w:t>
      </w:r>
      <w:r w:rsidR="000F26F0" w:rsidRPr="001A05F4">
        <w:t xml:space="preserve">ponsor is willing to work with the Department and the Australian SMA clinical community to </w:t>
      </w:r>
      <w:r w:rsidR="00D26990" w:rsidRPr="001A05F4">
        <w:t xml:space="preserve">further refine </w:t>
      </w:r>
      <w:r w:rsidR="000F26F0" w:rsidRPr="001A05F4">
        <w:t>the</w:t>
      </w:r>
      <w:r w:rsidR="00D26990" w:rsidRPr="001A05F4">
        <w:t xml:space="preserve"> proposed</w:t>
      </w:r>
      <w:r w:rsidR="000F26F0" w:rsidRPr="001A05F4">
        <w:t xml:space="preserve"> restriction</w:t>
      </w:r>
      <w:r w:rsidR="00D26990" w:rsidRPr="001A05F4">
        <w:t>.</w:t>
      </w:r>
      <w:r w:rsidR="000F26F0" w:rsidRPr="001A05F4">
        <w:t xml:space="preserve"> </w:t>
      </w:r>
    </w:p>
    <w:p w:rsidR="00724F7B" w:rsidRPr="00C508D4" w:rsidRDefault="00724F7B" w:rsidP="00F9436F">
      <w:pPr>
        <w:pStyle w:val="3-BodyText"/>
        <w:numPr>
          <w:ilvl w:val="1"/>
          <w:numId w:val="2"/>
        </w:numPr>
      </w:pPr>
      <w:r w:rsidRPr="001A05F4">
        <w:t xml:space="preserve">The ESC noted that the resubmission proposed continuation criteria for nusinersen to ensure patients are responding to treatment: “The treatment must be ceased when the patient experiences a clinically significant decline in motor function resulting in loss of function” in addition to requiring invasive permanent assisted ventilation. The ESC advised that </w:t>
      </w:r>
      <w:r w:rsidR="003B3E7F" w:rsidRPr="001A05F4">
        <w:t xml:space="preserve">further </w:t>
      </w:r>
      <w:r w:rsidR="00D26990" w:rsidRPr="001A05F4">
        <w:t xml:space="preserve">clinician </w:t>
      </w:r>
      <w:r w:rsidR="003B3E7F" w:rsidRPr="001A05F4">
        <w:t>input is required to determine</w:t>
      </w:r>
      <w:r w:rsidRPr="001A05F4">
        <w:t xml:space="preserve"> the most appropriate outcomes for inclusion in the continuation criteria, given the heterogeneity of the PBS population in terms of disease severity, age and level of functioning at treatment </w:t>
      </w:r>
      <w:r w:rsidRPr="00C508D4">
        <w:t xml:space="preserve">initiation. </w:t>
      </w:r>
    </w:p>
    <w:p w:rsidR="00034D41" w:rsidRPr="00C508D4" w:rsidRDefault="002A64CA" w:rsidP="00034D41">
      <w:pPr>
        <w:pStyle w:val="3-BodyText"/>
        <w:numPr>
          <w:ilvl w:val="1"/>
          <w:numId w:val="2"/>
        </w:numPr>
      </w:pPr>
      <w:r w:rsidRPr="00C508D4">
        <w:t xml:space="preserve">The PSCR noted that </w:t>
      </w:r>
      <w:r w:rsidR="000F26F0" w:rsidRPr="00C508D4">
        <w:t>a</w:t>
      </w:r>
      <w:r w:rsidRPr="00C508D4">
        <w:t>s the Sponsor has recently commenced a</w:t>
      </w:r>
      <w:r w:rsidR="00D26990" w:rsidRPr="00C508D4">
        <w:t>n</w:t>
      </w:r>
      <w:r w:rsidRPr="00C508D4">
        <w:t xml:space="preserve"> </w:t>
      </w:r>
      <w:r w:rsidR="00D26990" w:rsidRPr="00C508D4">
        <w:t xml:space="preserve">early access </w:t>
      </w:r>
      <w:r w:rsidRPr="00C508D4">
        <w:t xml:space="preserve">program for adults with SMA who meet the proposed PBS eligibility criteria to have access to nusinersen treatment prior to PBS listing, </w:t>
      </w:r>
      <w:r w:rsidR="00D26990" w:rsidRPr="00C508D4">
        <w:t xml:space="preserve">consideration to transitioning arrangements </w:t>
      </w:r>
      <w:r w:rsidRPr="00C508D4">
        <w:t>w</w:t>
      </w:r>
      <w:r w:rsidR="00D26990" w:rsidRPr="00C508D4">
        <w:t>ould</w:t>
      </w:r>
      <w:r w:rsidRPr="00C508D4">
        <w:t xml:space="preserve"> be required.</w:t>
      </w:r>
      <w:r w:rsidR="00DE7EF3" w:rsidRPr="00C508D4">
        <w:t xml:space="preserve"> </w:t>
      </w:r>
      <w:r w:rsidR="007E5C0C" w:rsidRPr="00C508D4">
        <w:t>The pre-PBAC Response confirmed that the eligibility criteria for th</w:t>
      </w:r>
      <w:r w:rsidR="00D4095D" w:rsidRPr="00C508D4">
        <w:t>is</w:t>
      </w:r>
      <w:r w:rsidR="007E5C0C" w:rsidRPr="00C508D4">
        <w:t xml:space="preserve"> program </w:t>
      </w:r>
      <w:r w:rsidR="00D26990" w:rsidRPr="00C508D4">
        <w:t>are</w:t>
      </w:r>
      <w:r w:rsidR="007E5C0C" w:rsidRPr="00C508D4">
        <w:t xml:space="preserve"> aligned with the</w:t>
      </w:r>
      <w:r w:rsidR="00D26990" w:rsidRPr="00C508D4">
        <w:t xml:space="preserve"> proposed</w:t>
      </w:r>
      <w:r w:rsidR="007E5C0C" w:rsidRPr="00C508D4">
        <w:t xml:space="preserve"> PBS </w:t>
      </w:r>
      <w:r w:rsidR="00D26990" w:rsidRPr="00C508D4">
        <w:t>eligibility criteria</w:t>
      </w:r>
      <w:r w:rsidR="007E5C0C" w:rsidRPr="00C508D4">
        <w:t xml:space="preserve">. The pre-PBAC response stated that the </w:t>
      </w:r>
      <w:r w:rsidR="00D26990" w:rsidRPr="00C508D4">
        <w:t>early access</w:t>
      </w:r>
      <w:r w:rsidR="00D4095D" w:rsidRPr="00C508D4">
        <w:t xml:space="preserve"> </w:t>
      </w:r>
      <w:r w:rsidR="007E5C0C" w:rsidRPr="00C508D4">
        <w:t xml:space="preserve">program commenced in May 2021, and that as of </w:t>
      </w:r>
      <w:r w:rsidR="009A65A1" w:rsidRPr="00C508D4">
        <w:t xml:space="preserve">25 June 2021, there were </w:t>
      </w:r>
      <w:r w:rsidR="006B0D96">
        <w:rPr>
          <w:noProof/>
          <w:color w:val="000000"/>
          <w:highlight w:val="black"/>
        </w:rPr>
        <w:t>''''''</w:t>
      </w:r>
      <w:r w:rsidR="007E5C0C" w:rsidRPr="00C508D4">
        <w:t xml:space="preserve"> adult SMA patients in the program, </w:t>
      </w:r>
      <w:r w:rsidR="006B0D96">
        <w:rPr>
          <w:noProof/>
          <w:color w:val="000000"/>
          <w:highlight w:val="black"/>
        </w:rPr>
        <w:t>''''''''' '''' ''''''''''''' '''''''''' '''''''''''''''' ''' ''''''''' ''''' ''''' '''''''''''''' ''''''''''' '''''''' ''''''' '''''''''''''' '''''' ''''' ''''''''' ''''''''''''''''''''</w:t>
      </w:r>
      <w:r w:rsidR="009A65A1" w:rsidRPr="00C508D4">
        <w:t>.</w:t>
      </w:r>
      <w:r w:rsidR="00D26990" w:rsidRPr="00C508D4">
        <w:t xml:space="preserve"> </w:t>
      </w:r>
    </w:p>
    <w:p w:rsidR="00034D41" w:rsidRPr="00034D41" w:rsidRDefault="00034D41" w:rsidP="00034D41">
      <w:pPr>
        <w:pStyle w:val="3-BodyText"/>
        <w:ind w:firstLine="0"/>
        <w:rPr>
          <w:i/>
          <w:iCs/>
        </w:rPr>
      </w:pPr>
      <w:r w:rsidRPr="00034D41">
        <w:rPr>
          <w:i/>
          <w:iCs/>
        </w:rPr>
        <w:t>For more details on PBAC’s view, see section 7 PBAC outcome.</w:t>
      </w:r>
    </w:p>
    <w:p w:rsidR="00C66BE6" w:rsidRPr="001A05F4" w:rsidRDefault="00C66BE6" w:rsidP="00F9436F">
      <w:pPr>
        <w:pStyle w:val="2-SectionHeading"/>
        <w:numPr>
          <w:ilvl w:val="0"/>
          <w:numId w:val="2"/>
        </w:numPr>
      </w:pPr>
      <w:r w:rsidRPr="001A05F4">
        <w:t>Population and disease</w:t>
      </w:r>
    </w:p>
    <w:p w:rsidR="00C66BE6" w:rsidRPr="001A05F4" w:rsidRDefault="00C66BE6" w:rsidP="00F9436F">
      <w:pPr>
        <w:pStyle w:val="ListParagraph"/>
        <w:numPr>
          <w:ilvl w:val="1"/>
          <w:numId w:val="2"/>
        </w:numPr>
        <w:rPr>
          <w:rFonts w:asciiTheme="minorHAnsi" w:hAnsiTheme="minorHAnsi"/>
          <w:szCs w:val="24"/>
          <w:lang w:eastAsia="en-AU"/>
        </w:rPr>
      </w:pPr>
      <w:r w:rsidRPr="001A05F4">
        <w:rPr>
          <w:rFonts w:asciiTheme="minorHAnsi" w:hAnsiTheme="minorHAnsi"/>
          <w:szCs w:val="24"/>
          <w:lang w:eastAsia="en-AU"/>
        </w:rPr>
        <w:t xml:space="preserve">SMA is a rare autosomal recessive progressive neuromuscular disease caused by mutations or deletions in the </w:t>
      </w:r>
      <w:r w:rsidRPr="001A05F4">
        <w:rPr>
          <w:rFonts w:cs="Calibri"/>
          <w:snapToGrid/>
          <w:szCs w:val="24"/>
          <w:lang w:eastAsia="en-AU"/>
        </w:rPr>
        <w:t xml:space="preserve">survival motor neuron 1 </w:t>
      </w:r>
      <w:r w:rsidRPr="001A05F4">
        <w:rPr>
          <w:rFonts w:asciiTheme="minorHAnsi" w:hAnsiTheme="minorHAnsi"/>
          <w:szCs w:val="24"/>
          <w:lang w:eastAsia="en-AU"/>
        </w:rPr>
        <w:t>(</w:t>
      </w:r>
      <w:r w:rsidRPr="001A05F4">
        <w:rPr>
          <w:rFonts w:asciiTheme="minorHAnsi" w:hAnsiTheme="minorHAnsi"/>
          <w:i/>
          <w:iCs/>
          <w:szCs w:val="24"/>
          <w:lang w:eastAsia="en-AU"/>
        </w:rPr>
        <w:t>SMN1</w:t>
      </w:r>
      <w:r w:rsidRPr="001A05F4">
        <w:rPr>
          <w:rFonts w:asciiTheme="minorHAnsi" w:hAnsiTheme="minorHAnsi"/>
          <w:szCs w:val="24"/>
          <w:lang w:eastAsia="en-AU"/>
        </w:rPr>
        <w:t xml:space="preserve">) gene on chromosome 5q. Alterations to this gene result in deficiency of SMN protein, which in turn results in loss of motor function, muscle weakness and complications such as respiratory issues, contractures and scoliosis. Patients with SMA typically develop weak muscles and may have trouble walking and breathing. SMA is classified into types (0, I, II, III and IV and subtypes (a, b, and sometimes by subgroup c) based on age of onset and maximal motor function achieved. </w:t>
      </w:r>
    </w:p>
    <w:p w:rsidR="00C66BE6" w:rsidRPr="001A05F4" w:rsidRDefault="00C66BE6" w:rsidP="00F9436F">
      <w:pPr>
        <w:pStyle w:val="ListParagraph"/>
        <w:numPr>
          <w:ilvl w:val="1"/>
          <w:numId w:val="2"/>
        </w:numPr>
        <w:rPr>
          <w:rFonts w:asciiTheme="minorHAnsi" w:hAnsiTheme="minorHAnsi"/>
          <w:szCs w:val="24"/>
          <w:lang w:eastAsia="en-AU"/>
        </w:rPr>
      </w:pPr>
      <w:r w:rsidRPr="001A05F4">
        <w:rPr>
          <w:rFonts w:asciiTheme="minorHAnsi" w:hAnsiTheme="minorHAnsi"/>
          <w:szCs w:val="24"/>
          <w:lang w:eastAsia="en-AU"/>
        </w:rPr>
        <w:t xml:space="preserve">There is a clinical spectrum of disease with earlier age of onset being associated with lower numbers of </w:t>
      </w:r>
      <w:r w:rsidR="007427CE" w:rsidRPr="001A05F4">
        <w:rPr>
          <w:rFonts w:cs="Calibri"/>
          <w:snapToGrid/>
          <w:szCs w:val="24"/>
          <w:lang w:eastAsia="en-AU"/>
        </w:rPr>
        <w:t>survival motor neuron 2 (</w:t>
      </w:r>
      <w:r w:rsidRPr="001A05F4">
        <w:rPr>
          <w:rFonts w:asciiTheme="minorHAnsi" w:hAnsiTheme="minorHAnsi"/>
          <w:i/>
          <w:iCs/>
          <w:szCs w:val="24"/>
          <w:lang w:eastAsia="en-AU"/>
        </w:rPr>
        <w:t>SMN2</w:t>
      </w:r>
      <w:r w:rsidR="007427CE" w:rsidRPr="001A05F4">
        <w:rPr>
          <w:rFonts w:asciiTheme="minorHAnsi" w:hAnsiTheme="minorHAnsi"/>
          <w:i/>
          <w:iCs/>
          <w:szCs w:val="24"/>
          <w:lang w:eastAsia="en-AU"/>
        </w:rPr>
        <w:t>)</w:t>
      </w:r>
      <w:r w:rsidRPr="001A05F4">
        <w:rPr>
          <w:rFonts w:asciiTheme="minorHAnsi" w:hAnsiTheme="minorHAnsi"/>
          <w:szCs w:val="24"/>
          <w:lang w:eastAsia="en-AU"/>
        </w:rPr>
        <w:t xml:space="preserve"> gene copies and increased severity of symptoms. </w:t>
      </w:r>
      <w:r w:rsidR="00BC2D8D" w:rsidRPr="001A05F4">
        <w:rPr>
          <w:rFonts w:asciiTheme="minorHAnsi" w:hAnsiTheme="minorHAnsi"/>
          <w:szCs w:val="24"/>
          <w:lang w:eastAsia="en-AU"/>
        </w:rPr>
        <w:t>Table 3</w:t>
      </w:r>
      <w:r w:rsidR="007427CE" w:rsidRPr="001A05F4">
        <w:rPr>
          <w:rFonts w:asciiTheme="minorHAnsi" w:hAnsiTheme="minorHAnsi"/>
          <w:szCs w:val="24"/>
          <w:lang w:eastAsia="en-AU"/>
        </w:rPr>
        <w:t xml:space="preserve"> </w:t>
      </w:r>
      <w:r w:rsidRPr="001A05F4">
        <w:rPr>
          <w:rFonts w:asciiTheme="minorHAnsi" w:hAnsiTheme="minorHAnsi"/>
          <w:szCs w:val="24"/>
          <w:lang w:eastAsia="en-AU"/>
        </w:rPr>
        <w:t>provides an overview of the classification of SMA.</w:t>
      </w:r>
    </w:p>
    <w:p w:rsidR="00C66BE6" w:rsidRPr="001A05F4" w:rsidRDefault="007427CE" w:rsidP="007427CE">
      <w:pPr>
        <w:pStyle w:val="V50Instructions"/>
        <w:keepNext/>
        <w:keepLines/>
        <w:spacing w:before="0" w:after="0"/>
        <w:rPr>
          <w:rFonts w:ascii="Arial Narrow" w:hAnsi="Arial Narrow"/>
          <w:b/>
          <w:color w:val="auto"/>
          <w:sz w:val="20"/>
          <w:szCs w:val="20"/>
        </w:rPr>
      </w:pPr>
      <w:bookmarkStart w:id="8" w:name="_Ref71580900"/>
      <w:r w:rsidRPr="001A05F4">
        <w:rPr>
          <w:rFonts w:ascii="Arial Narrow" w:hAnsi="Arial Narrow"/>
          <w:b/>
          <w:color w:val="auto"/>
          <w:sz w:val="20"/>
          <w:szCs w:val="20"/>
        </w:rPr>
        <w:t xml:space="preserve">Table </w:t>
      </w:r>
      <w:r w:rsidR="00BC2D8D" w:rsidRPr="001A05F4">
        <w:rPr>
          <w:rFonts w:ascii="Arial Narrow" w:hAnsi="Arial Narrow"/>
          <w:b/>
          <w:color w:val="auto"/>
          <w:sz w:val="20"/>
          <w:szCs w:val="20"/>
        </w:rPr>
        <w:t>3</w:t>
      </w:r>
      <w:bookmarkEnd w:id="8"/>
      <w:r w:rsidRPr="001A05F4">
        <w:rPr>
          <w:rFonts w:ascii="Arial Narrow" w:hAnsi="Arial Narrow"/>
          <w:b/>
          <w:color w:val="auto"/>
          <w:sz w:val="20"/>
          <w:szCs w:val="20"/>
        </w:rPr>
        <w:t>:</w:t>
      </w:r>
      <w:r w:rsidR="0044343D" w:rsidRPr="001A05F4">
        <w:rPr>
          <w:rFonts w:ascii="Arial Narrow" w:hAnsi="Arial Narrow"/>
          <w:b/>
          <w:color w:val="auto"/>
          <w:sz w:val="20"/>
          <w:szCs w:val="20"/>
        </w:rPr>
        <w:t xml:space="preserve"> </w:t>
      </w:r>
      <w:r w:rsidR="00C66BE6" w:rsidRPr="001A05F4">
        <w:rPr>
          <w:rFonts w:ascii="Arial Narrow" w:hAnsi="Arial Narrow"/>
          <w:b/>
          <w:color w:val="auto"/>
          <w:sz w:val="20"/>
          <w:szCs w:val="20"/>
        </w:rPr>
        <w:t>Classification of SMA</w:t>
      </w:r>
    </w:p>
    <w:tbl>
      <w:tblPr>
        <w:tblW w:w="4984" w:type="pct"/>
        <w:tblInd w:w="-10" w:type="dxa"/>
        <w:tblCellMar>
          <w:left w:w="0" w:type="dxa"/>
          <w:right w:w="0" w:type="dxa"/>
        </w:tblCellMar>
        <w:tblLook w:val="04A0" w:firstRow="1" w:lastRow="0" w:firstColumn="1" w:lastColumn="0" w:noHBand="0" w:noVBand="1"/>
      </w:tblPr>
      <w:tblGrid>
        <w:gridCol w:w="1682"/>
        <w:gridCol w:w="767"/>
        <w:gridCol w:w="2144"/>
        <w:gridCol w:w="2862"/>
        <w:gridCol w:w="1523"/>
      </w:tblGrid>
      <w:tr w:rsidR="00C66BE6" w:rsidRPr="001A05F4" w:rsidTr="0080594D">
        <w:trPr>
          <w:cantSplit/>
          <w:tblHeader/>
        </w:trPr>
        <w:tc>
          <w:tcPr>
            <w:tcW w:w="9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66BE6" w:rsidRPr="001A05F4" w:rsidRDefault="00C66BE6" w:rsidP="007427CE">
            <w:pPr>
              <w:keepNext/>
              <w:keepLines/>
              <w:snapToGrid w:val="0"/>
              <w:ind w:left="180" w:hanging="180"/>
              <w:jc w:val="center"/>
              <w:rPr>
                <w:rFonts w:ascii="Arial Narrow" w:hAnsi="Arial Narrow"/>
                <w:b/>
                <w:bCs/>
                <w:sz w:val="20"/>
                <w:szCs w:val="20"/>
              </w:rPr>
            </w:pPr>
            <w:r w:rsidRPr="001A05F4">
              <w:rPr>
                <w:rFonts w:ascii="Arial Narrow" w:hAnsi="Arial Narrow"/>
                <w:b/>
                <w:bCs/>
                <w:sz w:val="20"/>
                <w:szCs w:val="20"/>
              </w:rPr>
              <w:t>Terminology</w:t>
            </w:r>
          </w:p>
        </w:tc>
        <w:tc>
          <w:tcPr>
            <w:tcW w:w="427"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66BE6" w:rsidRPr="001A05F4" w:rsidRDefault="00C66BE6" w:rsidP="007427CE">
            <w:pPr>
              <w:keepNext/>
              <w:keepLines/>
              <w:snapToGrid w:val="0"/>
              <w:jc w:val="center"/>
              <w:rPr>
                <w:rFonts w:ascii="Arial Narrow" w:hAnsi="Arial Narrow"/>
                <w:b/>
                <w:bCs/>
                <w:sz w:val="20"/>
                <w:szCs w:val="20"/>
                <w:lang w:eastAsia="ja-JP"/>
              </w:rPr>
            </w:pPr>
            <w:r w:rsidRPr="001A05F4">
              <w:rPr>
                <w:rFonts w:ascii="Arial Narrow" w:hAnsi="Arial Narrow"/>
                <w:b/>
                <w:bCs/>
                <w:sz w:val="20"/>
                <w:szCs w:val="20"/>
              </w:rPr>
              <w:t>SMA type</w:t>
            </w:r>
          </w:p>
        </w:tc>
        <w:tc>
          <w:tcPr>
            <w:tcW w:w="1194" w:type="pct"/>
            <w:tcBorders>
              <w:top w:val="single" w:sz="8" w:space="0" w:color="000000"/>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C66BE6" w:rsidRPr="001A05F4" w:rsidRDefault="00C66BE6" w:rsidP="007427CE">
            <w:pPr>
              <w:keepNext/>
              <w:keepLines/>
              <w:snapToGrid w:val="0"/>
              <w:ind w:left="3" w:hanging="3"/>
              <w:jc w:val="center"/>
              <w:rPr>
                <w:rFonts w:ascii="Arial Narrow" w:hAnsi="Arial Narrow"/>
                <w:b/>
                <w:bCs/>
                <w:sz w:val="20"/>
                <w:szCs w:val="20"/>
                <w:lang w:eastAsia="ja-JP"/>
              </w:rPr>
            </w:pPr>
            <w:r w:rsidRPr="001A05F4">
              <w:rPr>
                <w:rFonts w:ascii="Arial Narrow" w:hAnsi="Arial Narrow"/>
                <w:b/>
                <w:bCs/>
                <w:sz w:val="20"/>
                <w:szCs w:val="20"/>
              </w:rPr>
              <w:t>Age at symptom onset</w:t>
            </w:r>
          </w:p>
        </w:tc>
        <w:tc>
          <w:tcPr>
            <w:tcW w:w="1594" w:type="pct"/>
            <w:tcBorders>
              <w:top w:val="single" w:sz="8" w:space="0" w:color="000000"/>
              <w:left w:val="nil"/>
              <w:bottom w:val="single" w:sz="8" w:space="0" w:color="000000"/>
              <w:right w:val="single" w:sz="8" w:space="0" w:color="auto"/>
            </w:tcBorders>
            <w:shd w:val="clear" w:color="auto" w:fill="auto"/>
            <w:vAlign w:val="center"/>
            <w:hideMark/>
          </w:tcPr>
          <w:p w:rsidR="00C66BE6" w:rsidRPr="001A05F4" w:rsidRDefault="00C66BE6" w:rsidP="007427CE">
            <w:pPr>
              <w:keepNext/>
              <w:keepLines/>
              <w:snapToGrid w:val="0"/>
              <w:jc w:val="center"/>
              <w:rPr>
                <w:rFonts w:ascii="Arial Narrow" w:hAnsi="Arial Narrow"/>
                <w:b/>
                <w:bCs/>
                <w:sz w:val="20"/>
                <w:szCs w:val="20"/>
              </w:rPr>
            </w:pPr>
            <w:r w:rsidRPr="001A05F4">
              <w:rPr>
                <w:rFonts w:ascii="Arial Narrow" w:hAnsi="Arial Narrow"/>
                <w:b/>
                <w:bCs/>
                <w:sz w:val="20"/>
                <w:szCs w:val="20"/>
              </w:rPr>
              <w:t xml:space="preserve">Highest motor function </w:t>
            </w:r>
            <w:r w:rsidRPr="001A05F4">
              <w:rPr>
                <w:rFonts w:ascii="Arial Narrow" w:hAnsi="Arial Narrow"/>
                <w:b/>
                <w:bCs/>
                <w:sz w:val="20"/>
                <w:szCs w:val="20"/>
              </w:rPr>
              <w:br/>
              <w:t>achieved</w:t>
            </w:r>
          </w:p>
        </w:tc>
        <w:tc>
          <w:tcPr>
            <w:tcW w:w="848" w:type="pct"/>
            <w:tcBorders>
              <w:top w:val="single" w:sz="8" w:space="0" w:color="000000"/>
              <w:left w:val="nil"/>
              <w:bottom w:val="single" w:sz="8" w:space="0" w:color="000000"/>
              <w:right w:val="single" w:sz="8" w:space="0" w:color="auto"/>
            </w:tcBorders>
            <w:shd w:val="clear" w:color="auto" w:fill="auto"/>
            <w:vAlign w:val="center"/>
            <w:hideMark/>
          </w:tcPr>
          <w:p w:rsidR="00C66BE6" w:rsidRPr="001A05F4" w:rsidRDefault="00C66BE6" w:rsidP="007427CE">
            <w:pPr>
              <w:keepNext/>
              <w:keepLines/>
              <w:snapToGrid w:val="0"/>
              <w:ind w:left="43"/>
              <w:jc w:val="center"/>
              <w:rPr>
                <w:rFonts w:ascii="Arial Narrow" w:hAnsi="Arial Narrow"/>
                <w:b/>
                <w:bCs/>
                <w:sz w:val="20"/>
                <w:szCs w:val="20"/>
              </w:rPr>
            </w:pPr>
            <w:r w:rsidRPr="001A05F4">
              <w:rPr>
                <w:rFonts w:ascii="Arial Narrow" w:hAnsi="Arial Narrow"/>
                <w:b/>
                <w:bCs/>
                <w:sz w:val="20"/>
                <w:szCs w:val="20"/>
              </w:rPr>
              <w:t>Average life expectancy</w:t>
            </w:r>
          </w:p>
        </w:tc>
      </w:tr>
      <w:tr w:rsidR="00C66BE6" w:rsidRPr="001A05F4" w:rsidTr="0080594D">
        <w:trPr>
          <w:cantSplit/>
        </w:trPr>
        <w:tc>
          <w:tcPr>
            <w:tcW w:w="937" w:type="pct"/>
            <w:tcBorders>
              <w:top w:val="nil"/>
              <w:left w:val="single" w:sz="8" w:space="0" w:color="000000"/>
              <w:bottom w:val="single" w:sz="8" w:space="0" w:color="000000"/>
              <w:right w:val="single" w:sz="8" w:space="0" w:color="000000"/>
            </w:tcBorders>
            <w:shd w:val="clear" w:color="auto" w:fill="auto"/>
            <w:vAlign w:val="center"/>
          </w:tcPr>
          <w:p w:rsidR="00C66BE6" w:rsidRPr="001A05F4" w:rsidRDefault="00C66BE6" w:rsidP="007427CE">
            <w:pPr>
              <w:keepNext/>
              <w:keepLines/>
              <w:snapToGrid w:val="0"/>
              <w:ind w:left="180" w:hanging="180"/>
              <w:jc w:val="center"/>
              <w:rPr>
                <w:rFonts w:ascii="Arial Narrow" w:hAnsi="Arial Narrow"/>
                <w:sz w:val="20"/>
                <w:szCs w:val="20"/>
              </w:rPr>
            </w:pPr>
            <w:r w:rsidRPr="001A05F4">
              <w:rPr>
                <w:rFonts w:ascii="Arial Narrow" w:hAnsi="Arial Narrow"/>
                <w:sz w:val="20"/>
                <w:szCs w:val="20"/>
              </w:rPr>
              <w:t>Pre-natal</w:t>
            </w:r>
          </w:p>
        </w:tc>
        <w:tc>
          <w:tcPr>
            <w:tcW w:w="42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66BE6" w:rsidRPr="001A05F4" w:rsidRDefault="00C66BE6" w:rsidP="007427CE">
            <w:pPr>
              <w:keepNext/>
              <w:keepLines/>
              <w:snapToGrid w:val="0"/>
              <w:ind w:left="180" w:hanging="180"/>
              <w:jc w:val="center"/>
              <w:rPr>
                <w:rFonts w:ascii="Arial Narrow" w:hAnsi="Arial Narrow"/>
                <w:sz w:val="20"/>
                <w:szCs w:val="20"/>
              </w:rPr>
            </w:pPr>
            <w:r w:rsidRPr="001A05F4">
              <w:rPr>
                <w:rFonts w:ascii="Arial Narrow" w:hAnsi="Arial Narrow"/>
                <w:sz w:val="20"/>
                <w:szCs w:val="20"/>
              </w:rPr>
              <w:t>0</w:t>
            </w:r>
          </w:p>
        </w:tc>
        <w:tc>
          <w:tcPr>
            <w:tcW w:w="119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66BE6" w:rsidRPr="001A05F4" w:rsidRDefault="00C66BE6" w:rsidP="007427CE">
            <w:pPr>
              <w:pStyle w:val="Default"/>
              <w:keepNext/>
              <w:keepLines/>
              <w:ind w:left="3" w:hanging="3"/>
              <w:jc w:val="center"/>
              <w:rPr>
                <w:rFonts w:ascii="Arial Narrow" w:hAnsi="Arial Narrow"/>
                <w:color w:val="auto"/>
                <w:sz w:val="20"/>
                <w:szCs w:val="20"/>
                <w:lang w:val="en-AU"/>
              </w:rPr>
            </w:pPr>
            <w:r w:rsidRPr="001A05F4">
              <w:rPr>
                <w:rFonts w:ascii="Arial Narrow" w:hAnsi="Arial Narrow"/>
                <w:color w:val="auto"/>
                <w:sz w:val="20"/>
                <w:szCs w:val="20"/>
                <w:lang w:val="en-AU"/>
              </w:rPr>
              <w:t>Prenatal</w:t>
            </w:r>
          </w:p>
        </w:tc>
        <w:tc>
          <w:tcPr>
            <w:tcW w:w="1594" w:type="pct"/>
            <w:tcBorders>
              <w:top w:val="nil"/>
              <w:left w:val="nil"/>
              <w:bottom w:val="single" w:sz="8" w:space="0" w:color="000000"/>
              <w:right w:val="single" w:sz="8" w:space="0" w:color="000000"/>
            </w:tcBorders>
            <w:shd w:val="clear" w:color="auto" w:fill="auto"/>
            <w:vAlign w:val="center"/>
            <w:hideMark/>
          </w:tcPr>
          <w:p w:rsidR="00C66BE6" w:rsidRPr="001A05F4" w:rsidRDefault="00C66BE6" w:rsidP="007427CE">
            <w:pPr>
              <w:pStyle w:val="Default"/>
              <w:keepNext/>
              <w:keepLines/>
              <w:jc w:val="center"/>
              <w:rPr>
                <w:rFonts w:ascii="Arial Narrow" w:hAnsi="Arial Narrow"/>
                <w:color w:val="auto"/>
                <w:sz w:val="20"/>
                <w:szCs w:val="20"/>
                <w:lang w:val="en-AU"/>
              </w:rPr>
            </w:pPr>
            <w:r w:rsidRPr="001A05F4">
              <w:rPr>
                <w:rFonts w:ascii="Arial Narrow" w:hAnsi="Arial Narrow"/>
                <w:color w:val="auto"/>
                <w:sz w:val="20"/>
                <w:szCs w:val="20"/>
                <w:lang w:val="en-AU"/>
              </w:rPr>
              <w:t>None – unable to sit or roll</w:t>
            </w:r>
          </w:p>
        </w:tc>
        <w:tc>
          <w:tcPr>
            <w:tcW w:w="848" w:type="pct"/>
            <w:tcBorders>
              <w:top w:val="nil"/>
              <w:left w:val="nil"/>
              <w:bottom w:val="single" w:sz="8" w:space="0" w:color="000000"/>
              <w:right w:val="single" w:sz="8" w:space="0" w:color="000000"/>
            </w:tcBorders>
            <w:shd w:val="clear" w:color="auto" w:fill="auto"/>
            <w:vAlign w:val="center"/>
            <w:hideMark/>
          </w:tcPr>
          <w:p w:rsidR="00C66BE6" w:rsidRPr="001A05F4" w:rsidRDefault="00C66BE6" w:rsidP="007427CE">
            <w:pPr>
              <w:pStyle w:val="Default"/>
              <w:keepNext/>
              <w:keepLines/>
              <w:ind w:left="43"/>
              <w:jc w:val="center"/>
              <w:rPr>
                <w:rFonts w:ascii="Arial Narrow" w:hAnsi="Arial Narrow"/>
                <w:color w:val="auto"/>
                <w:sz w:val="20"/>
                <w:szCs w:val="20"/>
                <w:lang w:val="en-AU"/>
              </w:rPr>
            </w:pPr>
            <w:r w:rsidRPr="001A05F4">
              <w:rPr>
                <w:rFonts w:ascii="Arial Narrow" w:hAnsi="Arial Narrow"/>
                <w:color w:val="auto"/>
                <w:sz w:val="20"/>
                <w:szCs w:val="20"/>
                <w:lang w:val="en-AU"/>
              </w:rPr>
              <w:t>Death within weeks</w:t>
            </w:r>
          </w:p>
        </w:tc>
      </w:tr>
      <w:tr w:rsidR="00C66BE6" w:rsidRPr="001A05F4" w:rsidTr="0080594D">
        <w:trPr>
          <w:cantSplit/>
        </w:trPr>
        <w:tc>
          <w:tcPr>
            <w:tcW w:w="937" w:type="pct"/>
            <w:tcBorders>
              <w:top w:val="nil"/>
              <w:left w:val="single" w:sz="8" w:space="0" w:color="000000"/>
              <w:bottom w:val="single" w:sz="8" w:space="0" w:color="000000"/>
              <w:right w:val="single" w:sz="8" w:space="0" w:color="000000"/>
            </w:tcBorders>
            <w:shd w:val="clear" w:color="auto" w:fill="auto"/>
            <w:vAlign w:val="center"/>
          </w:tcPr>
          <w:p w:rsidR="00C66BE6" w:rsidRPr="001A05F4" w:rsidRDefault="00C66BE6" w:rsidP="007427CE">
            <w:pPr>
              <w:keepNext/>
              <w:keepLines/>
              <w:snapToGrid w:val="0"/>
              <w:ind w:left="180" w:hanging="180"/>
              <w:jc w:val="center"/>
              <w:rPr>
                <w:rFonts w:ascii="Arial Narrow" w:hAnsi="Arial Narrow"/>
                <w:sz w:val="20"/>
                <w:szCs w:val="20"/>
              </w:rPr>
            </w:pPr>
            <w:r w:rsidRPr="001A05F4">
              <w:rPr>
                <w:rFonts w:ascii="Arial Narrow" w:hAnsi="Arial Narrow"/>
                <w:sz w:val="20"/>
                <w:szCs w:val="20"/>
              </w:rPr>
              <w:t>Infantile onset</w:t>
            </w:r>
          </w:p>
        </w:tc>
        <w:tc>
          <w:tcPr>
            <w:tcW w:w="42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66BE6" w:rsidRPr="001A05F4" w:rsidRDefault="00C66BE6" w:rsidP="007427CE">
            <w:pPr>
              <w:keepNext/>
              <w:keepLines/>
              <w:snapToGrid w:val="0"/>
              <w:ind w:left="180" w:hanging="180"/>
              <w:jc w:val="center"/>
              <w:rPr>
                <w:rFonts w:ascii="Arial Narrow" w:hAnsi="Arial Narrow"/>
                <w:sz w:val="20"/>
                <w:szCs w:val="20"/>
                <w:lang w:eastAsia="ja-JP"/>
              </w:rPr>
            </w:pPr>
            <w:r w:rsidRPr="001A05F4">
              <w:rPr>
                <w:rFonts w:ascii="Arial Narrow" w:hAnsi="Arial Narrow"/>
                <w:sz w:val="20"/>
                <w:szCs w:val="20"/>
              </w:rPr>
              <w:t>I</w:t>
            </w:r>
          </w:p>
        </w:tc>
        <w:tc>
          <w:tcPr>
            <w:tcW w:w="119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66BE6" w:rsidRPr="001A05F4" w:rsidRDefault="00C66BE6" w:rsidP="007427CE">
            <w:pPr>
              <w:pStyle w:val="Default"/>
              <w:keepNext/>
              <w:keepLines/>
              <w:ind w:left="3" w:hanging="3"/>
              <w:jc w:val="center"/>
              <w:rPr>
                <w:rFonts w:ascii="Arial Narrow" w:hAnsi="Arial Narrow"/>
                <w:color w:val="auto"/>
                <w:sz w:val="20"/>
                <w:szCs w:val="20"/>
                <w:lang w:val="en-AU"/>
              </w:rPr>
            </w:pPr>
            <w:r w:rsidRPr="001A05F4">
              <w:rPr>
                <w:rFonts w:ascii="Arial Narrow" w:hAnsi="Arial Narrow"/>
                <w:color w:val="auto"/>
                <w:sz w:val="20"/>
                <w:szCs w:val="20"/>
                <w:lang w:val="en-AU"/>
              </w:rPr>
              <w:t>&lt;6 months</w:t>
            </w:r>
          </w:p>
        </w:tc>
        <w:tc>
          <w:tcPr>
            <w:tcW w:w="1594" w:type="pct"/>
            <w:tcBorders>
              <w:top w:val="nil"/>
              <w:left w:val="nil"/>
              <w:bottom w:val="single" w:sz="8" w:space="0" w:color="000000"/>
              <w:right w:val="single" w:sz="8" w:space="0" w:color="000000"/>
            </w:tcBorders>
            <w:shd w:val="clear" w:color="auto" w:fill="auto"/>
            <w:vAlign w:val="center"/>
            <w:hideMark/>
          </w:tcPr>
          <w:p w:rsidR="00C66BE6" w:rsidRPr="001A05F4" w:rsidRDefault="00C66BE6" w:rsidP="007427CE">
            <w:pPr>
              <w:pStyle w:val="Default"/>
              <w:keepNext/>
              <w:keepLines/>
              <w:jc w:val="center"/>
              <w:rPr>
                <w:rFonts w:ascii="Arial Narrow" w:hAnsi="Arial Narrow"/>
                <w:color w:val="auto"/>
                <w:sz w:val="20"/>
                <w:szCs w:val="20"/>
                <w:lang w:val="en-AU"/>
              </w:rPr>
            </w:pPr>
            <w:r w:rsidRPr="001A05F4">
              <w:rPr>
                <w:rFonts w:ascii="Arial Narrow" w:hAnsi="Arial Narrow"/>
                <w:color w:val="auto"/>
                <w:sz w:val="20"/>
                <w:szCs w:val="20"/>
                <w:lang w:val="en-AU"/>
              </w:rPr>
              <w:t>None – unable to sit or roll</w:t>
            </w:r>
          </w:p>
        </w:tc>
        <w:tc>
          <w:tcPr>
            <w:tcW w:w="848" w:type="pct"/>
            <w:tcBorders>
              <w:top w:val="nil"/>
              <w:left w:val="nil"/>
              <w:bottom w:val="single" w:sz="8" w:space="0" w:color="000000"/>
              <w:right w:val="single" w:sz="8" w:space="0" w:color="000000"/>
            </w:tcBorders>
            <w:shd w:val="clear" w:color="auto" w:fill="auto"/>
            <w:vAlign w:val="center"/>
            <w:hideMark/>
          </w:tcPr>
          <w:p w:rsidR="00C66BE6" w:rsidRPr="001A05F4" w:rsidRDefault="00C66BE6" w:rsidP="007427CE">
            <w:pPr>
              <w:pStyle w:val="Default"/>
              <w:keepNext/>
              <w:keepLines/>
              <w:ind w:left="43"/>
              <w:jc w:val="center"/>
              <w:rPr>
                <w:rFonts w:ascii="Arial Narrow" w:hAnsi="Arial Narrow"/>
                <w:color w:val="auto"/>
                <w:sz w:val="20"/>
                <w:szCs w:val="20"/>
                <w:lang w:val="en-AU"/>
              </w:rPr>
            </w:pPr>
            <w:r w:rsidRPr="001A05F4">
              <w:rPr>
                <w:rFonts w:ascii="Arial Narrow" w:hAnsi="Arial Narrow"/>
                <w:color w:val="auto"/>
                <w:sz w:val="20"/>
                <w:szCs w:val="20"/>
                <w:lang w:val="en-AU"/>
              </w:rPr>
              <w:t>Death within 2 years</w:t>
            </w:r>
          </w:p>
        </w:tc>
      </w:tr>
      <w:tr w:rsidR="00C66BE6" w:rsidRPr="001A05F4" w:rsidTr="0080594D">
        <w:trPr>
          <w:cantSplit/>
        </w:trPr>
        <w:tc>
          <w:tcPr>
            <w:tcW w:w="937" w:type="pct"/>
            <w:vMerge w:val="restart"/>
            <w:tcBorders>
              <w:top w:val="nil"/>
              <w:left w:val="single" w:sz="8" w:space="0" w:color="000000"/>
              <w:right w:val="single" w:sz="8" w:space="0" w:color="000000"/>
            </w:tcBorders>
            <w:shd w:val="clear" w:color="auto" w:fill="auto"/>
            <w:vAlign w:val="center"/>
          </w:tcPr>
          <w:p w:rsidR="00C66BE6" w:rsidRPr="001A05F4" w:rsidRDefault="00C66BE6" w:rsidP="007427CE">
            <w:pPr>
              <w:keepNext/>
              <w:keepLines/>
              <w:snapToGrid w:val="0"/>
              <w:jc w:val="center"/>
              <w:rPr>
                <w:rFonts w:ascii="Arial Narrow" w:hAnsi="Arial Narrow"/>
                <w:sz w:val="20"/>
                <w:szCs w:val="20"/>
                <w:lang w:eastAsia="ja-JP"/>
              </w:rPr>
            </w:pPr>
            <w:r w:rsidRPr="001A05F4">
              <w:rPr>
                <w:rFonts w:ascii="Arial Narrow" w:hAnsi="Arial Narrow"/>
                <w:sz w:val="20"/>
                <w:szCs w:val="20"/>
                <w:lang w:eastAsia="ja-JP"/>
              </w:rPr>
              <w:t>Childhood onset</w:t>
            </w:r>
          </w:p>
        </w:tc>
        <w:tc>
          <w:tcPr>
            <w:tcW w:w="42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66BE6" w:rsidRPr="001A05F4" w:rsidRDefault="00C66BE6" w:rsidP="007427CE">
            <w:pPr>
              <w:keepNext/>
              <w:keepLines/>
              <w:snapToGrid w:val="0"/>
              <w:ind w:left="180" w:hanging="180"/>
              <w:jc w:val="center"/>
              <w:rPr>
                <w:rFonts w:ascii="Arial Narrow" w:hAnsi="Arial Narrow"/>
                <w:sz w:val="20"/>
                <w:szCs w:val="20"/>
                <w:lang w:eastAsia="ja-JP"/>
              </w:rPr>
            </w:pPr>
            <w:r w:rsidRPr="001A05F4">
              <w:rPr>
                <w:rFonts w:ascii="Arial Narrow" w:hAnsi="Arial Narrow"/>
                <w:sz w:val="20"/>
                <w:szCs w:val="20"/>
                <w:lang w:eastAsia="ja-JP"/>
              </w:rPr>
              <w:t>II</w:t>
            </w:r>
          </w:p>
        </w:tc>
        <w:tc>
          <w:tcPr>
            <w:tcW w:w="119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66BE6" w:rsidRPr="001A05F4" w:rsidRDefault="00C66BE6" w:rsidP="007427CE">
            <w:pPr>
              <w:pStyle w:val="Default"/>
              <w:keepNext/>
              <w:keepLines/>
              <w:ind w:left="3" w:hanging="3"/>
              <w:jc w:val="center"/>
              <w:rPr>
                <w:rFonts w:ascii="Arial Narrow" w:hAnsi="Arial Narrow"/>
                <w:color w:val="auto"/>
                <w:sz w:val="20"/>
                <w:szCs w:val="20"/>
                <w:lang w:val="en-AU"/>
              </w:rPr>
            </w:pPr>
            <w:r w:rsidRPr="001A05F4">
              <w:rPr>
                <w:rFonts w:ascii="Arial Narrow" w:hAnsi="Arial Narrow"/>
                <w:color w:val="auto"/>
                <w:sz w:val="20"/>
                <w:szCs w:val="20"/>
                <w:lang w:val="en-AU"/>
              </w:rPr>
              <w:t>6-18 months</w:t>
            </w:r>
          </w:p>
        </w:tc>
        <w:tc>
          <w:tcPr>
            <w:tcW w:w="1594" w:type="pct"/>
            <w:tcBorders>
              <w:top w:val="nil"/>
              <w:left w:val="nil"/>
              <w:bottom w:val="single" w:sz="8" w:space="0" w:color="000000"/>
              <w:right w:val="single" w:sz="8" w:space="0" w:color="000000"/>
            </w:tcBorders>
            <w:shd w:val="clear" w:color="auto" w:fill="auto"/>
            <w:vAlign w:val="center"/>
            <w:hideMark/>
          </w:tcPr>
          <w:p w:rsidR="00C66BE6" w:rsidRPr="001A05F4" w:rsidRDefault="00C66BE6" w:rsidP="007427CE">
            <w:pPr>
              <w:pStyle w:val="Default"/>
              <w:keepNext/>
              <w:keepLines/>
              <w:jc w:val="center"/>
              <w:rPr>
                <w:rFonts w:ascii="Arial Narrow" w:hAnsi="Arial Narrow"/>
                <w:color w:val="auto"/>
                <w:sz w:val="20"/>
                <w:szCs w:val="20"/>
                <w:lang w:val="en-AU"/>
              </w:rPr>
            </w:pPr>
            <w:r w:rsidRPr="001A05F4">
              <w:rPr>
                <w:rFonts w:ascii="Arial Narrow" w:hAnsi="Arial Narrow"/>
                <w:color w:val="auto"/>
                <w:sz w:val="20"/>
                <w:szCs w:val="20"/>
                <w:lang w:val="en-AU"/>
              </w:rPr>
              <w:t>Sitting – unable to walk independently</w:t>
            </w:r>
          </w:p>
        </w:tc>
        <w:tc>
          <w:tcPr>
            <w:tcW w:w="848" w:type="pct"/>
            <w:tcBorders>
              <w:top w:val="nil"/>
              <w:left w:val="nil"/>
              <w:bottom w:val="single" w:sz="8" w:space="0" w:color="000000"/>
              <w:right w:val="single" w:sz="8" w:space="0" w:color="000000"/>
            </w:tcBorders>
            <w:shd w:val="clear" w:color="auto" w:fill="auto"/>
            <w:vAlign w:val="center"/>
            <w:hideMark/>
          </w:tcPr>
          <w:p w:rsidR="00C66BE6" w:rsidRPr="001A05F4" w:rsidRDefault="00C66BE6" w:rsidP="007427CE">
            <w:pPr>
              <w:pStyle w:val="Default"/>
              <w:keepNext/>
              <w:keepLines/>
              <w:ind w:left="43"/>
              <w:jc w:val="center"/>
              <w:rPr>
                <w:rFonts w:ascii="Arial Narrow" w:hAnsi="Arial Narrow"/>
                <w:color w:val="auto"/>
                <w:sz w:val="20"/>
                <w:szCs w:val="20"/>
                <w:lang w:val="en-AU"/>
              </w:rPr>
            </w:pPr>
            <w:r w:rsidRPr="001A05F4">
              <w:rPr>
                <w:rFonts w:ascii="Arial Narrow" w:hAnsi="Arial Narrow"/>
                <w:color w:val="auto"/>
                <w:sz w:val="20"/>
                <w:szCs w:val="20"/>
                <w:lang w:val="en-AU"/>
              </w:rPr>
              <w:t>Survival into adulthood</w:t>
            </w:r>
          </w:p>
        </w:tc>
      </w:tr>
      <w:tr w:rsidR="00C66BE6" w:rsidRPr="001A05F4" w:rsidTr="0080594D">
        <w:trPr>
          <w:cantSplit/>
        </w:trPr>
        <w:tc>
          <w:tcPr>
            <w:tcW w:w="937" w:type="pct"/>
            <w:vMerge/>
            <w:tcBorders>
              <w:left w:val="single" w:sz="8" w:space="0" w:color="000000"/>
              <w:bottom w:val="single" w:sz="8" w:space="0" w:color="000000"/>
              <w:right w:val="single" w:sz="8" w:space="0" w:color="000000"/>
            </w:tcBorders>
            <w:shd w:val="clear" w:color="auto" w:fill="auto"/>
            <w:vAlign w:val="center"/>
          </w:tcPr>
          <w:p w:rsidR="00C66BE6" w:rsidRPr="001A05F4" w:rsidRDefault="00C66BE6" w:rsidP="007427CE">
            <w:pPr>
              <w:keepNext/>
              <w:keepLines/>
              <w:snapToGrid w:val="0"/>
              <w:ind w:left="180" w:hanging="180"/>
              <w:jc w:val="center"/>
              <w:rPr>
                <w:rFonts w:ascii="Arial Narrow" w:hAnsi="Arial Narrow"/>
                <w:sz w:val="20"/>
                <w:szCs w:val="20"/>
              </w:rPr>
            </w:pPr>
          </w:p>
        </w:tc>
        <w:tc>
          <w:tcPr>
            <w:tcW w:w="42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66BE6" w:rsidRPr="001A05F4" w:rsidRDefault="00C66BE6" w:rsidP="007427CE">
            <w:pPr>
              <w:keepNext/>
              <w:keepLines/>
              <w:snapToGrid w:val="0"/>
              <w:ind w:left="180" w:hanging="180"/>
              <w:jc w:val="center"/>
              <w:rPr>
                <w:rFonts w:ascii="Arial Narrow" w:hAnsi="Arial Narrow"/>
                <w:sz w:val="20"/>
                <w:szCs w:val="20"/>
                <w:lang w:eastAsia="ja-JP"/>
              </w:rPr>
            </w:pPr>
            <w:r w:rsidRPr="001A05F4">
              <w:rPr>
                <w:rFonts w:ascii="Arial Narrow" w:hAnsi="Arial Narrow"/>
                <w:sz w:val="20"/>
                <w:szCs w:val="20"/>
              </w:rPr>
              <w:t>III</w:t>
            </w:r>
          </w:p>
        </w:tc>
        <w:tc>
          <w:tcPr>
            <w:tcW w:w="119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66BE6" w:rsidRPr="001A05F4" w:rsidRDefault="00C66BE6" w:rsidP="007427CE">
            <w:pPr>
              <w:pStyle w:val="Default"/>
              <w:keepNext/>
              <w:keepLines/>
              <w:ind w:left="3" w:hanging="3"/>
              <w:jc w:val="center"/>
              <w:rPr>
                <w:rFonts w:ascii="Arial Narrow" w:hAnsi="Arial Narrow"/>
                <w:color w:val="auto"/>
                <w:sz w:val="20"/>
                <w:szCs w:val="20"/>
                <w:lang w:val="en-AU"/>
              </w:rPr>
            </w:pPr>
            <w:r w:rsidRPr="001A05F4">
              <w:rPr>
                <w:rFonts w:ascii="Arial Narrow" w:hAnsi="Arial Narrow"/>
                <w:color w:val="auto"/>
                <w:sz w:val="20"/>
                <w:szCs w:val="20"/>
                <w:lang w:val="en-AU"/>
              </w:rPr>
              <w:t>&lt;3 years (IIIa)</w:t>
            </w:r>
          </w:p>
          <w:p w:rsidR="00C66BE6" w:rsidRPr="001A05F4" w:rsidRDefault="00C66BE6" w:rsidP="007427CE">
            <w:pPr>
              <w:pStyle w:val="Default"/>
              <w:keepNext/>
              <w:keepLines/>
              <w:ind w:left="3" w:hanging="3"/>
              <w:jc w:val="center"/>
              <w:rPr>
                <w:rFonts w:ascii="Arial Narrow" w:hAnsi="Arial Narrow"/>
                <w:color w:val="auto"/>
                <w:sz w:val="20"/>
                <w:szCs w:val="20"/>
                <w:lang w:val="en-AU"/>
              </w:rPr>
            </w:pPr>
            <w:r w:rsidRPr="001A05F4">
              <w:rPr>
                <w:rFonts w:ascii="Arial Narrow" w:hAnsi="Arial Narrow"/>
                <w:color w:val="auto"/>
                <w:sz w:val="20"/>
                <w:szCs w:val="20"/>
                <w:lang w:val="en-AU"/>
              </w:rPr>
              <w:t>&gt;3 years (IIIb)</w:t>
            </w:r>
          </w:p>
          <w:p w:rsidR="00C66BE6" w:rsidRPr="001A05F4" w:rsidRDefault="00C66BE6" w:rsidP="007427CE">
            <w:pPr>
              <w:pStyle w:val="Default"/>
              <w:keepNext/>
              <w:keepLines/>
              <w:ind w:left="3" w:hanging="3"/>
              <w:jc w:val="center"/>
              <w:rPr>
                <w:rFonts w:ascii="Arial Narrow" w:hAnsi="Arial Narrow"/>
                <w:color w:val="auto"/>
                <w:sz w:val="20"/>
                <w:szCs w:val="20"/>
                <w:lang w:val="en-AU"/>
              </w:rPr>
            </w:pPr>
            <w:r w:rsidRPr="001A05F4">
              <w:rPr>
                <w:rFonts w:ascii="Arial Narrow" w:hAnsi="Arial Narrow"/>
                <w:color w:val="auto"/>
                <w:sz w:val="20"/>
                <w:szCs w:val="20"/>
                <w:lang w:val="en-AU"/>
              </w:rPr>
              <w:t xml:space="preserve">&gt;12 to </w:t>
            </w:r>
            <w:r w:rsidRPr="001A05F4">
              <w:rPr>
                <w:rFonts w:ascii="Arial Narrow" w:hAnsi="Arial Narrow" w:cs="Arial"/>
                <w:color w:val="auto"/>
                <w:sz w:val="20"/>
                <w:szCs w:val="20"/>
                <w:lang w:val="en-AU"/>
              </w:rPr>
              <w:t>≤</w:t>
            </w:r>
            <w:r w:rsidRPr="001A05F4">
              <w:rPr>
                <w:rFonts w:ascii="Arial Narrow" w:hAnsi="Arial Narrow"/>
                <w:color w:val="auto"/>
                <w:sz w:val="20"/>
                <w:szCs w:val="20"/>
                <w:lang w:val="en-AU"/>
              </w:rPr>
              <w:t>18 years (IIIc)*</w:t>
            </w:r>
          </w:p>
        </w:tc>
        <w:tc>
          <w:tcPr>
            <w:tcW w:w="1594" w:type="pct"/>
            <w:tcBorders>
              <w:top w:val="nil"/>
              <w:left w:val="nil"/>
              <w:bottom w:val="single" w:sz="8" w:space="0" w:color="000000"/>
              <w:right w:val="single" w:sz="8" w:space="0" w:color="000000"/>
            </w:tcBorders>
            <w:shd w:val="clear" w:color="auto" w:fill="auto"/>
            <w:vAlign w:val="center"/>
            <w:hideMark/>
          </w:tcPr>
          <w:p w:rsidR="00C66BE6" w:rsidRPr="001A05F4" w:rsidRDefault="00C66BE6" w:rsidP="007427CE">
            <w:pPr>
              <w:pStyle w:val="Default"/>
              <w:keepNext/>
              <w:keepLines/>
              <w:jc w:val="center"/>
              <w:rPr>
                <w:rFonts w:ascii="Arial Narrow" w:hAnsi="Arial Narrow"/>
                <w:color w:val="auto"/>
                <w:sz w:val="20"/>
                <w:szCs w:val="20"/>
                <w:lang w:val="en-AU"/>
              </w:rPr>
            </w:pPr>
            <w:r w:rsidRPr="001A05F4">
              <w:rPr>
                <w:rFonts w:ascii="Arial Narrow" w:hAnsi="Arial Narrow"/>
                <w:color w:val="auto"/>
                <w:sz w:val="20"/>
                <w:szCs w:val="20"/>
                <w:lang w:val="en-AU"/>
              </w:rPr>
              <w:t>Independently stand and walk, may lose ability to walk over time</w:t>
            </w:r>
          </w:p>
        </w:tc>
        <w:tc>
          <w:tcPr>
            <w:tcW w:w="848" w:type="pct"/>
            <w:tcBorders>
              <w:top w:val="nil"/>
              <w:left w:val="nil"/>
              <w:bottom w:val="single" w:sz="8" w:space="0" w:color="000000"/>
              <w:right w:val="single" w:sz="8" w:space="0" w:color="000000"/>
            </w:tcBorders>
            <w:shd w:val="clear" w:color="auto" w:fill="auto"/>
            <w:vAlign w:val="center"/>
            <w:hideMark/>
          </w:tcPr>
          <w:p w:rsidR="00C66BE6" w:rsidRPr="001A05F4" w:rsidRDefault="00C66BE6" w:rsidP="007427CE">
            <w:pPr>
              <w:pStyle w:val="Default"/>
              <w:keepNext/>
              <w:keepLines/>
              <w:ind w:left="43"/>
              <w:jc w:val="center"/>
              <w:rPr>
                <w:rFonts w:ascii="Arial Narrow" w:hAnsi="Arial Narrow"/>
                <w:color w:val="auto"/>
                <w:sz w:val="20"/>
                <w:szCs w:val="20"/>
                <w:lang w:val="en-AU"/>
              </w:rPr>
            </w:pPr>
            <w:r w:rsidRPr="001A05F4">
              <w:rPr>
                <w:rFonts w:ascii="Arial Narrow" w:hAnsi="Arial Narrow"/>
                <w:color w:val="auto"/>
                <w:sz w:val="20"/>
                <w:szCs w:val="20"/>
                <w:lang w:val="en-AU"/>
              </w:rPr>
              <w:t>Normal lifespan</w:t>
            </w:r>
          </w:p>
        </w:tc>
      </w:tr>
      <w:tr w:rsidR="00C66BE6" w:rsidRPr="001A05F4" w:rsidTr="0080594D">
        <w:trPr>
          <w:cantSplit/>
        </w:trPr>
        <w:tc>
          <w:tcPr>
            <w:tcW w:w="937" w:type="pct"/>
            <w:tcBorders>
              <w:top w:val="nil"/>
              <w:left w:val="single" w:sz="8" w:space="0" w:color="000000"/>
              <w:bottom w:val="single" w:sz="8" w:space="0" w:color="000000"/>
              <w:right w:val="single" w:sz="8" w:space="0" w:color="000000"/>
            </w:tcBorders>
            <w:shd w:val="clear" w:color="auto" w:fill="auto"/>
            <w:vAlign w:val="center"/>
          </w:tcPr>
          <w:p w:rsidR="00C66BE6" w:rsidRPr="001A05F4" w:rsidRDefault="00C66BE6" w:rsidP="007427CE">
            <w:pPr>
              <w:keepNext/>
              <w:keepLines/>
              <w:snapToGrid w:val="0"/>
              <w:ind w:left="180" w:hanging="180"/>
              <w:jc w:val="center"/>
              <w:rPr>
                <w:rFonts w:ascii="Arial Narrow" w:hAnsi="Arial Narrow"/>
                <w:sz w:val="20"/>
                <w:szCs w:val="20"/>
              </w:rPr>
            </w:pPr>
            <w:r w:rsidRPr="001A05F4">
              <w:rPr>
                <w:rFonts w:ascii="Arial Narrow" w:hAnsi="Arial Narrow"/>
                <w:sz w:val="20"/>
                <w:szCs w:val="20"/>
              </w:rPr>
              <w:t>Adult onset</w:t>
            </w:r>
          </w:p>
        </w:tc>
        <w:tc>
          <w:tcPr>
            <w:tcW w:w="427"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66BE6" w:rsidRPr="001A05F4" w:rsidRDefault="00C66BE6" w:rsidP="007427CE">
            <w:pPr>
              <w:keepNext/>
              <w:keepLines/>
              <w:snapToGrid w:val="0"/>
              <w:ind w:left="180" w:hanging="180"/>
              <w:jc w:val="center"/>
              <w:rPr>
                <w:rFonts w:ascii="Arial Narrow" w:hAnsi="Arial Narrow"/>
                <w:sz w:val="20"/>
                <w:szCs w:val="20"/>
                <w:lang w:eastAsia="ja-JP"/>
              </w:rPr>
            </w:pPr>
            <w:r w:rsidRPr="001A05F4">
              <w:rPr>
                <w:rFonts w:ascii="Arial Narrow" w:hAnsi="Arial Narrow"/>
                <w:sz w:val="20"/>
                <w:szCs w:val="20"/>
              </w:rPr>
              <w:t>IV</w:t>
            </w:r>
          </w:p>
        </w:tc>
        <w:tc>
          <w:tcPr>
            <w:tcW w:w="119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66BE6" w:rsidRPr="001A05F4" w:rsidRDefault="00C66BE6" w:rsidP="007427CE">
            <w:pPr>
              <w:pStyle w:val="Default"/>
              <w:keepNext/>
              <w:keepLines/>
              <w:ind w:left="3" w:hanging="3"/>
              <w:jc w:val="center"/>
              <w:rPr>
                <w:rFonts w:ascii="Arial Narrow" w:hAnsi="Arial Narrow"/>
                <w:color w:val="auto"/>
                <w:sz w:val="20"/>
                <w:szCs w:val="20"/>
                <w:lang w:val="en-AU"/>
              </w:rPr>
            </w:pPr>
            <w:r w:rsidRPr="001A05F4">
              <w:rPr>
                <w:rFonts w:ascii="Arial Narrow" w:hAnsi="Arial Narrow"/>
                <w:color w:val="auto"/>
                <w:sz w:val="20"/>
                <w:szCs w:val="20"/>
                <w:lang w:val="en-AU"/>
              </w:rPr>
              <w:t>&gt;18 years</w:t>
            </w:r>
          </w:p>
        </w:tc>
        <w:tc>
          <w:tcPr>
            <w:tcW w:w="1594" w:type="pct"/>
            <w:tcBorders>
              <w:top w:val="nil"/>
              <w:left w:val="nil"/>
              <w:bottom w:val="single" w:sz="8" w:space="0" w:color="000000"/>
              <w:right w:val="single" w:sz="8" w:space="0" w:color="000000"/>
            </w:tcBorders>
            <w:shd w:val="clear" w:color="auto" w:fill="auto"/>
            <w:vAlign w:val="center"/>
            <w:hideMark/>
          </w:tcPr>
          <w:p w:rsidR="00C66BE6" w:rsidRPr="001A05F4" w:rsidRDefault="00C66BE6" w:rsidP="007427CE">
            <w:pPr>
              <w:pStyle w:val="Default"/>
              <w:keepNext/>
              <w:keepLines/>
              <w:ind w:left="180" w:hanging="180"/>
              <w:jc w:val="center"/>
              <w:rPr>
                <w:rFonts w:ascii="Arial Narrow" w:hAnsi="Arial Narrow"/>
                <w:color w:val="auto"/>
                <w:sz w:val="20"/>
                <w:szCs w:val="20"/>
                <w:lang w:val="en-AU"/>
              </w:rPr>
            </w:pPr>
            <w:r w:rsidRPr="001A05F4">
              <w:rPr>
                <w:rFonts w:ascii="Arial Narrow" w:hAnsi="Arial Narrow"/>
                <w:color w:val="auto"/>
                <w:sz w:val="20"/>
                <w:szCs w:val="20"/>
                <w:lang w:val="en-AU"/>
              </w:rPr>
              <w:t>Normal – mild motor impairment</w:t>
            </w:r>
          </w:p>
        </w:tc>
        <w:tc>
          <w:tcPr>
            <w:tcW w:w="848" w:type="pct"/>
            <w:tcBorders>
              <w:top w:val="nil"/>
              <w:left w:val="nil"/>
              <w:bottom w:val="single" w:sz="8" w:space="0" w:color="000000"/>
              <w:right w:val="single" w:sz="8" w:space="0" w:color="000000"/>
            </w:tcBorders>
            <w:shd w:val="clear" w:color="auto" w:fill="auto"/>
            <w:vAlign w:val="center"/>
            <w:hideMark/>
          </w:tcPr>
          <w:p w:rsidR="00C66BE6" w:rsidRPr="001A05F4" w:rsidRDefault="00C66BE6" w:rsidP="007427CE">
            <w:pPr>
              <w:pStyle w:val="Default"/>
              <w:keepNext/>
              <w:keepLines/>
              <w:ind w:left="43"/>
              <w:jc w:val="center"/>
              <w:rPr>
                <w:rFonts w:ascii="Arial Narrow" w:hAnsi="Arial Narrow"/>
                <w:color w:val="auto"/>
                <w:sz w:val="20"/>
                <w:szCs w:val="20"/>
                <w:lang w:val="en-AU"/>
              </w:rPr>
            </w:pPr>
            <w:r w:rsidRPr="001A05F4">
              <w:rPr>
                <w:rFonts w:ascii="Arial Narrow" w:hAnsi="Arial Narrow"/>
                <w:color w:val="auto"/>
                <w:sz w:val="20"/>
                <w:szCs w:val="20"/>
                <w:lang w:val="en-AU"/>
              </w:rPr>
              <w:t>Normal lifespan</w:t>
            </w:r>
          </w:p>
        </w:tc>
      </w:tr>
    </w:tbl>
    <w:p w:rsidR="00C66BE6" w:rsidRPr="001A05F4" w:rsidRDefault="00C66BE6" w:rsidP="007427CE">
      <w:pPr>
        <w:pStyle w:val="V50Instructions"/>
        <w:keepNext/>
        <w:keepLines/>
        <w:spacing w:before="0" w:after="0"/>
        <w:rPr>
          <w:rFonts w:ascii="Arial Narrow" w:hAnsi="Arial Narrow"/>
          <w:color w:val="auto"/>
          <w:sz w:val="18"/>
          <w:szCs w:val="18"/>
        </w:rPr>
      </w:pPr>
      <w:r w:rsidRPr="001A05F4">
        <w:rPr>
          <w:rFonts w:ascii="Arial Narrow" w:hAnsi="Arial Narrow"/>
          <w:color w:val="auto"/>
          <w:sz w:val="18"/>
          <w:szCs w:val="18"/>
        </w:rPr>
        <w:t>*Recent publications distinguish between Type IIIb and IIIc SMA with Type IIIc being defined as when symptoms develop after 12 years but before 19 years, although Type IIIb is commonly used to describe onset of SMA symptoms from after 3 years to 18 years of age.</w:t>
      </w:r>
    </w:p>
    <w:p w:rsidR="00C66BE6" w:rsidRPr="001A05F4" w:rsidRDefault="00C66BE6" w:rsidP="007427CE">
      <w:pPr>
        <w:pStyle w:val="V50Instructions"/>
        <w:keepNext/>
        <w:keepLines/>
        <w:spacing w:before="0" w:after="0"/>
        <w:rPr>
          <w:rFonts w:ascii="Arial Narrow" w:hAnsi="Arial Narrow"/>
          <w:color w:val="auto"/>
          <w:sz w:val="18"/>
          <w:szCs w:val="18"/>
        </w:rPr>
      </w:pPr>
      <w:r w:rsidRPr="001A05F4">
        <w:rPr>
          <w:rFonts w:ascii="Arial Narrow" w:hAnsi="Arial Narrow"/>
          <w:color w:val="auto"/>
          <w:sz w:val="18"/>
          <w:szCs w:val="18"/>
        </w:rPr>
        <w:t>SMA = spinal muscular atrophy</w:t>
      </w:r>
    </w:p>
    <w:p w:rsidR="00C66BE6" w:rsidRPr="001A05F4" w:rsidRDefault="00C66BE6" w:rsidP="007427CE">
      <w:pPr>
        <w:pStyle w:val="V50Instructions"/>
        <w:keepNext/>
        <w:keepLines/>
        <w:spacing w:before="0" w:after="0"/>
        <w:rPr>
          <w:rFonts w:ascii="Arial Narrow" w:hAnsi="Arial Narrow"/>
          <w:color w:val="auto"/>
          <w:sz w:val="18"/>
          <w:szCs w:val="18"/>
        </w:rPr>
      </w:pPr>
      <w:r w:rsidRPr="001A05F4">
        <w:rPr>
          <w:rFonts w:ascii="Arial Narrow" w:hAnsi="Arial Narrow"/>
          <w:color w:val="auto"/>
          <w:sz w:val="18"/>
          <w:szCs w:val="18"/>
        </w:rPr>
        <w:t xml:space="preserve">Source: Table 1.1, p7 of the resubmission </w:t>
      </w:r>
    </w:p>
    <w:p w:rsidR="00C66BE6" w:rsidRPr="001A05F4" w:rsidRDefault="00C66BE6" w:rsidP="00C66BE6">
      <w:pPr>
        <w:pStyle w:val="V50Instructions"/>
        <w:spacing w:before="0" w:after="0"/>
        <w:rPr>
          <w:rFonts w:ascii="Arial Narrow" w:hAnsi="Arial Narrow"/>
          <w:color w:val="auto"/>
          <w:sz w:val="18"/>
          <w:szCs w:val="18"/>
        </w:rPr>
      </w:pPr>
    </w:p>
    <w:p w:rsidR="00C66BE6" w:rsidRPr="001A05F4" w:rsidRDefault="00C66BE6" w:rsidP="00F9436F">
      <w:pPr>
        <w:pStyle w:val="ListParagraph"/>
        <w:numPr>
          <w:ilvl w:val="1"/>
          <w:numId w:val="2"/>
        </w:numPr>
        <w:rPr>
          <w:rFonts w:asciiTheme="minorHAnsi" w:hAnsiTheme="minorHAnsi"/>
          <w:szCs w:val="24"/>
          <w:lang w:eastAsia="en-AU"/>
        </w:rPr>
      </w:pPr>
      <w:r w:rsidRPr="001A05F4">
        <w:rPr>
          <w:rFonts w:asciiTheme="minorHAnsi" w:hAnsiTheme="minorHAnsi"/>
          <w:szCs w:val="24"/>
          <w:lang w:eastAsia="en-AU"/>
        </w:rPr>
        <w:t xml:space="preserve">Nusinersen is an antisense oligonucleotide that increases the proportion of exon 7 inclusion in </w:t>
      </w:r>
      <w:r w:rsidRPr="001A05F4">
        <w:rPr>
          <w:rFonts w:asciiTheme="minorHAnsi" w:hAnsiTheme="minorHAnsi"/>
          <w:i/>
          <w:szCs w:val="24"/>
          <w:lang w:eastAsia="en-AU"/>
        </w:rPr>
        <w:t>SMN2</w:t>
      </w:r>
      <w:r w:rsidRPr="001A05F4">
        <w:rPr>
          <w:rFonts w:asciiTheme="minorHAnsi" w:hAnsiTheme="minorHAnsi"/>
          <w:szCs w:val="24"/>
          <w:lang w:eastAsia="en-AU"/>
        </w:rPr>
        <w:t xml:space="preserve"> messenger ribonucleic acid (mRNA) transcripts by binding to </w:t>
      </w:r>
      <w:r w:rsidRPr="001A05F4">
        <w:rPr>
          <w:rFonts w:asciiTheme="minorHAnsi" w:hAnsiTheme="minorHAnsi"/>
          <w:i/>
          <w:szCs w:val="24"/>
          <w:lang w:eastAsia="en-AU"/>
        </w:rPr>
        <w:t>SMN2</w:t>
      </w:r>
      <w:r w:rsidRPr="001A05F4">
        <w:rPr>
          <w:rFonts w:asciiTheme="minorHAnsi" w:hAnsiTheme="minorHAnsi"/>
          <w:szCs w:val="24"/>
          <w:lang w:eastAsia="en-AU"/>
        </w:rPr>
        <w:t xml:space="preserve"> pre-mRNA, thus increasing the level of SMN protein. Nusinersen is delivered intrathecally, directly into the cerebrospinal fluid</w:t>
      </w:r>
      <w:r w:rsidR="007427CE" w:rsidRPr="001A05F4">
        <w:rPr>
          <w:rFonts w:asciiTheme="minorHAnsi" w:hAnsiTheme="minorHAnsi"/>
          <w:szCs w:val="24"/>
          <w:lang w:eastAsia="en-AU"/>
        </w:rPr>
        <w:t>, with or without image guidance</w:t>
      </w:r>
      <w:r w:rsidRPr="001A05F4">
        <w:rPr>
          <w:rFonts w:asciiTheme="minorHAnsi" w:hAnsiTheme="minorHAnsi"/>
          <w:szCs w:val="24"/>
          <w:lang w:eastAsia="en-AU"/>
        </w:rPr>
        <w:t>. Four loading doses are given (days 0, 14, 28 and 63) and then maintenance doses are administered once every 4 months.</w:t>
      </w:r>
    </w:p>
    <w:p w:rsidR="00034D41" w:rsidRPr="00034D41" w:rsidRDefault="00DA6D99" w:rsidP="00034D41">
      <w:pPr>
        <w:pStyle w:val="ListParagraph"/>
        <w:numPr>
          <w:ilvl w:val="1"/>
          <w:numId w:val="2"/>
        </w:numPr>
        <w:rPr>
          <w:rFonts w:asciiTheme="minorHAnsi" w:hAnsiTheme="minorHAnsi"/>
          <w:i/>
          <w:szCs w:val="24"/>
          <w:lang w:eastAsia="en-AU"/>
        </w:rPr>
      </w:pPr>
      <w:r w:rsidRPr="001A05F4">
        <w:rPr>
          <w:rFonts w:asciiTheme="minorHAnsi" w:hAnsiTheme="minorHAnsi"/>
          <w:iCs/>
          <w:szCs w:val="24"/>
          <w:lang w:eastAsia="en-AU"/>
        </w:rPr>
        <w:t xml:space="preserve">The PSCR </w:t>
      </w:r>
      <w:r w:rsidR="00506CDF" w:rsidRPr="001A05F4">
        <w:rPr>
          <w:rFonts w:asciiTheme="minorHAnsi" w:hAnsiTheme="minorHAnsi"/>
          <w:iCs/>
          <w:szCs w:val="24"/>
          <w:lang w:eastAsia="en-AU"/>
        </w:rPr>
        <w:t>stated</w:t>
      </w:r>
      <w:r w:rsidRPr="001A05F4">
        <w:rPr>
          <w:rFonts w:asciiTheme="minorHAnsi" w:hAnsiTheme="minorHAnsi"/>
          <w:iCs/>
          <w:szCs w:val="24"/>
          <w:lang w:eastAsia="en-AU"/>
        </w:rPr>
        <w:t xml:space="preserve"> that clinical advice indicates that achieving disease stabilisation is the main treatment goal for adults with SMA, which contrasts to the treatment goal in paediatric SMA</w:t>
      </w:r>
      <w:r w:rsidR="00CE22CE" w:rsidRPr="001A05F4">
        <w:rPr>
          <w:rFonts w:asciiTheme="minorHAnsi" w:hAnsiTheme="minorHAnsi"/>
          <w:iCs/>
          <w:szCs w:val="24"/>
          <w:lang w:eastAsia="en-AU"/>
        </w:rPr>
        <w:t xml:space="preserve">. </w:t>
      </w:r>
      <w:r w:rsidR="00506CDF" w:rsidRPr="001A05F4">
        <w:rPr>
          <w:rFonts w:asciiTheme="minorHAnsi" w:hAnsiTheme="minorHAnsi"/>
          <w:iCs/>
          <w:szCs w:val="24"/>
          <w:lang w:eastAsia="en-AU"/>
        </w:rPr>
        <w:t xml:space="preserve">The ESC noted that </w:t>
      </w:r>
      <w:r w:rsidR="00C81DB3" w:rsidRPr="001A05F4">
        <w:rPr>
          <w:rFonts w:asciiTheme="minorHAnsi" w:hAnsiTheme="minorHAnsi"/>
          <w:iCs/>
          <w:szCs w:val="24"/>
          <w:lang w:eastAsia="en-AU"/>
        </w:rPr>
        <w:t xml:space="preserve">the submission indicated that specialist clinical advice suggested </w:t>
      </w:r>
      <w:r w:rsidR="00913280" w:rsidRPr="001A05F4">
        <w:rPr>
          <w:rFonts w:asciiTheme="minorHAnsi" w:hAnsiTheme="minorHAnsi"/>
          <w:iCs/>
          <w:szCs w:val="24"/>
          <w:lang w:eastAsia="en-AU"/>
        </w:rPr>
        <w:t>functional status in adults with SMA is the most clinically relevant factor in determining patient capacity to benefit from treatment, with adults less severely affected by the disease and those who have more function to preserve (e.g. ambulant patients) expected to have the potential to gain the most from treatment</w:t>
      </w:r>
      <w:r w:rsidR="001A05F4">
        <w:rPr>
          <w:rFonts w:asciiTheme="minorHAnsi" w:hAnsiTheme="minorHAnsi"/>
          <w:iCs/>
          <w:szCs w:val="24"/>
          <w:lang w:eastAsia="en-AU"/>
        </w:rPr>
        <w:t xml:space="preserve">. </w:t>
      </w:r>
      <w:r w:rsidR="00913280" w:rsidRPr="001A05F4">
        <w:rPr>
          <w:rFonts w:asciiTheme="minorHAnsi" w:hAnsiTheme="minorHAnsi"/>
          <w:iCs/>
          <w:szCs w:val="24"/>
          <w:lang w:eastAsia="en-AU"/>
        </w:rPr>
        <w:t>However the ESC considered that the emerging literature suggests that for many</w:t>
      </w:r>
      <w:r w:rsidR="00913280" w:rsidRPr="001A05F4">
        <w:rPr>
          <w:rFonts w:asciiTheme="minorHAnsi" w:hAnsiTheme="minorHAnsi"/>
          <w:i/>
          <w:szCs w:val="24"/>
          <w:lang w:eastAsia="en-AU"/>
        </w:rPr>
        <w:t xml:space="preserve"> </w:t>
      </w:r>
      <w:r w:rsidR="00913280" w:rsidRPr="001A05F4">
        <w:rPr>
          <w:rFonts w:asciiTheme="minorHAnsi" w:hAnsiTheme="minorHAnsi"/>
          <w:iCs/>
          <w:szCs w:val="24"/>
          <w:lang w:eastAsia="en-AU"/>
        </w:rPr>
        <w:t xml:space="preserve">patients, particularly those with less function at baseline, functional status is unlikely adequately capture treatment benefit (see also paragraph </w:t>
      </w:r>
      <w:r w:rsidR="00BC2D8D" w:rsidRPr="001A05F4">
        <w:rPr>
          <w:rFonts w:asciiTheme="minorHAnsi" w:hAnsiTheme="minorHAnsi"/>
          <w:iCs/>
          <w:szCs w:val="24"/>
          <w:lang w:eastAsia="en-AU"/>
        </w:rPr>
        <w:t>6.38</w:t>
      </w:r>
      <w:r w:rsidR="00913280" w:rsidRPr="001A05F4">
        <w:rPr>
          <w:rFonts w:asciiTheme="minorHAnsi" w:hAnsiTheme="minorHAnsi"/>
          <w:iCs/>
          <w:szCs w:val="24"/>
          <w:lang w:eastAsia="en-AU"/>
        </w:rPr>
        <w:t>).</w:t>
      </w:r>
    </w:p>
    <w:p w:rsidR="00034D41" w:rsidRPr="00034D41" w:rsidRDefault="00034D41" w:rsidP="00034D41">
      <w:pPr>
        <w:pStyle w:val="ListParagraph"/>
        <w:rPr>
          <w:rFonts w:asciiTheme="minorHAnsi" w:hAnsiTheme="minorHAnsi"/>
          <w:i/>
          <w:iCs/>
          <w:szCs w:val="24"/>
          <w:lang w:eastAsia="en-AU"/>
        </w:rPr>
      </w:pPr>
      <w:r w:rsidRPr="00034D41">
        <w:rPr>
          <w:i/>
          <w:iCs/>
        </w:rPr>
        <w:t>For more details on PBAC’s view, see section 7 PBAC outcome.</w:t>
      </w:r>
    </w:p>
    <w:p w:rsidR="00C66BE6" w:rsidRPr="001A05F4" w:rsidRDefault="00C66BE6" w:rsidP="00F9436F">
      <w:pPr>
        <w:pStyle w:val="2-SectionHeading"/>
        <w:numPr>
          <w:ilvl w:val="0"/>
          <w:numId w:val="2"/>
        </w:numPr>
      </w:pPr>
      <w:r w:rsidRPr="001A05F4">
        <w:t>Comparator</w:t>
      </w:r>
    </w:p>
    <w:p w:rsidR="00C66BE6" w:rsidRPr="001A05F4" w:rsidRDefault="00C66BE6" w:rsidP="00F9436F">
      <w:pPr>
        <w:pStyle w:val="3-BodyText"/>
        <w:numPr>
          <w:ilvl w:val="1"/>
          <w:numId w:val="2"/>
        </w:numPr>
      </w:pPr>
      <w:r w:rsidRPr="001A05F4">
        <w:t>The submission nominated standard of care (for no treatment) as the main comparator. This nomination was based on the absence of an alternate disease-modifying therapy available on the PBS for the treatment of adults with SMA (as of February 2021); however, the resubmission acknowledged that two new treatments for SMA (risdiplam and onasemnogene abeparvovec) are currently proceeding through registration and reimbursement processes.</w:t>
      </w:r>
    </w:p>
    <w:p w:rsidR="00C66BE6" w:rsidRPr="001A05F4" w:rsidRDefault="00C66BE6" w:rsidP="00F9436F">
      <w:pPr>
        <w:pStyle w:val="3-BodyText"/>
        <w:numPr>
          <w:ilvl w:val="1"/>
          <w:numId w:val="2"/>
        </w:numPr>
        <w:rPr>
          <w:i/>
          <w:iCs/>
        </w:rPr>
      </w:pPr>
      <w:r w:rsidRPr="001A05F4">
        <w:t>The previous submission (November 2020) presented standard of care as the main comparator for adults with SMA.</w:t>
      </w:r>
      <w:r w:rsidR="005E0979" w:rsidRPr="001A05F4">
        <w:t xml:space="preserve"> </w:t>
      </w:r>
      <w:r w:rsidR="005E0979" w:rsidRPr="001A05F4">
        <w:rPr>
          <w:iCs/>
        </w:rPr>
        <w:t>T</w:t>
      </w:r>
      <w:r w:rsidRPr="001A05F4">
        <w:rPr>
          <w:iCs/>
        </w:rPr>
        <w:t xml:space="preserve">he PBAC considered that standard of care </w:t>
      </w:r>
      <w:r w:rsidR="005E0979" w:rsidRPr="001A05F4">
        <w:rPr>
          <w:iCs/>
        </w:rPr>
        <w:t xml:space="preserve">was an appropriate comparator </w:t>
      </w:r>
      <w:r w:rsidRPr="001A05F4">
        <w:rPr>
          <w:iCs/>
        </w:rPr>
        <w:t>(paragraph 7.5, p.33 nusiners</w:t>
      </w:r>
      <w:r w:rsidR="00B861B3">
        <w:rPr>
          <w:iCs/>
        </w:rPr>
        <w:t>en Public Summary Document (PSD)</w:t>
      </w:r>
      <w:r w:rsidRPr="001A05F4">
        <w:rPr>
          <w:iCs/>
        </w:rPr>
        <w:t>, November 2020).</w:t>
      </w:r>
    </w:p>
    <w:p w:rsidR="00034D41" w:rsidRDefault="004020AA" w:rsidP="00034D41">
      <w:pPr>
        <w:pStyle w:val="3-BodyText"/>
        <w:numPr>
          <w:ilvl w:val="1"/>
          <w:numId w:val="2"/>
        </w:numPr>
      </w:pPr>
      <w:r w:rsidRPr="001A05F4">
        <w:t>The PSCR stated that development of the consensus treatment guidelines for adults with SMA is proceeding. Following a meeting of neurologists with expertise in neuromuscular conditions, convened by the Sponsor in 2020, a summary of considerations for an Australian adult SMA consensus guideline was developed and preparation for clinician-led focus groups with adults with SMA, to gather information regarding their perspectives on the proposed guideline, has now commenced</w:t>
      </w:r>
      <w:r w:rsidR="00FD3BC6" w:rsidRPr="001A05F4">
        <w:t xml:space="preserve"> (n</w:t>
      </w:r>
      <w:r w:rsidR="007F161B" w:rsidRPr="001A05F4">
        <w:t>oting that the consensus treatment guidelines are still in development and will require input from patients</w:t>
      </w:r>
      <w:r w:rsidR="00FD3BC6" w:rsidRPr="001A05F4">
        <w:t>)</w:t>
      </w:r>
      <w:r w:rsidR="007F161B" w:rsidRPr="001A05F4">
        <w:t>.</w:t>
      </w:r>
      <w:r w:rsidR="00387480" w:rsidRPr="001A05F4">
        <w:t xml:space="preserve"> The PBAC considered that the draft treatment guide</w:t>
      </w:r>
      <w:r w:rsidR="000F0F50" w:rsidRPr="001A05F4">
        <w:t>lines would be informative for any future consideration of treatments for adults with SMA</w:t>
      </w:r>
      <w:r w:rsidR="001A05F4">
        <w:t xml:space="preserve">. </w:t>
      </w:r>
    </w:p>
    <w:p w:rsidR="00034D41" w:rsidRPr="00034D41" w:rsidRDefault="00034D41" w:rsidP="00034D41">
      <w:pPr>
        <w:pStyle w:val="3-BodyText"/>
        <w:ind w:firstLine="0"/>
        <w:rPr>
          <w:i/>
          <w:iCs/>
        </w:rPr>
      </w:pPr>
      <w:r w:rsidRPr="00034D41">
        <w:rPr>
          <w:i/>
          <w:iCs/>
        </w:rPr>
        <w:t>For more details on PBAC’s view, see section 7 PBAC outcome.</w:t>
      </w:r>
    </w:p>
    <w:p w:rsidR="00C66BE6" w:rsidRPr="001A05F4" w:rsidRDefault="00C66BE6" w:rsidP="00F9436F">
      <w:pPr>
        <w:pStyle w:val="2-SectionHeading"/>
        <w:numPr>
          <w:ilvl w:val="0"/>
          <w:numId w:val="2"/>
        </w:numPr>
        <w:jc w:val="both"/>
      </w:pPr>
      <w:bookmarkStart w:id="9" w:name="_Hlk76551398"/>
      <w:r w:rsidRPr="001A05F4">
        <w:t>Consideration of the evidence</w:t>
      </w:r>
    </w:p>
    <w:p w:rsidR="00445790" w:rsidRPr="001A05F4" w:rsidRDefault="00445790" w:rsidP="00C70AB5">
      <w:pPr>
        <w:pStyle w:val="4-SubsectionHeading"/>
      </w:pPr>
      <w:bookmarkStart w:id="10" w:name="_Hlk76550800"/>
      <w:bookmarkEnd w:id="9"/>
      <w:r w:rsidRPr="001A05F4">
        <w:t xml:space="preserve">Sponsor hearings </w:t>
      </w:r>
    </w:p>
    <w:bookmarkEnd w:id="10"/>
    <w:p w:rsidR="00BA200B" w:rsidRPr="001A05F4" w:rsidRDefault="00CB6EE9" w:rsidP="00F9436F">
      <w:pPr>
        <w:pStyle w:val="ListParagraph"/>
        <w:numPr>
          <w:ilvl w:val="1"/>
          <w:numId w:val="2"/>
        </w:numPr>
        <w:rPr>
          <w:rFonts w:asciiTheme="minorHAnsi" w:hAnsiTheme="minorHAnsi"/>
          <w:bCs/>
          <w:szCs w:val="24"/>
        </w:rPr>
      </w:pPr>
      <w:r w:rsidRPr="001A05F4">
        <w:rPr>
          <w:rFonts w:asciiTheme="minorHAnsi" w:hAnsiTheme="minorHAnsi"/>
          <w:bCs/>
          <w:szCs w:val="24"/>
        </w:rPr>
        <w:t xml:space="preserve">The sponsor requested a hearing for this item. </w:t>
      </w:r>
      <w:r w:rsidR="00FD3BC6" w:rsidRPr="001A05F4">
        <w:rPr>
          <w:rFonts w:asciiTheme="minorHAnsi" w:hAnsiTheme="minorHAnsi"/>
          <w:bCs/>
          <w:szCs w:val="24"/>
        </w:rPr>
        <w:t>The clinician noted that the pool of untreated adults with SMA is diminishing</w:t>
      </w:r>
      <w:r w:rsidR="00AB61C2" w:rsidRPr="001A05F4">
        <w:rPr>
          <w:rFonts w:asciiTheme="minorHAnsi" w:hAnsiTheme="minorHAnsi"/>
          <w:bCs/>
          <w:szCs w:val="24"/>
        </w:rPr>
        <w:t xml:space="preserve">, as most paediatric patients are accessing treatment. </w:t>
      </w:r>
      <w:r w:rsidR="006B58CE" w:rsidRPr="001A05F4">
        <w:rPr>
          <w:rFonts w:asciiTheme="minorHAnsi" w:hAnsiTheme="minorHAnsi"/>
          <w:bCs/>
          <w:szCs w:val="24"/>
        </w:rPr>
        <w:t xml:space="preserve">The clinician emphasised </w:t>
      </w:r>
      <w:r w:rsidR="001729D2" w:rsidRPr="001A05F4">
        <w:rPr>
          <w:rFonts w:asciiTheme="minorHAnsi" w:hAnsiTheme="minorHAnsi"/>
          <w:bCs/>
          <w:szCs w:val="24"/>
        </w:rPr>
        <w:t>the unmet clinical need for effective treatments for adults with SMA</w:t>
      </w:r>
      <w:r w:rsidR="001F0C41" w:rsidRPr="001A05F4">
        <w:rPr>
          <w:rFonts w:asciiTheme="minorHAnsi" w:hAnsiTheme="minorHAnsi"/>
          <w:bCs/>
          <w:szCs w:val="24"/>
        </w:rPr>
        <w:t>. The clinician indicated that</w:t>
      </w:r>
      <w:r w:rsidR="008815B3" w:rsidRPr="001A05F4">
        <w:rPr>
          <w:rFonts w:asciiTheme="minorHAnsi" w:hAnsiTheme="minorHAnsi"/>
          <w:bCs/>
          <w:szCs w:val="24"/>
        </w:rPr>
        <w:t xml:space="preserve"> from treatment, adult</w:t>
      </w:r>
      <w:r w:rsidR="00F114BB" w:rsidRPr="001A05F4">
        <w:rPr>
          <w:rFonts w:asciiTheme="minorHAnsi" w:hAnsiTheme="minorHAnsi"/>
          <w:bCs/>
          <w:szCs w:val="24"/>
        </w:rPr>
        <w:t xml:space="preserve"> </w:t>
      </w:r>
      <w:r w:rsidR="008815B3" w:rsidRPr="001A05F4">
        <w:rPr>
          <w:rFonts w:asciiTheme="minorHAnsi" w:hAnsiTheme="minorHAnsi"/>
          <w:bCs/>
          <w:szCs w:val="24"/>
        </w:rPr>
        <w:t>patients hoped to maintain stable employment, participation in society</w:t>
      </w:r>
      <w:r w:rsidR="00AB61C2" w:rsidRPr="001A05F4">
        <w:rPr>
          <w:rFonts w:asciiTheme="minorHAnsi" w:hAnsiTheme="minorHAnsi"/>
          <w:bCs/>
          <w:szCs w:val="24"/>
        </w:rPr>
        <w:t>, dignity</w:t>
      </w:r>
      <w:r w:rsidR="008815B3" w:rsidRPr="001A05F4">
        <w:rPr>
          <w:rFonts w:asciiTheme="minorHAnsi" w:hAnsiTheme="minorHAnsi"/>
          <w:bCs/>
          <w:szCs w:val="24"/>
        </w:rPr>
        <w:t xml:space="preserve"> and independence. </w:t>
      </w:r>
      <w:r w:rsidR="00893EAD" w:rsidRPr="001A05F4">
        <w:rPr>
          <w:rFonts w:asciiTheme="minorHAnsi" w:hAnsiTheme="minorHAnsi"/>
          <w:bCs/>
          <w:szCs w:val="24"/>
        </w:rPr>
        <w:t xml:space="preserve">The clinician </w:t>
      </w:r>
      <w:r w:rsidR="008815B3" w:rsidRPr="001A05F4">
        <w:rPr>
          <w:rFonts w:asciiTheme="minorHAnsi" w:hAnsiTheme="minorHAnsi"/>
          <w:bCs/>
          <w:szCs w:val="24"/>
        </w:rPr>
        <w:t>described</w:t>
      </w:r>
      <w:r w:rsidR="00F114BB" w:rsidRPr="001A05F4">
        <w:rPr>
          <w:rFonts w:asciiTheme="minorHAnsi" w:hAnsiTheme="minorHAnsi"/>
          <w:bCs/>
          <w:szCs w:val="24"/>
        </w:rPr>
        <w:t xml:space="preserve"> the outcomes of the Hammersmith motor function scale – expanded (HFMSE), revised upper limb module (RULM) and six minute walk test (6MWT) </w:t>
      </w:r>
      <w:r w:rsidR="00893EAD" w:rsidRPr="001A05F4">
        <w:rPr>
          <w:rFonts w:asciiTheme="minorHAnsi" w:hAnsiTheme="minorHAnsi"/>
          <w:bCs/>
          <w:szCs w:val="24"/>
        </w:rPr>
        <w:t>from Hagenacker 2020</w:t>
      </w:r>
      <w:r w:rsidR="00F114BB" w:rsidRPr="001A05F4">
        <w:rPr>
          <w:rFonts w:asciiTheme="minorHAnsi" w:hAnsiTheme="minorHAnsi"/>
          <w:bCs/>
          <w:szCs w:val="24"/>
        </w:rPr>
        <w:t xml:space="preserve"> and highlighted the clinical significance of these outcomes for adult patients. </w:t>
      </w:r>
    </w:p>
    <w:p w:rsidR="00445790" w:rsidRPr="001A05F4" w:rsidRDefault="00BA200B" w:rsidP="00F9436F">
      <w:pPr>
        <w:pStyle w:val="ListParagraph"/>
        <w:numPr>
          <w:ilvl w:val="1"/>
          <w:numId w:val="2"/>
        </w:numPr>
        <w:rPr>
          <w:rFonts w:asciiTheme="minorHAnsi" w:hAnsiTheme="minorHAnsi"/>
          <w:bCs/>
          <w:szCs w:val="24"/>
        </w:rPr>
      </w:pPr>
      <w:r w:rsidRPr="001A05F4">
        <w:rPr>
          <w:rFonts w:asciiTheme="minorHAnsi" w:hAnsiTheme="minorHAnsi"/>
          <w:bCs/>
          <w:szCs w:val="24"/>
        </w:rPr>
        <w:t xml:space="preserve">The clinician stated that adult patients have actively been engaged to enrol in the Australian SMA registry. </w:t>
      </w:r>
      <w:r w:rsidR="00B96B59" w:rsidRPr="001A05F4">
        <w:rPr>
          <w:rFonts w:asciiTheme="minorHAnsi" w:hAnsiTheme="minorHAnsi"/>
          <w:bCs/>
          <w:szCs w:val="24"/>
        </w:rPr>
        <w:t>The clinician stated that clinical experts were currently working to</w:t>
      </w:r>
      <w:r w:rsidR="0084146B" w:rsidRPr="001A05F4">
        <w:rPr>
          <w:rFonts w:asciiTheme="minorHAnsi" w:hAnsiTheme="minorHAnsi"/>
          <w:bCs/>
          <w:szCs w:val="24"/>
        </w:rPr>
        <w:t xml:space="preserve"> determine</w:t>
      </w:r>
      <w:r w:rsidR="00B96B59" w:rsidRPr="001A05F4">
        <w:rPr>
          <w:rFonts w:asciiTheme="minorHAnsi" w:hAnsiTheme="minorHAnsi"/>
          <w:bCs/>
          <w:szCs w:val="24"/>
        </w:rPr>
        <w:t xml:space="preserve"> </w:t>
      </w:r>
      <w:r w:rsidR="0084146B" w:rsidRPr="001A05F4">
        <w:rPr>
          <w:rFonts w:asciiTheme="minorHAnsi" w:hAnsiTheme="minorHAnsi"/>
          <w:bCs/>
          <w:szCs w:val="24"/>
        </w:rPr>
        <w:t>which patient reported outcome tool would be most relevant for Australian patients and that this would be further discussed in the clinician-le</w:t>
      </w:r>
      <w:r w:rsidR="00A554CB" w:rsidRPr="001A05F4">
        <w:rPr>
          <w:rFonts w:asciiTheme="minorHAnsi" w:hAnsiTheme="minorHAnsi"/>
          <w:bCs/>
          <w:szCs w:val="24"/>
        </w:rPr>
        <w:t>d</w:t>
      </w:r>
      <w:r w:rsidR="0084146B" w:rsidRPr="001A05F4">
        <w:rPr>
          <w:rFonts w:asciiTheme="minorHAnsi" w:hAnsiTheme="minorHAnsi"/>
          <w:bCs/>
          <w:szCs w:val="24"/>
        </w:rPr>
        <w:t xml:space="preserve"> focus groups with adults with SMA. </w:t>
      </w:r>
      <w:r w:rsidR="009A3227" w:rsidRPr="001A05F4">
        <w:rPr>
          <w:rFonts w:asciiTheme="minorHAnsi" w:hAnsiTheme="minorHAnsi"/>
          <w:bCs/>
          <w:szCs w:val="24"/>
        </w:rPr>
        <w:t>The clinician noted that while the</w:t>
      </w:r>
      <w:r w:rsidR="001C65B0" w:rsidRPr="001A05F4">
        <w:rPr>
          <w:rFonts w:asciiTheme="minorHAnsi" w:hAnsiTheme="minorHAnsi"/>
          <w:bCs/>
          <w:szCs w:val="24"/>
        </w:rPr>
        <w:t xml:space="preserve"> </w:t>
      </w:r>
      <w:r w:rsidR="009A3227" w:rsidRPr="001A05F4">
        <w:rPr>
          <w:rFonts w:asciiTheme="minorHAnsi" w:hAnsiTheme="minorHAnsi"/>
          <w:bCs/>
          <w:szCs w:val="24"/>
        </w:rPr>
        <w:t xml:space="preserve">registry </w:t>
      </w:r>
      <w:r w:rsidR="001C65B0" w:rsidRPr="001A05F4">
        <w:rPr>
          <w:rFonts w:asciiTheme="minorHAnsi" w:hAnsiTheme="minorHAnsi"/>
          <w:bCs/>
          <w:szCs w:val="24"/>
        </w:rPr>
        <w:t xml:space="preserve">would be useful for collating </w:t>
      </w:r>
      <w:r w:rsidR="009A3227" w:rsidRPr="001A05F4">
        <w:rPr>
          <w:rFonts w:asciiTheme="minorHAnsi" w:hAnsiTheme="minorHAnsi"/>
          <w:bCs/>
          <w:szCs w:val="24"/>
        </w:rPr>
        <w:t>data</w:t>
      </w:r>
      <w:r w:rsidR="001C65B0" w:rsidRPr="001A05F4">
        <w:rPr>
          <w:rFonts w:asciiTheme="minorHAnsi" w:hAnsiTheme="minorHAnsi"/>
          <w:bCs/>
          <w:szCs w:val="24"/>
        </w:rPr>
        <w:t xml:space="preserve"> on patient outcomes</w:t>
      </w:r>
      <w:r w:rsidR="009A3227" w:rsidRPr="001A05F4">
        <w:rPr>
          <w:rFonts w:asciiTheme="minorHAnsi" w:hAnsiTheme="minorHAnsi"/>
          <w:bCs/>
          <w:szCs w:val="24"/>
        </w:rPr>
        <w:t>, the collection of HFMSE and RULM data is challenging as most adult neuromuscular clinics in Australia are not multidisciplinary with few having access to physiotherapy resources which are required for HFMSE and RULM assessment.</w:t>
      </w:r>
    </w:p>
    <w:p w:rsidR="00445790" w:rsidRPr="001A05F4" w:rsidRDefault="00445790" w:rsidP="00C70AB5">
      <w:pPr>
        <w:pStyle w:val="4-SubsectionHeading"/>
      </w:pPr>
      <w:r w:rsidRPr="001A05F4">
        <w:t xml:space="preserve">Consumer comments </w:t>
      </w:r>
    </w:p>
    <w:p w:rsidR="00445790" w:rsidRPr="001A05F4" w:rsidRDefault="009A3227" w:rsidP="00F9436F">
      <w:pPr>
        <w:widowControl/>
        <w:numPr>
          <w:ilvl w:val="1"/>
          <w:numId w:val="2"/>
        </w:numPr>
        <w:spacing w:after="120"/>
        <w:rPr>
          <w:rFonts w:asciiTheme="minorHAnsi" w:hAnsiTheme="minorHAnsi"/>
          <w:bCs/>
          <w:szCs w:val="24"/>
        </w:rPr>
      </w:pPr>
      <w:r w:rsidRPr="001A05F4">
        <w:rPr>
          <w:rFonts w:asciiTheme="minorHAnsi" w:hAnsiTheme="minorHAnsi"/>
          <w:bCs/>
          <w:iCs/>
          <w:szCs w:val="24"/>
        </w:rPr>
        <w:t>The PBAC noted and welcomed the input from individuals (72)</w:t>
      </w:r>
      <w:r w:rsidR="00DF2694" w:rsidRPr="001A05F4">
        <w:rPr>
          <w:rFonts w:asciiTheme="minorHAnsi" w:hAnsiTheme="minorHAnsi"/>
          <w:bCs/>
          <w:iCs/>
          <w:szCs w:val="24"/>
        </w:rPr>
        <w:t xml:space="preserve">, health care professionals (2) and organisations (3) via the Consumer Comments facility on the PBS website. </w:t>
      </w:r>
      <w:r w:rsidR="00A10A71" w:rsidRPr="001A05F4">
        <w:rPr>
          <w:rFonts w:asciiTheme="minorHAnsi" w:hAnsiTheme="minorHAnsi"/>
          <w:bCs/>
          <w:iCs/>
          <w:szCs w:val="24"/>
        </w:rPr>
        <w:t>The comments described</w:t>
      </w:r>
      <w:r w:rsidR="00255FCA" w:rsidRPr="001A05F4">
        <w:rPr>
          <w:rFonts w:asciiTheme="minorHAnsi" w:hAnsiTheme="minorHAnsi"/>
          <w:bCs/>
          <w:iCs/>
          <w:szCs w:val="24"/>
        </w:rPr>
        <w:t xml:space="preserve"> the</w:t>
      </w:r>
      <w:r w:rsidR="004240C7" w:rsidRPr="001A05F4">
        <w:rPr>
          <w:rFonts w:asciiTheme="minorHAnsi" w:hAnsiTheme="minorHAnsi"/>
          <w:bCs/>
          <w:iCs/>
          <w:szCs w:val="24"/>
        </w:rPr>
        <w:t xml:space="preserve"> progressive loss of </w:t>
      </w:r>
      <w:r w:rsidR="002C34D8" w:rsidRPr="001A05F4">
        <w:rPr>
          <w:rFonts w:asciiTheme="minorHAnsi" w:hAnsiTheme="minorHAnsi"/>
          <w:bCs/>
          <w:iCs/>
          <w:szCs w:val="24"/>
        </w:rPr>
        <w:t xml:space="preserve">muscle </w:t>
      </w:r>
      <w:r w:rsidR="004240C7" w:rsidRPr="001A05F4">
        <w:rPr>
          <w:rFonts w:asciiTheme="minorHAnsi" w:hAnsiTheme="minorHAnsi"/>
          <w:bCs/>
          <w:iCs/>
          <w:szCs w:val="24"/>
        </w:rPr>
        <w:t>strength</w:t>
      </w:r>
      <w:r w:rsidR="002C34D8" w:rsidRPr="001A05F4">
        <w:rPr>
          <w:rFonts w:asciiTheme="minorHAnsi" w:hAnsiTheme="minorHAnsi"/>
          <w:bCs/>
          <w:iCs/>
          <w:szCs w:val="24"/>
        </w:rPr>
        <w:t xml:space="preserve"> and</w:t>
      </w:r>
      <w:r w:rsidR="004240C7" w:rsidRPr="001A05F4">
        <w:rPr>
          <w:rFonts w:asciiTheme="minorHAnsi" w:hAnsiTheme="minorHAnsi"/>
          <w:bCs/>
          <w:iCs/>
          <w:szCs w:val="24"/>
        </w:rPr>
        <w:t xml:space="preserve"> motor function</w:t>
      </w:r>
      <w:r w:rsidR="002C34D8" w:rsidRPr="001A05F4">
        <w:rPr>
          <w:rFonts w:asciiTheme="minorHAnsi" w:hAnsiTheme="minorHAnsi"/>
          <w:bCs/>
          <w:iCs/>
          <w:szCs w:val="24"/>
        </w:rPr>
        <w:t xml:space="preserve"> associated</w:t>
      </w:r>
      <w:r w:rsidR="004240C7" w:rsidRPr="001A05F4">
        <w:rPr>
          <w:rFonts w:asciiTheme="minorHAnsi" w:hAnsiTheme="minorHAnsi"/>
          <w:bCs/>
          <w:iCs/>
          <w:szCs w:val="24"/>
        </w:rPr>
        <w:t xml:space="preserve"> </w:t>
      </w:r>
      <w:r w:rsidR="002C34D8" w:rsidRPr="001A05F4">
        <w:rPr>
          <w:rFonts w:asciiTheme="minorHAnsi" w:hAnsiTheme="minorHAnsi"/>
          <w:bCs/>
          <w:iCs/>
          <w:szCs w:val="24"/>
        </w:rPr>
        <w:t xml:space="preserve">with SMA and the </w:t>
      </w:r>
      <w:r w:rsidR="004240C7" w:rsidRPr="001A05F4">
        <w:rPr>
          <w:rFonts w:asciiTheme="minorHAnsi" w:hAnsiTheme="minorHAnsi"/>
          <w:bCs/>
          <w:iCs/>
          <w:szCs w:val="24"/>
        </w:rPr>
        <w:t xml:space="preserve">significant </w:t>
      </w:r>
      <w:r w:rsidR="00255FCA" w:rsidRPr="001A05F4">
        <w:rPr>
          <w:rFonts w:asciiTheme="minorHAnsi" w:hAnsiTheme="minorHAnsi"/>
          <w:bCs/>
          <w:iCs/>
          <w:szCs w:val="24"/>
        </w:rPr>
        <w:t>impact</w:t>
      </w:r>
      <w:r w:rsidR="002C34D8" w:rsidRPr="001A05F4">
        <w:rPr>
          <w:rFonts w:asciiTheme="minorHAnsi" w:hAnsiTheme="minorHAnsi"/>
          <w:bCs/>
          <w:iCs/>
          <w:szCs w:val="24"/>
        </w:rPr>
        <w:t xml:space="preserve"> of </w:t>
      </w:r>
      <w:r w:rsidR="00C770C3" w:rsidRPr="001A05F4">
        <w:rPr>
          <w:rFonts w:asciiTheme="minorHAnsi" w:hAnsiTheme="minorHAnsi"/>
          <w:bCs/>
          <w:iCs/>
          <w:szCs w:val="24"/>
        </w:rPr>
        <w:t>this deterioration</w:t>
      </w:r>
      <w:r w:rsidR="002C34D8" w:rsidRPr="001A05F4">
        <w:rPr>
          <w:rFonts w:asciiTheme="minorHAnsi" w:hAnsiTheme="minorHAnsi"/>
          <w:bCs/>
          <w:iCs/>
          <w:szCs w:val="24"/>
        </w:rPr>
        <w:t xml:space="preserve"> on daily life (e.g. ability to work, </w:t>
      </w:r>
      <w:r w:rsidR="00AE6BAD" w:rsidRPr="001A05F4">
        <w:rPr>
          <w:rFonts w:asciiTheme="minorHAnsi" w:hAnsiTheme="minorHAnsi"/>
          <w:bCs/>
          <w:iCs/>
          <w:szCs w:val="24"/>
        </w:rPr>
        <w:t xml:space="preserve">and ability to self-care). The comments also </w:t>
      </w:r>
      <w:r w:rsidR="00C770C3" w:rsidRPr="001A05F4">
        <w:rPr>
          <w:rFonts w:asciiTheme="minorHAnsi" w:hAnsiTheme="minorHAnsi"/>
          <w:bCs/>
          <w:iCs/>
          <w:szCs w:val="24"/>
        </w:rPr>
        <w:t>noted that the fear of disease progression and uncertainty of access to treatment had a detrimental impact on patients’ mental health.</w:t>
      </w:r>
      <w:r w:rsidR="00CF4B89" w:rsidRPr="001A05F4">
        <w:rPr>
          <w:rFonts w:asciiTheme="minorHAnsi" w:hAnsiTheme="minorHAnsi"/>
          <w:bCs/>
          <w:iCs/>
          <w:szCs w:val="24"/>
        </w:rPr>
        <w:t xml:space="preserve"> The comments emphasised that even though nusinersen may not be curative, slowing or stabilising disease progression is important </w:t>
      </w:r>
      <w:r w:rsidR="007464E5" w:rsidRPr="001A05F4">
        <w:rPr>
          <w:rFonts w:asciiTheme="minorHAnsi" w:hAnsiTheme="minorHAnsi"/>
          <w:bCs/>
          <w:iCs/>
          <w:szCs w:val="24"/>
        </w:rPr>
        <w:t xml:space="preserve">as it could allow patients to maintain a level of </w:t>
      </w:r>
      <w:r w:rsidR="00BF6F0B" w:rsidRPr="001A05F4">
        <w:rPr>
          <w:rFonts w:asciiTheme="minorHAnsi" w:hAnsiTheme="minorHAnsi"/>
          <w:bCs/>
          <w:iCs/>
          <w:szCs w:val="24"/>
        </w:rPr>
        <w:t>independence and</w:t>
      </w:r>
      <w:r w:rsidR="007464E5" w:rsidRPr="001A05F4">
        <w:rPr>
          <w:rFonts w:asciiTheme="minorHAnsi" w:hAnsiTheme="minorHAnsi"/>
          <w:bCs/>
          <w:iCs/>
          <w:szCs w:val="24"/>
        </w:rPr>
        <w:t xml:space="preserve"> improve</w:t>
      </w:r>
      <w:r w:rsidR="00BF6F0B" w:rsidRPr="001A05F4">
        <w:rPr>
          <w:rFonts w:asciiTheme="minorHAnsi" w:hAnsiTheme="minorHAnsi"/>
          <w:bCs/>
          <w:iCs/>
          <w:szCs w:val="24"/>
        </w:rPr>
        <w:t xml:space="preserve"> patient</w:t>
      </w:r>
      <w:r w:rsidR="007464E5" w:rsidRPr="001A05F4">
        <w:rPr>
          <w:rFonts w:asciiTheme="minorHAnsi" w:hAnsiTheme="minorHAnsi"/>
          <w:bCs/>
          <w:iCs/>
          <w:szCs w:val="24"/>
        </w:rPr>
        <w:t xml:space="preserve"> quality of life. </w:t>
      </w:r>
      <w:r w:rsidR="002B5E92" w:rsidRPr="001A05F4">
        <w:rPr>
          <w:rFonts w:asciiTheme="minorHAnsi" w:hAnsiTheme="minorHAnsi"/>
          <w:bCs/>
          <w:iCs/>
          <w:szCs w:val="24"/>
        </w:rPr>
        <w:t xml:space="preserve">Many of the comments also raised issues of equity around access to treatment and expressed frustration that nusinersen was only subsidised for paediatric patients. </w:t>
      </w:r>
    </w:p>
    <w:p w:rsidR="00A51782" w:rsidRPr="001A05F4" w:rsidRDefault="00BF6F0B" w:rsidP="00F9436F">
      <w:pPr>
        <w:widowControl/>
        <w:numPr>
          <w:ilvl w:val="1"/>
          <w:numId w:val="2"/>
        </w:numPr>
        <w:spacing w:after="120"/>
        <w:rPr>
          <w:rFonts w:asciiTheme="minorHAnsi" w:hAnsiTheme="minorHAnsi"/>
          <w:bCs/>
          <w:szCs w:val="24"/>
        </w:rPr>
      </w:pPr>
      <w:r w:rsidRPr="001A05F4">
        <w:rPr>
          <w:rFonts w:asciiTheme="minorHAnsi" w:hAnsiTheme="minorHAnsi"/>
          <w:bCs/>
          <w:szCs w:val="24"/>
        </w:rPr>
        <w:t xml:space="preserve">The Muscular Dystrophy Association of NSW, Duchenne Australia and SMA Australia strongly supported expanding access of nusinersen to all patients with SMA. </w:t>
      </w:r>
      <w:r w:rsidR="00865D8C" w:rsidRPr="001A05F4">
        <w:rPr>
          <w:rFonts w:asciiTheme="minorHAnsi" w:hAnsiTheme="minorHAnsi"/>
          <w:bCs/>
          <w:szCs w:val="24"/>
        </w:rPr>
        <w:t xml:space="preserve">The organisations </w:t>
      </w:r>
      <w:r w:rsidR="00E72BEA" w:rsidRPr="001A05F4">
        <w:rPr>
          <w:rFonts w:asciiTheme="minorHAnsi" w:hAnsiTheme="minorHAnsi"/>
          <w:bCs/>
          <w:szCs w:val="24"/>
        </w:rPr>
        <w:t>highlighted th</w:t>
      </w:r>
      <w:r w:rsidR="002C1B19" w:rsidRPr="001A05F4">
        <w:rPr>
          <w:rFonts w:asciiTheme="minorHAnsi" w:hAnsiTheme="minorHAnsi"/>
          <w:bCs/>
          <w:szCs w:val="24"/>
        </w:rPr>
        <w:t xml:space="preserve">e high demand for effective treatments for adult patients with SMA. </w:t>
      </w:r>
      <w:r w:rsidR="004C5373" w:rsidRPr="001A05F4">
        <w:rPr>
          <w:rFonts w:asciiTheme="minorHAnsi" w:hAnsiTheme="minorHAnsi"/>
          <w:bCs/>
          <w:szCs w:val="24"/>
        </w:rPr>
        <w:t xml:space="preserve">The </w:t>
      </w:r>
      <w:r w:rsidR="002C1B19" w:rsidRPr="001A05F4">
        <w:rPr>
          <w:rFonts w:asciiTheme="minorHAnsi" w:hAnsiTheme="minorHAnsi"/>
          <w:bCs/>
          <w:szCs w:val="24"/>
        </w:rPr>
        <w:t>Muscular Dystrophy Association of NSW noted that</w:t>
      </w:r>
      <w:r w:rsidR="00EE6C6D" w:rsidRPr="001A05F4">
        <w:rPr>
          <w:rFonts w:asciiTheme="minorHAnsi" w:hAnsiTheme="minorHAnsi"/>
          <w:bCs/>
          <w:szCs w:val="24"/>
        </w:rPr>
        <w:t xml:space="preserve"> many patients valued </w:t>
      </w:r>
      <w:bookmarkStart w:id="11" w:name="_Hlk77590360"/>
      <w:r w:rsidR="00EE6C6D" w:rsidRPr="001A05F4">
        <w:rPr>
          <w:rFonts w:asciiTheme="minorHAnsi" w:hAnsiTheme="minorHAnsi"/>
          <w:bCs/>
          <w:szCs w:val="24"/>
        </w:rPr>
        <w:t xml:space="preserve">even a small improvement in functioning </w:t>
      </w:r>
      <w:bookmarkEnd w:id="11"/>
      <w:r w:rsidR="00EE6C6D" w:rsidRPr="001A05F4">
        <w:rPr>
          <w:rFonts w:asciiTheme="minorHAnsi" w:hAnsiTheme="minorHAnsi"/>
          <w:bCs/>
          <w:szCs w:val="24"/>
        </w:rPr>
        <w:t xml:space="preserve">as this could </w:t>
      </w:r>
      <w:r w:rsidR="001747A7" w:rsidRPr="001A05F4">
        <w:rPr>
          <w:rFonts w:asciiTheme="minorHAnsi" w:hAnsiTheme="minorHAnsi"/>
          <w:bCs/>
          <w:szCs w:val="24"/>
        </w:rPr>
        <w:t>mean maintenance of employment and independence.</w:t>
      </w:r>
      <w:r w:rsidR="004C5373" w:rsidRPr="001A05F4">
        <w:rPr>
          <w:rFonts w:asciiTheme="minorHAnsi" w:hAnsiTheme="minorHAnsi"/>
          <w:bCs/>
          <w:szCs w:val="24"/>
        </w:rPr>
        <w:t xml:space="preserve"> The Muscular Dystrophy Association of NSW also noted the high </w:t>
      </w:r>
      <w:r w:rsidR="00C70AB5" w:rsidRPr="001A05F4">
        <w:rPr>
          <w:rFonts w:asciiTheme="minorHAnsi" w:hAnsiTheme="minorHAnsi"/>
          <w:bCs/>
          <w:szCs w:val="24"/>
        </w:rPr>
        <w:t xml:space="preserve">caregiver burden in families </w:t>
      </w:r>
      <w:r w:rsidR="004C5373" w:rsidRPr="001A05F4">
        <w:rPr>
          <w:rFonts w:asciiTheme="minorHAnsi" w:hAnsiTheme="minorHAnsi"/>
          <w:bCs/>
          <w:szCs w:val="24"/>
        </w:rPr>
        <w:t xml:space="preserve">of </w:t>
      </w:r>
      <w:r w:rsidR="002B5E92" w:rsidRPr="001A05F4">
        <w:rPr>
          <w:rFonts w:asciiTheme="minorHAnsi" w:hAnsiTheme="minorHAnsi"/>
          <w:bCs/>
          <w:szCs w:val="24"/>
        </w:rPr>
        <w:t>adult patients with SMA</w:t>
      </w:r>
      <w:r w:rsidR="001A05F4">
        <w:rPr>
          <w:rFonts w:asciiTheme="minorHAnsi" w:hAnsiTheme="minorHAnsi"/>
          <w:bCs/>
          <w:szCs w:val="24"/>
        </w:rPr>
        <w:t xml:space="preserve">. </w:t>
      </w:r>
    </w:p>
    <w:p w:rsidR="00C66BE6" w:rsidRPr="001A05F4" w:rsidRDefault="00C66BE6" w:rsidP="00C66BE6">
      <w:pPr>
        <w:pStyle w:val="4-SubsectionHeading"/>
      </w:pPr>
      <w:bookmarkStart w:id="12" w:name="_Toc72327828"/>
      <w:r w:rsidRPr="001A05F4">
        <w:t>Clinical trials</w:t>
      </w:r>
      <w:bookmarkEnd w:id="12"/>
    </w:p>
    <w:p w:rsidR="005E0979" w:rsidRPr="001A05F4" w:rsidRDefault="005E0979" w:rsidP="00F9436F">
      <w:pPr>
        <w:pStyle w:val="ListParagraph"/>
        <w:widowControl/>
        <w:numPr>
          <w:ilvl w:val="1"/>
          <w:numId w:val="2"/>
        </w:numPr>
        <w:rPr>
          <w:rFonts w:cs="Calibri"/>
          <w:snapToGrid/>
          <w:szCs w:val="24"/>
          <w:lang w:eastAsia="en-AU"/>
        </w:rPr>
      </w:pPr>
      <w:r w:rsidRPr="001A05F4">
        <w:rPr>
          <w:rFonts w:cs="Calibri"/>
          <w:snapToGrid/>
          <w:szCs w:val="24"/>
          <w:lang w:eastAsia="en-AU"/>
        </w:rPr>
        <w:t xml:space="preserve">No head-to-head trials of nusinersen versus standard of care were available in adult patients with SMA. </w:t>
      </w:r>
      <w:r w:rsidR="00C66BE6" w:rsidRPr="001A05F4">
        <w:rPr>
          <w:rFonts w:cs="Calibri"/>
          <w:snapToGrid/>
          <w:szCs w:val="24"/>
          <w:lang w:eastAsia="en-AU"/>
        </w:rPr>
        <w:t xml:space="preserve">The resubmission was based on </w:t>
      </w:r>
      <w:bookmarkStart w:id="13" w:name="_Hlk77596500"/>
      <w:r w:rsidRPr="001A05F4">
        <w:rPr>
          <w:rFonts w:cs="Calibri"/>
          <w:snapToGrid/>
          <w:szCs w:val="24"/>
          <w:lang w:eastAsia="en-AU"/>
        </w:rPr>
        <w:t xml:space="preserve">a naïve comparison of nusinersen studies with natural history studies of SMA patients. </w:t>
      </w:r>
      <w:bookmarkEnd w:id="13"/>
    </w:p>
    <w:p w:rsidR="005E0979" w:rsidRPr="001A05F4" w:rsidRDefault="005E0979" w:rsidP="00F9436F">
      <w:pPr>
        <w:pStyle w:val="ListParagraph"/>
        <w:widowControl/>
        <w:numPr>
          <w:ilvl w:val="1"/>
          <w:numId w:val="2"/>
        </w:numPr>
        <w:rPr>
          <w:rFonts w:cs="Calibri"/>
          <w:snapToGrid/>
          <w:szCs w:val="24"/>
          <w:lang w:eastAsia="en-AU"/>
        </w:rPr>
      </w:pPr>
      <w:r w:rsidRPr="001A05F4">
        <w:rPr>
          <w:rFonts w:cs="Calibri"/>
          <w:snapToGrid/>
          <w:szCs w:val="24"/>
          <w:lang w:eastAsia="en-AU"/>
        </w:rPr>
        <w:t xml:space="preserve">Data for nusinersen in adults with SMA was informed by </w:t>
      </w:r>
      <w:r w:rsidR="00C66BE6" w:rsidRPr="001A05F4">
        <w:rPr>
          <w:rFonts w:cs="Calibri"/>
          <w:snapToGrid/>
          <w:szCs w:val="24"/>
          <w:lang w:eastAsia="en-AU"/>
        </w:rPr>
        <w:t xml:space="preserve">eight real-world studies in 317 adults with </w:t>
      </w:r>
      <w:r w:rsidRPr="001A05F4">
        <w:rPr>
          <w:rFonts w:cs="Calibri"/>
          <w:snapToGrid/>
          <w:szCs w:val="24"/>
          <w:lang w:eastAsia="en-AU"/>
        </w:rPr>
        <w:t>a mean follow-</w:t>
      </w:r>
      <w:r w:rsidR="00C66BE6" w:rsidRPr="001A05F4">
        <w:rPr>
          <w:rFonts w:cs="Calibri"/>
          <w:snapToGrid/>
          <w:szCs w:val="24"/>
          <w:lang w:eastAsia="en-AU"/>
        </w:rPr>
        <w:t xml:space="preserve">up </w:t>
      </w:r>
      <w:r w:rsidRPr="001A05F4">
        <w:rPr>
          <w:rFonts w:cs="Calibri"/>
          <w:snapToGrid/>
          <w:szCs w:val="24"/>
          <w:lang w:eastAsia="en-AU"/>
        </w:rPr>
        <w:t xml:space="preserve">of up </w:t>
      </w:r>
      <w:r w:rsidR="00C66BE6" w:rsidRPr="001A05F4">
        <w:rPr>
          <w:rFonts w:cs="Calibri"/>
          <w:snapToGrid/>
          <w:szCs w:val="24"/>
          <w:lang w:eastAsia="en-AU"/>
        </w:rPr>
        <w:t>to 1</w:t>
      </w:r>
      <w:r w:rsidRPr="001A05F4">
        <w:rPr>
          <w:rFonts w:cs="Calibri"/>
          <w:snapToGrid/>
          <w:szCs w:val="24"/>
          <w:lang w:eastAsia="en-AU"/>
        </w:rPr>
        <w:t>7</w:t>
      </w:r>
      <w:r w:rsidR="00C66BE6" w:rsidRPr="001A05F4">
        <w:rPr>
          <w:rFonts w:cs="Calibri"/>
          <w:snapToGrid/>
          <w:szCs w:val="24"/>
          <w:lang w:eastAsia="en-AU"/>
        </w:rPr>
        <w:t xml:space="preserve"> months (Maggi 2020, Hagenacker 2020, Walter 2019, Duong 2021, De Wel 2020, Jochmann 2020, Veerapandiyan 2019 and Yeo 2020), </w:t>
      </w:r>
      <w:bookmarkStart w:id="14" w:name="_Hlk77591945"/>
      <w:r w:rsidR="00C66BE6" w:rsidRPr="001A05F4">
        <w:rPr>
          <w:rFonts w:cs="Calibri"/>
          <w:snapToGrid/>
          <w:szCs w:val="24"/>
          <w:lang w:eastAsia="en-AU"/>
        </w:rPr>
        <w:t xml:space="preserve">and data pooled from three European SMA registries </w:t>
      </w:r>
      <w:r w:rsidR="00A47693" w:rsidRPr="001A05F4">
        <w:rPr>
          <w:rFonts w:cs="Calibri"/>
          <w:snapToGrid/>
          <w:szCs w:val="24"/>
          <w:lang w:eastAsia="en-AU"/>
        </w:rPr>
        <w:t xml:space="preserve">(referred to as SMA Registry from herein) </w:t>
      </w:r>
      <w:r w:rsidR="00C66BE6" w:rsidRPr="001A05F4">
        <w:rPr>
          <w:rFonts w:cs="Calibri"/>
          <w:snapToGrid/>
          <w:szCs w:val="24"/>
          <w:lang w:eastAsia="en-AU"/>
        </w:rPr>
        <w:t>in 252 adults</w:t>
      </w:r>
      <w:r w:rsidR="00A47693" w:rsidRPr="001A05F4">
        <w:rPr>
          <w:rFonts w:cs="Calibri"/>
          <w:snapToGrid/>
          <w:szCs w:val="24"/>
          <w:lang w:eastAsia="en-AU"/>
        </w:rPr>
        <w:t xml:space="preserve"> (Cohort 1)</w:t>
      </w:r>
      <w:r w:rsidRPr="001A05F4">
        <w:rPr>
          <w:rFonts w:cs="Calibri"/>
          <w:snapToGrid/>
          <w:szCs w:val="24"/>
          <w:lang w:eastAsia="en-AU"/>
        </w:rPr>
        <w:t>, of which</w:t>
      </w:r>
      <w:r w:rsidR="00623D0D" w:rsidRPr="001A05F4">
        <w:rPr>
          <w:rFonts w:cs="Calibri"/>
          <w:snapToGrid/>
          <w:szCs w:val="24"/>
          <w:lang w:eastAsia="en-AU"/>
        </w:rPr>
        <w:t xml:space="preserve"> a subset of</w:t>
      </w:r>
      <w:r w:rsidRPr="001A05F4">
        <w:rPr>
          <w:rFonts w:cs="Calibri"/>
          <w:snapToGrid/>
          <w:szCs w:val="24"/>
          <w:lang w:eastAsia="en-AU"/>
        </w:rPr>
        <w:t xml:space="preserve"> 75 patients reported results before and after initiation of nusinersen</w:t>
      </w:r>
      <w:r w:rsidR="00A47693" w:rsidRPr="001A05F4">
        <w:rPr>
          <w:rFonts w:cs="Calibri"/>
          <w:snapToGrid/>
          <w:szCs w:val="24"/>
          <w:lang w:eastAsia="en-AU"/>
        </w:rPr>
        <w:t xml:space="preserve"> (Cohort 2)</w:t>
      </w:r>
      <w:r w:rsidR="00C66BE6" w:rsidRPr="001A05F4">
        <w:rPr>
          <w:rFonts w:cs="Calibri"/>
          <w:snapToGrid/>
          <w:szCs w:val="24"/>
          <w:lang w:eastAsia="en-AU"/>
        </w:rPr>
        <w:t xml:space="preserve">. </w:t>
      </w:r>
      <w:bookmarkEnd w:id="14"/>
      <w:r w:rsidRPr="001A05F4">
        <w:rPr>
          <w:rFonts w:cs="Calibri"/>
          <w:snapToGrid/>
          <w:szCs w:val="24"/>
          <w:lang w:eastAsia="en-AU"/>
        </w:rPr>
        <w:t>Mean follow</w:t>
      </w:r>
      <w:r w:rsidR="006901F6" w:rsidRPr="001A05F4">
        <w:rPr>
          <w:rFonts w:cs="Calibri"/>
          <w:snapToGrid/>
          <w:szCs w:val="24"/>
          <w:lang w:eastAsia="en-AU"/>
        </w:rPr>
        <w:t>-</w:t>
      </w:r>
      <w:r w:rsidRPr="001A05F4">
        <w:rPr>
          <w:rFonts w:cs="Calibri"/>
          <w:snapToGrid/>
          <w:szCs w:val="24"/>
          <w:lang w:eastAsia="en-AU"/>
        </w:rPr>
        <w:t xml:space="preserve">up before and after nusinersen initiation in </w:t>
      </w:r>
      <w:r w:rsidR="00A47693" w:rsidRPr="001A05F4">
        <w:rPr>
          <w:rFonts w:cs="Calibri"/>
          <w:snapToGrid/>
          <w:szCs w:val="24"/>
          <w:lang w:eastAsia="en-AU"/>
        </w:rPr>
        <w:t xml:space="preserve">Cohort 2 in the </w:t>
      </w:r>
      <w:r w:rsidRPr="001A05F4">
        <w:rPr>
          <w:rFonts w:cs="Calibri"/>
          <w:snapToGrid/>
          <w:szCs w:val="24"/>
          <w:lang w:eastAsia="en-AU"/>
        </w:rPr>
        <w:t>SMA registry was 131 weeks and 52 weeks, respectively.</w:t>
      </w:r>
    </w:p>
    <w:p w:rsidR="005E0979" w:rsidRPr="001A05F4" w:rsidRDefault="00C66BE6" w:rsidP="00F9436F">
      <w:pPr>
        <w:pStyle w:val="ListParagraph"/>
        <w:widowControl/>
        <w:numPr>
          <w:ilvl w:val="1"/>
          <w:numId w:val="2"/>
        </w:numPr>
        <w:rPr>
          <w:rFonts w:cs="Calibri"/>
          <w:snapToGrid/>
          <w:szCs w:val="24"/>
          <w:lang w:eastAsia="en-AU"/>
        </w:rPr>
      </w:pPr>
      <w:r w:rsidRPr="001A05F4">
        <w:rPr>
          <w:rFonts w:cs="Calibri"/>
          <w:snapToGrid/>
          <w:szCs w:val="24"/>
          <w:lang w:eastAsia="en-AU"/>
        </w:rPr>
        <w:t>Natural history data from ten studies (Mercuri 2016, Montes 2018, Pera 2019, Wadman 2019, Coratti 2020a, Coratti 2020b, Wijngaarde 2020a, Querin 2021, Mazzone 2013 and Bonati 2017) w</w:t>
      </w:r>
      <w:r w:rsidR="00D4095D" w:rsidRPr="001A05F4">
        <w:rPr>
          <w:rFonts w:cs="Calibri"/>
          <w:snapToGrid/>
          <w:szCs w:val="24"/>
          <w:lang w:eastAsia="en-AU"/>
        </w:rPr>
        <w:t>ere</w:t>
      </w:r>
      <w:r w:rsidRPr="001A05F4">
        <w:rPr>
          <w:rFonts w:cs="Calibri"/>
          <w:snapToGrid/>
          <w:szCs w:val="24"/>
          <w:lang w:eastAsia="en-AU"/>
        </w:rPr>
        <w:t xml:space="preserve"> presented to </w:t>
      </w:r>
      <w:r w:rsidR="005E0979" w:rsidRPr="001A05F4">
        <w:rPr>
          <w:rFonts w:cs="Calibri"/>
          <w:snapToGrid/>
          <w:szCs w:val="24"/>
          <w:lang w:eastAsia="en-AU"/>
        </w:rPr>
        <w:t xml:space="preserve">inform the </w:t>
      </w:r>
      <w:r w:rsidRPr="001A05F4">
        <w:rPr>
          <w:rFonts w:cs="Calibri"/>
          <w:snapToGrid/>
          <w:szCs w:val="24"/>
          <w:lang w:eastAsia="en-AU"/>
        </w:rPr>
        <w:t xml:space="preserve">naïve indirect comparison. </w:t>
      </w:r>
    </w:p>
    <w:p w:rsidR="00C66BE6" w:rsidRPr="001A05F4" w:rsidRDefault="00C66BE6" w:rsidP="00F9436F">
      <w:pPr>
        <w:pStyle w:val="ListParagraph"/>
        <w:widowControl/>
        <w:numPr>
          <w:ilvl w:val="1"/>
          <w:numId w:val="2"/>
        </w:numPr>
        <w:rPr>
          <w:rFonts w:cs="Calibri"/>
          <w:snapToGrid/>
          <w:szCs w:val="24"/>
          <w:lang w:eastAsia="en-AU"/>
        </w:rPr>
      </w:pPr>
      <w:r w:rsidRPr="001A05F4">
        <w:rPr>
          <w:rFonts w:cs="Calibri"/>
          <w:snapToGrid/>
          <w:szCs w:val="24"/>
          <w:lang w:eastAsia="en-AU"/>
        </w:rPr>
        <w:t xml:space="preserve">In the </w:t>
      </w:r>
      <w:r w:rsidR="00DB3EDA" w:rsidRPr="001A05F4">
        <w:rPr>
          <w:rFonts w:cs="Calibri"/>
          <w:snapToGrid/>
          <w:szCs w:val="24"/>
          <w:lang w:eastAsia="en-AU"/>
        </w:rPr>
        <w:t xml:space="preserve">November 2020 </w:t>
      </w:r>
      <w:r w:rsidRPr="001A05F4">
        <w:rPr>
          <w:rFonts w:cs="Calibri"/>
          <w:snapToGrid/>
          <w:szCs w:val="24"/>
          <w:lang w:eastAsia="en-AU"/>
        </w:rPr>
        <w:t xml:space="preserve">resubmission only two real-world studies </w:t>
      </w:r>
      <w:r w:rsidR="005E0979" w:rsidRPr="001A05F4">
        <w:rPr>
          <w:rFonts w:cs="Calibri"/>
          <w:snapToGrid/>
          <w:szCs w:val="24"/>
          <w:lang w:eastAsia="en-AU"/>
        </w:rPr>
        <w:t xml:space="preserve">of nusinersen in adults with SMA </w:t>
      </w:r>
      <w:r w:rsidRPr="001A05F4">
        <w:rPr>
          <w:rFonts w:cs="Calibri"/>
          <w:snapToGrid/>
          <w:szCs w:val="24"/>
          <w:lang w:eastAsia="en-AU"/>
        </w:rPr>
        <w:t xml:space="preserve">(Hagenacker 2020 and Walter 2019) and four natural history studies </w:t>
      </w:r>
      <w:r w:rsidR="005E0979" w:rsidRPr="001A05F4">
        <w:rPr>
          <w:rFonts w:cs="Calibri"/>
          <w:snapToGrid/>
          <w:szCs w:val="24"/>
          <w:lang w:eastAsia="en-AU"/>
        </w:rPr>
        <w:t xml:space="preserve">of patients with SMA </w:t>
      </w:r>
      <w:r w:rsidRPr="001A05F4">
        <w:rPr>
          <w:snapToGrid/>
        </w:rPr>
        <w:t xml:space="preserve">(Montes 2018, Pera 2019, Wadman 2018 and Mercuri 2016) </w:t>
      </w:r>
      <w:r w:rsidRPr="001A05F4">
        <w:rPr>
          <w:rFonts w:cs="Calibri"/>
          <w:snapToGrid/>
          <w:szCs w:val="24"/>
          <w:lang w:eastAsia="en-AU"/>
        </w:rPr>
        <w:t xml:space="preserve">were presented, and the European SMA registry data was not available at the time of the evaluation. </w:t>
      </w:r>
      <w:r w:rsidR="00CE22CE" w:rsidRPr="001A05F4">
        <w:rPr>
          <w:rFonts w:cs="Calibri"/>
          <w:iCs/>
          <w:snapToGrid/>
          <w:szCs w:val="24"/>
          <w:lang w:eastAsia="en-AU"/>
        </w:rPr>
        <w:t>The PSCR</w:t>
      </w:r>
      <w:r w:rsidR="00E653CE" w:rsidRPr="001A05F4">
        <w:rPr>
          <w:rFonts w:cs="Calibri"/>
          <w:iCs/>
          <w:snapToGrid/>
          <w:szCs w:val="24"/>
          <w:lang w:eastAsia="en-AU"/>
        </w:rPr>
        <w:t xml:space="preserve"> contended</w:t>
      </w:r>
      <w:r w:rsidR="00CE22CE" w:rsidRPr="001A05F4">
        <w:rPr>
          <w:rFonts w:cs="Calibri"/>
          <w:iCs/>
          <w:snapToGrid/>
          <w:szCs w:val="24"/>
          <w:lang w:eastAsia="en-AU"/>
        </w:rPr>
        <w:t xml:space="preserve"> tha</w:t>
      </w:r>
      <w:r w:rsidR="00E653CE" w:rsidRPr="001A05F4">
        <w:rPr>
          <w:rFonts w:cs="Calibri"/>
          <w:iCs/>
          <w:snapToGrid/>
          <w:szCs w:val="24"/>
          <w:lang w:eastAsia="en-AU"/>
        </w:rPr>
        <w:t>t the body of real-world clinical evidence presented in this resubmission for nusinersen in adults with SMA is comprehensive for a rare disease therapy. The</w:t>
      </w:r>
      <w:r w:rsidR="00CE22CE" w:rsidRPr="001A05F4">
        <w:rPr>
          <w:rFonts w:cs="Calibri"/>
          <w:iCs/>
          <w:snapToGrid/>
          <w:szCs w:val="24"/>
          <w:lang w:eastAsia="en-AU"/>
        </w:rPr>
        <w:t xml:space="preserve"> ESC noted that </w:t>
      </w:r>
      <w:bookmarkStart w:id="15" w:name="_Hlk77592896"/>
      <w:r w:rsidR="00CE22CE" w:rsidRPr="001A05F4">
        <w:rPr>
          <w:rFonts w:cs="Calibri"/>
          <w:iCs/>
          <w:snapToGrid/>
          <w:szCs w:val="24"/>
          <w:lang w:eastAsia="en-AU"/>
        </w:rPr>
        <w:t xml:space="preserve">the resubmission included a substantially increased body of clinical evidence for nusinersen in adults with </w:t>
      </w:r>
      <w:r w:rsidR="00E653CE" w:rsidRPr="001A05F4">
        <w:rPr>
          <w:rFonts w:cs="Calibri"/>
          <w:iCs/>
          <w:snapToGrid/>
          <w:szCs w:val="24"/>
          <w:lang w:eastAsia="en-AU"/>
        </w:rPr>
        <w:t xml:space="preserve">type II and III </w:t>
      </w:r>
      <w:r w:rsidR="00CE22CE" w:rsidRPr="001A05F4">
        <w:rPr>
          <w:rFonts w:cs="Calibri"/>
          <w:iCs/>
          <w:snapToGrid/>
          <w:szCs w:val="24"/>
          <w:lang w:eastAsia="en-AU"/>
        </w:rPr>
        <w:t>SMA</w:t>
      </w:r>
      <w:bookmarkEnd w:id="15"/>
      <w:r w:rsidR="00EE32AB" w:rsidRPr="001A05F4">
        <w:rPr>
          <w:rFonts w:cs="Calibri"/>
          <w:iCs/>
          <w:snapToGrid/>
          <w:szCs w:val="24"/>
          <w:lang w:eastAsia="en-AU"/>
        </w:rPr>
        <w:t>, though the duration of follow-up was not substantially increased</w:t>
      </w:r>
      <w:r w:rsidR="00E653CE" w:rsidRPr="001A05F4">
        <w:rPr>
          <w:rFonts w:cs="Calibri"/>
          <w:iCs/>
          <w:snapToGrid/>
          <w:szCs w:val="24"/>
          <w:lang w:eastAsia="en-AU"/>
        </w:rPr>
        <w:t>.</w:t>
      </w:r>
      <w:r w:rsidR="00CE22CE" w:rsidRPr="001A05F4">
        <w:rPr>
          <w:rFonts w:cs="Calibri"/>
          <w:iCs/>
          <w:snapToGrid/>
          <w:szCs w:val="24"/>
          <w:lang w:eastAsia="en-AU"/>
        </w:rPr>
        <w:t xml:space="preserve"> </w:t>
      </w:r>
      <w:r w:rsidR="0039406D" w:rsidRPr="001A05F4">
        <w:rPr>
          <w:rFonts w:cs="Calibri"/>
          <w:iCs/>
          <w:snapToGrid/>
          <w:szCs w:val="24"/>
          <w:lang w:eastAsia="en-AU"/>
        </w:rPr>
        <w:t>The ESC noted that the evidence in patients with type III SMA was not broken</w:t>
      </w:r>
      <w:r w:rsidR="0039406D" w:rsidRPr="001A05F4">
        <w:rPr>
          <w:rFonts w:cs="Calibri"/>
          <w:i/>
          <w:snapToGrid/>
          <w:szCs w:val="24"/>
          <w:lang w:eastAsia="en-AU"/>
        </w:rPr>
        <w:t xml:space="preserve"> </w:t>
      </w:r>
      <w:r w:rsidR="0039406D" w:rsidRPr="001A05F4">
        <w:rPr>
          <w:rFonts w:cs="Calibri"/>
          <w:iCs/>
          <w:snapToGrid/>
          <w:szCs w:val="24"/>
          <w:lang w:eastAsia="en-AU"/>
        </w:rPr>
        <w:t>down into the subtypes IIIa and IIIb, which prevents separate consideration of the outcomes for patients with these subtypes.</w:t>
      </w:r>
    </w:p>
    <w:p w:rsidR="00C66BE6" w:rsidRPr="001A05F4" w:rsidRDefault="00C66BE6" w:rsidP="00F9436F">
      <w:pPr>
        <w:pStyle w:val="ListParagraph"/>
        <w:widowControl/>
        <w:numPr>
          <w:ilvl w:val="1"/>
          <w:numId w:val="2"/>
        </w:numPr>
      </w:pPr>
      <w:r w:rsidRPr="001A05F4">
        <w:rPr>
          <w:rFonts w:cs="Calibri"/>
          <w:snapToGrid/>
          <w:szCs w:val="24"/>
          <w:lang w:eastAsia="en-AU"/>
        </w:rPr>
        <w:t xml:space="preserve">Details of the </w:t>
      </w:r>
      <w:r w:rsidR="00F077D9" w:rsidRPr="001A05F4">
        <w:rPr>
          <w:rFonts w:cs="Calibri"/>
          <w:snapToGrid/>
          <w:szCs w:val="24"/>
          <w:lang w:eastAsia="en-AU"/>
        </w:rPr>
        <w:t>studies</w:t>
      </w:r>
      <w:r w:rsidRPr="001A05F4">
        <w:rPr>
          <w:rFonts w:cs="Calibri"/>
          <w:snapToGrid/>
          <w:szCs w:val="24"/>
          <w:lang w:eastAsia="en-AU"/>
        </w:rPr>
        <w:t xml:space="preserve"> presented in the resubmission are provided in </w:t>
      </w:r>
      <w:r w:rsidR="00BC2D8D" w:rsidRPr="001A05F4">
        <w:rPr>
          <w:rFonts w:cs="Calibri"/>
          <w:snapToGrid/>
          <w:szCs w:val="24"/>
          <w:lang w:eastAsia="en-AU"/>
        </w:rPr>
        <w:t>Table 4</w:t>
      </w:r>
      <w:r w:rsidRPr="001A05F4">
        <w:rPr>
          <w:rFonts w:cs="Calibri"/>
          <w:snapToGrid/>
          <w:szCs w:val="24"/>
          <w:lang w:eastAsia="en-AU"/>
        </w:rPr>
        <w:t>.</w:t>
      </w:r>
    </w:p>
    <w:p w:rsidR="00C66BE6" w:rsidRPr="001A05F4" w:rsidRDefault="005E0979" w:rsidP="00AA4C6F">
      <w:pPr>
        <w:keepNext/>
        <w:rPr>
          <w:rStyle w:val="CommentReference"/>
        </w:rPr>
      </w:pPr>
      <w:bookmarkStart w:id="16" w:name="_Ref71581636"/>
      <w:r w:rsidRPr="001A05F4">
        <w:rPr>
          <w:rStyle w:val="CommentReference"/>
        </w:rPr>
        <w:t xml:space="preserve">Table </w:t>
      </w:r>
      <w:r w:rsidR="00BC2D8D" w:rsidRPr="001A05F4">
        <w:rPr>
          <w:rStyle w:val="CommentReference"/>
        </w:rPr>
        <w:t>4</w:t>
      </w:r>
      <w:bookmarkEnd w:id="16"/>
      <w:r w:rsidR="00C66BE6" w:rsidRPr="001A05F4">
        <w:rPr>
          <w:rStyle w:val="CommentReference"/>
        </w:rPr>
        <w:t>: Studies and associated reports presented in the resubmission</w:t>
      </w:r>
    </w:p>
    <w:tbl>
      <w:tblPr>
        <w:tblW w:w="50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0"/>
        <w:gridCol w:w="4833"/>
        <w:gridCol w:w="2943"/>
      </w:tblGrid>
      <w:tr w:rsidR="00C66BE6" w:rsidRPr="001A05F4" w:rsidTr="0044481F">
        <w:trPr>
          <w:trHeight w:val="20"/>
          <w:tblHeader/>
        </w:trPr>
        <w:tc>
          <w:tcPr>
            <w:tcW w:w="726" w:type="pct"/>
            <w:tcBorders>
              <w:bottom w:val="single" w:sz="4" w:space="0" w:color="000000"/>
            </w:tcBorders>
            <w:shd w:val="clear" w:color="auto" w:fill="auto"/>
            <w:vAlign w:val="center"/>
          </w:tcPr>
          <w:p w:rsidR="00C66BE6" w:rsidRPr="001A05F4" w:rsidRDefault="00C66BE6" w:rsidP="00AA4C6F">
            <w:pPr>
              <w:pStyle w:val="TableText0"/>
              <w:keepLines/>
              <w:spacing w:before="0" w:after="0"/>
              <w:rPr>
                <w:b/>
              </w:rPr>
            </w:pPr>
            <w:r w:rsidRPr="001A05F4">
              <w:rPr>
                <w:b/>
              </w:rPr>
              <w:t>Study ID</w:t>
            </w:r>
          </w:p>
        </w:tc>
        <w:tc>
          <w:tcPr>
            <w:tcW w:w="2856" w:type="pct"/>
            <w:tcBorders>
              <w:bottom w:val="single" w:sz="4" w:space="0" w:color="000000"/>
            </w:tcBorders>
            <w:vAlign w:val="center"/>
          </w:tcPr>
          <w:p w:rsidR="00C66BE6" w:rsidRPr="001A05F4" w:rsidRDefault="00C66BE6" w:rsidP="00AA4C6F">
            <w:pPr>
              <w:pStyle w:val="TableText0"/>
              <w:keepLines/>
              <w:spacing w:before="0" w:after="0"/>
              <w:rPr>
                <w:b/>
              </w:rPr>
            </w:pPr>
            <w:r w:rsidRPr="001A05F4">
              <w:rPr>
                <w:b/>
              </w:rPr>
              <w:t>Protocol title/ Publication title</w:t>
            </w:r>
          </w:p>
        </w:tc>
        <w:tc>
          <w:tcPr>
            <w:tcW w:w="1418" w:type="pct"/>
            <w:tcBorders>
              <w:bottom w:val="single" w:sz="4" w:space="0" w:color="000000"/>
            </w:tcBorders>
            <w:vAlign w:val="center"/>
          </w:tcPr>
          <w:p w:rsidR="00C66BE6" w:rsidRPr="001A05F4" w:rsidRDefault="00C66BE6" w:rsidP="00AA4C6F">
            <w:pPr>
              <w:pStyle w:val="TableText0"/>
              <w:keepLines/>
              <w:spacing w:before="0" w:after="0"/>
              <w:rPr>
                <w:b/>
              </w:rPr>
            </w:pPr>
            <w:r w:rsidRPr="001A05F4">
              <w:rPr>
                <w:b/>
              </w:rPr>
              <w:t>Publication citation</w:t>
            </w:r>
          </w:p>
        </w:tc>
      </w:tr>
      <w:tr w:rsidR="00C66BE6" w:rsidRPr="001A05F4" w:rsidTr="00927040">
        <w:trPr>
          <w:trHeight w:val="20"/>
        </w:trPr>
        <w:tc>
          <w:tcPr>
            <w:tcW w:w="5000" w:type="pct"/>
            <w:gridSpan w:val="3"/>
            <w:tcBorders>
              <w:bottom w:val="single" w:sz="4" w:space="0" w:color="000000"/>
            </w:tcBorders>
            <w:shd w:val="clear" w:color="auto" w:fill="auto"/>
            <w:vAlign w:val="center"/>
          </w:tcPr>
          <w:p w:rsidR="00C66BE6" w:rsidRPr="001A05F4" w:rsidRDefault="00C66BE6" w:rsidP="00AA4C6F">
            <w:pPr>
              <w:pStyle w:val="TableText0"/>
              <w:keepLines/>
              <w:spacing w:before="0" w:after="0"/>
            </w:pPr>
            <w:r w:rsidRPr="001A05F4">
              <w:rPr>
                <w:b/>
              </w:rPr>
              <w:t>Non-randomised studies of treatment with nusinersen in adult patients</w:t>
            </w:r>
          </w:p>
        </w:tc>
      </w:tr>
      <w:tr w:rsidR="00C66BE6" w:rsidRPr="001A05F4" w:rsidTr="00927040">
        <w:trPr>
          <w:trHeight w:val="20"/>
        </w:trPr>
        <w:tc>
          <w:tcPr>
            <w:tcW w:w="726" w:type="pct"/>
            <w:tcBorders>
              <w:bottom w:val="single" w:sz="4" w:space="0" w:color="000000"/>
            </w:tcBorders>
            <w:shd w:val="clear" w:color="auto" w:fill="auto"/>
            <w:vAlign w:val="center"/>
          </w:tcPr>
          <w:p w:rsidR="00C66BE6" w:rsidRPr="001A05F4" w:rsidRDefault="00C66BE6" w:rsidP="00AA4C6F">
            <w:pPr>
              <w:pStyle w:val="TableText0"/>
              <w:keepLines/>
              <w:spacing w:before="0" w:after="0"/>
            </w:pPr>
            <w:r w:rsidRPr="001A05F4">
              <w:rPr>
                <w:rFonts w:cs="Calibri"/>
              </w:rPr>
              <w:t>Maggi 2020</w:t>
            </w:r>
          </w:p>
        </w:tc>
        <w:tc>
          <w:tcPr>
            <w:tcW w:w="2856" w:type="pct"/>
            <w:tcBorders>
              <w:bottom w:val="single" w:sz="4" w:space="0" w:color="000000"/>
            </w:tcBorders>
            <w:vAlign w:val="center"/>
          </w:tcPr>
          <w:p w:rsidR="00C66BE6" w:rsidRPr="001A05F4" w:rsidRDefault="00C66BE6" w:rsidP="00AA4C6F">
            <w:pPr>
              <w:pStyle w:val="TableText0"/>
              <w:keepLines/>
              <w:spacing w:before="0" w:after="0"/>
            </w:pPr>
            <w:r w:rsidRPr="001A05F4">
              <w:rPr>
                <w:rFonts w:cs="Calibri"/>
              </w:rPr>
              <w:t>Nusinersen safety and effects on motor function in adult spinal muscular atrophy type 2 and 3.</w:t>
            </w:r>
          </w:p>
        </w:tc>
        <w:tc>
          <w:tcPr>
            <w:tcW w:w="1418" w:type="pct"/>
            <w:tcBorders>
              <w:bottom w:val="single" w:sz="4" w:space="0" w:color="000000"/>
            </w:tcBorders>
            <w:vAlign w:val="center"/>
          </w:tcPr>
          <w:p w:rsidR="00C66BE6" w:rsidRPr="001A05F4" w:rsidRDefault="00C66BE6" w:rsidP="00AA4C6F">
            <w:pPr>
              <w:pStyle w:val="TableText0"/>
              <w:keepLines/>
              <w:spacing w:before="0" w:after="0"/>
            </w:pPr>
            <w:r w:rsidRPr="001A05F4">
              <w:rPr>
                <w:rFonts w:cs="Calibri"/>
              </w:rPr>
              <w:t>Journal of Neurology, Neurosurgery and Psychiatry 2020;91(11):1166-1174.</w:t>
            </w:r>
          </w:p>
        </w:tc>
      </w:tr>
      <w:tr w:rsidR="00C66BE6" w:rsidRPr="001A05F4" w:rsidTr="00927040">
        <w:trPr>
          <w:trHeight w:val="20"/>
        </w:trPr>
        <w:tc>
          <w:tcPr>
            <w:tcW w:w="726" w:type="pct"/>
            <w:tcBorders>
              <w:bottom w:val="single" w:sz="4" w:space="0" w:color="000000"/>
            </w:tcBorders>
            <w:shd w:val="clear" w:color="auto" w:fill="D9D9D9" w:themeFill="background1" w:themeFillShade="D9"/>
            <w:vAlign w:val="center"/>
          </w:tcPr>
          <w:p w:rsidR="00C66BE6" w:rsidRPr="001A05F4" w:rsidRDefault="00C66BE6" w:rsidP="00AA4C6F">
            <w:pPr>
              <w:pStyle w:val="TableText0"/>
              <w:keepLines/>
              <w:spacing w:before="0" w:after="0"/>
            </w:pPr>
            <w:r w:rsidRPr="001A05F4">
              <w:t>Hagenacker 2020</w:t>
            </w:r>
          </w:p>
        </w:tc>
        <w:tc>
          <w:tcPr>
            <w:tcW w:w="2856" w:type="pct"/>
            <w:tcBorders>
              <w:bottom w:val="single" w:sz="4" w:space="0" w:color="000000"/>
            </w:tcBorders>
            <w:shd w:val="clear" w:color="auto" w:fill="D9D9D9" w:themeFill="background1" w:themeFillShade="D9"/>
            <w:vAlign w:val="center"/>
          </w:tcPr>
          <w:p w:rsidR="00C66BE6" w:rsidRPr="001A05F4" w:rsidRDefault="00C66BE6" w:rsidP="00AA4C6F">
            <w:pPr>
              <w:pStyle w:val="TableText0"/>
              <w:keepLines/>
              <w:spacing w:before="0" w:after="0"/>
            </w:pPr>
            <w:r w:rsidRPr="001A05F4">
              <w:t>Nusinersen in adults with 5q spinal muscular atrophy: a non-interventional, multicentre, observational cohort study.</w:t>
            </w:r>
          </w:p>
        </w:tc>
        <w:tc>
          <w:tcPr>
            <w:tcW w:w="1418" w:type="pct"/>
            <w:tcBorders>
              <w:bottom w:val="single" w:sz="4" w:space="0" w:color="000000"/>
            </w:tcBorders>
            <w:shd w:val="clear" w:color="auto" w:fill="D9D9D9" w:themeFill="background1" w:themeFillShade="D9"/>
            <w:vAlign w:val="center"/>
          </w:tcPr>
          <w:p w:rsidR="00C66BE6" w:rsidRPr="001A05F4" w:rsidRDefault="00C66BE6" w:rsidP="00AA4C6F">
            <w:pPr>
              <w:pStyle w:val="TableText0"/>
              <w:keepLines/>
              <w:spacing w:before="0" w:after="0"/>
            </w:pPr>
            <w:r w:rsidRPr="001A05F4">
              <w:t>The Lancet Neurology 2020; 19(4),317-325.</w:t>
            </w:r>
          </w:p>
        </w:tc>
      </w:tr>
      <w:tr w:rsidR="00C66BE6" w:rsidRPr="001A05F4" w:rsidTr="00927040">
        <w:trPr>
          <w:trHeight w:val="20"/>
        </w:trPr>
        <w:tc>
          <w:tcPr>
            <w:tcW w:w="726" w:type="pct"/>
            <w:tcBorders>
              <w:bottom w:val="single" w:sz="4" w:space="0" w:color="000000"/>
            </w:tcBorders>
            <w:shd w:val="clear" w:color="auto" w:fill="auto"/>
            <w:vAlign w:val="center"/>
          </w:tcPr>
          <w:p w:rsidR="00C66BE6" w:rsidRPr="001A05F4" w:rsidRDefault="00C66BE6" w:rsidP="00AA4C6F">
            <w:pPr>
              <w:pStyle w:val="TableText0"/>
              <w:keepLines/>
              <w:spacing w:before="0" w:after="0"/>
            </w:pPr>
            <w:r w:rsidRPr="001A05F4">
              <w:rPr>
                <w:rFonts w:cs="Calibri"/>
              </w:rPr>
              <w:t>Duong 2021</w:t>
            </w:r>
          </w:p>
        </w:tc>
        <w:tc>
          <w:tcPr>
            <w:tcW w:w="2856" w:type="pct"/>
            <w:tcBorders>
              <w:bottom w:val="single" w:sz="4" w:space="0" w:color="000000"/>
            </w:tcBorders>
            <w:vAlign w:val="center"/>
          </w:tcPr>
          <w:p w:rsidR="00C66BE6" w:rsidRPr="001A05F4" w:rsidRDefault="00C66BE6" w:rsidP="00AA4C6F">
            <w:pPr>
              <w:pStyle w:val="TableText0"/>
              <w:keepLines/>
              <w:spacing w:before="0" w:after="0"/>
            </w:pPr>
            <w:r w:rsidRPr="001A05F4">
              <w:rPr>
                <w:rFonts w:cs="Calibri"/>
              </w:rPr>
              <w:t>Nusinersen Treatment in Adults with Spinal Muscular Atrophy.</w:t>
            </w:r>
          </w:p>
        </w:tc>
        <w:tc>
          <w:tcPr>
            <w:tcW w:w="1418" w:type="pct"/>
            <w:tcBorders>
              <w:bottom w:val="single" w:sz="4" w:space="0" w:color="000000"/>
            </w:tcBorders>
            <w:vAlign w:val="center"/>
          </w:tcPr>
          <w:p w:rsidR="00C66BE6" w:rsidRPr="001A05F4" w:rsidRDefault="00C66BE6" w:rsidP="00AA4C6F">
            <w:pPr>
              <w:pStyle w:val="TableText0"/>
              <w:keepLines/>
              <w:spacing w:before="0" w:after="0"/>
              <w:rPr>
                <w:rFonts w:cs="Calibri"/>
              </w:rPr>
            </w:pPr>
            <w:r w:rsidRPr="001A05F4">
              <w:rPr>
                <w:rFonts w:cs="Calibri"/>
              </w:rPr>
              <w:t>Neurology: Clinical Practice 2021; pp.10.1212/CPJ.0000000000001033.</w:t>
            </w:r>
          </w:p>
        </w:tc>
      </w:tr>
      <w:tr w:rsidR="00C66BE6" w:rsidRPr="001A05F4" w:rsidTr="00927040">
        <w:trPr>
          <w:trHeight w:val="20"/>
        </w:trPr>
        <w:tc>
          <w:tcPr>
            <w:tcW w:w="726" w:type="pct"/>
            <w:tcBorders>
              <w:bottom w:val="nil"/>
            </w:tcBorders>
            <w:shd w:val="clear" w:color="auto" w:fill="D9D9D9" w:themeFill="background1" w:themeFillShade="D9"/>
            <w:vAlign w:val="center"/>
          </w:tcPr>
          <w:p w:rsidR="00C66BE6" w:rsidRPr="001A05F4" w:rsidRDefault="00C66BE6" w:rsidP="00AA4C6F">
            <w:pPr>
              <w:pStyle w:val="TableText0"/>
              <w:keepLines/>
              <w:spacing w:before="0" w:after="0"/>
            </w:pPr>
            <w:r w:rsidRPr="001A05F4">
              <w:t>Walter 2019</w:t>
            </w:r>
          </w:p>
        </w:tc>
        <w:tc>
          <w:tcPr>
            <w:tcW w:w="2856" w:type="pct"/>
            <w:tcBorders>
              <w:bottom w:val="single" w:sz="4" w:space="0" w:color="000000"/>
            </w:tcBorders>
            <w:shd w:val="clear" w:color="auto" w:fill="D9D9D9" w:themeFill="background1" w:themeFillShade="D9"/>
            <w:vAlign w:val="center"/>
          </w:tcPr>
          <w:p w:rsidR="00C66BE6" w:rsidRPr="001A05F4" w:rsidRDefault="00C66BE6" w:rsidP="00AA4C6F">
            <w:pPr>
              <w:pStyle w:val="TableText0"/>
              <w:keepLines/>
              <w:spacing w:before="0" w:after="0"/>
            </w:pPr>
            <w:r w:rsidRPr="001A05F4">
              <w:t>Safety and Treatment Effects of Nusinersen in Longstanding Adult 5q-SMA Type 3 - A Prospective Observational Study."</w:t>
            </w:r>
          </w:p>
        </w:tc>
        <w:tc>
          <w:tcPr>
            <w:tcW w:w="1418" w:type="pct"/>
            <w:tcBorders>
              <w:bottom w:val="nil"/>
            </w:tcBorders>
            <w:shd w:val="clear" w:color="auto" w:fill="D9D9D9" w:themeFill="background1" w:themeFillShade="D9"/>
            <w:vAlign w:val="center"/>
          </w:tcPr>
          <w:p w:rsidR="00C66BE6" w:rsidRPr="001A05F4" w:rsidRDefault="00C66BE6" w:rsidP="00AA4C6F">
            <w:pPr>
              <w:pStyle w:val="TableText0"/>
              <w:keepLines/>
              <w:spacing w:before="0" w:after="0"/>
            </w:pPr>
            <w:r w:rsidRPr="001A05F4">
              <w:t>Journal of Neuromuscular Diseases 2019; 6(4): 453-465.</w:t>
            </w:r>
          </w:p>
        </w:tc>
      </w:tr>
      <w:tr w:rsidR="00C66BE6" w:rsidRPr="001A05F4" w:rsidTr="00927040">
        <w:trPr>
          <w:trHeight w:val="20"/>
        </w:trPr>
        <w:tc>
          <w:tcPr>
            <w:tcW w:w="726" w:type="pct"/>
            <w:tcBorders>
              <w:top w:val="nil"/>
              <w:bottom w:val="single" w:sz="4" w:space="0" w:color="auto"/>
            </w:tcBorders>
            <w:shd w:val="clear" w:color="auto" w:fill="D9D9D9" w:themeFill="background1" w:themeFillShade="D9"/>
            <w:vAlign w:val="center"/>
          </w:tcPr>
          <w:p w:rsidR="00C66BE6" w:rsidRPr="001A05F4" w:rsidRDefault="00C66BE6" w:rsidP="00AA4C6F">
            <w:pPr>
              <w:pStyle w:val="TableText0"/>
              <w:keepLines/>
              <w:spacing w:before="0" w:after="0"/>
            </w:pPr>
          </w:p>
        </w:tc>
        <w:tc>
          <w:tcPr>
            <w:tcW w:w="2856" w:type="pct"/>
            <w:tcBorders>
              <w:bottom w:val="single" w:sz="4" w:space="0" w:color="000000"/>
            </w:tcBorders>
            <w:shd w:val="clear" w:color="auto" w:fill="D9D9D9" w:themeFill="background1" w:themeFillShade="D9"/>
            <w:vAlign w:val="center"/>
          </w:tcPr>
          <w:p w:rsidR="00C66BE6" w:rsidRPr="001A05F4" w:rsidRDefault="00C66BE6" w:rsidP="00AA4C6F">
            <w:pPr>
              <w:pStyle w:val="TableText0"/>
              <w:keepLines/>
              <w:spacing w:before="0" w:after="0"/>
            </w:pPr>
            <w:r w:rsidRPr="001A05F4">
              <w:t>P.354Treatment effects of nusinersen in longstanding adult 5q-SMA type 3 - a prospective observational study over 10 months.</w:t>
            </w:r>
          </w:p>
        </w:tc>
        <w:tc>
          <w:tcPr>
            <w:tcW w:w="1418" w:type="pct"/>
            <w:tcBorders>
              <w:top w:val="nil"/>
              <w:bottom w:val="single" w:sz="4" w:space="0" w:color="auto"/>
            </w:tcBorders>
            <w:shd w:val="clear" w:color="auto" w:fill="D9D9D9" w:themeFill="background1" w:themeFillShade="D9"/>
            <w:vAlign w:val="center"/>
          </w:tcPr>
          <w:p w:rsidR="00C66BE6" w:rsidRPr="001A05F4" w:rsidRDefault="00C66BE6" w:rsidP="00AA4C6F">
            <w:pPr>
              <w:pStyle w:val="TableText0"/>
              <w:keepLines/>
              <w:spacing w:before="0" w:after="0"/>
            </w:pPr>
            <w:r w:rsidRPr="001A05F4">
              <w:t>Neuromuscular Disorders 2019; 29: S185.</w:t>
            </w:r>
          </w:p>
        </w:tc>
      </w:tr>
      <w:tr w:rsidR="00C66BE6" w:rsidRPr="001A05F4" w:rsidTr="00927040">
        <w:trPr>
          <w:trHeight w:val="20"/>
        </w:trPr>
        <w:tc>
          <w:tcPr>
            <w:tcW w:w="726" w:type="pct"/>
            <w:tcBorders>
              <w:top w:val="single" w:sz="4" w:space="0" w:color="auto"/>
              <w:left w:val="single" w:sz="4" w:space="0" w:color="auto"/>
              <w:bottom w:val="nil"/>
              <w:right w:val="single" w:sz="4" w:space="0" w:color="auto"/>
            </w:tcBorders>
            <w:shd w:val="clear" w:color="auto" w:fill="auto"/>
            <w:vAlign w:val="center"/>
          </w:tcPr>
          <w:p w:rsidR="00C66BE6" w:rsidRPr="001A05F4" w:rsidRDefault="00C66BE6" w:rsidP="00AA4C6F">
            <w:pPr>
              <w:pStyle w:val="TableText0"/>
              <w:keepLines/>
              <w:spacing w:before="0" w:after="0"/>
              <w:rPr>
                <w:iCs/>
              </w:rPr>
            </w:pPr>
            <w:r w:rsidRPr="001A05F4">
              <w:rPr>
                <w:rFonts w:cs="Calibri"/>
              </w:rPr>
              <w:t>De Wel 2020</w:t>
            </w:r>
          </w:p>
        </w:tc>
        <w:tc>
          <w:tcPr>
            <w:tcW w:w="2856" w:type="pct"/>
            <w:tcBorders>
              <w:top w:val="single" w:sz="4" w:space="0" w:color="auto"/>
              <w:left w:val="single" w:sz="4" w:space="0" w:color="auto"/>
              <w:bottom w:val="single" w:sz="4" w:space="0" w:color="auto"/>
              <w:right w:val="single" w:sz="4" w:space="0" w:color="auto"/>
            </w:tcBorders>
            <w:vAlign w:val="center"/>
          </w:tcPr>
          <w:p w:rsidR="00C66BE6" w:rsidRPr="001A05F4" w:rsidRDefault="00C66BE6" w:rsidP="00AA4C6F">
            <w:pPr>
              <w:pStyle w:val="TableText0"/>
              <w:keepLines/>
              <w:spacing w:before="0" w:after="0"/>
              <w:rPr>
                <w:iCs/>
              </w:rPr>
            </w:pPr>
            <w:r w:rsidRPr="001A05F4">
              <w:rPr>
                <w:rFonts w:cs="Calibri"/>
              </w:rPr>
              <w:t>Nusinersen treatment significantly improves hand grip strength, hand motor function and MRC sum scores in adult patients with spinal muscular atrophy types 3 and 4.</w:t>
            </w:r>
          </w:p>
        </w:tc>
        <w:tc>
          <w:tcPr>
            <w:tcW w:w="1418" w:type="pct"/>
            <w:tcBorders>
              <w:top w:val="single" w:sz="4" w:space="0" w:color="auto"/>
              <w:left w:val="single" w:sz="4" w:space="0" w:color="auto"/>
              <w:bottom w:val="nil"/>
              <w:right w:val="single" w:sz="4" w:space="0" w:color="auto"/>
            </w:tcBorders>
            <w:vAlign w:val="center"/>
          </w:tcPr>
          <w:p w:rsidR="00C66BE6" w:rsidRPr="001A05F4" w:rsidRDefault="00C66BE6" w:rsidP="00AA4C6F">
            <w:pPr>
              <w:pStyle w:val="TableText0"/>
              <w:keepLines/>
              <w:spacing w:before="0" w:after="0"/>
              <w:rPr>
                <w:iCs/>
              </w:rPr>
            </w:pPr>
            <w:r w:rsidRPr="001A05F4">
              <w:rPr>
                <w:rFonts w:cs="Calibri"/>
              </w:rPr>
              <w:t>Journal of Neurology 2020;268(3):923-935.</w:t>
            </w:r>
          </w:p>
        </w:tc>
      </w:tr>
      <w:tr w:rsidR="00C66BE6" w:rsidRPr="001A05F4" w:rsidTr="00927040">
        <w:trPr>
          <w:trHeight w:val="20"/>
        </w:trPr>
        <w:tc>
          <w:tcPr>
            <w:tcW w:w="726" w:type="pct"/>
            <w:tcBorders>
              <w:top w:val="nil"/>
              <w:left w:val="single" w:sz="4" w:space="0" w:color="auto"/>
              <w:bottom w:val="single" w:sz="4" w:space="0" w:color="auto"/>
              <w:right w:val="single" w:sz="4" w:space="0" w:color="auto"/>
            </w:tcBorders>
            <w:shd w:val="clear" w:color="auto" w:fill="auto"/>
            <w:vAlign w:val="center"/>
          </w:tcPr>
          <w:p w:rsidR="00C66BE6" w:rsidRPr="001A05F4" w:rsidRDefault="00C66BE6" w:rsidP="00AA4C6F">
            <w:pPr>
              <w:pStyle w:val="TableText0"/>
              <w:keepLines/>
              <w:spacing w:before="0" w:after="0"/>
              <w:rPr>
                <w:iCs/>
              </w:rPr>
            </w:pPr>
          </w:p>
        </w:tc>
        <w:tc>
          <w:tcPr>
            <w:tcW w:w="2856" w:type="pct"/>
            <w:tcBorders>
              <w:top w:val="single" w:sz="4" w:space="0" w:color="auto"/>
              <w:left w:val="single" w:sz="4" w:space="0" w:color="auto"/>
              <w:bottom w:val="single" w:sz="4" w:space="0" w:color="auto"/>
              <w:right w:val="single" w:sz="4" w:space="0" w:color="auto"/>
            </w:tcBorders>
            <w:vAlign w:val="center"/>
          </w:tcPr>
          <w:p w:rsidR="00C66BE6" w:rsidRPr="001A05F4" w:rsidRDefault="00C66BE6" w:rsidP="00AA4C6F">
            <w:pPr>
              <w:pStyle w:val="TableText0"/>
              <w:keepLines/>
              <w:spacing w:before="0" w:after="0"/>
              <w:rPr>
                <w:iCs/>
              </w:rPr>
            </w:pPr>
            <w:r w:rsidRPr="001A05F4">
              <w:rPr>
                <w:rFonts w:cs="Calibri"/>
              </w:rPr>
              <w:t>THERAPY: P.279 Efficacy and safety of nusinersen treated adult patients with spinal muscular atrophy (SMA) types 2-3-4.</w:t>
            </w:r>
          </w:p>
        </w:tc>
        <w:tc>
          <w:tcPr>
            <w:tcW w:w="1418" w:type="pct"/>
            <w:tcBorders>
              <w:top w:val="nil"/>
              <w:left w:val="single" w:sz="4" w:space="0" w:color="auto"/>
              <w:bottom w:val="single" w:sz="4" w:space="0" w:color="auto"/>
              <w:right w:val="single" w:sz="4" w:space="0" w:color="auto"/>
            </w:tcBorders>
            <w:vAlign w:val="center"/>
          </w:tcPr>
          <w:p w:rsidR="00C66BE6" w:rsidRPr="001A05F4" w:rsidRDefault="00C66BE6" w:rsidP="00AA4C6F">
            <w:pPr>
              <w:pStyle w:val="TableText0"/>
              <w:keepLines/>
              <w:spacing w:before="0" w:after="0"/>
              <w:rPr>
                <w:iCs/>
              </w:rPr>
            </w:pPr>
            <w:r w:rsidRPr="001A05F4">
              <w:rPr>
                <w:rFonts w:cs="Calibri"/>
              </w:rPr>
              <w:t>Neuromuscular Disorders. 2020;30:S128. 10.1016/j.nmd.2020.08.276</w:t>
            </w:r>
          </w:p>
        </w:tc>
      </w:tr>
      <w:tr w:rsidR="00C66BE6" w:rsidRPr="001A05F4" w:rsidTr="00927040">
        <w:trPr>
          <w:trHeight w:val="20"/>
        </w:trPr>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AA4C6F">
            <w:pPr>
              <w:pStyle w:val="TableText0"/>
              <w:keepLines/>
              <w:spacing w:before="0" w:after="0"/>
              <w:rPr>
                <w:iCs/>
              </w:rPr>
            </w:pPr>
            <w:r w:rsidRPr="001A05F4">
              <w:rPr>
                <w:rFonts w:cs="Calibri"/>
              </w:rPr>
              <w:t>Jochmann 2020</w:t>
            </w:r>
          </w:p>
        </w:tc>
        <w:tc>
          <w:tcPr>
            <w:tcW w:w="2856" w:type="pct"/>
            <w:tcBorders>
              <w:top w:val="single" w:sz="4" w:space="0" w:color="auto"/>
              <w:left w:val="single" w:sz="4" w:space="0" w:color="auto"/>
              <w:bottom w:val="single" w:sz="4" w:space="0" w:color="auto"/>
              <w:right w:val="single" w:sz="4" w:space="0" w:color="auto"/>
            </w:tcBorders>
            <w:vAlign w:val="center"/>
          </w:tcPr>
          <w:p w:rsidR="00C66BE6" w:rsidRPr="001A05F4" w:rsidRDefault="00C66BE6" w:rsidP="00AA4C6F">
            <w:pPr>
              <w:pStyle w:val="TableText0"/>
              <w:keepLines/>
              <w:spacing w:before="0" w:after="0"/>
              <w:rPr>
                <w:iCs/>
              </w:rPr>
            </w:pPr>
            <w:r w:rsidRPr="001A05F4">
              <w:rPr>
                <w:rFonts w:cs="Calibri"/>
              </w:rPr>
              <w:t>Experiences from treating seven adult 5q spinal muscular atrophy patients with Nusinersen.</w:t>
            </w:r>
          </w:p>
        </w:tc>
        <w:tc>
          <w:tcPr>
            <w:tcW w:w="1418" w:type="pct"/>
            <w:tcBorders>
              <w:top w:val="single" w:sz="4" w:space="0" w:color="auto"/>
              <w:left w:val="single" w:sz="4" w:space="0" w:color="auto"/>
              <w:bottom w:val="single" w:sz="4" w:space="0" w:color="auto"/>
              <w:right w:val="single" w:sz="4" w:space="0" w:color="auto"/>
            </w:tcBorders>
            <w:vAlign w:val="center"/>
          </w:tcPr>
          <w:p w:rsidR="00C66BE6" w:rsidRPr="001A05F4" w:rsidRDefault="00C66BE6" w:rsidP="00AA4C6F">
            <w:pPr>
              <w:pStyle w:val="TableText0"/>
              <w:keepLines/>
              <w:spacing w:before="0" w:after="0"/>
              <w:rPr>
                <w:iCs/>
              </w:rPr>
            </w:pPr>
            <w:r w:rsidRPr="001A05F4">
              <w:rPr>
                <w:rFonts w:cs="Calibri"/>
              </w:rPr>
              <w:t>Therapeutic Advances in Neurological Disorders 2020;13</w:t>
            </w:r>
            <w:r w:rsidRPr="001A05F4">
              <w:rPr>
                <w:rFonts w:asciiTheme="minorHAnsi" w:hAnsiTheme="minorHAnsi" w:cstheme="minorHAnsi"/>
                <w:color w:val="000000"/>
              </w:rPr>
              <w:t xml:space="preserve">, </w:t>
            </w:r>
            <w:r w:rsidRPr="001A05F4">
              <w:rPr>
                <w:rFonts w:cs="Calibri"/>
              </w:rPr>
              <w:t>p.175628642090780.</w:t>
            </w:r>
          </w:p>
        </w:tc>
      </w:tr>
      <w:tr w:rsidR="00C66BE6" w:rsidRPr="001A05F4" w:rsidTr="00927040">
        <w:trPr>
          <w:trHeight w:val="20"/>
        </w:trPr>
        <w:tc>
          <w:tcPr>
            <w:tcW w:w="726" w:type="pct"/>
            <w:tcBorders>
              <w:top w:val="single" w:sz="4" w:space="0" w:color="auto"/>
              <w:left w:val="single" w:sz="4" w:space="0" w:color="auto"/>
              <w:bottom w:val="nil"/>
              <w:right w:val="single" w:sz="4" w:space="0" w:color="auto"/>
            </w:tcBorders>
            <w:shd w:val="clear" w:color="auto" w:fill="auto"/>
            <w:vAlign w:val="center"/>
          </w:tcPr>
          <w:p w:rsidR="00C66BE6" w:rsidRPr="001A05F4" w:rsidRDefault="00C66BE6" w:rsidP="00AA4C6F">
            <w:pPr>
              <w:pStyle w:val="TableText0"/>
              <w:keepLines/>
              <w:spacing w:before="0" w:after="0"/>
            </w:pPr>
            <w:r w:rsidRPr="001A05F4">
              <w:rPr>
                <w:rFonts w:cs="Calibri"/>
              </w:rPr>
              <w:t>Yeo 2020</w:t>
            </w:r>
          </w:p>
        </w:tc>
        <w:tc>
          <w:tcPr>
            <w:tcW w:w="2856" w:type="pct"/>
            <w:tcBorders>
              <w:top w:val="single" w:sz="4" w:space="0" w:color="auto"/>
              <w:left w:val="single" w:sz="4" w:space="0" w:color="auto"/>
              <w:bottom w:val="single" w:sz="4" w:space="0" w:color="auto"/>
              <w:right w:val="single" w:sz="4" w:space="0" w:color="auto"/>
            </w:tcBorders>
            <w:vAlign w:val="center"/>
          </w:tcPr>
          <w:p w:rsidR="00C66BE6" w:rsidRPr="001A05F4" w:rsidRDefault="00C66BE6" w:rsidP="00AA4C6F">
            <w:pPr>
              <w:pStyle w:val="TableText0"/>
              <w:keepLines/>
              <w:spacing w:before="0" w:after="0"/>
            </w:pPr>
            <w:r w:rsidRPr="001A05F4">
              <w:rPr>
                <w:rFonts w:cs="Calibri"/>
              </w:rPr>
              <w:t>Prospective Cohort Study of Nusinersen Treatment in Adults with Spinal Muscular Atrophy</w:t>
            </w:r>
          </w:p>
        </w:tc>
        <w:tc>
          <w:tcPr>
            <w:tcW w:w="1418" w:type="pct"/>
            <w:tcBorders>
              <w:top w:val="single" w:sz="4" w:space="0" w:color="auto"/>
              <w:left w:val="single" w:sz="4" w:space="0" w:color="auto"/>
              <w:bottom w:val="nil"/>
              <w:right w:val="single" w:sz="4" w:space="0" w:color="auto"/>
            </w:tcBorders>
            <w:vAlign w:val="center"/>
          </w:tcPr>
          <w:p w:rsidR="00C66BE6" w:rsidRPr="001A05F4" w:rsidRDefault="00C66BE6" w:rsidP="00AA4C6F">
            <w:pPr>
              <w:pStyle w:val="TableText0"/>
              <w:keepLines/>
              <w:spacing w:before="0" w:after="0"/>
              <w:rPr>
                <w:rFonts w:cs="Calibri"/>
              </w:rPr>
            </w:pPr>
            <w:r w:rsidRPr="001A05F4">
              <w:rPr>
                <w:rFonts w:cs="Calibri"/>
              </w:rPr>
              <w:t>J Neuromuscul Dis. 2020;7(3):257-268.</w:t>
            </w:r>
          </w:p>
        </w:tc>
      </w:tr>
      <w:tr w:rsidR="00C66BE6" w:rsidRPr="001A05F4" w:rsidTr="00927040">
        <w:trPr>
          <w:trHeight w:val="20"/>
        </w:trPr>
        <w:tc>
          <w:tcPr>
            <w:tcW w:w="726" w:type="pct"/>
            <w:tcBorders>
              <w:top w:val="nil"/>
              <w:left w:val="single" w:sz="4" w:space="0" w:color="auto"/>
              <w:bottom w:val="single" w:sz="4" w:space="0" w:color="auto"/>
              <w:right w:val="single" w:sz="4" w:space="0" w:color="auto"/>
            </w:tcBorders>
            <w:shd w:val="clear" w:color="auto" w:fill="auto"/>
            <w:vAlign w:val="center"/>
          </w:tcPr>
          <w:p w:rsidR="00C66BE6" w:rsidRPr="001A05F4" w:rsidRDefault="00C66BE6" w:rsidP="00AA4C6F">
            <w:pPr>
              <w:pStyle w:val="TableText0"/>
              <w:keepLines/>
              <w:spacing w:before="0" w:after="0"/>
              <w:rPr>
                <w:rFonts w:cs="Calibri"/>
              </w:rPr>
            </w:pPr>
          </w:p>
        </w:tc>
        <w:tc>
          <w:tcPr>
            <w:tcW w:w="2856" w:type="pct"/>
            <w:tcBorders>
              <w:top w:val="single" w:sz="4" w:space="0" w:color="auto"/>
              <w:left w:val="single" w:sz="4" w:space="0" w:color="auto"/>
              <w:bottom w:val="single" w:sz="4" w:space="0" w:color="auto"/>
              <w:right w:val="single" w:sz="4" w:space="0" w:color="auto"/>
            </w:tcBorders>
            <w:vAlign w:val="center"/>
          </w:tcPr>
          <w:p w:rsidR="00C66BE6" w:rsidRPr="001A05F4" w:rsidRDefault="00C66BE6" w:rsidP="00AA4C6F">
            <w:pPr>
              <w:pStyle w:val="TableText0"/>
              <w:keepLines/>
              <w:spacing w:before="0" w:after="0"/>
              <w:rPr>
                <w:rFonts w:cs="Calibri"/>
              </w:rPr>
            </w:pPr>
            <w:r w:rsidRPr="001A05F4">
              <w:rPr>
                <w:iCs/>
              </w:rPr>
              <w:t>Outcome measures for nusinersen efficacy in adults with spinal muscular atrophy.</w:t>
            </w:r>
          </w:p>
        </w:tc>
        <w:tc>
          <w:tcPr>
            <w:tcW w:w="1418" w:type="pct"/>
            <w:tcBorders>
              <w:top w:val="nil"/>
              <w:left w:val="single" w:sz="4" w:space="0" w:color="auto"/>
              <w:bottom w:val="single" w:sz="4" w:space="0" w:color="auto"/>
              <w:right w:val="single" w:sz="4" w:space="0" w:color="auto"/>
            </w:tcBorders>
            <w:vAlign w:val="center"/>
          </w:tcPr>
          <w:p w:rsidR="00C66BE6" w:rsidRPr="001A05F4" w:rsidRDefault="00C66BE6" w:rsidP="00AA4C6F">
            <w:pPr>
              <w:pStyle w:val="TableText0"/>
              <w:keepLines/>
              <w:spacing w:before="0" w:after="0"/>
            </w:pPr>
            <w:r w:rsidRPr="001A05F4">
              <w:rPr>
                <w:iCs/>
              </w:rPr>
              <w:t>Neurology 2019;92(15):S5.008.</w:t>
            </w:r>
          </w:p>
        </w:tc>
      </w:tr>
      <w:tr w:rsidR="00C66BE6" w:rsidRPr="001A05F4" w:rsidTr="00927040">
        <w:trPr>
          <w:trHeight w:val="20"/>
        </w:trPr>
        <w:tc>
          <w:tcPr>
            <w:tcW w:w="726" w:type="pct"/>
            <w:tcBorders>
              <w:top w:val="single" w:sz="4" w:space="0" w:color="auto"/>
              <w:left w:val="single" w:sz="4" w:space="0" w:color="auto"/>
              <w:bottom w:val="nil"/>
              <w:right w:val="single" w:sz="4" w:space="0" w:color="auto"/>
            </w:tcBorders>
            <w:shd w:val="clear" w:color="auto" w:fill="auto"/>
            <w:vAlign w:val="center"/>
          </w:tcPr>
          <w:p w:rsidR="00C66BE6" w:rsidRPr="001A05F4" w:rsidRDefault="00C66BE6" w:rsidP="00AA4C6F">
            <w:pPr>
              <w:pStyle w:val="TableText0"/>
              <w:keepLines/>
              <w:spacing w:before="0" w:after="0"/>
            </w:pPr>
            <w:r w:rsidRPr="001A05F4">
              <w:rPr>
                <w:rFonts w:cs="Calibri"/>
              </w:rPr>
              <w:t>Veerapandiyan 2019</w:t>
            </w:r>
          </w:p>
        </w:tc>
        <w:tc>
          <w:tcPr>
            <w:tcW w:w="2856" w:type="pct"/>
            <w:tcBorders>
              <w:top w:val="single" w:sz="4" w:space="0" w:color="auto"/>
              <w:left w:val="single" w:sz="4" w:space="0" w:color="auto"/>
              <w:bottom w:val="single" w:sz="4" w:space="0" w:color="auto"/>
              <w:right w:val="single" w:sz="4" w:space="0" w:color="auto"/>
            </w:tcBorders>
            <w:vAlign w:val="center"/>
          </w:tcPr>
          <w:p w:rsidR="00C66BE6" w:rsidRPr="001A05F4" w:rsidRDefault="00C66BE6" w:rsidP="00AA4C6F">
            <w:pPr>
              <w:pStyle w:val="TableText0"/>
              <w:keepLines/>
              <w:spacing w:before="0" w:after="0"/>
            </w:pPr>
            <w:r w:rsidRPr="001A05F4">
              <w:rPr>
                <w:rFonts w:cs="Calibri"/>
              </w:rPr>
              <w:t>Nusinersen for older patients with spinal muscular atrophy: A real</w:t>
            </w:r>
            <w:r w:rsidRPr="001A05F4">
              <w:rPr>
                <w:rFonts w:ascii="Cambria Math" w:hAnsi="Cambria Math" w:cs="Calibri"/>
              </w:rPr>
              <w:t>‐</w:t>
            </w:r>
            <w:r w:rsidRPr="001A05F4">
              <w:rPr>
                <w:rFonts w:cs="Calibri"/>
              </w:rPr>
              <w:t>world clinical setting experience.</w:t>
            </w:r>
          </w:p>
        </w:tc>
        <w:tc>
          <w:tcPr>
            <w:tcW w:w="1418" w:type="pct"/>
            <w:tcBorders>
              <w:top w:val="single" w:sz="4" w:space="0" w:color="auto"/>
              <w:left w:val="single" w:sz="4" w:space="0" w:color="auto"/>
              <w:bottom w:val="nil"/>
              <w:right w:val="single" w:sz="4" w:space="0" w:color="auto"/>
            </w:tcBorders>
            <w:vAlign w:val="center"/>
          </w:tcPr>
          <w:p w:rsidR="00C66BE6" w:rsidRPr="001A05F4" w:rsidRDefault="00C66BE6" w:rsidP="00AA4C6F">
            <w:pPr>
              <w:pStyle w:val="TableText0"/>
              <w:keepLines/>
              <w:spacing w:before="0" w:after="0"/>
            </w:pPr>
            <w:r w:rsidRPr="001A05F4">
              <w:rPr>
                <w:rFonts w:cs="Calibri"/>
              </w:rPr>
              <w:t>Muscle Nerve 2020;61(2):222– 226.</w:t>
            </w:r>
          </w:p>
        </w:tc>
      </w:tr>
      <w:tr w:rsidR="00C66BE6" w:rsidRPr="001A05F4" w:rsidTr="00927040">
        <w:trPr>
          <w:trHeight w:val="20"/>
        </w:trPr>
        <w:tc>
          <w:tcPr>
            <w:tcW w:w="726" w:type="pct"/>
            <w:tcBorders>
              <w:top w:val="nil"/>
              <w:left w:val="single" w:sz="4" w:space="0" w:color="auto"/>
              <w:bottom w:val="single" w:sz="4" w:space="0" w:color="auto"/>
              <w:right w:val="single" w:sz="4" w:space="0" w:color="auto"/>
            </w:tcBorders>
            <w:shd w:val="clear" w:color="auto" w:fill="auto"/>
            <w:vAlign w:val="center"/>
          </w:tcPr>
          <w:p w:rsidR="00C66BE6" w:rsidRPr="001A05F4" w:rsidRDefault="00C66BE6" w:rsidP="00AA4C6F">
            <w:pPr>
              <w:pStyle w:val="TableText0"/>
              <w:keepLines/>
              <w:spacing w:before="0" w:after="0"/>
              <w:rPr>
                <w:rFonts w:cs="Calibri"/>
              </w:rPr>
            </w:pPr>
          </w:p>
        </w:tc>
        <w:tc>
          <w:tcPr>
            <w:tcW w:w="2856" w:type="pct"/>
            <w:tcBorders>
              <w:top w:val="single" w:sz="4" w:space="0" w:color="auto"/>
              <w:left w:val="single" w:sz="4" w:space="0" w:color="auto"/>
              <w:bottom w:val="single" w:sz="4" w:space="0" w:color="auto"/>
              <w:right w:val="single" w:sz="4" w:space="0" w:color="auto"/>
            </w:tcBorders>
            <w:vAlign w:val="center"/>
          </w:tcPr>
          <w:p w:rsidR="00C66BE6" w:rsidRPr="001A05F4" w:rsidRDefault="00C66BE6" w:rsidP="00AA4C6F">
            <w:pPr>
              <w:pStyle w:val="TableText0"/>
              <w:keepLines/>
              <w:spacing w:before="0" w:after="0"/>
              <w:rPr>
                <w:rFonts w:cs="Calibri"/>
              </w:rPr>
            </w:pPr>
            <w:r w:rsidRPr="001A05F4">
              <w:rPr>
                <w:rFonts w:cs="Calibri"/>
              </w:rPr>
              <w:t>Intrathecal nusinersen in older children and adults with spinal muscular atrophy.</w:t>
            </w:r>
          </w:p>
        </w:tc>
        <w:tc>
          <w:tcPr>
            <w:tcW w:w="1418" w:type="pct"/>
            <w:tcBorders>
              <w:top w:val="nil"/>
              <w:left w:val="single" w:sz="4" w:space="0" w:color="auto"/>
              <w:bottom w:val="single" w:sz="4" w:space="0" w:color="auto"/>
              <w:right w:val="single" w:sz="4" w:space="0" w:color="auto"/>
            </w:tcBorders>
            <w:vAlign w:val="center"/>
          </w:tcPr>
          <w:p w:rsidR="00C66BE6" w:rsidRPr="001A05F4" w:rsidRDefault="00C66BE6" w:rsidP="00AA4C6F">
            <w:pPr>
              <w:pStyle w:val="TableText0"/>
              <w:keepLines/>
              <w:spacing w:before="0" w:after="0"/>
            </w:pPr>
            <w:r w:rsidRPr="001A05F4">
              <w:rPr>
                <w:iCs/>
              </w:rPr>
              <w:t>Neurology 2019;92(15).S5.001.</w:t>
            </w:r>
          </w:p>
        </w:tc>
      </w:tr>
      <w:tr w:rsidR="00C66BE6" w:rsidRPr="001A05F4" w:rsidTr="00927040">
        <w:trPr>
          <w:trHeight w:val="20"/>
        </w:trPr>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AA4C6F">
            <w:pPr>
              <w:pStyle w:val="TableText0"/>
              <w:keepLines/>
              <w:spacing w:before="0" w:after="0"/>
              <w:rPr>
                <w:iCs/>
              </w:rPr>
            </w:pPr>
            <w:r w:rsidRPr="001A05F4">
              <w:rPr>
                <w:iCs/>
              </w:rPr>
              <w:t xml:space="preserve">SMA </w:t>
            </w:r>
            <w:r w:rsidR="006E2AE4" w:rsidRPr="001A05F4">
              <w:rPr>
                <w:iCs/>
              </w:rPr>
              <w:t>Registry</w:t>
            </w:r>
          </w:p>
        </w:tc>
        <w:tc>
          <w:tcPr>
            <w:tcW w:w="2856" w:type="pct"/>
            <w:tcBorders>
              <w:top w:val="single" w:sz="4" w:space="0" w:color="auto"/>
              <w:left w:val="single" w:sz="4" w:space="0" w:color="auto"/>
              <w:bottom w:val="single" w:sz="4" w:space="0" w:color="auto"/>
              <w:right w:val="single" w:sz="4" w:space="0" w:color="auto"/>
            </w:tcBorders>
            <w:vAlign w:val="center"/>
          </w:tcPr>
          <w:p w:rsidR="00C66BE6" w:rsidRPr="001A05F4" w:rsidRDefault="00C66BE6" w:rsidP="00AA4C6F">
            <w:pPr>
              <w:pStyle w:val="TableText0"/>
              <w:keepLines/>
              <w:spacing w:before="0" w:after="0"/>
              <w:rPr>
                <w:iCs/>
              </w:rPr>
            </w:pPr>
            <w:r w:rsidRPr="001A05F4">
              <w:rPr>
                <w:iCs/>
              </w:rPr>
              <w:t>Characterisation of patients with spinal muscular atrophy based on data of SMA registries (SMArtCARE, ISMAR, CuidAME)</w:t>
            </w:r>
          </w:p>
        </w:tc>
        <w:tc>
          <w:tcPr>
            <w:tcW w:w="1418" w:type="pct"/>
            <w:tcBorders>
              <w:top w:val="single" w:sz="4" w:space="0" w:color="auto"/>
              <w:left w:val="single" w:sz="4" w:space="0" w:color="auto"/>
              <w:bottom w:val="single" w:sz="4" w:space="0" w:color="auto"/>
              <w:right w:val="single" w:sz="4" w:space="0" w:color="auto"/>
            </w:tcBorders>
            <w:vAlign w:val="center"/>
          </w:tcPr>
          <w:p w:rsidR="00C66BE6" w:rsidRPr="001A05F4" w:rsidRDefault="00C66BE6" w:rsidP="00AA4C6F">
            <w:pPr>
              <w:pStyle w:val="TableText0"/>
              <w:keepLines/>
              <w:spacing w:before="0" w:after="0"/>
              <w:rPr>
                <w:iCs/>
              </w:rPr>
            </w:pPr>
            <w:r w:rsidRPr="001A05F4">
              <w:rPr>
                <w:iCs/>
              </w:rPr>
              <w:t>No publication cited.</w:t>
            </w:r>
            <w:r w:rsidR="008E4642" w:rsidRPr="001A05F4">
              <w:rPr>
                <w:iCs/>
              </w:rPr>
              <w:t xml:space="preserve"> (Referred to as </w:t>
            </w:r>
            <w:r w:rsidR="008E4642" w:rsidRPr="001A05F4">
              <w:t>SMA Registry 2020 Analyses Report)</w:t>
            </w:r>
          </w:p>
        </w:tc>
      </w:tr>
      <w:tr w:rsidR="00C66BE6" w:rsidRPr="001A05F4" w:rsidTr="00927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rPr>
          <w:trHeight w:val="20"/>
        </w:trPr>
        <w:tc>
          <w:tcPr>
            <w:tcW w:w="5000" w:type="pct"/>
            <w:gridSpan w:val="3"/>
            <w:tcBorders>
              <w:top w:val="nil"/>
              <w:bottom w:val="single" w:sz="4" w:space="0" w:color="auto"/>
            </w:tcBorders>
            <w:vAlign w:val="center"/>
          </w:tcPr>
          <w:p w:rsidR="00C66BE6" w:rsidRPr="001A05F4" w:rsidRDefault="00C66BE6" w:rsidP="00927040">
            <w:pPr>
              <w:pStyle w:val="TableText0"/>
              <w:keepNext w:val="0"/>
              <w:keepLines/>
              <w:spacing w:before="0" w:after="0"/>
              <w:rPr>
                <w:b/>
              </w:rPr>
            </w:pPr>
            <w:r w:rsidRPr="001A05F4">
              <w:rPr>
                <w:b/>
              </w:rPr>
              <w:t>Data on the natural history of SMA in untreated patients</w:t>
            </w:r>
          </w:p>
        </w:tc>
      </w:tr>
      <w:tr w:rsidR="00C66BE6" w:rsidRPr="001A05F4" w:rsidTr="00927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rPr>
          <w:trHeight w:val="20"/>
        </w:trPr>
        <w:tc>
          <w:tcPr>
            <w:tcW w:w="726" w:type="pct"/>
            <w:tcBorders>
              <w:top w:val="single" w:sz="4" w:space="0" w:color="auto"/>
              <w:bottom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pPr>
            <w:r w:rsidRPr="001A05F4">
              <w:t>Mercuri 2016</w:t>
            </w:r>
          </w:p>
        </w:tc>
        <w:tc>
          <w:tcPr>
            <w:tcW w:w="2856" w:type="pct"/>
            <w:tcBorders>
              <w:top w:val="single" w:sz="4" w:space="0" w:color="auto"/>
              <w:bottom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pPr>
            <w:r w:rsidRPr="001A05F4">
              <w:t>Patterns of disease progression in type 2 and 3 SMA: Implications for clinical trials</w:t>
            </w:r>
          </w:p>
        </w:tc>
        <w:tc>
          <w:tcPr>
            <w:tcW w:w="1418" w:type="pct"/>
            <w:tcBorders>
              <w:top w:val="single" w:sz="4" w:space="0" w:color="auto"/>
              <w:bottom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pPr>
            <w:r w:rsidRPr="001A05F4">
              <w:t>Neuromuscular Disorders 2016: 26(2): 126-131.</w:t>
            </w:r>
          </w:p>
        </w:tc>
      </w:tr>
      <w:tr w:rsidR="00C66BE6" w:rsidRPr="001A05F4" w:rsidTr="00927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rPr>
          <w:trHeight w:val="20"/>
        </w:trPr>
        <w:tc>
          <w:tcPr>
            <w:tcW w:w="726" w:type="pct"/>
            <w:tcBorders>
              <w:top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pPr>
            <w:r w:rsidRPr="001A05F4">
              <w:t>Montes 2018</w:t>
            </w:r>
          </w:p>
        </w:tc>
        <w:tc>
          <w:tcPr>
            <w:tcW w:w="28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rPr>
                <w:highlight w:val="yellow"/>
              </w:rPr>
            </w:pPr>
            <w:r w:rsidRPr="001A05F4">
              <w:t>Ambulatory function in spinal muscular atrophy: Age-related patterns of progression</w:t>
            </w:r>
          </w:p>
        </w:tc>
        <w:tc>
          <w:tcPr>
            <w:tcW w:w="1418" w:type="pct"/>
            <w:tcBorders>
              <w:top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rPr>
                <w:highlight w:val="yellow"/>
              </w:rPr>
            </w:pPr>
            <w:r w:rsidRPr="001A05F4">
              <w:t>PLoS ONE 13(6): e0199657</w:t>
            </w:r>
          </w:p>
        </w:tc>
      </w:tr>
      <w:tr w:rsidR="00C66BE6" w:rsidRPr="001A05F4" w:rsidTr="00927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rPr>
          <w:trHeight w:val="20"/>
        </w:trPr>
        <w:tc>
          <w:tcPr>
            <w:tcW w:w="726" w:type="pct"/>
            <w:tcBorders>
              <w:top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pPr>
            <w:r w:rsidRPr="001A05F4">
              <w:t>Pera 2019</w:t>
            </w:r>
          </w:p>
        </w:tc>
        <w:tc>
          <w:tcPr>
            <w:tcW w:w="2856" w:type="pct"/>
            <w:tcBorders>
              <w:top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pPr>
            <w:r w:rsidRPr="001A05F4">
              <w:t>Revised upper limb module for spinal muscular atrophy: 12 month changes</w:t>
            </w:r>
          </w:p>
        </w:tc>
        <w:tc>
          <w:tcPr>
            <w:tcW w:w="1418" w:type="pct"/>
            <w:tcBorders>
              <w:top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pPr>
            <w:r w:rsidRPr="001A05F4">
              <w:t>Muscle and Nerve 2019: 59(4): 426-430.</w:t>
            </w:r>
          </w:p>
        </w:tc>
      </w:tr>
      <w:tr w:rsidR="00C66BE6" w:rsidRPr="001A05F4" w:rsidTr="00927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rPr>
          <w:trHeight w:val="20"/>
        </w:trPr>
        <w:tc>
          <w:tcPr>
            <w:tcW w:w="726" w:type="pct"/>
            <w:tcBorders>
              <w:top w:val="single" w:sz="4" w:space="0" w:color="auto"/>
              <w:bottom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pPr>
            <w:r w:rsidRPr="001A05F4">
              <w:t>Wadman 2018</w:t>
            </w:r>
          </w:p>
        </w:tc>
        <w:tc>
          <w:tcPr>
            <w:tcW w:w="2856" w:type="pct"/>
            <w:tcBorders>
              <w:top w:val="single" w:sz="4" w:space="0" w:color="auto"/>
              <w:bottom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rPr>
                <w:highlight w:val="yellow"/>
              </w:rPr>
            </w:pPr>
            <w:r w:rsidRPr="001A05F4">
              <w:t>Muscle strength and motor function throughout life in a cross-sectional cohort of 180 patients with spinal muscular atrophy types 1c-4</w:t>
            </w:r>
          </w:p>
        </w:tc>
        <w:tc>
          <w:tcPr>
            <w:tcW w:w="1418" w:type="pct"/>
            <w:tcBorders>
              <w:top w:val="single" w:sz="4" w:space="0" w:color="auto"/>
              <w:bottom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rPr>
                <w:highlight w:val="yellow"/>
              </w:rPr>
            </w:pPr>
            <w:r w:rsidRPr="001A05F4">
              <w:t>European Journal of Neurology 2018: 25(3): 512-518.</w:t>
            </w:r>
          </w:p>
        </w:tc>
      </w:tr>
      <w:tr w:rsidR="00C66BE6" w:rsidRPr="001A05F4" w:rsidTr="00927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rPr>
          <w:trHeight w:val="20"/>
        </w:trPr>
        <w:tc>
          <w:tcPr>
            <w:tcW w:w="726" w:type="pct"/>
            <w:tcBorders>
              <w:top w:val="single" w:sz="4" w:space="0" w:color="auto"/>
            </w:tcBorders>
            <w:shd w:val="clear" w:color="auto" w:fill="FFFFFF" w:themeFill="background1"/>
            <w:vAlign w:val="center"/>
          </w:tcPr>
          <w:p w:rsidR="00C66BE6" w:rsidRPr="001A05F4" w:rsidRDefault="00C66BE6" w:rsidP="00927040">
            <w:pPr>
              <w:pStyle w:val="TableText0"/>
              <w:keepNext w:val="0"/>
              <w:keepLines/>
              <w:spacing w:before="0" w:after="0"/>
            </w:pPr>
            <w:r w:rsidRPr="001A05F4">
              <w:t>Coratti 2020a</w:t>
            </w:r>
          </w:p>
        </w:tc>
        <w:tc>
          <w:tcPr>
            <w:tcW w:w="2856" w:type="pct"/>
            <w:tcBorders>
              <w:top w:val="single" w:sz="4" w:space="0" w:color="auto"/>
            </w:tcBorders>
            <w:shd w:val="clear" w:color="auto" w:fill="FFFFFF" w:themeFill="background1"/>
            <w:vAlign w:val="center"/>
          </w:tcPr>
          <w:p w:rsidR="00C66BE6" w:rsidRPr="001A05F4" w:rsidRDefault="00C66BE6" w:rsidP="00927040">
            <w:pPr>
              <w:pStyle w:val="TableText0"/>
              <w:keepNext w:val="0"/>
              <w:keepLines/>
              <w:spacing w:before="0" w:after="0"/>
            </w:pPr>
            <w:r w:rsidRPr="001A05F4">
              <w:t>Clinical Variability in Spinal Muscular Atrophy Type III.</w:t>
            </w:r>
          </w:p>
        </w:tc>
        <w:tc>
          <w:tcPr>
            <w:tcW w:w="1418" w:type="pct"/>
            <w:tcBorders>
              <w:top w:val="single" w:sz="4" w:space="0" w:color="auto"/>
            </w:tcBorders>
            <w:shd w:val="clear" w:color="auto" w:fill="FFFFFF" w:themeFill="background1"/>
            <w:vAlign w:val="center"/>
          </w:tcPr>
          <w:p w:rsidR="00C66BE6" w:rsidRPr="001A05F4" w:rsidRDefault="00C66BE6" w:rsidP="00927040">
            <w:pPr>
              <w:pStyle w:val="TableText0"/>
              <w:keepNext w:val="0"/>
              <w:keepLines/>
              <w:spacing w:before="0" w:after="0"/>
            </w:pPr>
            <w:r w:rsidRPr="001A05F4">
              <w:t>Annals of Neurology. 2020;88(6):1109-1117. 10.1002/ana.25900</w:t>
            </w:r>
          </w:p>
        </w:tc>
      </w:tr>
      <w:tr w:rsidR="00C66BE6" w:rsidRPr="001A05F4" w:rsidTr="00927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rPr>
          <w:trHeight w:val="20"/>
        </w:trPr>
        <w:tc>
          <w:tcPr>
            <w:tcW w:w="726" w:type="pct"/>
            <w:tcBorders>
              <w:top w:val="single" w:sz="4" w:space="0" w:color="auto"/>
            </w:tcBorders>
            <w:shd w:val="clear" w:color="auto" w:fill="FFFFFF" w:themeFill="background1"/>
            <w:vAlign w:val="center"/>
          </w:tcPr>
          <w:p w:rsidR="00C66BE6" w:rsidRPr="001A05F4" w:rsidRDefault="00C66BE6" w:rsidP="00927040">
            <w:pPr>
              <w:pStyle w:val="TableText0"/>
              <w:keepNext w:val="0"/>
              <w:keepLines/>
              <w:spacing w:before="0" w:after="0"/>
            </w:pPr>
            <w:r w:rsidRPr="001A05F4">
              <w:t>Coratti 2020b</w:t>
            </w:r>
          </w:p>
        </w:tc>
        <w:tc>
          <w:tcPr>
            <w:tcW w:w="2856" w:type="pct"/>
            <w:tcBorders>
              <w:top w:val="single" w:sz="4" w:space="0" w:color="auto"/>
            </w:tcBorders>
            <w:shd w:val="clear" w:color="auto" w:fill="FFFFFF" w:themeFill="background1"/>
            <w:vAlign w:val="center"/>
          </w:tcPr>
          <w:p w:rsidR="00C66BE6" w:rsidRPr="001A05F4" w:rsidRDefault="00C66BE6" w:rsidP="00927040">
            <w:pPr>
              <w:pStyle w:val="TableText0"/>
              <w:keepNext w:val="0"/>
              <w:keepLines/>
              <w:spacing w:before="0" w:after="0"/>
            </w:pPr>
            <w:r w:rsidRPr="001A05F4">
              <w:t>Age and baseline values predict 12 and 24-month functional changes in type 2 SMA.</w:t>
            </w:r>
          </w:p>
        </w:tc>
        <w:tc>
          <w:tcPr>
            <w:tcW w:w="1418" w:type="pct"/>
            <w:tcBorders>
              <w:top w:val="single" w:sz="4" w:space="0" w:color="auto"/>
            </w:tcBorders>
            <w:shd w:val="clear" w:color="auto" w:fill="FFFFFF" w:themeFill="background1"/>
            <w:vAlign w:val="center"/>
          </w:tcPr>
          <w:p w:rsidR="00C66BE6" w:rsidRPr="001A05F4" w:rsidRDefault="00C66BE6" w:rsidP="00927040">
            <w:pPr>
              <w:pStyle w:val="TableText0"/>
              <w:keepNext w:val="0"/>
              <w:keepLines/>
              <w:spacing w:before="0" w:after="0"/>
            </w:pPr>
            <w:r w:rsidRPr="001A05F4">
              <w:t>Neuromuscular Disorders. 2020;30(9):756-764. 10.1016/j.nmd.2020.07.005</w:t>
            </w:r>
          </w:p>
        </w:tc>
      </w:tr>
      <w:tr w:rsidR="00C66BE6" w:rsidRPr="001A05F4" w:rsidTr="00927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rPr>
          <w:trHeight w:val="20"/>
        </w:trPr>
        <w:tc>
          <w:tcPr>
            <w:tcW w:w="726" w:type="pct"/>
            <w:tcBorders>
              <w:top w:val="single" w:sz="4" w:space="0" w:color="auto"/>
            </w:tcBorders>
            <w:shd w:val="clear" w:color="auto" w:fill="FFFFFF" w:themeFill="background1"/>
            <w:vAlign w:val="center"/>
          </w:tcPr>
          <w:p w:rsidR="00C66BE6" w:rsidRPr="001A05F4" w:rsidRDefault="00C66BE6" w:rsidP="00927040">
            <w:pPr>
              <w:pStyle w:val="TableText0"/>
              <w:keepNext w:val="0"/>
              <w:keepLines/>
              <w:spacing w:before="0" w:after="0"/>
            </w:pPr>
            <w:r w:rsidRPr="001A05F4">
              <w:t>Wijngaarde 2020a</w:t>
            </w:r>
          </w:p>
        </w:tc>
        <w:tc>
          <w:tcPr>
            <w:tcW w:w="2856" w:type="pct"/>
            <w:tcBorders>
              <w:top w:val="single" w:sz="4" w:space="0" w:color="auto"/>
            </w:tcBorders>
            <w:shd w:val="clear" w:color="auto" w:fill="FFFFFF" w:themeFill="background1"/>
            <w:vAlign w:val="center"/>
          </w:tcPr>
          <w:p w:rsidR="00C66BE6" w:rsidRPr="001A05F4" w:rsidRDefault="00C66BE6" w:rsidP="00927040">
            <w:pPr>
              <w:pStyle w:val="TableText0"/>
              <w:keepNext w:val="0"/>
              <w:keepLines/>
              <w:spacing w:before="0" w:after="0"/>
            </w:pPr>
            <w:r w:rsidRPr="001A05F4">
              <w:t>Muscle strength and motor function in adolescents and adults with spinal muscular atrophy</w:t>
            </w:r>
          </w:p>
        </w:tc>
        <w:tc>
          <w:tcPr>
            <w:tcW w:w="1418" w:type="pct"/>
            <w:tcBorders>
              <w:top w:val="single" w:sz="4" w:space="0" w:color="auto"/>
            </w:tcBorders>
            <w:shd w:val="clear" w:color="auto" w:fill="FFFFFF" w:themeFill="background1"/>
            <w:vAlign w:val="center"/>
          </w:tcPr>
          <w:p w:rsidR="00C66BE6" w:rsidRPr="001A05F4" w:rsidRDefault="00C66BE6" w:rsidP="00927040">
            <w:pPr>
              <w:pStyle w:val="TableText0"/>
              <w:keepNext w:val="0"/>
              <w:keepLines/>
              <w:spacing w:before="0" w:after="0"/>
            </w:pPr>
            <w:r w:rsidRPr="001A05F4">
              <w:t>Neurology. 2020;95(14):e1988-e1998. 10.1212/WNL.0000000000010540</w:t>
            </w:r>
          </w:p>
        </w:tc>
      </w:tr>
      <w:tr w:rsidR="00C66BE6" w:rsidRPr="001A05F4" w:rsidTr="00927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rPr>
          <w:trHeight w:val="20"/>
        </w:trPr>
        <w:tc>
          <w:tcPr>
            <w:tcW w:w="726" w:type="pct"/>
            <w:tcBorders>
              <w:top w:val="single" w:sz="4" w:space="0" w:color="auto"/>
            </w:tcBorders>
            <w:shd w:val="clear" w:color="auto" w:fill="FFFFFF" w:themeFill="background1"/>
            <w:vAlign w:val="center"/>
          </w:tcPr>
          <w:p w:rsidR="00C66BE6" w:rsidRPr="001A05F4" w:rsidRDefault="00C66BE6" w:rsidP="00927040">
            <w:pPr>
              <w:pStyle w:val="TableText0"/>
              <w:keepNext w:val="0"/>
              <w:keepLines/>
              <w:spacing w:before="0" w:after="0"/>
            </w:pPr>
            <w:r w:rsidRPr="001A05F4">
              <w:t>Querin 2021</w:t>
            </w:r>
          </w:p>
        </w:tc>
        <w:tc>
          <w:tcPr>
            <w:tcW w:w="2856" w:type="pct"/>
            <w:tcBorders>
              <w:top w:val="single" w:sz="4" w:space="0" w:color="auto"/>
            </w:tcBorders>
            <w:shd w:val="clear" w:color="auto" w:fill="FFFFFF" w:themeFill="background1"/>
            <w:vAlign w:val="center"/>
          </w:tcPr>
          <w:p w:rsidR="00C66BE6" w:rsidRPr="001A05F4" w:rsidRDefault="00C66BE6" w:rsidP="00927040">
            <w:pPr>
              <w:pStyle w:val="TableText0"/>
              <w:keepNext w:val="0"/>
              <w:keepLines/>
              <w:spacing w:before="0" w:after="0"/>
            </w:pPr>
            <w:r w:rsidRPr="001A05F4">
              <w:t>Development of new outcome measures for adult SMA type III and IV: a multimodal longitudinal study.</w:t>
            </w:r>
          </w:p>
        </w:tc>
        <w:tc>
          <w:tcPr>
            <w:tcW w:w="1418" w:type="pct"/>
            <w:tcBorders>
              <w:top w:val="single" w:sz="4" w:space="0" w:color="auto"/>
            </w:tcBorders>
            <w:shd w:val="clear" w:color="auto" w:fill="FFFFFF" w:themeFill="background1"/>
            <w:vAlign w:val="center"/>
          </w:tcPr>
          <w:p w:rsidR="00C66BE6" w:rsidRPr="001A05F4" w:rsidRDefault="00C66BE6" w:rsidP="00927040">
            <w:pPr>
              <w:pStyle w:val="TableText0"/>
              <w:keepNext w:val="0"/>
              <w:keepLines/>
              <w:spacing w:before="0" w:after="0"/>
            </w:pPr>
            <w:r w:rsidRPr="001A05F4">
              <w:t>Journal of Neurology. 2021. 10.1007/s00415-020-10332-5</w:t>
            </w:r>
          </w:p>
        </w:tc>
      </w:tr>
      <w:tr w:rsidR="00C66BE6" w:rsidRPr="001A05F4" w:rsidTr="00927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rPr>
          <w:trHeight w:val="20"/>
        </w:trPr>
        <w:tc>
          <w:tcPr>
            <w:tcW w:w="726" w:type="pct"/>
            <w:tcBorders>
              <w:top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pPr>
            <w:r w:rsidRPr="001A05F4">
              <w:t>Mazzone 2013</w:t>
            </w:r>
          </w:p>
        </w:tc>
        <w:tc>
          <w:tcPr>
            <w:tcW w:w="2856" w:type="pct"/>
            <w:tcBorders>
              <w:top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pPr>
            <w:r w:rsidRPr="001A05F4">
              <w:t>Six minute walk test in type III spinal muscular atrophy: A 12month longitudinal study</w:t>
            </w:r>
          </w:p>
        </w:tc>
        <w:tc>
          <w:tcPr>
            <w:tcW w:w="1418" w:type="pct"/>
            <w:tcBorders>
              <w:top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pPr>
            <w:r w:rsidRPr="001A05F4">
              <w:t>Neuromuscular Disorders 23(8): 624-628.</w:t>
            </w:r>
          </w:p>
        </w:tc>
      </w:tr>
      <w:tr w:rsidR="00C66BE6" w:rsidRPr="001A05F4" w:rsidTr="00927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rPr>
          <w:trHeight w:val="20"/>
        </w:trPr>
        <w:tc>
          <w:tcPr>
            <w:tcW w:w="726" w:type="pct"/>
            <w:tcBorders>
              <w:top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pPr>
            <w:r w:rsidRPr="001A05F4">
              <w:t>Bonati 2017</w:t>
            </w:r>
          </w:p>
        </w:tc>
        <w:tc>
          <w:tcPr>
            <w:tcW w:w="2856" w:type="pct"/>
            <w:tcBorders>
              <w:top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pPr>
            <w:r w:rsidRPr="001A05F4">
              <w:t>Longitudinal characterization of biomarkers for spinal muscular atrophy</w:t>
            </w:r>
          </w:p>
        </w:tc>
        <w:tc>
          <w:tcPr>
            <w:tcW w:w="1418" w:type="pct"/>
            <w:tcBorders>
              <w:top w:val="single" w:sz="4" w:space="0" w:color="auto"/>
            </w:tcBorders>
            <w:shd w:val="clear" w:color="auto" w:fill="D9D9D9" w:themeFill="background1" w:themeFillShade="D9"/>
            <w:vAlign w:val="center"/>
          </w:tcPr>
          <w:p w:rsidR="00C66BE6" w:rsidRPr="001A05F4" w:rsidRDefault="00C66BE6" w:rsidP="00927040">
            <w:pPr>
              <w:pStyle w:val="TableText0"/>
              <w:keepNext w:val="0"/>
              <w:keepLines/>
              <w:spacing w:before="0" w:after="0"/>
            </w:pPr>
            <w:r w:rsidRPr="001A05F4">
              <w:t>Annals of Clinical and Translational Neurology 4(5): 292-304.</w:t>
            </w:r>
          </w:p>
        </w:tc>
      </w:tr>
    </w:tbl>
    <w:p w:rsidR="00C66BE6" w:rsidRPr="001A05F4" w:rsidRDefault="00C66BE6" w:rsidP="00C66BE6">
      <w:pPr>
        <w:pStyle w:val="TableFigureFooter"/>
        <w:keepLines/>
        <w:spacing w:after="0"/>
      </w:pPr>
      <w:r w:rsidRPr="001A05F4">
        <w:t>Source: Tables 2.5 and 2.9 and 2.9, pp 67-68 and 83 of the resubmission and compiled during the evaluation from Section 2.2 of the resubmission.</w:t>
      </w:r>
    </w:p>
    <w:p w:rsidR="00C66BE6" w:rsidRPr="001A05F4" w:rsidRDefault="00C66BE6" w:rsidP="00C66BE6">
      <w:pPr>
        <w:pStyle w:val="TableFigureFooter"/>
        <w:keepLines/>
        <w:spacing w:after="0"/>
        <w:rPr>
          <w:sz w:val="20"/>
        </w:rPr>
      </w:pPr>
      <w:r w:rsidRPr="001A05F4">
        <w:t>Gray shaded cells indicate studies previously presented in the November 2020 resubmission.</w:t>
      </w:r>
    </w:p>
    <w:p w:rsidR="00C66BE6" w:rsidRPr="001A05F4" w:rsidRDefault="00C66BE6" w:rsidP="00C66BE6">
      <w:pPr>
        <w:widowControl/>
      </w:pPr>
    </w:p>
    <w:p w:rsidR="00C66BE6" w:rsidRPr="001A05F4" w:rsidRDefault="00C66BE6" w:rsidP="00F9436F">
      <w:pPr>
        <w:pStyle w:val="ListParagraph"/>
        <w:widowControl/>
        <w:numPr>
          <w:ilvl w:val="1"/>
          <w:numId w:val="2"/>
        </w:numPr>
      </w:pPr>
      <w:r w:rsidRPr="001A05F4">
        <w:t xml:space="preserve">The key features of the </w:t>
      </w:r>
      <w:r w:rsidR="00F077D9" w:rsidRPr="001A05F4">
        <w:t>included studies</w:t>
      </w:r>
      <w:r w:rsidRPr="001A05F4">
        <w:t xml:space="preserve"> are summarised in </w:t>
      </w:r>
      <w:r w:rsidR="00BC2D8D" w:rsidRPr="001A05F4">
        <w:t>Table 5</w:t>
      </w:r>
      <w:r w:rsidR="00F077D9" w:rsidRPr="001A05F4">
        <w:t xml:space="preserve"> </w:t>
      </w:r>
      <w:r w:rsidR="00F00687" w:rsidRPr="001A05F4">
        <w:t>below</w:t>
      </w:r>
      <w:r w:rsidR="008A209E" w:rsidRPr="001A05F4">
        <w:t>, including</w:t>
      </w:r>
      <w:r w:rsidR="00DB7B7C" w:rsidRPr="001A05F4">
        <w:t xml:space="preserve"> </w:t>
      </w:r>
      <w:r w:rsidR="008A209E" w:rsidRPr="001A05F4">
        <w:t>the risk of bias which was assessed</w:t>
      </w:r>
      <w:r w:rsidRPr="001A05F4">
        <w:t xml:space="preserve"> </w:t>
      </w:r>
      <w:r w:rsidR="008A209E" w:rsidRPr="001A05F4">
        <w:t>using the ROBINS-1 tool for nonrandomised studies.</w:t>
      </w:r>
    </w:p>
    <w:p w:rsidR="00C66BE6" w:rsidRPr="001A05F4" w:rsidRDefault="00F077D9" w:rsidP="00AA4C6F">
      <w:pPr>
        <w:keepNext/>
        <w:rPr>
          <w:rStyle w:val="CommentReference"/>
        </w:rPr>
      </w:pPr>
      <w:bookmarkStart w:id="17" w:name="_Ref71581832"/>
      <w:r w:rsidRPr="001A05F4">
        <w:rPr>
          <w:rStyle w:val="CommentReference"/>
        </w:rPr>
        <w:t xml:space="preserve">Table </w:t>
      </w:r>
      <w:r w:rsidR="00BC2D8D" w:rsidRPr="001A05F4">
        <w:rPr>
          <w:rStyle w:val="CommentReference"/>
        </w:rPr>
        <w:t>5</w:t>
      </w:r>
      <w:bookmarkEnd w:id="17"/>
      <w:r w:rsidR="00C66BE6" w:rsidRPr="001A05F4">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694"/>
        <w:gridCol w:w="2126"/>
        <w:gridCol w:w="709"/>
        <w:gridCol w:w="1277"/>
        <w:gridCol w:w="1273"/>
        <w:gridCol w:w="1652"/>
      </w:tblGrid>
      <w:tr w:rsidR="00C66BE6" w:rsidRPr="001A05F4" w:rsidTr="00AA4C6F">
        <w:trPr>
          <w:tblHeader/>
        </w:trPr>
        <w:tc>
          <w:tcPr>
            <w:tcW w:w="713" w:type="pct"/>
            <w:shd w:val="clear" w:color="auto" w:fill="auto"/>
            <w:vAlign w:val="center"/>
          </w:tcPr>
          <w:p w:rsidR="00C66BE6" w:rsidRPr="001A05F4" w:rsidRDefault="00C66BE6" w:rsidP="00AA4C6F">
            <w:pPr>
              <w:pStyle w:val="Tabletext"/>
              <w:keepNext/>
              <w:keepLines/>
              <w:rPr>
                <w:b/>
              </w:rPr>
            </w:pPr>
            <w:r w:rsidRPr="001A05F4">
              <w:rPr>
                <w:b/>
              </w:rPr>
              <w:t>Trial</w:t>
            </w:r>
          </w:p>
        </w:tc>
        <w:tc>
          <w:tcPr>
            <w:tcW w:w="385" w:type="pct"/>
            <w:shd w:val="clear" w:color="auto" w:fill="auto"/>
            <w:vAlign w:val="center"/>
          </w:tcPr>
          <w:p w:rsidR="00C66BE6" w:rsidRPr="001A05F4" w:rsidRDefault="00C66BE6" w:rsidP="00AA4C6F">
            <w:pPr>
              <w:pStyle w:val="Tabletext"/>
              <w:keepNext/>
              <w:keepLines/>
              <w:jc w:val="center"/>
              <w:rPr>
                <w:b/>
              </w:rPr>
            </w:pPr>
            <w:r w:rsidRPr="001A05F4">
              <w:rPr>
                <w:b/>
              </w:rPr>
              <w:t>N</w:t>
            </w:r>
          </w:p>
        </w:tc>
        <w:tc>
          <w:tcPr>
            <w:tcW w:w="1179" w:type="pct"/>
            <w:shd w:val="clear" w:color="auto" w:fill="auto"/>
            <w:vAlign w:val="center"/>
          </w:tcPr>
          <w:p w:rsidR="00C66BE6" w:rsidRPr="001A05F4" w:rsidRDefault="00C66BE6" w:rsidP="00AA4C6F">
            <w:pPr>
              <w:pStyle w:val="Tabletext"/>
              <w:keepNext/>
              <w:keepLines/>
              <w:jc w:val="center"/>
              <w:rPr>
                <w:b/>
              </w:rPr>
            </w:pPr>
            <w:r w:rsidRPr="001A05F4">
              <w:rPr>
                <w:b/>
              </w:rPr>
              <w:t>Design/ duration</w:t>
            </w:r>
          </w:p>
        </w:tc>
        <w:tc>
          <w:tcPr>
            <w:tcW w:w="393" w:type="pct"/>
            <w:shd w:val="clear" w:color="auto" w:fill="auto"/>
            <w:vAlign w:val="center"/>
          </w:tcPr>
          <w:p w:rsidR="00C66BE6" w:rsidRPr="001A05F4" w:rsidRDefault="00C66BE6" w:rsidP="00AA4C6F">
            <w:pPr>
              <w:pStyle w:val="Tabletext"/>
              <w:keepNext/>
              <w:keepLines/>
              <w:jc w:val="center"/>
              <w:rPr>
                <w:b/>
              </w:rPr>
            </w:pPr>
            <w:r w:rsidRPr="001A05F4">
              <w:rPr>
                <w:b/>
              </w:rPr>
              <w:t>Risk of bias</w:t>
            </w:r>
          </w:p>
        </w:tc>
        <w:tc>
          <w:tcPr>
            <w:tcW w:w="708" w:type="pct"/>
            <w:shd w:val="clear" w:color="auto" w:fill="auto"/>
            <w:vAlign w:val="center"/>
          </w:tcPr>
          <w:p w:rsidR="00C66BE6" w:rsidRPr="001A05F4" w:rsidRDefault="00C66BE6" w:rsidP="00AA4C6F">
            <w:pPr>
              <w:pStyle w:val="Tabletext"/>
              <w:keepNext/>
              <w:keepLines/>
              <w:jc w:val="center"/>
              <w:rPr>
                <w:b/>
              </w:rPr>
            </w:pPr>
            <w:r w:rsidRPr="001A05F4">
              <w:rPr>
                <w:b/>
              </w:rPr>
              <w:t>Patient population</w:t>
            </w:r>
          </w:p>
        </w:tc>
        <w:tc>
          <w:tcPr>
            <w:tcW w:w="706" w:type="pct"/>
            <w:shd w:val="clear" w:color="auto" w:fill="auto"/>
            <w:vAlign w:val="center"/>
          </w:tcPr>
          <w:p w:rsidR="00C66BE6" w:rsidRPr="001A05F4" w:rsidRDefault="00C66BE6" w:rsidP="00AA4C6F">
            <w:pPr>
              <w:pStyle w:val="Tabletext"/>
              <w:keepNext/>
              <w:keepLines/>
              <w:jc w:val="center"/>
              <w:rPr>
                <w:b/>
              </w:rPr>
            </w:pPr>
            <w:r w:rsidRPr="001A05F4">
              <w:rPr>
                <w:b/>
              </w:rPr>
              <w:t>Outcome(s)</w:t>
            </w:r>
          </w:p>
        </w:tc>
        <w:tc>
          <w:tcPr>
            <w:tcW w:w="916" w:type="pct"/>
            <w:shd w:val="clear" w:color="auto" w:fill="auto"/>
            <w:vAlign w:val="center"/>
          </w:tcPr>
          <w:p w:rsidR="00C66BE6" w:rsidRPr="001A05F4" w:rsidRDefault="00C66BE6" w:rsidP="00AA4C6F">
            <w:pPr>
              <w:pStyle w:val="Tabletext"/>
              <w:keepNext/>
              <w:keepLines/>
              <w:jc w:val="center"/>
              <w:rPr>
                <w:b/>
              </w:rPr>
            </w:pPr>
            <w:r w:rsidRPr="001A05F4">
              <w:rPr>
                <w:b/>
              </w:rPr>
              <w:t>Use in modelled evaluation</w:t>
            </w:r>
          </w:p>
        </w:tc>
      </w:tr>
      <w:tr w:rsidR="00C66BE6" w:rsidRPr="001A05F4" w:rsidTr="00927040">
        <w:tc>
          <w:tcPr>
            <w:tcW w:w="5000" w:type="pct"/>
            <w:gridSpan w:val="7"/>
            <w:shd w:val="clear" w:color="auto" w:fill="auto"/>
            <w:vAlign w:val="center"/>
          </w:tcPr>
          <w:p w:rsidR="00C66BE6" w:rsidRPr="001A05F4" w:rsidRDefault="00C66BE6" w:rsidP="00AA4C6F">
            <w:pPr>
              <w:pStyle w:val="Tabletext"/>
              <w:keepNext/>
              <w:keepLines/>
              <w:rPr>
                <w:b/>
              </w:rPr>
            </w:pPr>
            <w:r w:rsidRPr="001A05F4">
              <w:rPr>
                <w:b/>
              </w:rPr>
              <w:t>Nusinersen</w:t>
            </w:r>
          </w:p>
        </w:tc>
      </w:tr>
      <w:tr w:rsidR="00C66BE6" w:rsidRPr="001A05F4" w:rsidTr="00AA4C6F">
        <w:trPr>
          <w:cantSplit/>
        </w:trPr>
        <w:tc>
          <w:tcPr>
            <w:tcW w:w="713" w:type="pct"/>
            <w:shd w:val="clear" w:color="auto" w:fill="auto"/>
            <w:vAlign w:val="center"/>
          </w:tcPr>
          <w:p w:rsidR="00C66BE6" w:rsidRPr="001A05F4" w:rsidRDefault="00C66BE6" w:rsidP="00AA4C6F">
            <w:pPr>
              <w:pStyle w:val="TableText0"/>
              <w:keepLines/>
              <w:spacing w:before="0" w:after="0"/>
            </w:pPr>
            <w:r w:rsidRPr="001A05F4">
              <w:rPr>
                <w:szCs w:val="20"/>
              </w:rPr>
              <w:t>Maggi 2020</w:t>
            </w:r>
          </w:p>
        </w:tc>
        <w:tc>
          <w:tcPr>
            <w:tcW w:w="385" w:type="pct"/>
            <w:shd w:val="clear" w:color="auto" w:fill="auto"/>
            <w:vAlign w:val="center"/>
          </w:tcPr>
          <w:p w:rsidR="00C66BE6" w:rsidRPr="001A05F4" w:rsidRDefault="00C66BE6" w:rsidP="00AA4C6F">
            <w:pPr>
              <w:pStyle w:val="TableText0"/>
              <w:keepLines/>
              <w:spacing w:before="0" w:after="0"/>
              <w:jc w:val="center"/>
            </w:pPr>
            <w:r w:rsidRPr="001A05F4">
              <w:t>116</w:t>
            </w:r>
          </w:p>
        </w:tc>
        <w:tc>
          <w:tcPr>
            <w:tcW w:w="1179" w:type="pct"/>
            <w:shd w:val="clear" w:color="auto" w:fill="auto"/>
            <w:vAlign w:val="center"/>
          </w:tcPr>
          <w:p w:rsidR="00C66BE6" w:rsidRPr="001A05F4" w:rsidRDefault="00C66BE6" w:rsidP="00AA4C6F">
            <w:pPr>
              <w:pStyle w:val="TableText0"/>
              <w:keepLines/>
              <w:spacing w:before="0" w:after="0"/>
              <w:jc w:val="center"/>
            </w:pPr>
            <w:r w:rsidRPr="001A05F4">
              <w:t>Retrospective cohort study single arm</w:t>
            </w:r>
          </w:p>
          <w:p w:rsidR="00C66BE6" w:rsidRPr="001A05F4" w:rsidRDefault="00C66BE6" w:rsidP="00AA4C6F">
            <w:pPr>
              <w:pStyle w:val="TableText0"/>
              <w:keepLines/>
              <w:spacing w:before="0" w:after="0"/>
              <w:jc w:val="center"/>
            </w:pPr>
            <w:r w:rsidRPr="001A05F4">
              <w:t>14 months</w:t>
            </w:r>
          </w:p>
        </w:tc>
        <w:tc>
          <w:tcPr>
            <w:tcW w:w="393" w:type="pct"/>
            <w:shd w:val="clear" w:color="auto" w:fill="auto"/>
            <w:vAlign w:val="center"/>
          </w:tcPr>
          <w:p w:rsidR="00C66BE6" w:rsidRPr="001A05F4" w:rsidRDefault="00C66BE6" w:rsidP="00AA4C6F">
            <w:pPr>
              <w:pStyle w:val="TableText0"/>
              <w:keepLines/>
              <w:spacing w:before="0" w:after="0"/>
              <w:jc w:val="center"/>
            </w:pPr>
            <w:r w:rsidRPr="001A05F4">
              <w:t>High</w:t>
            </w:r>
          </w:p>
        </w:tc>
        <w:tc>
          <w:tcPr>
            <w:tcW w:w="708" w:type="pct"/>
            <w:shd w:val="clear" w:color="auto" w:fill="auto"/>
            <w:vAlign w:val="center"/>
          </w:tcPr>
          <w:p w:rsidR="00C66BE6" w:rsidRPr="001A05F4" w:rsidRDefault="00C66BE6" w:rsidP="00AA4C6F">
            <w:pPr>
              <w:pStyle w:val="TableText0"/>
              <w:keepLines/>
              <w:spacing w:before="0" w:after="0"/>
              <w:jc w:val="center"/>
            </w:pPr>
            <w:r w:rsidRPr="001A05F4">
              <w:t>Type II and III SMA</w:t>
            </w:r>
          </w:p>
        </w:tc>
        <w:tc>
          <w:tcPr>
            <w:tcW w:w="706" w:type="pct"/>
            <w:shd w:val="clear" w:color="auto" w:fill="auto"/>
            <w:vAlign w:val="center"/>
          </w:tcPr>
          <w:p w:rsidR="00C66BE6" w:rsidRPr="001A05F4" w:rsidRDefault="00C66BE6" w:rsidP="00AA4C6F">
            <w:pPr>
              <w:pStyle w:val="TableText0"/>
              <w:keepLines/>
              <w:spacing w:before="0" w:after="0"/>
              <w:jc w:val="center"/>
            </w:pPr>
            <w:r w:rsidRPr="001A05F4">
              <w:t>HFMSE, RULM, 6MWT</w:t>
            </w:r>
          </w:p>
        </w:tc>
        <w:tc>
          <w:tcPr>
            <w:tcW w:w="916" w:type="pct"/>
            <w:shd w:val="clear" w:color="auto" w:fill="auto"/>
            <w:vAlign w:val="center"/>
          </w:tcPr>
          <w:p w:rsidR="00C66BE6" w:rsidRPr="001A05F4" w:rsidRDefault="00C66BE6" w:rsidP="00AA4C6F">
            <w:pPr>
              <w:pStyle w:val="TableText0"/>
              <w:keepLines/>
              <w:spacing w:before="0" w:after="0"/>
              <w:jc w:val="center"/>
            </w:pPr>
            <w:r w:rsidRPr="001A05F4">
              <w:t>HSFME, RULM and 6MWT responder rates, baseline age</w:t>
            </w:r>
          </w:p>
        </w:tc>
      </w:tr>
      <w:tr w:rsidR="00C66BE6" w:rsidRPr="001A05F4" w:rsidTr="00AA4C6F">
        <w:trPr>
          <w:cantSplit/>
        </w:trPr>
        <w:tc>
          <w:tcPr>
            <w:tcW w:w="713" w:type="pct"/>
            <w:shd w:val="clear" w:color="auto" w:fill="D9D9D9" w:themeFill="background1" w:themeFillShade="D9"/>
            <w:vAlign w:val="center"/>
          </w:tcPr>
          <w:p w:rsidR="00C66BE6" w:rsidRPr="001A05F4" w:rsidRDefault="00C66BE6" w:rsidP="00AA4C6F">
            <w:pPr>
              <w:pStyle w:val="TableText0"/>
              <w:keepLines/>
              <w:spacing w:before="0" w:after="0"/>
            </w:pPr>
            <w:r w:rsidRPr="001A05F4">
              <w:rPr>
                <w:szCs w:val="20"/>
              </w:rPr>
              <w:t>Hagenacker 2020</w:t>
            </w:r>
          </w:p>
        </w:tc>
        <w:tc>
          <w:tcPr>
            <w:tcW w:w="385"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124</w:t>
            </w:r>
          </w:p>
        </w:tc>
        <w:tc>
          <w:tcPr>
            <w:tcW w:w="1179"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Prospective, observational cohort study, single arm</w:t>
            </w:r>
          </w:p>
          <w:p w:rsidR="00C66BE6" w:rsidRPr="001A05F4" w:rsidRDefault="00C66BE6" w:rsidP="00AA4C6F">
            <w:pPr>
              <w:pStyle w:val="TableText0"/>
              <w:keepLines/>
              <w:spacing w:before="0" w:after="0"/>
              <w:jc w:val="center"/>
            </w:pPr>
            <w:r w:rsidRPr="001A05F4">
              <w:t>14 months</w:t>
            </w:r>
          </w:p>
        </w:tc>
        <w:tc>
          <w:tcPr>
            <w:tcW w:w="393"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High</w:t>
            </w:r>
          </w:p>
        </w:tc>
        <w:tc>
          <w:tcPr>
            <w:tcW w:w="708"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Type II and III SMA</w:t>
            </w:r>
          </w:p>
        </w:tc>
        <w:tc>
          <w:tcPr>
            <w:tcW w:w="706"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HFMSE, RULM, 6MWT</w:t>
            </w:r>
          </w:p>
        </w:tc>
        <w:tc>
          <w:tcPr>
            <w:tcW w:w="916"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Discontinuation rate used, baseline age</w:t>
            </w:r>
          </w:p>
        </w:tc>
      </w:tr>
      <w:tr w:rsidR="00C66BE6" w:rsidRPr="001A05F4" w:rsidTr="00AA4C6F">
        <w:trPr>
          <w:cantSplit/>
        </w:trPr>
        <w:tc>
          <w:tcPr>
            <w:tcW w:w="713" w:type="pct"/>
            <w:shd w:val="clear" w:color="auto" w:fill="auto"/>
            <w:vAlign w:val="center"/>
          </w:tcPr>
          <w:p w:rsidR="00C66BE6" w:rsidRPr="001A05F4" w:rsidRDefault="00C66BE6" w:rsidP="00AA4C6F">
            <w:pPr>
              <w:pStyle w:val="TableText0"/>
              <w:keepLines/>
              <w:spacing w:before="0" w:after="0"/>
            </w:pPr>
            <w:r w:rsidRPr="001A05F4">
              <w:rPr>
                <w:szCs w:val="20"/>
              </w:rPr>
              <w:t>Duong 2021</w:t>
            </w:r>
          </w:p>
        </w:tc>
        <w:tc>
          <w:tcPr>
            <w:tcW w:w="385" w:type="pct"/>
            <w:shd w:val="clear" w:color="auto" w:fill="auto"/>
            <w:vAlign w:val="center"/>
          </w:tcPr>
          <w:p w:rsidR="00C66BE6" w:rsidRPr="001A05F4" w:rsidRDefault="00C66BE6" w:rsidP="00AA4C6F">
            <w:pPr>
              <w:pStyle w:val="TableText0"/>
              <w:keepLines/>
              <w:spacing w:before="0" w:after="0"/>
              <w:jc w:val="center"/>
            </w:pPr>
            <w:r w:rsidRPr="001A05F4">
              <w:t>42</w:t>
            </w:r>
          </w:p>
        </w:tc>
        <w:tc>
          <w:tcPr>
            <w:tcW w:w="1179" w:type="pct"/>
            <w:shd w:val="clear" w:color="auto" w:fill="auto"/>
            <w:vAlign w:val="center"/>
          </w:tcPr>
          <w:p w:rsidR="00C66BE6" w:rsidRPr="001A05F4" w:rsidRDefault="00C66BE6" w:rsidP="00AA4C6F">
            <w:pPr>
              <w:pStyle w:val="TableText0"/>
              <w:keepLines/>
              <w:spacing w:before="0" w:after="0"/>
              <w:jc w:val="center"/>
            </w:pPr>
            <w:r w:rsidRPr="001A05F4">
              <w:t>Prospective observational study, single arm</w:t>
            </w:r>
          </w:p>
          <w:p w:rsidR="00C66BE6" w:rsidRPr="001A05F4" w:rsidRDefault="00C66BE6" w:rsidP="00AA4C6F">
            <w:pPr>
              <w:pStyle w:val="TableText0"/>
              <w:keepLines/>
              <w:spacing w:before="0" w:after="0"/>
              <w:jc w:val="center"/>
            </w:pPr>
            <w:r w:rsidRPr="001A05F4">
              <w:t>Mean treatment duration 12.5 months</w:t>
            </w:r>
          </w:p>
        </w:tc>
        <w:tc>
          <w:tcPr>
            <w:tcW w:w="393" w:type="pct"/>
            <w:shd w:val="clear" w:color="auto" w:fill="auto"/>
            <w:vAlign w:val="center"/>
          </w:tcPr>
          <w:p w:rsidR="00C66BE6" w:rsidRPr="001A05F4" w:rsidRDefault="00C66BE6" w:rsidP="00AA4C6F">
            <w:pPr>
              <w:pStyle w:val="TableText0"/>
              <w:keepLines/>
              <w:spacing w:before="0" w:after="0"/>
              <w:jc w:val="center"/>
            </w:pPr>
            <w:r w:rsidRPr="001A05F4">
              <w:t>High</w:t>
            </w:r>
          </w:p>
        </w:tc>
        <w:tc>
          <w:tcPr>
            <w:tcW w:w="708" w:type="pct"/>
            <w:shd w:val="clear" w:color="auto" w:fill="auto"/>
            <w:vAlign w:val="center"/>
          </w:tcPr>
          <w:p w:rsidR="00C66BE6" w:rsidRPr="001A05F4" w:rsidRDefault="00C66BE6" w:rsidP="00AA4C6F">
            <w:pPr>
              <w:pStyle w:val="TableText0"/>
              <w:keepLines/>
              <w:spacing w:before="0" w:after="0"/>
              <w:jc w:val="center"/>
            </w:pPr>
            <w:r w:rsidRPr="001A05F4">
              <w:t>Type II and III SMA</w:t>
            </w:r>
          </w:p>
        </w:tc>
        <w:tc>
          <w:tcPr>
            <w:tcW w:w="706" w:type="pct"/>
            <w:shd w:val="clear" w:color="auto" w:fill="auto"/>
            <w:vAlign w:val="center"/>
          </w:tcPr>
          <w:p w:rsidR="00C66BE6" w:rsidRPr="001A05F4" w:rsidRDefault="00C66BE6" w:rsidP="00AA4C6F">
            <w:pPr>
              <w:pStyle w:val="TableText0"/>
              <w:keepLines/>
              <w:spacing w:before="0" w:after="0"/>
              <w:jc w:val="center"/>
            </w:pPr>
            <w:r w:rsidRPr="001A05F4">
              <w:t>HFMSE, RULM, 6MWT</w:t>
            </w:r>
          </w:p>
        </w:tc>
        <w:tc>
          <w:tcPr>
            <w:tcW w:w="916" w:type="pct"/>
            <w:shd w:val="clear" w:color="auto" w:fill="auto"/>
            <w:vAlign w:val="center"/>
          </w:tcPr>
          <w:p w:rsidR="00C66BE6" w:rsidRPr="001A05F4" w:rsidRDefault="00C66BE6" w:rsidP="00AA4C6F">
            <w:pPr>
              <w:pStyle w:val="TableText0"/>
              <w:keepLines/>
              <w:spacing w:before="0" w:after="0"/>
              <w:jc w:val="center"/>
            </w:pPr>
            <w:r w:rsidRPr="001A05F4">
              <w:t>Not used</w:t>
            </w:r>
          </w:p>
        </w:tc>
      </w:tr>
      <w:tr w:rsidR="00C66BE6" w:rsidRPr="001A05F4" w:rsidTr="00AA4C6F">
        <w:trPr>
          <w:cantSplit/>
        </w:trPr>
        <w:tc>
          <w:tcPr>
            <w:tcW w:w="713" w:type="pct"/>
            <w:shd w:val="clear" w:color="auto" w:fill="D9D9D9" w:themeFill="background1" w:themeFillShade="D9"/>
            <w:vAlign w:val="center"/>
          </w:tcPr>
          <w:p w:rsidR="00C66BE6" w:rsidRPr="001A05F4" w:rsidRDefault="00C66BE6" w:rsidP="00AA4C6F">
            <w:pPr>
              <w:pStyle w:val="TableText0"/>
              <w:keepLines/>
              <w:spacing w:before="0" w:after="0"/>
            </w:pPr>
            <w:r w:rsidRPr="001A05F4">
              <w:rPr>
                <w:szCs w:val="20"/>
              </w:rPr>
              <w:t>Walter 2019</w:t>
            </w:r>
          </w:p>
        </w:tc>
        <w:tc>
          <w:tcPr>
            <w:tcW w:w="385"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19</w:t>
            </w:r>
          </w:p>
        </w:tc>
        <w:tc>
          <w:tcPr>
            <w:tcW w:w="1179"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Prospective, observational, single-arm, 10 months</w:t>
            </w:r>
          </w:p>
        </w:tc>
        <w:tc>
          <w:tcPr>
            <w:tcW w:w="393"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High</w:t>
            </w:r>
          </w:p>
        </w:tc>
        <w:tc>
          <w:tcPr>
            <w:tcW w:w="708"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Type III SMA</w:t>
            </w:r>
          </w:p>
        </w:tc>
        <w:tc>
          <w:tcPr>
            <w:tcW w:w="706"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HFMSE, RULM, 6MWT</w:t>
            </w:r>
          </w:p>
        </w:tc>
        <w:tc>
          <w:tcPr>
            <w:tcW w:w="916"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Not used</w:t>
            </w:r>
          </w:p>
        </w:tc>
      </w:tr>
      <w:tr w:rsidR="00C66BE6" w:rsidRPr="001A05F4" w:rsidTr="00AA4C6F">
        <w:tc>
          <w:tcPr>
            <w:tcW w:w="713" w:type="pct"/>
            <w:shd w:val="clear" w:color="auto" w:fill="auto"/>
            <w:vAlign w:val="center"/>
          </w:tcPr>
          <w:p w:rsidR="00C66BE6" w:rsidRPr="001A05F4" w:rsidRDefault="00C66BE6" w:rsidP="00AA4C6F">
            <w:pPr>
              <w:pStyle w:val="Tabletext"/>
              <w:keepNext/>
              <w:keepLines/>
            </w:pPr>
            <w:r w:rsidRPr="001A05F4">
              <w:rPr>
                <w:szCs w:val="20"/>
              </w:rPr>
              <w:t>De Wel 2020</w:t>
            </w:r>
          </w:p>
        </w:tc>
        <w:tc>
          <w:tcPr>
            <w:tcW w:w="385" w:type="pct"/>
            <w:shd w:val="clear" w:color="auto" w:fill="auto"/>
            <w:vAlign w:val="center"/>
          </w:tcPr>
          <w:p w:rsidR="00C66BE6" w:rsidRPr="001A05F4" w:rsidRDefault="00C66BE6" w:rsidP="00AA4C6F">
            <w:pPr>
              <w:pStyle w:val="Tabletext"/>
              <w:keepNext/>
              <w:keepLines/>
              <w:jc w:val="center"/>
            </w:pPr>
            <w:r w:rsidRPr="001A05F4">
              <w:t>16</w:t>
            </w:r>
          </w:p>
        </w:tc>
        <w:tc>
          <w:tcPr>
            <w:tcW w:w="1179" w:type="pct"/>
            <w:shd w:val="clear" w:color="auto" w:fill="auto"/>
            <w:vAlign w:val="center"/>
          </w:tcPr>
          <w:p w:rsidR="00C66BE6" w:rsidRPr="001A05F4" w:rsidRDefault="00C66BE6" w:rsidP="00AA4C6F">
            <w:pPr>
              <w:pStyle w:val="TableText0"/>
              <w:keepLines/>
              <w:spacing w:before="0" w:after="0"/>
              <w:jc w:val="center"/>
            </w:pPr>
            <w:r w:rsidRPr="001A05F4">
              <w:t>Prospective observational cohort study and retrospective study of natural history data,</w:t>
            </w:r>
          </w:p>
          <w:p w:rsidR="00C66BE6" w:rsidRPr="001A05F4" w:rsidRDefault="00C66BE6" w:rsidP="00AA4C6F">
            <w:pPr>
              <w:pStyle w:val="TableText0"/>
              <w:keepLines/>
              <w:spacing w:before="0" w:after="0"/>
              <w:jc w:val="center"/>
            </w:pPr>
            <w:r w:rsidRPr="001A05F4">
              <w:t>14 months</w:t>
            </w:r>
          </w:p>
        </w:tc>
        <w:tc>
          <w:tcPr>
            <w:tcW w:w="393" w:type="pct"/>
            <w:shd w:val="clear" w:color="auto" w:fill="auto"/>
            <w:vAlign w:val="center"/>
          </w:tcPr>
          <w:p w:rsidR="00C66BE6" w:rsidRPr="001A05F4" w:rsidRDefault="00C66BE6" w:rsidP="00AA4C6F">
            <w:pPr>
              <w:pStyle w:val="Tabletext"/>
              <w:keepNext/>
              <w:keepLines/>
              <w:jc w:val="center"/>
            </w:pPr>
            <w:r w:rsidRPr="001A05F4">
              <w:t>High</w:t>
            </w:r>
          </w:p>
        </w:tc>
        <w:tc>
          <w:tcPr>
            <w:tcW w:w="708" w:type="pct"/>
            <w:shd w:val="clear" w:color="auto" w:fill="auto"/>
            <w:vAlign w:val="center"/>
          </w:tcPr>
          <w:p w:rsidR="00C66BE6" w:rsidRPr="001A05F4" w:rsidRDefault="00C66BE6" w:rsidP="00AA4C6F">
            <w:pPr>
              <w:pStyle w:val="Tabletext"/>
              <w:keepNext/>
              <w:keepLines/>
              <w:jc w:val="center"/>
            </w:pPr>
            <w:r w:rsidRPr="001A05F4">
              <w:t>Type III and IV SMA</w:t>
            </w:r>
          </w:p>
        </w:tc>
        <w:tc>
          <w:tcPr>
            <w:tcW w:w="706" w:type="pct"/>
            <w:shd w:val="clear" w:color="auto" w:fill="auto"/>
            <w:vAlign w:val="center"/>
          </w:tcPr>
          <w:p w:rsidR="00C66BE6" w:rsidRPr="001A05F4" w:rsidRDefault="00C66BE6" w:rsidP="00AA4C6F">
            <w:pPr>
              <w:pStyle w:val="Tabletext"/>
              <w:keepNext/>
              <w:keepLines/>
              <w:jc w:val="center"/>
            </w:pPr>
            <w:r w:rsidRPr="001A05F4">
              <w:t>HFMSE, RULM, 6MWT</w:t>
            </w:r>
          </w:p>
        </w:tc>
        <w:tc>
          <w:tcPr>
            <w:tcW w:w="916" w:type="pct"/>
            <w:shd w:val="clear" w:color="auto" w:fill="auto"/>
            <w:vAlign w:val="center"/>
          </w:tcPr>
          <w:p w:rsidR="00C66BE6" w:rsidRPr="001A05F4" w:rsidRDefault="00C66BE6" w:rsidP="00AA4C6F">
            <w:pPr>
              <w:pStyle w:val="Tabletext"/>
              <w:keepNext/>
              <w:keepLines/>
              <w:jc w:val="center"/>
            </w:pPr>
            <w:r w:rsidRPr="001A05F4">
              <w:t>Not used</w:t>
            </w:r>
          </w:p>
        </w:tc>
      </w:tr>
      <w:tr w:rsidR="00C66BE6" w:rsidRPr="001A05F4" w:rsidTr="00AA4C6F">
        <w:tc>
          <w:tcPr>
            <w:tcW w:w="713" w:type="pct"/>
            <w:shd w:val="clear" w:color="auto" w:fill="auto"/>
            <w:vAlign w:val="center"/>
          </w:tcPr>
          <w:p w:rsidR="00C66BE6" w:rsidRPr="001A05F4" w:rsidRDefault="00C66BE6" w:rsidP="00AA4C6F">
            <w:pPr>
              <w:pStyle w:val="Tabletext"/>
              <w:keepNext/>
              <w:keepLines/>
            </w:pPr>
            <w:r w:rsidRPr="001A05F4">
              <w:rPr>
                <w:szCs w:val="20"/>
              </w:rPr>
              <w:t>Jochmann 2020</w:t>
            </w:r>
          </w:p>
        </w:tc>
        <w:tc>
          <w:tcPr>
            <w:tcW w:w="385" w:type="pct"/>
            <w:shd w:val="clear" w:color="auto" w:fill="auto"/>
            <w:vAlign w:val="center"/>
          </w:tcPr>
          <w:p w:rsidR="00C66BE6" w:rsidRPr="001A05F4" w:rsidRDefault="00C66BE6" w:rsidP="00AA4C6F">
            <w:pPr>
              <w:pStyle w:val="Tabletext"/>
              <w:keepNext/>
              <w:keepLines/>
              <w:jc w:val="center"/>
            </w:pPr>
            <w:r w:rsidRPr="001A05F4">
              <w:t>7</w:t>
            </w:r>
          </w:p>
        </w:tc>
        <w:tc>
          <w:tcPr>
            <w:tcW w:w="1179" w:type="pct"/>
            <w:shd w:val="clear" w:color="auto" w:fill="auto"/>
          </w:tcPr>
          <w:p w:rsidR="00C66BE6" w:rsidRPr="001A05F4" w:rsidRDefault="00C66BE6" w:rsidP="00AA4C6F">
            <w:pPr>
              <w:pStyle w:val="TableText0"/>
              <w:keepLines/>
              <w:spacing w:before="0" w:after="0"/>
              <w:jc w:val="center"/>
            </w:pPr>
            <w:r w:rsidRPr="001A05F4">
              <w:t>Prospective case series</w:t>
            </w:r>
          </w:p>
          <w:p w:rsidR="00C66BE6" w:rsidRPr="001A05F4" w:rsidRDefault="00C66BE6" w:rsidP="00AA4C6F">
            <w:pPr>
              <w:pStyle w:val="TableText0"/>
              <w:keepLines/>
              <w:spacing w:before="0" w:after="0"/>
              <w:jc w:val="center"/>
            </w:pPr>
            <w:r w:rsidRPr="001A05F4">
              <w:t>10 months</w:t>
            </w:r>
          </w:p>
        </w:tc>
        <w:tc>
          <w:tcPr>
            <w:tcW w:w="393" w:type="pct"/>
            <w:shd w:val="clear" w:color="auto" w:fill="auto"/>
            <w:vAlign w:val="center"/>
          </w:tcPr>
          <w:p w:rsidR="00C66BE6" w:rsidRPr="001A05F4" w:rsidRDefault="00C66BE6" w:rsidP="00AA4C6F">
            <w:pPr>
              <w:pStyle w:val="Tabletext"/>
              <w:keepNext/>
              <w:keepLines/>
              <w:jc w:val="center"/>
            </w:pPr>
            <w:r w:rsidRPr="001A05F4">
              <w:t>High</w:t>
            </w:r>
          </w:p>
        </w:tc>
        <w:tc>
          <w:tcPr>
            <w:tcW w:w="708" w:type="pct"/>
            <w:shd w:val="clear" w:color="auto" w:fill="auto"/>
            <w:vAlign w:val="center"/>
          </w:tcPr>
          <w:p w:rsidR="00C66BE6" w:rsidRPr="001A05F4" w:rsidRDefault="00C66BE6" w:rsidP="00AA4C6F">
            <w:pPr>
              <w:pStyle w:val="Tabletext"/>
              <w:keepNext/>
              <w:keepLines/>
              <w:jc w:val="center"/>
            </w:pPr>
            <w:r w:rsidRPr="001A05F4">
              <w:t>Type II and III SMA</w:t>
            </w:r>
          </w:p>
        </w:tc>
        <w:tc>
          <w:tcPr>
            <w:tcW w:w="706" w:type="pct"/>
            <w:shd w:val="clear" w:color="auto" w:fill="auto"/>
            <w:vAlign w:val="center"/>
          </w:tcPr>
          <w:p w:rsidR="00C66BE6" w:rsidRPr="001A05F4" w:rsidRDefault="00C66BE6" w:rsidP="00AA4C6F">
            <w:pPr>
              <w:pStyle w:val="Tabletext"/>
              <w:keepNext/>
              <w:keepLines/>
              <w:jc w:val="center"/>
            </w:pPr>
            <w:r w:rsidRPr="001A05F4">
              <w:t>HFMSE, RULM, 6MWT</w:t>
            </w:r>
          </w:p>
        </w:tc>
        <w:tc>
          <w:tcPr>
            <w:tcW w:w="916" w:type="pct"/>
            <w:shd w:val="clear" w:color="auto" w:fill="auto"/>
            <w:vAlign w:val="center"/>
          </w:tcPr>
          <w:p w:rsidR="00C66BE6" w:rsidRPr="001A05F4" w:rsidRDefault="00C66BE6" w:rsidP="00AA4C6F">
            <w:pPr>
              <w:pStyle w:val="Tabletext"/>
              <w:keepNext/>
              <w:keepLines/>
              <w:jc w:val="center"/>
            </w:pPr>
            <w:r w:rsidRPr="001A05F4">
              <w:t>Not used</w:t>
            </w:r>
          </w:p>
        </w:tc>
      </w:tr>
      <w:tr w:rsidR="00C66BE6" w:rsidRPr="001A05F4" w:rsidTr="00AA4C6F">
        <w:tc>
          <w:tcPr>
            <w:tcW w:w="713" w:type="pct"/>
            <w:shd w:val="clear" w:color="auto" w:fill="auto"/>
            <w:vAlign w:val="center"/>
          </w:tcPr>
          <w:p w:rsidR="00C66BE6" w:rsidRPr="001A05F4" w:rsidRDefault="00C66BE6" w:rsidP="00AA4C6F">
            <w:pPr>
              <w:pStyle w:val="Tabletext"/>
              <w:keepNext/>
              <w:keepLines/>
            </w:pPr>
            <w:r w:rsidRPr="001A05F4">
              <w:rPr>
                <w:szCs w:val="20"/>
              </w:rPr>
              <w:t>Yeo 2020</w:t>
            </w:r>
          </w:p>
        </w:tc>
        <w:tc>
          <w:tcPr>
            <w:tcW w:w="385" w:type="pct"/>
            <w:shd w:val="clear" w:color="auto" w:fill="auto"/>
            <w:vAlign w:val="center"/>
          </w:tcPr>
          <w:p w:rsidR="00C66BE6" w:rsidRPr="001A05F4" w:rsidRDefault="00C66BE6" w:rsidP="00AA4C6F">
            <w:pPr>
              <w:pStyle w:val="Tabletext"/>
              <w:keepNext/>
              <w:keepLines/>
              <w:jc w:val="center"/>
            </w:pPr>
          </w:p>
        </w:tc>
        <w:tc>
          <w:tcPr>
            <w:tcW w:w="1179" w:type="pct"/>
            <w:shd w:val="clear" w:color="auto" w:fill="auto"/>
          </w:tcPr>
          <w:p w:rsidR="00C66BE6" w:rsidRPr="001A05F4" w:rsidRDefault="00C66BE6" w:rsidP="00AA4C6F">
            <w:pPr>
              <w:pStyle w:val="TableText0"/>
              <w:keepLines/>
              <w:spacing w:before="0" w:after="0"/>
              <w:jc w:val="center"/>
            </w:pPr>
            <w:r w:rsidRPr="001A05F4">
              <w:t>Prospective cohort study</w:t>
            </w:r>
          </w:p>
          <w:p w:rsidR="00C66BE6" w:rsidRPr="001A05F4" w:rsidRDefault="00C66BE6" w:rsidP="00AA4C6F">
            <w:pPr>
              <w:pStyle w:val="TableText0"/>
              <w:keepLines/>
              <w:spacing w:before="0" w:after="0"/>
              <w:jc w:val="center"/>
            </w:pPr>
            <w:r w:rsidRPr="001A05F4">
              <w:t>Mean 17 months</w:t>
            </w:r>
          </w:p>
        </w:tc>
        <w:tc>
          <w:tcPr>
            <w:tcW w:w="393" w:type="pct"/>
            <w:shd w:val="clear" w:color="auto" w:fill="auto"/>
            <w:vAlign w:val="center"/>
          </w:tcPr>
          <w:p w:rsidR="00C66BE6" w:rsidRPr="001A05F4" w:rsidRDefault="00C66BE6" w:rsidP="00AA4C6F">
            <w:pPr>
              <w:pStyle w:val="Tabletext"/>
              <w:keepNext/>
              <w:keepLines/>
              <w:jc w:val="center"/>
            </w:pPr>
            <w:r w:rsidRPr="001A05F4">
              <w:t>High</w:t>
            </w:r>
          </w:p>
        </w:tc>
        <w:tc>
          <w:tcPr>
            <w:tcW w:w="708" w:type="pct"/>
            <w:shd w:val="clear" w:color="auto" w:fill="auto"/>
            <w:vAlign w:val="center"/>
          </w:tcPr>
          <w:p w:rsidR="00C66BE6" w:rsidRPr="001A05F4" w:rsidRDefault="00C66BE6" w:rsidP="00AA4C6F">
            <w:pPr>
              <w:pStyle w:val="Tabletext"/>
              <w:keepNext/>
              <w:keepLines/>
              <w:jc w:val="center"/>
            </w:pPr>
            <w:r w:rsidRPr="001A05F4">
              <w:t>Type III SMA</w:t>
            </w:r>
          </w:p>
        </w:tc>
        <w:tc>
          <w:tcPr>
            <w:tcW w:w="706" w:type="pct"/>
            <w:shd w:val="clear" w:color="auto" w:fill="auto"/>
            <w:vAlign w:val="center"/>
          </w:tcPr>
          <w:p w:rsidR="00C66BE6" w:rsidRPr="001A05F4" w:rsidRDefault="00C66BE6" w:rsidP="00AA4C6F">
            <w:pPr>
              <w:pStyle w:val="Tabletext"/>
              <w:keepNext/>
              <w:keepLines/>
              <w:jc w:val="center"/>
            </w:pPr>
            <w:r w:rsidRPr="001A05F4">
              <w:t>HFMSE, RULM, 6MWT</w:t>
            </w:r>
          </w:p>
        </w:tc>
        <w:tc>
          <w:tcPr>
            <w:tcW w:w="916" w:type="pct"/>
            <w:shd w:val="clear" w:color="auto" w:fill="auto"/>
            <w:vAlign w:val="center"/>
          </w:tcPr>
          <w:p w:rsidR="00C66BE6" w:rsidRPr="001A05F4" w:rsidRDefault="00C66BE6" w:rsidP="00AA4C6F">
            <w:pPr>
              <w:pStyle w:val="Tabletext"/>
              <w:keepNext/>
              <w:keepLines/>
              <w:jc w:val="center"/>
            </w:pPr>
            <w:r w:rsidRPr="001A05F4">
              <w:t>Not used</w:t>
            </w:r>
          </w:p>
        </w:tc>
      </w:tr>
      <w:tr w:rsidR="00C66BE6" w:rsidRPr="001A05F4" w:rsidTr="00AA4C6F">
        <w:tc>
          <w:tcPr>
            <w:tcW w:w="713" w:type="pct"/>
            <w:shd w:val="clear" w:color="auto" w:fill="auto"/>
            <w:vAlign w:val="center"/>
          </w:tcPr>
          <w:p w:rsidR="00C66BE6" w:rsidRPr="001A05F4" w:rsidRDefault="00C66BE6" w:rsidP="00AA4C6F">
            <w:pPr>
              <w:pStyle w:val="Tabletext"/>
              <w:keepNext/>
              <w:keepLines/>
            </w:pPr>
            <w:r w:rsidRPr="001A05F4">
              <w:rPr>
                <w:szCs w:val="20"/>
              </w:rPr>
              <w:t>Veerapandiyan 2019</w:t>
            </w:r>
          </w:p>
        </w:tc>
        <w:tc>
          <w:tcPr>
            <w:tcW w:w="385" w:type="pct"/>
            <w:shd w:val="clear" w:color="auto" w:fill="auto"/>
            <w:vAlign w:val="center"/>
          </w:tcPr>
          <w:p w:rsidR="00C66BE6" w:rsidRPr="001A05F4" w:rsidRDefault="00C66BE6" w:rsidP="00AA4C6F">
            <w:pPr>
              <w:pStyle w:val="Tabletext"/>
              <w:keepNext/>
              <w:keepLines/>
              <w:jc w:val="center"/>
            </w:pPr>
            <w:r w:rsidRPr="001A05F4">
              <w:t>12</w:t>
            </w:r>
          </w:p>
        </w:tc>
        <w:tc>
          <w:tcPr>
            <w:tcW w:w="1179" w:type="pct"/>
            <w:shd w:val="clear" w:color="auto" w:fill="auto"/>
          </w:tcPr>
          <w:p w:rsidR="00C66BE6" w:rsidRPr="001A05F4" w:rsidRDefault="00C66BE6" w:rsidP="00AA4C6F">
            <w:pPr>
              <w:pStyle w:val="TableText0"/>
              <w:keepLines/>
              <w:spacing w:before="0" w:after="0"/>
              <w:jc w:val="center"/>
            </w:pPr>
            <w:r w:rsidRPr="001A05F4">
              <w:t>A retrospective cross-sectional study</w:t>
            </w:r>
          </w:p>
          <w:p w:rsidR="00C66BE6" w:rsidRPr="001A05F4" w:rsidRDefault="00C66BE6" w:rsidP="00AA4C6F">
            <w:pPr>
              <w:pStyle w:val="TableText0"/>
              <w:keepLines/>
              <w:spacing w:before="0" w:after="0"/>
              <w:jc w:val="center"/>
            </w:pPr>
            <w:r w:rsidRPr="001A05F4">
              <w:t>Mean 17.4 months</w:t>
            </w:r>
          </w:p>
        </w:tc>
        <w:tc>
          <w:tcPr>
            <w:tcW w:w="393" w:type="pct"/>
            <w:shd w:val="clear" w:color="auto" w:fill="auto"/>
            <w:vAlign w:val="center"/>
          </w:tcPr>
          <w:p w:rsidR="00C66BE6" w:rsidRPr="001A05F4" w:rsidRDefault="00C66BE6" w:rsidP="00AA4C6F">
            <w:pPr>
              <w:pStyle w:val="Tabletext"/>
              <w:keepNext/>
              <w:keepLines/>
              <w:jc w:val="center"/>
            </w:pPr>
            <w:r w:rsidRPr="001A05F4">
              <w:t>High</w:t>
            </w:r>
          </w:p>
        </w:tc>
        <w:tc>
          <w:tcPr>
            <w:tcW w:w="708" w:type="pct"/>
            <w:shd w:val="clear" w:color="auto" w:fill="auto"/>
            <w:vAlign w:val="center"/>
          </w:tcPr>
          <w:p w:rsidR="00C66BE6" w:rsidRPr="001A05F4" w:rsidRDefault="00C66BE6" w:rsidP="00AA4C6F">
            <w:pPr>
              <w:pStyle w:val="Tabletext"/>
              <w:keepNext/>
              <w:keepLines/>
              <w:jc w:val="center"/>
            </w:pPr>
            <w:r w:rsidRPr="001A05F4">
              <w:t>Type III SMA</w:t>
            </w:r>
          </w:p>
        </w:tc>
        <w:tc>
          <w:tcPr>
            <w:tcW w:w="706" w:type="pct"/>
            <w:shd w:val="clear" w:color="auto" w:fill="auto"/>
            <w:vAlign w:val="center"/>
          </w:tcPr>
          <w:p w:rsidR="00C66BE6" w:rsidRPr="001A05F4" w:rsidRDefault="00C66BE6" w:rsidP="00AA4C6F">
            <w:pPr>
              <w:pStyle w:val="Tabletext"/>
              <w:keepNext/>
              <w:keepLines/>
              <w:jc w:val="center"/>
            </w:pPr>
            <w:r w:rsidRPr="001A05F4">
              <w:t>RULM</w:t>
            </w:r>
          </w:p>
        </w:tc>
        <w:tc>
          <w:tcPr>
            <w:tcW w:w="916" w:type="pct"/>
            <w:shd w:val="clear" w:color="auto" w:fill="auto"/>
            <w:vAlign w:val="center"/>
          </w:tcPr>
          <w:p w:rsidR="00C66BE6" w:rsidRPr="001A05F4" w:rsidRDefault="00C66BE6" w:rsidP="00AA4C6F">
            <w:pPr>
              <w:pStyle w:val="Tabletext"/>
              <w:keepNext/>
              <w:keepLines/>
              <w:jc w:val="center"/>
            </w:pPr>
            <w:r w:rsidRPr="001A05F4">
              <w:t>Not used</w:t>
            </w:r>
          </w:p>
        </w:tc>
      </w:tr>
      <w:tr w:rsidR="00C66BE6" w:rsidRPr="001A05F4" w:rsidTr="00AA4C6F">
        <w:tc>
          <w:tcPr>
            <w:tcW w:w="713" w:type="pct"/>
            <w:shd w:val="clear" w:color="auto" w:fill="auto"/>
            <w:vAlign w:val="center"/>
          </w:tcPr>
          <w:p w:rsidR="00C66BE6" w:rsidRPr="001A05F4" w:rsidRDefault="00C66BE6" w:rsidP="00AA4C6F">
            <w:pPr>
              <w:pStyle w:val="Tabletext"/>
              <w:keepNext/>
              <w:keepLines/>
            </w:pPr>
            <w:r w:rsidRPr="001A05F4">
              <w:rPr>
                <w:szCs w:val="20"/>
              </w:rPr>
              <w:t>SMA registr</w:t>
            </w:r>
            <w:r w:rsidR="006E2AE4" w:rsidRPr="001A05F4">
              <w:rPr>
                <w:szCs w:val="20"/>
              </w:rPr>
              <w:t>y</w:t>
            </w:r>
            <w:r w:rsidR="00626CC7" w:rsidRPr="001A05F4">
              <w:rPr>
                <w:szCs w:val="20"/>
                <w:vertAlign w:val="superscript"/>
              </w:rPr>
              <w:t>a</w:t>
            </w:r>
          </w:p>
        </w:tc>
        <w:tc>
          <w:tcPr>
            <w:tcW w:w="385" w:type="pct"/>
            <w:shd w:val="clear" w:color="auto" w:fill="auto"/>
            <w:vAlign w:val="center"/>
          </w:tcPr>
          <w:p w:rsidR="00C66BE6" w:rsidRPr="001A05F4" w:rsidRDefault="00C66BE6" w:rsidP="00AA4C6F">
            <w:pPr>
              <w:pStyle w:val="Tabletext"/>
              <w:keepNext/>
              <w:keepLines/>
              <w:jc w:val="center"/>
            </w:pPr>
            <w:r w:rsidRPr="001A05F4">
              <w:t>Cohort 1: 252</w:t>
            </w:r>
          </w:p>
          <w:p w:rsidR="00C66BE6" w:rsidRPr="001A05F4" w:rsidRDefault="00C66BE6" w:rsidP="00AA4C6F">
            <w:pPr>
              <w:pStyle w:val="Tabletext"/>
              <w:keepNext/>
              <w:keepLines/>
              <w:jc w:val="center"/>
            </w:pPr>
            <w:r w:rsidRPr="001A05F4">
              <w:t>Cohort 2: 75</w:t>
            </w:r>
          </w:p>
          <w:p w:rsidR="00C66BE6" w:rsidRPr="001A05F4" w:rsidRDefault="00C66BE6" w:rsidP="00AA4C6F">
            <w:pPr>
              <w:pStyle w:val="Tabletext"/>
              <w:keepNext/>
              <w:keepLines/>
              <w:jc w:val="center"/>
            </w:pPr>
            <w:r w:rsidRPr="001A05F4">
              <w:t>(subset of cohort 1)</w:t>
            </w:r>
          </w:p>
        </w:tc>
        <w:tc>
          <w:tcPr>
            <w:tcW w:w="1179" w:type="pct"/>
            <w:shd w:val="clear" w:color="auto" w:fill="auto"/>
          </w:tcPr>
          <w:p w:rsidR="00C66BE6" w:rsidRPr="001A05F4" w:rsidRDefault="00C66BE6" w:rsidP="00AA4C6F">
            <w:pPr>
              <w:pStyle w:val="TableText0"/>
              <w:keepLines/>
              <w:spacing w:before="0" w:after="0"/>
              <w:jc w:val="center"/>
              <w:rPr>
                <w:iCs/>
              </w:rPr>
            </w:pPr>
            <w:r w:rsidRPr="001A05F4">
              <w:rPr>
                <w:iCs/>
              </w:rPr>
              <w:t>Descriptive observational study within prospective, multi-centre disease registries</w:t>
            </w:r>
          </w:p>
          <w:p w:rsidR="00C66BE6" w:rsidRPr="001A05F4" w:rsidRDefault="00C66BE6" w:rsidP="00AA4C6F">
            <w:pPr>
              <w:pStyle w:val="TableText0"/>
              <w:keepLines/>
              <w:spacing w:before="0" w:after="0"/>
              <w:jc w:val="center"/>
            </w:pPr>
            <w:r w:rsidRPr="001A05F4">
              <w:t>Median follow up: cohort 1 18 months</w:t>
            </w:r>
            <w:r w:rsidR="00DB7B7C" w:rsidRPr="001A05F4">
              <w:t xml:space="preserve"> (mean NR)</w:t>
            </w:r>
            <w:r w:rsidRPr="001A05F4">
              <w:t>, cohort 2 10 months</w:t>
            </w:r>
            <w:r w:rsidR="00DB7B7C" w:rsidRPr="001A05F4">
              <w:t xml:space="preserve"> (mean 57 weeks)</w:t>
            </w:r>
          </w:p>
        </w:tc>
        <w:tc>
          <w:tcPr>
            <w:tcW w:w="393" w:type="pct"/>
            <w:shd w:val="clear" w:color="auto" w:fill="auto"/>
            <w:vAlign w:val="center"/>
          </w:tcPr>
          <w:p w:rsidR="00C66BE6" w:rsidRPr="001A05F4" w:rsidRDefault="00C66BE6" w:rsidP="00AA4C6F">
            <w:pPr>
              <w:pStyle w:val="Tabletext"/>
              <w:keepNext/>
              <w:keepLines/>
              <w:jc w:val="center"/>
            </w:pPr>
            <w:r w:rsidRPr="001A05F4">
              <w:t>High</w:t>
            </w:r>
          </w:p>
        </w:tc>
        <w:tc>
          <w:tcPr>
            <w:tcW w:w="708" w:type="pct"/>
            <w:shd w:val="clear" w:color="auto" w:fill="auto"/>
            <w:vAlign w:val="center"/>
          </w:tcPr>
          <w:p w:rsidR="00C66BE6" w:rsidRPr="001A05F4" w:rsidRDefault="00C66BE6" w:rsidP="00AA4C6F">
            <w:pPr>
              <w:pStyle w:val="Tabletext"/>
              <w:keepNext/>
              <w:keepLines/>
              <w:jc w:val="center"/>
            </w:pPr>
            <w:r w:rsidRPr="001A05F4">
              <w:t>Type III and IV SMA</w:t>
            </w:r>
          </w:p>
        </w:tc>
        <w:tc>
          <w:tcPr>
            <w:tcW w:w="706" w:type="pct"/>
            <w:shd w:val="clear" w:color="auto" w:fill="auto"/>
            <w:vAlign w:val="center"/>
          </w:tcPr>
          <w:p w:rsidR="00C66BE6" w:rsidRPr="001A05F4" w:rsidRDefault="00C66BE6" w:rsidP="00AA4C6F">
            <w:pPr>
              <w:pStyle w:val="Tabletext"/>
              <w:keepNext/>
              <w:keepLines/>
              <w:jc w:val="center"/>
            </w:pPr>
            <w:r w:rsidRPr="001A05F4">
              <w:t>HFMSE, RULM, 6MWT</w:t>
            </w:r>
          </w:p>
        </w:tc>
        <w:tc>
          <w:tcPr>
            <w:tcW w:w="916" w:type="pct"/>
            <w:shd w:val="clear" w:color="auto" w:fill="auto"/>
            <w:vAlign w:val="center"/>
          </w:tcPr>
          <w:p w:rsidR="00C66BE6" w:rsidRPr="001A05F4" w:rsidRDefault="00C66BE6" w:rsidP="00AA4C6F">
            <w:pPr>
              <w:pStyle w:val="Tabletext"/>
              <w:keepNext/>
              <w:keepLines/>
              <w:jc w:val="center"/>
            </w:pPr>
            <w:r w:rsidRPr="001A05F4">
              <w:t>Not used</w:t>
            </w:r>
          </w:p>
        </w:tc>
      </w:tr>
      <w:tr w:rsidR="00C66BE6" w:rsidRPr="001A05F4" w:rsidTr="00927040">
        <w:tc>
          <w:tcPr>
            <w:tcW w:w="5000" w:type="pct"/>
            <w:gridSpan w:val="7"/>
            <w:shd w:val="clear" w:color="auto" w:fill="auto"/>
            <w:vAlign w:val="center"/>
          </w:tcPr>
          <w:p w:rsidR="00C66BE6" w:rsidRPr="001A05F4" w:rsidRDefault="00C66BE6" w:rsidP="00AA4C6F">
            <w:pPr>
              <w:pStyle w:val="Tabletext"/>
              <w:keepNext/>
              <w:keepLines/>
              <w:rPr>
                <w:b/>
              </w:rPr>
            </w:pPr>
            <w:r w:rsidRPr="001A05F4">
              <w:rPr>
                <w:b/>
              </w:rPr>
              <w:t>Natural history data</w:t>
            </w:r>
          </w:p>
        </w:tc>
      </w:tr>
      <w:tr w:rsidR="00C66BE6" w:rsidRPr="001A05F4" w:rsidTr="00AA4C6F">
        <w:trPr>
          <w:cantSplit/>
        </w:trPr>
        <w:tc>
          <w:tcPr>
            <w:tcW w:w="713" w:type="pct"/>
            <w:shd w:val="clear" w:color="auto" w:fill="D9D9D9" w:themeFill="background1" w:themeFillShade="D9"/>
            <w:vAlign w:val="center"/>
          </w:tcPr>
          <w:p w:rsidR="00C66BE6" w:rsidRPr="001A05F4" w:rsidRDefault="00C66BE6" w:rsidP="00AA4C6F">
            <w:pPr>
              <w:pStyle w:val="TableText0"/>
              <w:keepLines/>
              <w:spacing w:before="0" w:after="0"/>
            </w:pPr>
            <w:r w:rsidRPr="001A05F4">
              <w:t>Mercuri 2016</w:t>
            </w:r>
          </w:p>
        </w:tc>
        <w:tc>
          <w:tcPr>
            <w:tcW w:w="385"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268</w:t>
            </w:r>
          </w:p>
        </w:tc>
        <w:tc>
          <w:tcPr>
            <w:tcW w:w="1179" w:type="pct"/>
            <w:vMerge w:val="restar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Natural history data</w:t>
            </w:r>
          </w:p>
        </w:tc>
        <w:tc>
          <w:tcPr>
            <w:tcW w:w="393" w:type="pct"/>
            <w:shd w:val="clear" w:color="auto" w:fill="D9D9D9" w:themeFill="background1" w:themeFillShade="D9"/>
            <w:vAlign w:val="center"/>
          </w:tcPr>
          <w:p w:rsidR="00C66BE6" w:rsidRPr="001A05F4" w:rsidRDefault="00CE1489" w:rsidP="00AA4C6F">
            <w:pPr>
              <w:pStyle w:val="TableText0"/>
              <w:keepLines/>
              <w:spacing w:before="0" w:after="0"/>
              <w:jc w:val="center"/>
            </w:pPr>
            <w:r w:rsidRPr="001A05F4">
              <w:t>High</w:t>
            </w:r>
          </w:p>
        </w:tc>
        <w:tc>
          <w:tcPr>
            <w:tcW w:w="708"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Type II and III SMA</w:t>
            </w:r>
          </w:p>
        </w:tc>
        <w:tc>
          <w:tcPr>
            <w:tcW w:w="706"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HFMSE</w:t>
            </w:r>
          </w:p>
        </w:tc>
        <w:tc>
          <w:tcPr>
            <w:tcW w:w="916"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Not used</w:t>
            </w:r>
          </w:p>
        </w:tc>
      </w:tr>
      <w:tr w:rsidR="00C66BE6" w:rsidRPr="001A05F4" w:rsidTr="00AA4C6F">
        <w:trPr>
          <w:cantSplit/>
        </w:trPr>
        <w:tc>
          <w:tcPr>
            <w:tcW w:w="713" w:type="pct"/>
            <w:shd w:val="clear" w:color="auto" w:fill="D9D9D9" w:themeFill="background1" w:themeFillShade="D9"/>
            <w:vAlign w:val="center"/>
          </w:tcPr>
          <w:p w:rsidR="00C66BE6" w:rsidRPr="001A05F4" w:rsidRDefault="00C66BE6" w:rsidP="00AA4C6F">
            <w:pPr>
              <w:pStyle w:val="TableText0"/>
              <w:keepLines/>
              <w:spacing w:before="0" w:after="0"/>
            </w:pPr>
            <w:r w:rsidRPr="001A05F4">
              <w:t>Montes 2018</w:t>
            </w:r>
          </w:p>
        </w:tc>
        <w:tc>
          <w:tcPr>
            <w:tcW w:w="385"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73</w:t>
            </w:r>
          </w:p>
        </w:tc>
        <w:tc>
          <w:tcPr>
            <w:tcW w:w="1179" w:type="pct"/>
            <w:vMerge/>
            <w:shd w:val="clear" w:color="auto" w:fill="D9D9D9" w:themeFill="background1" w:themeFillShade="D9"/>
            <w:vAlign w:val="center"/>
          </w:tcPr>
          <w:p w:rsidR="00C66BE6" w:rsidRPr="001A05F4" w:rsidRDefault="00C66BE6" w:rsidP="00AA4C6F">
            <w:pPr>
              <w:pStyle w:val="TableText0"/>
              <w:keepLines/>
              <w:spacing w:before="0" w:after="0"/>
              <w:jc w:val="center"/>
            </w:pPr>
          </w:p>
        </w:tc>
        <w:tc>
          <w:tcPr>
            <w:tcW w:w="393" w:type="pct"/>
            <w:shd w:val="clear" w:color="auto" w:fill="D9D9D9" w:themeFill="background1" w:themeFillShade="D9"/>
            <w:vAlign w:val="center"/>
          </w:tcPr>
          <w:p w:rsidR="00C66BE6" w:rsidRPr="001A05F4" w:rsidRDefault="00CE1489" w:rsidP="00AA4C6F">
            <w:pPr>
              <w:pStyle w:val="TableText0"/>
              <w:keepLines/>
              <w:spacing w:before="0" w:after="0"/>
              <w:jc w:val="center"/>
            </w:pPr>
            <w:r w:rsidRPr="001A05F4">
              <w:t>High</w:t>
            </w:r>
          </w:p>
        </w:tc>
        <w:tc>
          <w:tcPr>
            <w:tcW w:w="708"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Type II sitters to Type IIIb SMA</w:t>
            </w:r>
          </w:p>
        </w:tc>
        <w:tc>
          <w:tcPr>
            <w:tcW w:w="706"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6MWT</w:t>
            </w:r>
          </w:p>
        </w:tc>
        <w:tc>
          <w:tcPr>
            <w:tcW w:w="916"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Not used</w:t>
            </w:r>
          </w:p>
        </w:tc>
      </w:tr>
      <w:tr w:rsidR="00C66BE6" w:rsidRPr="001A05F4" w:rsidTr="00AA4C6F">
        <w:trPr>
          <w:cantSplit/>
        </w:trPr>
        <w:tc>
          <w:tcPr>
            <w:tcW w:w="713" w:type="pct"/>
            <w:shd w:val="clear" w:color="auto" w:fill="D9D9D9" w:themeFill="background1" w:themeFillShade="D9"/>
            <w:vAlign w:val="center"/>
          </w:tcPr>
          <w:p w:rsidR="00C66BE6" w:rsidRPr="001A05F4" w:rsidRDefault="00C66BE6" w:rsidP="00AA4C6F">
            <w:pPr>
              <w:pStyle w:val="TableText0"/>
              <w:keepLines/>
              <w:spacing w:before="0" w:after="0"/>
            </w:pPr>
            <w:r w:rsidRPr="001A05F4">
              <w:t>Pera 2019</w:t>
            </w:r>
          </w:p>
        </w:tc>
        <w:tc>
          <w:tcPr>
            <w:tcW w:w="385"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108</w:t>
            </w:r>
          </w:p>
        </w:tc>
        <w:tc>
          <w:tcPr>
            <w:tcW w:w="1179" w:type="pct"/>
            <w:vMerge/>
            <w:shd w:val="clear" w:color="auto" w:fill="D9D9D9" w:themeFill="background1" w:themeFillShade="D9"/>
            <w:vAlign w:val="center"/>
          </w:tcPr>
          <w:p w:rsidR="00C66BE6" w:rsidRPr="001A05F4" w:rsidRDefault="00C66BE6" w:rsidP="00AA4C6F">
            <w:pPr>
              <w:pStyle w:val="TableText0"/>
              <w:keepLines/>
              <w:spacing w:before="0" w:after="0"/>
              <w:jc w:val="center"/>
            </w:pPr>
          </w:p>
        </w:tc>
        <w:tc>
          <w:tcPr>
            <w:tcW w:w="393" w:type="pct"/>
            <w:shd w:val="clear" w:color="auto" w:fill="D9D9D9" w:themeFill="background1" w:themeFillShade="D9"/>
            <w:vAlign w:val="center"/>
          </w:tcPr>
          <w:p w:rsidR="00C66BE6" w:rsidRPr="001A05F4" w:rsidRDefault="00CE1489" w:rsidP="00AA4C6F">
            <w:pPr>
              <w:pStyle w:val="TableText0"/>
              <w:keepLines/>
              <w:spacing w:before="0" w:after="0"/>
              <w:jc w:val="center"/>
            </w:pPr>
            <w:r w:rsidRPr="001A05F4">
              <w:t>High</w:t>
            </w:r>
          </w:p>
        </w:tc>
        <w:tc>
          <w:tcPr>
            <w:tcW w:w="708"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Type II to Type III SMA</w:t>
            </w:r>
          </w:p>
        </w:tc>
        <w:tc>
          <w:tcPr>
            <w:tcW w:w="706"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RULM</w:t>
            </w:r>
          </w:p>
        </w:tc>
        <w:tc>
          <w:tcPr>
            <w:tcW w:w="916"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Not used</w:t>
            </w:r>
          </w:p>
        </w:tc>
      </w:tr>
      <w:tr w:rsidR="00C66BE6" w:rsidRPr="001A05F4" w:rsidTr="00AA4C6F">
        <w:trPr>
          <w:cantSplit/>
        </w:trPr>
        <w:tc>
          <w:tcPr>
            <w:tcW w:w="713" w:type="pct"/>
            <w:shd w:val="clear" w:color="auto" w:fill="D9D9D9" w:themeFill="background1" w:themeFillShade="D9"/>
            <w:vAlign w:val="center"/>
          </w:tcPr>
          <w:p w:rsidR="00C66BE6" w:rsidRPr="001A05F4" w:rsidRDefault="00C66BE6" w:rsidP="00AA4C6F">
            <w:pPr>
              <w:pStyle w:val="TableText0"/>
              <w:keepLines/>
              <w:spacing w:before="0" w:after="0"/>
            </w:pPr>
            <w:r w:rsidRPr="001A05F4">
              <w:t>Wadman 2018</w:t>
            </w:r>
          </w:p>
        </w:tc>
        <w:tc>
          <w:tcPr>
            <w:tcW w:w="385"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180</w:t>
            </w:r>
          </w:p>
        </w:tc>
        <w:tc>
          <w:tcPr>
            <w:tcW w:w="1179" w:type="pct"/>
            <w:vMerge/>
            <w:shd w:val="clear" w:color="auto" w:fill="D9D9D9" w:themeFill="background1" w:themeFillShade="D9"/>
            <w:vAlign w:val="center"/>
          </w:tcPr>
          <w:p w:rsidR="00C66BE6" w:rsidRPr="001A05F4" w:rsidRDefault="00C66BE6" w:rsidP="00AA4C6F">
            <w:pPr>
              <w:pStyle w:val="TableText0"/>
              <w:keepLines/>
              <w:spacing w:before="0" w:after="0"/>
              <w:jc w:val="center"/>
            </w:pPr>
          </w:p>
        </w:tc>
        <w:tc>
          <w:tcPr>
            <w:tcW w:w="393" w:type="pct"/>
            <w:shd w:val="clear" w:color="auto" w:fill="D9D9D9" w:themeFill="background1" w:themeFillShade="D9"/>
            <w:vAlign w:val="center"/>
          </w:tcPr>
          <w:p w:rsidR="00C66BE6" w:rsidRPr="001A05F4" w:rsidRDefault="00CE1489" w:rsidP="00AA4C6F">
            <w:pPr>
              <w:pStyle w:val="TableText0"/>
              <w:keepLines/>
              <w:spacing w:before="0" w:after="0"/>
              <w:jc w:val="center"/>
            </w:pPr>
            <w:r w:rsidRPr="001A05F4">
              <w:t>High</w:t>
            </w:r>
          </w:p>
        </w:tc>
        <w:tc>
          <w:tcPr>
            <w:tcW w:w="708"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Type IIa to Type IV SMA</w:t>
            </w:r>
          </w:p>
        </w:tc>
        <w:tc>
          <w:tcPr>
            <w:tcW w:w="706"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HFMSE</w:t>
            </w:r>
          </w:p>
        </w:tc>
        <w:tc>
          <w:tcPr>
            <w:tcW w:w="916" w:type="pct"/>
            <w:shd w:val="clear" w:color="auto" w:fill="D9D9D9" w:themeFill="background1" w:themeFillShade="D9"/>
            <w:vAlign w:val="center"/>
          </w:tcPr>
          <w:p w:rsidR="00C66BE6" w:rsidRPr="001A05F4" w:rsidRDefault="00C66BE6" w:rsidP="00AA4C6F">
            <w:pPr>
              <w:pStyle w:val="TableText0"/>
              <w:keepLines/>
              <w:spacing w:before="0" w:after="0"/>
              <w:jc w:val="center"/>
            </w:pPr>
            <w:r w:rsidRPr="001A05F4">
              <w:t>Not used</w:t>
            </w:r>
          </w:p>
        </w:tc>
      </w:tr>
      <w:tr w:rsidR="00C66BE6" w:rsidRPr="001A05F4" w:rsidTr="00AA4C6F">
        <w:tc>
          <w:tcPr>
            <w:tcW w:w="713" w:type="pct"/>
            <w:shd w:val="clear" w:color="auto" w:fill="auto"/>
            <w:vAlign w:val="center"/>
          </w:tcPr>
          <w:p w:rsidR="00C66BE6" w:rsidRPr="001A05F4" w:rsidRDefault="00C66BE6" w:rsidP="00AA4C6F">
            <w:pPr>
              <w:pStyle w:val="Tabletext"/>
              <w:keepNext/>
              <w:keepLines/>
            </w:pPr>
            <w:r w:rsidRPr="001A05F4">
              <w:rPr>
                <w:szCs w:val="20"/>
              </w:rPr>
              <w:t>Coratti 2020a</w:t>
            </w:r>
          </w:p>
        </w:tc>
        <w:tc>
          <w:tcPr>
            <w:tcW w:w="385" w:type="pct"/>
            <w:shd w:val="clear" w:color="auto" w:fill="auto"/>
            <w:vAlign w:val="center"/>
          </w:tcPr>
          <w:p w:rsidR="00C66BE6" w:rsidRPr="001A05F4" w:rsidRDefault="00C66BE6" w:rsidP="00AA4C6F">
            <w:pPr>
              <w:pStyle w:val="Tabletext"/>
              <w:keepNext/>
              <w:keepLines/>
              <w:jc w:val="center"/>
            </w:pPr>
            <w:r w:rsidRPr="001A05F4">
              <w:t>182</w:t>
            </w:r>
          </w:p>
        </w:tc>
        <w:tc>
          <w:tcPr>
            <w:tcW w:w="1179" w:type="pct"/>
            <w:vMerge w:val="restart"/>
            <w:shd w:val="clear" w:color="auto" w:fill="auto"/>
            <w:vAlign w:val="center"/>
          </w:tcPr>
          <w:p w:rsidR="00C66BE6" w:rsidRPr="001A05F4" w:rsidRDefault="00C66BE6" w:rsidP="00AA4C6F">
            <w:pPr>
              <w:pStyle w:val="Tabletext"/>
              <w:keepNext/>
              <w:keepLines/>
              <w:jc w:val="center"/>
            </w:pPr>
            <w:r w:rsidRPr="001A05F4">
              <w:t>Natural history data</w:t>
            </w:r>
          </w:p>
        </w:tc>
        <w:tc>
          <w:tcPr>
            <w:tcW w:w="393" w:type="pct"/>
            <w:shd w:val="clear" w:color="auto" w:fill="auto"/>
          </w:tcPr>
          <w:p w:rsidR="00C66BE6" w:rsidRPr="001A05F4" w:rsidRDefault="00CE1489" w:rsidP="00AA4C6F">
            <w:pPr>
              <w:pStyle w:val="Tabletext"/>
              <w:keepNext/>
              <w:keepLines/>
              <w:jc w:val="center"/>
            </w:pPr>
            <w:r w:rsidRPr="001A05F4">
              <w:t>High</w:t>
            </w:r>
          </w:p>
        </w:tc>
        <w:tc>
          <w:tcPr>
            <w:tcW w:w="708" w:type="pct"/>
            <w:shd w:val="clear" w:color="auto" w:fill="auto"/>
            <w:vAlign w:val="center"/>
          </w:tcPr>
          <w:p w:rsidR="00C66BE6" w:rsidRPr="001A05F4" w:rsidRDefault="00C66BE6" w:rsidP="00AA4C6F">
            <w:pPr>
              <w:pStyle w:val="Tabletext"/>
              <w:keepNext/>
              <w:keepLines/>
              <w:jc w:val="center"/>
            </w:pPr>
            <w:r w:rsidRPr="001A05F4">
              <w:t>Type III SMA</w:t>
            </w:r>
          </w:p>
        </w:tc>
        <w:tc>
          <w:tcPr>
            <w:tcW w:w="706" w:type="pct"/>
            <w:shd w:val="clear" w:color="auto" w:fill="auto"/>
            <w:vAlign w:val="center"/>
          </w:tcPr>
          <w:p w:rsidR="00C66BE6" w:rsidRPr="001A05F4" w:rsidRDefault="00C66BE6" w:rsidP="00AA4C6F">
            <w:pPr>
              <w:pStyle w:val="Tabletext"/>
              <w:keepNext/>
              <w:keepLines/>
              <w:jc w:val="center"/>
            </w:pPr>
            <w:r w:rsidRPr="001A05F4">
              <w:t>HFMSE</w:t>
            </w:r>
          </w:p>
        </w:tc>
        <w:tc>
          <w:tcPr>
            <w:tcW w:w="916" w:type="pct"/>
            <w:shd w:val="clear" w:color="auto" w:fill="auto"/>
          </w:tcPr>
          <w:p w:rsidR="00C66BE6" w:rsidRPr="001A05F4" w:rsidRDefault="00C66BE6" w:rsidP="00AA4C6F">
            <w:pPr>
              <w:pStyle w:val="Tabletext"/>
              <w:keepNext/>
              <w:keepLines/>
              <w:jc w:val="center"/>
            </w:pPr>
            <w:r w:rsidRPr="001A05F4">
              <w:t>Not used</w:t>
            </w:r>
          </w:p>
        </w:tc>
      </w:tr>
      <w:tr w:rsidR="00C66BE6" w:rsidRPr="001A05F4" w:rsidTr="00AA4C6F">
        <w:tc>
          <w:tcPr>
            <w:tcW w:w="713" w:type="pct"/>
            <w:shd w:val="clear" w:color="auto" w:fill="auto"/>
            <w:vAlign w:val="center"/>
          </w:tcPr>
          <w:p w:rsidR="00C66BE6" w:rsidRPr="001A05F4" w:rsidRDefault="00C66BE6" w:rsidP="00F077D9">
            <w:pPr>
              <w:pStyle w:val="Tabletext"/>
              <w:keepLines/>
            </w:pPr>
            <w:r w:rsidRPr="001A05F4">
              <w:rPr>
                <w:szCs w:val="20"/>
              </w:rPr>
              <w:t>Coratti 2020b</w:t>
            </w:r>
          </w:p>
        </w:tc>
        <w:tc>
          <w:tcPr>
            <w:tcW w:w="385" w:type="pct"/>
            <w:shd w:val="clear" w:color="auto" w:fill="auto"/>
            <w:vAlign w:val="center"/>
          </w:tcPr>
          <w:p w:rsidR="00C66BE6" w:rsidRPr="001A05F4" w:rsidRDefault="00C66BE6" w:rsidP="00F077D9">
            <w:pPr>
              <w:pStyle w:val="Tabletext"/>
              <w:keepLines/>
              <w:jc w:val="center"/>
            </w:pPr>
            <w:r w:rsidRPr="001A05F4">
              <w:t>267</w:t>
            </w:r>
          </w:p>
        </w:tc>
        <w:tc>
          <w:tcPr>
            <w:tcW w:w="1179" w:type="pct"/>
            <w:vMerge/>
            <w:shd w:val="clear" w:color="auto" w:fill="auto"/>
            <w:vAlign w:val="center"/>
          </w:tcPr>
          <w:p w:rsidR="00C66BE6" w:rsidRPr="001A05F4" w:rsidRDefault="00C66BE6" w:rsidP="00F077D9">
            <w:pPr>
              <w:pStyle w:val="Tabletext"/>
              <w:keepLines/>
              <w:jc w:val="center"/>
            </w:pPr>
          </w:p>
        </w:tc>
        <w:tc>
          <w:tcPr>
            <w:tcW w:w="393" w:type="pct"/>
            <w:shd w:val="clear" w:color="auto" w:fill="auto"/>
          </w:tcPr>
          <w:p w:rsidR="00C66BE6" w:rsidRPr="001A05F4" w:rsidRDefault="00CE1489" w:rsidP="00F077D9">
            <w:pPr>
              <w:pStyle w:val="Tabletext"/>
              <w:keepLines/>
              <w:jc w:val="center"/>
            </w:pPr>
            <w:r w:rsidRPr="001A05F4">
              <w:t>High</w:t>
            </w:r>
          </w:p>
        </w:tc>
        <w:tc>
          <w:tcPr>
            <w:tcW w:w="708" w:type="pct"/>
            <w:shd w:val="clear" w:color="auto" w:fill="auto"/>
            <w:vAlign w:val="center"/>
          </w:tcPr>
          <w:p w:rsidR="00C66BE6" w:rsidRPr="001A05F4" w:rsidRDefault="00C66BE6" w:rsidP="00F077D9">
            <w:pPr>
              <w:pStyle w:val="Tabletext"/>
              <w:keepLines/>
              <w:jc w:val="center"/>
            </w:pPr>
            <w:r w:rsidRPr="001A05F4">
              <w:t>Type II SMA</w:t>
            </w:r>
          </w:p>
        </w:tc>
        <w:tc>
          <w:tcPr>
            <w:tcW w:w="706" w:type="pct"/>
            <w:shd w:val="clear" w:color="auto" w:fill="auto"/>
            <w:vAlign w:val="center"/>
          </w:tcPr>
          <w:p w:rsidR="00C66BE6" w:rsidRPr="001A05F4" w:rsidRDefault="00C66BE6" w:rsidP="00F077D9">
            <w:pPr>
              <w:pStyle w:val="Tabletext"/>
              <w:keepLines/>
              <w:jc w:val="center"/>
            </w:pPr>
            <w:r w:rsidRPr="001A05F4">
              <w:t>HFMSE</w:t>
            </w:r>
          </w:p>
        </w:tc>
        <w:tc>
          <w:tcPr>
            <w:tcW w:w="916" w:type="pct"/>
            <w:shd w:val="clear" w:color="auto" w:fill="auto"/>
          </w:tcPr>
          <w:p w:rsidR="00C66BE6" w:rsidRPr="001A05F4" w:rsidRDefault="00C66BE6" w:rsidP="00F077D9">
            <w:pPr>
              <w:pStyle w:val="Tabletext"/>
              <w:keepLines/>
              <w:jc w:val="center"/>
            </w:pPr>
            <w:r w:rsidRPr="001A05F4">
              <w:t>Not used</w:t>
            </w:r>
          </w:p>
        </w:tc>
      </w:tr>
      <w:tr w:rsidR="00C66BE6" w:rsidRPr="001A05F4" w:rsidTr="00AA4C6F">
        <w:tc>
          <w:tcPr>
            <w:tcW w:w="713" w:type="pct"/>
            <w:shd w:val="clear" w:color="auto" w:fill="auto"/>
            <w:vAlign w:val="center"/>
          </w:tcPr>
          <w:p w:rsidR="00C66BE6" w:rsidRPr="001A05F4" w:rsidRDefault="00C66BE6" w:rsidP="00F077D9">
            <w:pPr>
              <w:pStyle w:val="Tabletext"/>
              <w:keepLines/>
            </w:pPr>
            <w:r w:rsidRPr="001A05F4">
              <w:rPr>
                <w:szCs w:val="20"/>
              </w:rPr>
              <w:t>Wijngaarde 2020a</w:t>
            </w:r>
          </w:p>
        </w:tc>
        <w:tc>
          <w:tcPr>
            <w:tcW w:w="385" w:type="pct"/>
            <w:shd w:val="clear" w:color="auto" w:fill="auto"/>
            <w:vAlign w:val="center"/>
          </w:tcPr>
          <w:p w:rsidR="00C66BE6" w:rsidRPr="001A05F4" w:rsidRDefault="00C66BE6" w:rsidP="00F077D9">
            <w:pPr>
              <w:pStyle w:val="Tabletext"/>
              <w:keepLines/>
              <w:jc w:val="center"/>
            </w:pPr>
            <w:r w:rsidRPr="001A05F4">
              <w:t>250</w:t>
            </w:r>
          </w:p>
        </w:tc>
        <w:tc>
          <w:tcPr>
            <w:tcW w:w="1179" w:type="pct"/>
            <w:vMerge/>
            <w:shd w:val="clear" w:color="auto" w:fill="auto"/>
            <w:vAlign w:val="center"/>
          </w:tcPr>
          <w:p w:rsidR="00C66BE6" w:rsidRPr="001A05F4" w:rsidRDefault="00C66BE6" w:rsidP="00F077D9">
            <w:pPr>
              <w:pStyle w:val="Tabletext"/>
              <w:keepLines/>
              <w:jc w:val="center"/>
            </w:pPr>
          </w:p>
        </w:tc>
        <w:tc>
          <w:tcPr>
            <w:tcW w:w="393" w:type="pct"/>
            <w:shd w:val="clear" w:color="auto" w:fill="auto"/>
            <w:vAlign w:val="center"/>
          </w:tcPr>
          <w:p w:rsidR="00C66BE6" w:rsidRPr="001A05F4" w:rsidRDefault="00CE1489" w:rsidP="00F077D9">
            <w:pPr>
              <w:pStyle w:val="Tabletext"/>
              <w:keepLines/>
              <w:jc w:val="center"/>
            </w:pPr>
            <w:r w:rsidRPr="001A05F4">
              <w:t>High</w:t>
            </w:r>
          </w:p>
        </w:tc>
        <w:tc>
          <w:tcPr>
            <w:tcW w:w="708" w:type="pct"/>
            <w:shd w:val="clear" w:color="auto" w:fill="auto"/>
            <w:vAlign w:val="center"/>
          </w:tcPr>
          <w:p w:rsidR="00C66BE6" w:rsidRPr="001A05F4" w:rsidRDefault="00C66BE6" w:rsidP="00F077D9">
            <w:pPr>
              <w:pStyle w:val="Tabletext"/>
              <w:keepLines/>
              <w:jc w:val="center"/>
            </w:pPr>
            <w:r w:rsidRPr="001A05F4">
              <w:t>Type 1c to IV SMA</w:t>
            </w:r>
          </w:p>
        </w:tc>
        <w:tc>
          <w:tcPr>
            <w:tcW w:w="706" w:type="pct"/>
            <w:shd w:val="clear" w:color="auto" w:fill="auto"/>
            <w:vAlign w:val="center"/>
          </w:tcPr>
          <w:p w:rsidR="00C66BE6" w:rsidRPr="001A05F4" w:rsidRDefault="00C66BE6" w:rsidP="00F077D9">
            <w:pPr>
              <w:pStyle w:val="Tabletext"/>
              <w:keepLines/>
              <w:jc w:val="center"/>
            </w:pPr>
            <w:r w:rsidRPr="001A05F4">
              <w:t>HFMSE</w:t>
            </w:r>
          </w:p>
        </w:tc>
        <w:tc>
          <w:tcPr>
            <w:tcW w:w="916" w:type="pct"/>
            <w:shd w:val="clear" w:color="auto" w:fill="auto"/>
            <w:vAlign w:val="center"/>
          </w:tcPr>
          <w:p w:rsidR="00C66BE6" w:rsidRPr="001A05F4" w:rsidRDefault="00C66BE6" w:rsidP="00F077D9">
            <w:pPr>
              <w:pStyle w:val="Tabletext"/>
              <w:keepLines/>
              <w:jc w:val="center"/>
            </w:pPr>
            <w:r w:rsidRPr="001A05F4">
              <w:t>Not used</w:t>
            </w:r>
          </w:p>
        </w:tc>
      </w:tr>
      <w:tr w:rsidR="00C66BE6" w:rsidRPr="001A05F4" w:rsidTr="00AA4C6F">
        <w:tc>
          <w:tcPr>
            <w:tcW w:w="713" w:type="pct"/>
            <w:shd w:val="clear" w:color="auto" w:fill="auto"/>
            <w:vAlign w:val="center"/>
          </w:tcPr>
          <w:p w:rsidR="00C66BE6" w:rsidRPr="001A05F4" w:rsidRDefault="00C66BE6" w:rsidP="00F077D9">
            <w:pPr>
              <w:pStyle w:val="Tabletext"/>
              <w:keepLines/>
            </w:pPr>
            <w:r w:rsidRPr="001A05F4">
              <w:rPr>
                <w:szCs w:val="20"/>
              </w:rPr>
              <w:t>Querin 2021</w:t>
            </w:r>
          </w:p>
        </w:tc>
        <w:tc>
          <w:tcPr>
            <w:tcW w:w="385" w:type="pct"/>
            <w:shd w:val="clear" w:color="auto" w:fill="auto"/>
            <w:vAlign w:val="center"/>
          </w:tcPr>
          <w:p w:rsidR="00C66BE6" w:rsidRPr="001A05F4" w:rsidRDefault="00C66BE6" w:rsidP="00F077D9">
            <w:pPr>
              <w:pStyle w:val="Tabletext"/>
              <w:keepLines/>
              <w:jc w:val="center"/>
            </w:pPr>
            <w:r w:rsidRPr="001A05F4">
              <w:t>14</w:t>
            </w:r>
          </w:p>
        </w:tc>
        <w:tc>
          <w:tcPr>
            <w:tcW w:w="1179" w:type="pct"/>
            <w:vMerge/>
            <w:shd w:val="clear" w:color="auto" w:fill="auto"/>
            <w:vAlign w:val="center"/>
          </w:tcPr>
          <w:p w:rsidR="00C66BE6" w:rsidRPr="001A05F4" w:rsidRDefault="00C66BE6" w:rsidP="00F077D9">
            <w:pPr>
              <w:pStyle w:val="Tabletext"/>
              <w:keepLines/>
              <w:jc w:val="center"/>
            </w:pPr>
          </w:p>
        </w:tc>
        <w:tc>
          <w:tcPr>
            <w:tcW w:w="393" w:type="pct"/>
            <w:shd w:val="clear" w:color="auto" w:fill="auto"/>
          </w:tcPr>
          <w:p w:rsidR="00C66BE6" w:rsidRPr="001A05F4" w:rsidRDefault="00CE1489" w:rsidP="00F077D9">
            <w:pPr>
              <w:pStyle w:val="Tabletext"/>
              <w:keepLines/>
              <w:jc w:val="center"/>
            </w:pPr>
            <w:r w:rsidRPr="001A05F4">
              <w:t>High</w:t>
            </w:r>
          </w:p>
        </w:tc>
        <w:tc>
          <w:tcPr>
            <w:tcW w:w="708" w:type="pct"/>
            <w:shd w:val="clear" w:color="auto" w:fill="auto"/>
            <w:vAlign w:val="center"/>
          </w:tcPr>
          <w:p w:rsidR="00C66BE6" w:rsidRPr="001A05F4" w:rsidRDefault="00C66BE6" w:rsidP="00F077D9">
            <w:pPr>
              <w:pStyle w:val="Tabletext"/>
              <w:keepLines/>
              <w:jc w:val="center"/>
            </w:pPr>
            <w:r w:rsidRPr="001A05F4">
              <w:t>Type III and IV SMA</w:t>
            </w:r>
          </w:p>
        </w:tc>
        <w:tc>
          <w:tcPr>
            <w:tcW w:w="706" w:type="pct"/>
            <w:shd w:val="clear" w:color="auto" w:fill="auto"/>
          </w:tcPr>
          <w:p w:rsidR="00C66BE6" w:rsidRPr="001A05F4" w:rsidRDefault="00C66BE6" w:rsidP="00F077D9">
            <w:pPr>
              <w:pStyle w:val="Tabletext"/>
              <w:keepLines/>
              <w:jc w:val="center"/>
            </w:pPr>
            <w:r w:rsidRPr="001A05F4">
              <w:t>6MWT</w:t>
            </w:r>
          </w:p>
        </w:tc>
        <w:tc>
          <w:tcPr>
            <w:tcW w:w="916" w:type="pct"/>
            <w:shd w:val="clear" w:color="auto" w:fill="auto"/>
          </w:tcPr>
          <w:p w:rsidR="00C66BE6" w:rsidRPr="001A05F4" w:rsidRDefault="00C66BE6" w:rsidP="00F077D9">
            <w:pPr>
              <w:pStyle w:val="Tabletext"/>
              <w:keepLines/>
              <w:jc w:val="center"/>
            </w:pPr>
            <w:r w:rsidRPr="001A05F4">
              <w:t>Not used</w:t>
            </w:r>
          </w:p>
        </w:tc>
      </w:tr>
      <w:tr w:rsidR="00C66BE6" w:rsidRPr="001A05F4" w:rsidTr="00AA4C6F">
        <w:tc>
          <w:tcPr>
            <w:tcW w:w="713" w:type="pct"/>
            <w:shd w:val="clear" w:color="auto" w:fill="auto"/>
            <w:vAlign w:val="center"/>
          </w:tcPr>
          <w:p w:rsidR="00C66BE6" w:rsidRPr="001A05F4" w:rsidRDefault="00C66BE6" w:rsidP="00F077D9">
            <w:pPr>
              <w:pStyle w:val="Tabletext"/>
              <w:keepLines/>
            </w:pPr>
            <w:r w:rsidRPr="001A05F4">
              <w:rPr>
                <w:szCs w:val="20"/>
              </w:rPr>
              <w:t>Mazzone 2013</w:t>
            </w:r>
          </w:p>
        </w:tc>
        <w:tc>
          <w:tcPr>
            <w:tcW w:w="385" w:type="pct"/>
            <w:shd w:val="clear" w:color="auto" w:fill="auto"/>
            <w:vAlign w:val="center"/>
          </w:tcPr>
          <w:p w:rsidR="00C66BE6" w:rsidRPr="001A05F4" w:rsidRDefault="00C66BE6" w:rsidP="00F077D9">
            <w:pPr>
              <w:pStyle w:val="Tabletext"/>
              <w:keepLines/>
              <w:jc w:val="center"/>
            </w:pPr>
            <w:r w:rsidRPr="001A05F4">
              <w:t>38</w:t>
            </w:r>
          </w:p>
        </w:tc>
        <w:tc>
          <w:tcPr>
            <w:tcW w:w="1179" w:type="pct"/>
            <w:vMerge/>
            <w:shd w:val="clear" w:color="auto" w:fill="auto"/>
            <w:vAlign w:val="center"/>
          </w:tcPr>
          <w:p w:rsidR="00C66BE6" w:rsidRPr="001A05F4" w:rsidRDefault="00C66BE6" w:rsidP="00F077D9">
            <w:pPr>
              <w:pStyle w:val="Tabletext"/>
              <w:keepLines/>
              <w:jc w:val="center"/>
            </w:pPr>
          </w:p>
        </w:tc>
        <w:tc>
          <w:tcPr>
            <w:tcW w:w="393" w:type="pct"/>
            <w:shd w:val="clear" w:color="auto" w:fill="auto"/>
          </w:tcPr>
          <w:p w:rsidR="00C66BE6" w:rsidRPr="001A05F4" w:rsidRDefault="00CE1489" w:rsidP="00F077D9">
            <w:pPr>
              <w:pStyle w:val="Tabletext"/>
              <w:keepLines/>
              <w:jc w:val="center"/>
            </w:pPr>
            <w:r w:rsidRPr="001A05F4">
              <w:t>High</w:t>
            </w:r>
          </w:p>
        </w:tc>
        <w:tc>
          <w:tcPr>
            <w:tcW w:w="708" w:type="pct"/>
            <w:shd w:val="clear" w:color="auto" w:fill="auto"/>
            <w:vAlign w:val="center"/>
          </w:tcPr>
          <w:p w:rsidR="00C66BE6" w:rsidRPr="001A05F4" w:rsidRDefault="00C66BE6" w:rsidP="00F077D9">
            <w:pPr>
              <w:pStyle w:val="Tabletext"/>
              <w:keepLines/>
              <w:jc w:val="center"/>
            </w:pPr>
            <w:r w:rsidRPr="001A05F4">
              <w:t>Type III SMA</w:t>
            </w:r>
          </w:p>
        </w:tc>
        <w:tc>
          <w:tcPr>
            <w:tcW w:w="706" w:type="pct"/>
            <w:shd w:val="clear" w:color="auto" w:fill="auto"/>
          </w:tcPr>
          <w:p w:rsidR="00C66BE6" w:rsidRPr="001A05F4" w:rsidRDefault="00C66BE6" w:rsidP="00F077D9">
            <w:pPr>
              <w:pStyle w:val="Tabletext"/>
              <w:keepLines/>
              <w:jc w:val="center"/>
            </w:pPr>
            <w:r w:rsidRPr="001A05F4">
              <w:t>6MWT</w:t>
            </w:r>
          </w:p>
        </w:tc>
        <w:tc>
          <w:tcPr>
            <w:tcW w:w="916" w:type="pct"/>
            <w:shd w:val="clear" w:color="auto" w:fill="auto"/>
          </w:tcPr>
          <w:p w:rsidR="00C66BE6" w:rsidRPr="001A05F4" w:rsidRDefault="00C66BE6" w:rsidP="00F077D9">
            <w:pPr>
              <w:pStyle w:val="Tabletext"/>
              <w:keepLines/>
              <w:jc w:val="center"/>
            </w:pPr>
            <w:r w:rsidRPr="001A05F4">
              <w:t>Not used</w:t>
            </w:r>
          </w:p>
        </w:tc>
      </w:tr>
      <w:tr w:rsidR="00C66BE6" w:rsidRPr="001A05F4" w:rsidTr="00AA4C6F">
        <w:tc>
          <w:tcPr>
            <w:tcW w:w="713" w:type="pct"/>
            <w:shd w:val="clear" w:color="auto" w:fill="auto"/>
            <w:vAlign w:val="center"/>
          </w:tcPr>
          <w:p w:rsidR="00C66BE6" w:rsidRPr="001A05F4" w:rsidRDefault="00C66BE6" w:rsidP="00F077D9">
            <w:pPr>
              <w:pStyle w:val="Tabletext"/>
              <w:keepLines/>
            </w:pPr>
            <w:r w:rsidRPr="001A05F4">
              <w:rPr>
                <w:szCs w:val="20"/>
              </w:rPr>
              <w:t>Bonati 2017</w:t>
            </w:r>
          </w:p>
        </w:tc>
        <w:tc>
          <w:tcPr>
            <w:tcW w:w="385" w:type="pct"/>
            <w:shd w:val="clear" w:color="auto" w:fill="auto"/>
            <w:vAlign w:val="center"/>
          </w:tcPr>
          <w:p w:rsidR="00C66BE6" w:rsidRPr="001A05F4" w:rsidRDefault="00C66BE6" w:rsidP="00F077D9">
            <w:pPr>
              <w:pStyle w:val="Tabletext"/>
              <w:keepLines/>
              <w:jc w:val="center"/>
            </w:pPr>
            <w:r w:rsidRPr="001A05F4">
              <w:t>18-</w:t>
            </w:r>
          </w:p>
        </w:tc>
        <w:tc>
          <w:tcPr>
            <w:tcW w:w="1179" w:type="pct"/>
            <w:vMerge/>
            <w:shd w:val="clear" w:color="auto" w:fill="auto"/>
            <w:vAlign w:val="center"/>
          </w:tcPr>
          <w:p w:rsidR="00C66BE6" w:rsidRPr="001A05F4" w:rsidRDefault="00C66BE6" w:rsidP="00F077D9">
            <w:pPr>
              <w:pStyle w:val="Tabletext"/>
              <w:keepLines/>
              <w:jc w:val="center"/>
            </w:pPr>
          </w:p>
        </w:tc>
        <w:tc>
          <w:tcPr>
            <w:tcW w:w="393" w:type="pct"/>
            <w:shd w:val="clear" w:color="auto" w:fill="auto"/>
          </w:tcPr>
          <w:p w:rsidR="00C66BE6" w:rsidRPr="001A05F4" w:rsidRDefault="00CE1489" w:rsidP="00F077D9">
            <w:pPr>
              <w:pStyle w:val="Tabletext"/>
              <w:keepLines/>
              <w:jc w:val="center"/>
            </w:pPr>
            <w:r w:rsidRPr="001A05F4">
              <w:t>High</w:t>
            </w:r>
          </w:p>
        </w:tc>
        <w:tc>
          <w:tcPr>
            <w:tcW w:w="708" w:type="pct"/>
            <w:shd w:val="clear" w:color="auto" w:fill="auto"/>
            <w:vAlign w:val="center"/>
          </w:tcPr>
          <w:p w:rsidR="00C66BE6" w:rsidRPr="001A05F4" w:rsidRDefault="00C66BE6" w:rsidP="00F077D9">
            <w:pPr>
              <w:pStyle w:val="Tabletext"/>
              <w:keepLines/>
              <w:jc w:val="center"/>
            </w:pPr>
            <w:r w:rsidRPr="001A05F4">
              <w:t>Type III SMA</w:t>
            </w:r>
          </w:p>
        </w:tc>
        <w:tc>
          <w:tcPr>
            <w:tcW w:w="706" w:type="pct"/>
            <w:shd w:val="clear" w:color="auto" w:fill="auto"/>
          </w:tcPr>
          <w:p w:rsidR="00C66BE6" w:rsidRPr="001A05F4" w:rsidRDefault="00C66BE6" w:rsidP="00F077D9">
            <w:pPr>
              <w:pStyle w:val="Tabletext"/>
              <w:keepLines/>
              <w:jc w:val="center"/>
            </w:pPr>
            <w:r w:rsidRPr="001A05F4">
              <w:t>6MWT</w:t>
            </w:r>
          </w:p>
        </w:tc>
        <w:tc>
          <w:tcPr>
            <w:tcW w:w="916" w:type="pct"/>
            <w:shd w:val="clear" w:color="auto" w:fill="auto"/>
          </w:tcPr>
          <w:p w:rsidR="00C66BE6" w:rsidRPr="001A05F4" w:rsidRDefault="00C66BE6" w:rsidP="00F077D9">
            <w:pPr>
              <w:pStyle w:val="Tabletext"/>
              <w:keepLines/>
              <w:jc w:val="center"/>
            </w:pPr>
            <w:r w:rsidRPr="001A05F4">
              <w:t>Not used</w:t>
            </w:r>
          </w:p>
        </w:tc>
      </w:tr>
    </w:tbl>
    <w:p w:rsidR="00C66BE6" w:rsidRPr="001A05F4" w:rsidRDefault="00C66BE6" w:rsidP="00C66BE6">
      <w:pPr>
        <w:pStyle w:val="TableFooter"/>
        <w:keepNext/>
        <w:keepLines/>
      </w:pPr>
      <w:r w:rsidRPr="001A05F4">
        <w:t>HFMSE=Hammersmith Functional Motor Scale– Expanded; 6MWT=6 min walking test;</w:t>
      </w:r>
      <w:r w:rsidR="00DB7B7C" w:rsidRPr="001A05F4">
        <w:t xml:space="preserve"> NR=not reported;</w:t>
      </w:r>
      <w:r w:rsidRPr="001A05F4">
        <w:t xml:space="preserve"> RULM=Revised Upper Limb Module; SMA=spinal muscular atrophy.</w:t>
      </w:r>
    </w:p>
    <w:p w:rsidR="00626CC7" w:rsidRPr="001A05F4" w:rsidRDefault="00626CC7" w:rsidP="00C66BE6">
      <w:pPr>
        <w:pStyle w:val="TableFooter"/>
        <w:keepNext/>
        <w:keepLines/>
      </w:pPr>
      <w:r w:rsidRPr="001A05F4">
        <w:rPr>
          <w:vertAlign w:val="superscript"/>
        </w:rPr>
        <w:t>a</w:t>
      </w:r>
      <w:r w:rsidRPr="001A05F4">
        <w:t>The resubmission reported that it is likely there was an overlap between the 77 SMA Type III patients included by Hagenacker 2020 and the SMA Type III patients in the SMArtCARE SMA registry. The results presented for these studies therefore do not represent distinct data sets.</w:t>
      </w:r>
    </w:p>
    <w:p w:rsidR="00C66BE6" w:rsidRPr="001A05F4" w:rsidRDefault="00C66BE6" w:rsidP="00C66BE6">
      <w:pPr>
        <w:pStyle w:val="TableFooter"/>
        <w:keepNext/>
        <w:keepLines/>
      </w:pPr>
      <w:r w:rsidRPr="001A05F4">
        <w:t>Cells shaded grey represent studies presented in the nusinersen November 2020 resubmission.</w:t>
      </w:r>
    </w:p>
    <w:p w:rsidR="00C66BE6" w:rsidRPr="001A05F4" w:rsidRDefault="00C66BE6" w:rsidP="00C66BE6">
      <w:pPr>
        <w:pStyle w:val="TableFigureFooter"/>
      </w:pPr>
      <w:r w:rsidRPr="001A05F4">
        <w:t>Source: Compiled from Section 2 of the resubmission.</w:t>
      </w:r>
    </w:p>
    <w:p w:rsidR="00C66BE6" w:rsidRPr="001A05F4" w:rsidRDefault="00C66BE6" w:rsidP="00F9436F">
      <w:pPr>
        <w:pStyle w:val="3-BodyText"/>
        <w:numPr>
          <w:ilvl w:val="1"/>
          <w:numId w:val="2"/>
        </w:numPr>
      </w:pPr>
      <w:r w:rsidRPr="001A05F4">
        <w:t xml:space="preserve">The nusinersen studies were considered to have a high risk of bias, as they were open label, non-comparative and non-randomised studies. </w:t>
      </w:r>
      <w:r w:rsidR="00CE1489" w:rsidRPr="001A05F4">
        <w:t xml:space="preserve">For similar reasons, the natural history studies were also considered to have a high risk of bias due to the lack of matching comparison, lack of blinding and </w:t>
      </w:r>
      <w:r w:rsidR="002C538F" w:rsidRPr="001A05F4">
        <w:t>likely selection bias (as patients selected for retrospective studies were selected based on available data)</w:t>
      </w:r>
      <w:r w:rsidR="00A20619" w:rsidRPr="001A05F4">
        <w:t>.</w:t>
      </w:r>
    </w:p>
    <w:p w:rsidR="00C66BE6" w:rsidRPr="001A05F4" w:rsidRDefault="00C66BE6" w:rsidP="00F9436F">
      <w:pPr>
        <w:pStyle w:val="3-BodyText"/>
        <w:numPr>
          <w:ilvl w:val="1"/>
          <w:numId w:val="2"/>
        </w:numPr>
      </w:pPr>
      <w:r w:rsidRPr="001A05F4">
        <w:t>Overall, the SMA patients included</w:t>
      </w:r>
      <w:r w:rsidR="00B67250" w:rsidRPr="001A05F4">
        <w:t xml:space="preserve"> in the</w:t>
      </w:r>
      <w:r w:rsidRPr="001A05F4">
        <w:t xml:space="preserve"> nusinersen studies were a highly heterogen</w:t>
      </w:r>
      <w:r w:rsidR="00B67250" w:rsidRPr="001A05F4">
        <w:t>e</w:t>
      </w:r>
      <w:r w:rsidRPr="001A05F4">
        <w:t xml:space="preserve">ous population, with large variations in time of SMA onset, baseline motor functional scores and ambulatory status. Nonetheless, with the exception of a few type IV patients in whom symptom onset would be after the patient turned 18 years of age, the patients in the included nusinersen studies were likely to be representative of the proposed PBS population. </w:t>
      </w:r>
    </w:p>
    <w:p w:rsidR="00C66BE6" w:rsidRPr="001A05F4" w:rsidRDefault="00C66BE6" w:rsidP="00F9436F">
      <w:pPr>
        <w:pStyle w:val="3-BodyText"/>
        <w:numPr>
          <w:ilvl w:val="1"/>
          <w:numId w:val="2"/>
        </w:numPr>
      </w:pPr>
      <w:r w:rsidRPr="001A05F4">
        <w:t>There was insufficient information on the baseline demographics of adult patients with SMA with symptom onset from before 18 years (i.e. SMA types I, II or III) from the natural history studies to be able to conduct any meaningful comparisons with the included nusinersen studies to determine whether the transitivity assumption may hold for the naïve comparison that is relevant to the current resubmission.</w:t>
      </w:r>
      <w:r w:rsidR="00A87A52" w:rsidRPr="001A05F4">
        <w:t xml:space="preserve"> The ESC considered that the heterogeneity of the populations within and across the trials, in</w:t>
      </w:r>
      <w:r w:rsidR="00A87A52" w:rsidRPr="001A05F4">
        <w:rPr>
          <w:i/>
        </w:rPr>
        <w:t xml:space="preserve"> </w:t>
      </w:r>
      <w:r w:rsidR="00A87A52" w:rsidRPr="001A05F4">
        <w:rPr>
          <w:iCs/>
        </w:rPr>
        <w:t xml:space="preserve">terms of patient age, </w:t>
      </w:r>
      <w:bookmarkStart w:id="18" w:name="_Hlk77600411"/>
      <w:r w:rsidR="00A87A52" w:rsidRPr="001A05F4">
        <w:rPr>
          <w:iCs/>
        </w:rPr>
        <w:t>degree of disease progression and the extent of function at baseline</w:t>
      </w:r>
      <w:bookmarkEnd w:id="18"/>
      <w:r w:rsidR="00A87A52" w:rsidRPr="001A05F4">
        <w:rPr>
          <w:iCs/>
        </w:rPr>
        <w:t>, made it difficult to draw clear or meaningful conclusions regarding treatment outcomes.</w:t>
      </w:r>
    </w:p>
    <w:p w:rsidR="002C538F" w:rsidRPr="001A05F4" w:rsidRDefault="002C538F" w:rsidP="00F9436F">
      <w:pPr>
        <w:pStyle w:val="ListParagraph"/>
        <w:numPr>
          <w:ilvl w:val="1"/>
          <w:numId w:val="2"/>
        </w:numPr>
        <w:rPr>
          <w:rFonts w:asciiTheme="minorHAnsi" w:hAnsiTheme="minorHAnsi"/>
          <w:i/>
          <w:szCs w:val="24"/>
          <w:lang w:eastAsia="en-AU"/>
        </w:rPr>
      </w:pPr>
      <w:r w:rsidRPr="001A05F4">
        <w:rPr>
          <w:rFonts w:asciiTheme="minorHAnsi" w:hAnsiTheme="minorHAnsi"/>
          <w:iCs/>
          <w:szCs w:val="24"/>
          <w:lang w:eastAsia="en-AU"/>
        </w:rPr>
        <w:t xml:space="preserve">A naïve comparison was presented for three outcomes: </w:t>
      </w:r>
      <w:bookmarkStart w:id="19" w:name="_Hlk77328957"/>
      <w:r w:rsidRPr="001A05F4">
        <w:rPr>
          <w:rFonts w:asciiTheme="minorHAnsi" w:hAnsiTheme="minorHAnsi"/>
          <w:iCs/>
          <w:szCs w:val="24"/>
          <w:lang w:eastAsia="en-AU"/>
        </w:rPr>
        <w:t xml:space="preserve">the Hammersmith motor function scale – expanded (HFMSE), revised upper limb module (RULM) and six minute walk test (6MWT). </w:t>
      </w:r>
    </w:p>
    <w:bookmarkEnd w:id="19"/>
    <w:p w:rsidR="00DE3AED" w:rsidRPr="001A05F4" w:rsidRDefault="00DE3AED" w:rsidP="00F9436F">
      <w:pPr>
        <w:pStyle w:val="ListParagraph"/>
        <w:numPr>
          <w:ilvl w:val="1"/>
          <w:numId w:val="2"/>
        </w:numPr>
        <w:rPr>
          <w:rFonts w:asciiTheme="minorHAnsi" w:hAnsiTheme="minorHAnsi"/>
          <w:szCs w:val="24"/>
          <w:lang w:eastAsia="en-AU"/>
        </w:rPr>
      </w:pPr>
      <w:r w:rsidRPr="001A05F4">
        <w:rPr>
          <w:rFonts w:asciiTheme="minorHAnsi" w:hAnsiTheme="minorHAnsi"/>
          <w:iCs/>
          <w:szCs w:val="24"/>
          <w:lang w:eastAsia="en-AU"/>
        </w:rPr>
        <w:t xml:space="preserve">As </w:t>
      </w:r>
      <w:r w:rsidR="00B67250" w:rsidRPr="001A05F4">
        <w:rPr>
          <w:rFonts w:asciiTheme="minorHAnsi" w:hAnsiTheme="minorHAnsi"/>
          <w:iCs/>
          <w:szCs w:val="24"/>
          <w:lang w:eastAsia="en-AU"/>
        </w:rPr>
        <w:t>per</w:t>
      </w:r>
      <w:r w:rsidRPr="001A05F4">
        <w:rPr>
          <w:rFonts w:asciiTheme="minorHAnsi" w:hAnsiTheme="minorHAnsi"/>
          <w:iCs/>
          <w:szCs w:val="24"/>
          <w:lang w:eastAsia="en-AU"/>
        </w:rPr>
        <w:t xml:space="preserve"> the November 2020 resubmission, the current resubmission proposed that a </w:t>
      </w:r>
      <w:r w:rsidRPr="001A05F4">
        <w:rPr>
          <w:rFonts w:asciiTheme="minorHAnsi" w:hAnsiTheme="minorHAnsi" w:cstheme="minorHAnsi"/>
          <w:iCs/>
          <w:szCs w:val="24"/>
          <w:lang w:eastAsia="en-AU"/>
        </w:rPr>
        <w:t>≥</w:t>
      </w:r>
      <w:r w:rsidRPr="001A05F4">
        <w:rPr>
          <w:rFonts w:asciiTheme="minorHAnsi" w:hAnsiTheme="minorHAnsi"/>
          <w:iCs/>
          <w:szCs w:val="24"/>
          <w:lang w:eastAsia="en-AU"/>
        </w:rPr>
        <w:t xml:space="preserve">3 point change in HFMSE, or a </w:t>
      </w:r>
      <w:r w:rsidRPr="001A05F4">
        <w:rPr>
          <w:rFonts w:asciiTheme="minorHAnsi" w:hAnsiTheme="minorHAnsi" w:cstheme="minorHAnsi"/>
          <w:iCs/>
          <w:szCs w:val="24"/>
          <w:lang w:eastAsia="en-AU"/>
        </w:rPr>
        <w:t>≥</w:t>
      </w:r>
      <w:r w:rsidRPr="001A05F4">
        <w:rPr>
          <w:rFonts w:asciiTheme="minorHAnsi" w:hAnsiTheme="minorHAnsi"/>
          <w:iCs/>
          <w:szCs w:val="24"/>
          <w:lang w:eastAsia="en-AU"/>
        </w:rPr>
        <w:t xml:space="preserve">2 point change in RULM, or a </w:t>
      </w:r>
      <w:r w:rsidRPr="001A05F4">
        <w:rPr>
          <w:rFonts w:asciiTheme="minorHAnsi" w:hAnsiTheme="minorHAnsi" w:cstheme="minorHAnsi"/>
          <w:iCs/>
          <w:szCs w:val="24"/>
          <w:lang w:eastAsia="en-AU"/>
        </w:rPr>
        <w:t>≥</w:t>
      </w:r>
      <w:r w:rsidRPr="001A05F4">
        <w:rPr>
          <w:rFonts w:asciiTheme="minorHAnsi" w:hAnsiTheme="minorHAnsi"/>
          <w:iCs/>
          <w:szCs w:val="24"/>
          <w:lang w:eastAsia="en-AU"/>
        </w:rPr>
        <w:t xml:space="preserve">30 metres change in 6MWT were clinically meaningful. </w:t>
      </w:r>
      <w:r w:rsidRPr="001A05F4">
        <w:rPr>
          <w:rFonts w:asciiTheme="minorHAnsi" w:hAnsiTheme="minorHAnsi"/>
          <w:szCs w:val="24"/>
          <w:lang w:eastAsia="en-AU"/>
        </w:rPr>
        <w:t>The ESC has previously considered that the importance of these outcomes (and the relevance of changes in these scores) in terms of clinically meaningful benefits for adult patients with SMA was unclear. The ESC considered that it was unclear which motor changes impact quality of life in adults and noted that consumer preferences tended to be around maintenance of upper limb function (e.g. for basic self-care, using devices, steering a wheel chair) and that, for many non-ambulant patients, mobility in terms of transfer movements in and out of c</w:t>
      </w:r>
      <w:r w:rsidR="008A27E6" w:rsidRPr="001A05F4">
        <w:rPr>
          <w:rFonts w:asciiTheme="minorHAnsi" w:hAnsiTheme="minorHAnsi"/>
          <w:szCs w:val="24"/>
          <w:lang w:eastAsia="en-AU"/>
        </w:rPr>
        <w:t>hairs was clinically meaningful</w:t>
      </w:r>
      <w:r w:rsidRPr="001A05F4">
        <w:rPr>
          <w:rFonts w:asciiTheme="minorHAnsi" w:hAnsiTheme="minorHAnsi"/>
          <w:szCs w:val="24"/>
          <w:lang w:eastAsia="en-AU"/>
        </w:rPr>
        <w:t xml:space="preserve"> (paragraph 6.23, p13 nusinersen PSD, November 2020)</w:t>
      </w:r>
      <w:r w:rsidR="008A27E6" w:rsidRPr="001A05F4">
        <w:rPr>
          <w:rFonts w:asciiTheme="minorHAnsi" w:hAnsiTheme="minorHAnsi"/>
          <w:szCs w:val="24"/>
          <w:lang w:eastAsia="en-AU"/>
        </w:rPr>
        <w:t>.</w:t>
      </w:r>
      <w:r w:rsidR="007F2A88" w:rsidRPr="001A05F4">
        <w:rPr>
          <w:rFonts w:asciiTheme="minorHAnsi" w:hAnsiTheme="minorHAnsi"/>
          <w:szCs w:val="24"/>
          <w:lang w:eastAsia="en-AU"/>
        </w:rPr>
        <w:t xml:space="preserve"> </w:t>
      </w:r>
    </w:p>
    <w:p w:rsidR="007F17D2" w:rsidRPr="001A05F4" w:rsidRDefault="00DE3AED" w:rsidP="00F9436F">
      <w:pPr>
        <w:pStyle w:val="ListParagraph"/>
        <w:numPr>
          <w:ilvl w:val="1"/>
          <w:numId w:val="2"/>
        </w:numPr>
        <w:rPr>
          <w:rFonts w:asciiTheme="minorHAnsi" w:hAnsiTheme="minorHAnsi"/>
          <w:szCs w:val="24"/>
          <w:lang w:eastAsia="en-AU"/>
        </w:rPr>
      </w:pPr>
      <w:r w:rsidRPr="001A05F4">
        <w:rPr>
          <w:rFonts w:asciiTheme="minorHAnsi" w:hAnsiTheme="minorHAnsi"/>
          <w:iCs/>
          <w:szCs w:val="24"/>
          <w:lang w:eastAsia="en-AU"/>
        </w:rPr>
        <w:t>While respiratory outcomes (forced vital capacity (FVC) and peak cough flow) were listed as key efficacy outcomes, no naïve comparison with standard of care was provided, and no MCIDs were defined by the resubmission. Quality of life was measured in one study (Jochmann 2020) using the EuroQol 5D (EQ-5D-5L).</w:t>
      </w:r>
      <w:r w:rsidR="007F17D2" w:rsidRPr="001A05F4">
        <w:rPr>
          <w:rFonts w:asciiTheme="minorHAnsi" w:hAnsiTheme="minorHAnsi"/>
          <w:iCs/>
          <w:szCs w:val="24"/>
          <w:lang w:eastAsia="en-AU"/>
        </w:rPr>
        <w:t xml:space="preserve"> </w:t>
      </w:r>
      <w:r w:rsidR="007F17D2" w:rsidRPr="001A05F4">
        <w:rPr>
          <w:rFonts w:asciiTheme="minorHAnsi" w:hAnsiTheme="minorHAnsi"/>
          <w:szCs w:val="24"/>
          <w:lang w:eastAsia="en-AU"/>
        </w:rPr>
        <w:t xml:space="preserve">The PSCR stated that preventing progressive loss of independence has a significant impact on adult patients and their carers’ quality of life and maintaining optimal lung function is prudent for all adults with SMA, as respiratory infection a significant cause of morbidity and mortality. </w:t>
      </w:r>
    </w:p>
    <w:p w:rsidR="00DE3AED" w:rsidRPr="001A05F4" w:rsidRDefault="007F17D2" w:rsidP="00F9436F">
      <w:pPr>
        <w:pStyle w:val="ListParagraph"/>
        <w:numPr>
          <w:ilvl w:val="1"/>
          <w:numId w:val="2"/>
        </w:numPr>
        <w:rPr>
          <w:rFonts w:asciiTheme="minorHAnsi" w:hAnsiTheme="minorHAnsi"/>
          <w:iCs/>
          <w:szCs w:val="24"/>
          <w:lang w:eastAsia="en-AU"/>
        </w:rPr>
      </w:pPr>
      <w:r w:rsidRPr="001A05F4">
        <w:rPr>
          <w:rFonts w:cs="Calibri"/>
          <w:iCs/>
          <w:szCs w:val="24"/>
          <w:lang w:eastAsia="en-AU"/>
        </w:rPr>
        <w:t>In the SMA registry data presented in the submission the analyses were combined by SMA type regardless of the current functional status of the patients.</w:t>
      </w:r>
      <w:r w:rsidR="00F366CD" w:rsidRPr="001A05F4">
        <w:rPr>
          <w:rFonts w:cs="Calibri"/>
          <w:iCs/>
          <w:szCs w:val="24"/>
          <w:lang w:eastAsia="en-AU"/>
        </w:rPr>
        <w:t xml:space="preserve"> T</w:t>
      </w:r>
      <w:r w:rsidR="002C6405" w:rsidRPr="001A05F4">
        <w:rPr>
          <w:rFonts w:cs="Calibri"/>
          <w:iCs/>
          <w:szCs w:val="24"/>
          <w:lang w:eastAsia="en-AU"/>
        </w:rPr>
        <w:t>h</w:t>
      </w:r>
      <w:r w:rsidR="00F366CD" w:rsidRPr="001A05F4">
        <w:rPr>
          <w:rFonts w:cs="Calibri"/>
          <w:iCs/>
          <w:szCs w:val="24"/>
          <w:lang w:eastAsia="en-AU"/>
        </w:rPr>
        <w:t>e PSCR noted that commonly used SMA outcome measures, such as HFMSE and RULM, are not optimised and sensitive for severely affected individuals, generally non-ambulant patients, which has most likely affected the annualised motor function scores</w:t>
      </w:r>
      <w:r w:rsidR="001A05F4">
        <w:rPr>
          <w:rFonts w:cs="Calibri"/>
          <w:iCs/>
          <w:szCs w:val="24"/>
          <w:lang w:eastAsia="en-AU"/>
        </w:rPr>
        <w:t xml:space="preserve">. </w:t>
      </w:r>
      <w:r w:rsidRPr="001A05F4">
        <w:rPr>
          <w:rFonts w:cs="Calibri"/>
          <w:iCs/>
          <w:szCs w:val="24"/>
          <w:lang w:eastAsia="en-AU"/>
        </w:rPr>
        <w:t>In the trials and registry data, given the heterogeneity of adult SMA patients in terms of age, disease severity and baseline levels of function, the ESC considered there is no single outcome reported in the trials that capture</w:t>
      </w:r>
      <w:r w:rsidR="00913280" w:rsidRPr="001A05F4">
        <w:rPr>
          <w:rFonts w:cs="Calibri"/>
          <w:iCs/>
          <w:szCs w:val="24"/>
          <w:lang w:eastAsia="en-AU"/>
        </w:rPr>
        <w:t>s</w:t>
      </w:r>
      <w:r w:rsidRPr="001A05F4">
        <w:rPr>
          <w:rFonts w:cs="Calibri"/>
          <w:iCs/>
          <w:szCs w:val="24"/>
          <w:lang w:eastAsia="en-AU"/>
        </w:rPr>
        <w:t xml:space="preserve"> the most meaningful changes. The ESC noted that, in addition to gross motor outcomes, stabilisation of disease in terms of outcomes such as lung function, hand motor function and grip strength or endurance in activities of daily living may be more sensitive measures for quantification of treatment benefit in adults with SMA.</w:t>
      </w:r>
    </w:p>
    <w:p w:rsidR="00A47693" w:rsidRPr="001A05F4" w:rsidRDefault="00A47693" w:rsidP="00F9436F">
      <w:pPr>
        <w:pStyle w:val="ListParagraph"/>
        <w:numPr>
          <w:ilvl w:val="1"/>
          <w:numId w:val="2"/>
        </w:numPr>
        <w:rPr>
          <w:rFonts w:asciiTheme="minorHAnsi" w:hAnsiTheme="minorHAnsi"/>
          <w:szCs w:val="24"/>
          <w:lang w:eastAsia="en-AU"/>
        </w:rPr>
      </w:pPr>
      <w:r w:rsidRPr="001A05F4">
        <w:rPr>
          <w:rFonts w:asciiTheme="minorHAnsi" w:hAnsiTheme="minorHAnsi"/>
          <w:szCs w:val="24"/>
          <w:lang w:eastAsia="en-AU"/>
        </w:rPr>
        <w:t>None of the studies included statistical adjustments for multiple testing, despite reporting results at multiple time points and reporting p-values for each time point. As such, the p-values reported by the included studies (which refer to change from baseline) should be interpreted with caution, as the threshold for significance may be less than the conventional 5%</w:t>
      </w:r>
      <w:r w:rsidR="001A05F4">
        <w:rPr>
          <w:rFonts w:asciiTheme="minorHAnsi" w:hAnsiTheme="minorHAnsi"/>
          <w:szCs w:val="24"/>
          <w:lang w:eastAsia="en-AU"/>
        </w:rPr>
        <w:t xml:space="preserve">. </w:t>
      </w:r>
    </w:p>
    <w:p w:rsidR="00C66BE6" w:rsidRPr="001A05F4" w:rsidRDefault="00C66BE6" w:rsidP="00C66BE6">
      <w:pPr>
        <w:pStyle w:val="4-SubsectionHeading"/>
      </w:pPr>
      <w:bookmarkStart w:id="20" w:name="_Toc72327829"/>
      <w:r w:rsidRPr="001A05F4">
        <w:t>Comparative effectiveness</w:t>
      </w:r>
      <w:bookmarkEnd w:id="20"/>
    </w:p>
    <w:p w:rsidR="00C66BE6" w:rsidRPr="001A05F4" w:rsidRDefault="001B7DBC" w:rsidP="00F9436F">
      <w:pPr>
        <w:pStyle w:val="ListParagraph"/>
        <w:numPr>
          <w:ilvl w:val="1"/>
          <w:numId w:val="2"/>
        </w:numPr>
      </w:pPr>
      <w:r w:rsidRPr="001A05F4">
        <w:rPr>
          <w:rFonts w:asciiTheme="minorHAnsi" w:hAnsiTheme="minorHAnsi"/>
          <w:szCs w:val="24"/>
          <w:lang w:eastAsia="en-AU"/>
        </w:rPr>
        <w:t xml:space="preserve">The results of the naïve comparison for HFMSE from the nusinersen studies and the natural history studies are presented in </w:t>
      </w:r>
      <w:r w:rsidR="00BC2D8D" w:rsidRPr="001A05F4">
        <w:t>Table 6</w:t>
      </w:r>
      <w:r w:rsidR="00C66BE6" w:rsidRPr="001A05F4">
        <w:t xml:space="preserve">. </w:t>
      </w:r>
    </w:p>
    <w:p w:rsidR="00C66BE6" w:rsidRPr="001A05F4" w:rsidRDefault="002C538F" w:rsidP="00AA4C6F">
      <w:pPr>
        <w:pStyle w:val="TableFigureHeading"/>
      </w:pPr>
      <w:bookmarkStart w:id="21" w:name="_Ref71583235"/>
      <w:r w:rsidRPr="001A05F4">
        <w:t xml:space="preserve">Table </w:t>
      </w:r>
      <w:r w:rsidR="00BC2D8D" w:rsidRPr="001A05F4">
        <w:t>6</w:t>
      </w:r>
      <w:bookmarkEnd w:id="21"/>
      <w:r w:rsidR="00A47693" w:rsidRPr="001A05F4">
        <w:t>:</w:t>
      </w:r>
      <w:r w:rsidRPr="001A05F4">
        <w:t xml:space="preserve"> </w:t>
      </w:r>
      <w:r w:rsidR="00C66BE6" w:rsidRPr="001A05F4">
        <w:t>HFMSE change from baseline across published studies</w:t>
      </w:r>
    </w:p>
    <w:tbl>
      <w:tblPr>
        <w:tblStyle w:val="TableGrid"/>
        <w:tblW w:w="0" w:type="auto"/>
        <w:tblCellMar>
          <w:left w:w="28" w:type="dxa"/>
          <w:right w:w="28" w:type="dxa"/>
        </w:tblCellMar>
        <w:tblLook w:val="04A0" w:firstRow="1" w:lastRow="0" w:firstColumn="1" w:lastColumn="0" w:noHBand="0" w:noVBand="1"/>
        <w:tblCaption w:val="Table 6: HFMSE change from baseline across published studies"/>
      </w:tblPr>
      <w:tblGrid>
        <w:gridCol w:w="1012"/>
        <w:gridCol w:w="1319"/>
        <w:gridCol w:w="485"/>
        <w:gridCol w:w="2079"/>
        <w:gridCol w:w="1426"/>
        <w:gridCol w:w="2696"/>
      </w:tblGrid>
      <w:tr w:rsidR="00C66BE6" w:rsidRPr="001A05F4" w:rsidTr="00683790">
        <w:trPr>
          <w:tblHeader/>
        </w:trPr>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AA4C6F">
            <w:pPr>
              <w:pStyle w:val="TableText0"/>
              <w:spacing w:before="0" w:after="0"/>
              <w:jc w:val="center"/>
              <w:rPr>
                <w:b/>
                <w:bCs/>
                <w:szCs w:val="20"/>
              </w:rPr>
            </w:pPr>
            <w:r w:rsidRPr="001A05F4">
              <w:rPr>
                <w:b/>
                <w:bCs/>
                <w:szCs w:val="20"/>
              </w:rPr>
              <w:t>Study</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AA4C6F">
            <w:pPr>
              <w:pStyle w:val="TableText0"/>
              <w:spacing w:before="0" w:after="0"/>
              <w:jc w:val="center"/>
              <w:rPr>
                <w:b/>
                <w:bCs/>
                <w:szCs w:val="20"/>
              </w:rPr>
            </w:pPr>
            <w:r w:rsidRPr="001A05F4">
              <w:rPr>
                <w:b/>
                <w:bCs/>
                <w:szCs w:val="20"/>
              </w:rPr>
              <w:t>Type</w:t>
            </w:r>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AA4C6F">
            <w:pPr>
              <w:pStyle w:val="TableText0"/>
              <w:spacing w:before="0" w:after="0"/>
              <w:jc w:val="center"/>
              <w:rPr>
                <w:b/>
                <w:bCs/>
                <w:szCs w:val="20"/>
              </w:rPr>
            </w:pPr>
            <w:r w:rsidRPr="001A05F4">
              <w:rPr>
                <w:b/>
                <w:bCs/>
                <w:szCs w:val="20"/>
              </w:rPr>
              <w:t>N</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AA4C6F">
            <w:pPr>
              <w:pStyle w:val="TableText0"/>
              <w:spacing w:before="0" w:after="0"/>
              <w:jc w:val="center"/>
              <w:rPr>
                <w:b/>
                <w:bCs/>
                <w:szCs w:val="20"/>
              </w:rPr>
            </w:pPr>
            <w:r w:rsidRPr="001A05F4">
              <w:rPr>
                <w:b/>
                <w:bCs/>
                <w:szCs w:val="20"/>
              </w:rPr>
              <w:t>Mean Age in years (SD)</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AA4C6F">
            <w:pPr>
              <w:pStyle w:val="TableText0"/>
              <w:spacing w:before="0" w:after="0"/>
              <w:jc w:val="center"/>
              <w:rPr>
                <w:b/>
                <w:bCs/>
                <w:szCs w:val="20"/>
              </w:rPr>
            </w:pPr>
            <w:r w:rsidRPr="001A05F4">
              <w:rPr>
                <w:b/>
                <w:bCs/>
                <w:szCs w:val="20"/>
              </w:rPr>
              <w:t>Mean Baseline HFMSE (SD)</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AA4C6F">
            <w:pPr>
              <w:pStyle w:val="TableText0"/>
              <w:spacing w:before="0" w:after="0"/>
              <w:jc w:val="center"/>
              <w:rPr>
                <w:b/>
                <w:bCs/>
                <w:szCs w:val="20"/>
              </w:rPr>
            </w:pPr>
            <w:r w:rsidRPr="001A05F4">
              <w:rPr>
                <w:b/>
                <w:bCs/>
                <w:szCs w:val="20"/>
              </w:rPr>
              <w:t>Annualised change from baseline</w:t>
            </w:r>
          </w:p>
          <w:p w:rsidR="00C66BE6" w:rsidRPr="001A05F4" w:rsidRDefault="00C66BE6" w:rsidP="00AA4C6F">
            <w:pPr>
              <w:pStyle w:val="TableText0"/>
              <w:spacing w:before="0" w:after="0"/>
              <w:jc w:val="center"/>
              <w:rPr>
                <w:b/>
                <w:bCs/>
                <w:szCs w:val="20"/>
              </w:rPr>
            </w:pPr>
            <w:r w:rsidRPr="001A05F4">
              <w:rPr>
                <w:b/>
                <w:bCs/>
                <w:szCs w:val="20"/>
              </w:rPr>
              <w:t>(mean (SD); median (range)), p-value</w:t>
            </w:r>
          </w:p>
        </w:tc>
      </w:tr>
      <w:tr w:rsidR="00C66BE6" w:rsidRPr="001A05F4" w:rsidTr="00683790">
        <w:tc>
          <w:tcPr>
            <w:tcW w:w="9017" w:type="dxa"/>
            <w:gridSpan w:val="6"/>
            <w:tcBorders>
              <w:top w:val="single" w:sz="4" w:space="0" w:color="auto"/>
              <w:left w:val="single" w:sz="4" w:space="0" w:color="auto"/>
              <w:bottom w:val="single" w:sz="4" w:space="0" w:color="auto"/>
              <w:right w:val="single" w:sz="4" w:space="0" w:color="auto"/>
            </w:tcBorders>
            <w:shd w:val="clear" w:color="auto" w:fill="auto"/>
            <w:hideMark/>
          </w:tcPr>
          <w:p w:rsidR="00C66BE6" w:rsidRPr="001A05F4" w:rsidRDefault="00C66BE6" w:rsidP="00AA4C6F">
            <w:pPr>
              <w:pStyle w:val="TableText0"/>
              <w:spacing w:before="0" w:after="0"/>
              <w:rPr>
                <w:b/>
                <w:bCs/>
                <w:szCs w:val="20"/>
              </w:rPr>
            </w:pPr>
            <w:r w:rsidRPr="001A05F4">
              <w:rPr>
                <w:b/>
                <w:bCs/>
                <w:szCs w:val="20"/>
              </w:rPr>
              <w:t>Nusinersen studies</w:t>
            </w:r>
          </w:p>
        </w:tc>
      </w:tr>
      <w:tr w:rsidR="00C66BE6" w:rsidRPr="001A05F4" w:rsidTr="00683790">
        <w:tc>
          <w:tcPr>
            <w:tcW w:w="1012" w:type="dxa"/>
            <w:vMerge w:val="restart"/>
            <w:tcBorders>
              <w:top w:val="single" w:sz="4" w:space="0" w:color="auto"/>
              <w:left w:val="single" w:sz="4" w:space="0" w:color="auto"/>
              <w:bottom w:val="nil"/>
              <w:right w:val="single" w:sz="4" w:space="0" w:color="auto"/>
            </w:tcBorders>
            <w:vAlign w:val="center"/>
            <w:hideMark/>
          </w:tcPr>
          <w:p w:rsidR="00C66BE6" w:rsidRPr="001A05F4" w:rsidRDefault="00C66BE6" w:rsidP="00AA4C6F">
            <w:pPr>
              <w:pStyle w:val="TableText0"/>
              <w:spacing w:before="0" w:after="0"/>
              <w:rPr>
                <w:szCs w:val="20"/>
              </w:rPr>
            </w:pPr>
            <w:r w:rsidRPr="001A05F4">
              <w:rPr>
                <w:szCs w:val="20"/>
              </w:rPr>
              <w:t>Maggi 2020</w:t>
            </w:r>
            <w:r w:rsidRPr="001A05F4">
              <w:rPr>
                <w:szCs w:val="20"/>
                <w:vertAlign w:val="superscript"/>
              </w:rPr>
              <w:t>a</w:t>
            </w:r>
          </w:p>
        </w:tc>
        <w:tc>
          <w:tcPr>
            <w:tcW w:w="1319" w:type="dxa"/>
            <w:tcBorders>
              <w:top w:val="single" w:sz="4" w:space="0" w:color="auto"/>
              <w:left w:val="single" w:sz="4" w:space="0" w:color="auto"/>
              <w:bottom w:val="single" w:sz="4" w:space="0" w:color="auto"/>
              <w:right w:val="single" w:sz="4" w:space="0" w:color="auto"/>
            </w:tcBorders>
            <w:hideMark/>
          </w:tcPr>
          <w:p w:rsidR="00C66BE6" w:rsidRPr="001A05F4" w:rsidRDefault="00C66BE6" w:rsidP="00AA4C6F">
            <w:pPr>
              <w:pStyle w:val="TableText0"/>
              <w:spacing w:before="0" w:after="0"/>
              <w:rPr>
                <w:szCs w:val="20"/>
              </w:rPr>
            </w:pPr>
            <w:r w:rsidRPr="001A05F4">
              <w:rPr>
                <w:szCs w:val="20"/>
              </w:rPr>
              <w:t>Type II + III (All)</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AA4C6F">
            <w:pPr>
              <w:pStyle w:val="TableText0"/>
              <w:spacing w:before="0" w:after="0"/>
              <w:jc w:val="center"/>
              <w:rPr>
                <w:szCs w:val="20"/>
              </w:rPr>
            </w:pPr>
            <w:r w:rsidRPr="001A05F4">
              <w:rPr>
                <w:szCs w:val="20"/>
              </w:rPr>
              <w:t>51</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AA4C6F">
            <w:pPr>
              <w:pStyle w:val="TableText0"/>
              <w:spacing w:before="0" w:after="0"/>
              <w:jc w:val="center"/>
              <w:rPr>
                <w:szCs w:val="20"/>
              </w:rPr>
            </w:pPr>
            <w:r w:rsidRPr="001A05F4">
              <w:rPr>
                <w:szCs w:val="20"/>
              </w:rPr>
              <w:t>36.8 (13.3), n=116</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AA4C6F">
            <w:pPr>
              <w:pStyle w:val="TableText0"/>
              <w:spacing w:before="0" w:after="0"/>
              <w:jc w:val="center"/>
              <w:rPr>
                <w:szCs w:val="20"/>
              </w:rPr>
            </w:pPr>
            <w:r w:rsidRPr="001A05F4">
              <w:rPr>
                <w:szCs w:val="20"/>
              </w:rPr>
              <w:t>26.5 (21.7), n=116</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AA4C6F">
            <w:pPr>
              <w:pStyle w:val="TableText0"/>
              <w:spacing w:before="0" w:after="0"/>
              <w:jc w:val="center"/>
              <w:rPr>
                <w:szCs w:val="20"/>
              </w:rPr>
            </w:pPr>
            <w:r w:rsidRPr="001A05F4">
              <w:rPr>
                <w:szCs w:val="20"/>
              </w:rPr>
              <w:t>+5.38 (NR); +8.5 (NR)</w:t>
            </w:r>
          </w:p>
        </w:tc>
      </w:tr>
      <w:tr w:rsidR="00C66BE6" w:rsidRPr="001A05F4" w:rsidTr="00683790">
        <w:tc>
          <w:tcPr>
            <w:tcW w:w="1012" w:type="dxa"/>
            <w:vMerge/>
            <w:tcBorders>
              <w:top w:val="single" w:sz="4" w:space="0" w:color="auto"/>
              <w:left w:val="single" w:sz="4" w:space="0" w:color="auto"/>
              <w:bottom w:val="nil"/>
              <w:right w:val="single" w:sz="4" w:space="0" w:color="auto"/>
            </w:tcBorders>
            <w:vAlign w:val="center"/>
            <w:hideMark/>
          </w:tcPr>
          <w:p w:rsidR="00C66BE6" w:rsidRPr="001A05F4" w:rsidRDefault="00C66BE6" w:rsidP="00AA4C6F">
            <w:pPr>
              <w:pStyle w:val="TableText0"/>
              <w:spacing w:before="0" w:after="0"/>
              <w:rPr>
                <w:rFonts w:eastAsia="TimesNewRoman" w:cs="Times New Roman"/>
                <w:szCs w:val="20"/>
              </w:rPr>
            </w:pPr>
          </w:p>
        </w:tc>
        <w:tc>
          <w:tcPr>
            <w:tcW w:w="1319" w:type="dxa"/>
            <w:tcBorders>
              <w:top w:val="single" w:sz="4" w:space="0" w:color="auto"/>
              <w:left w:val="single" w:sz="4" w:space="0" w:color="auto"/>
              <w:bottom w:val="single" w:sz="4" w:space="0" w:color="auto"/>
              <w:right w:val="single" w:sz="4" w:space="0" w:color="auto"/>
            </w:tcBorders>
            <w:hideMark/>
          </w:tcPr>
          <w:p w:rsidR="00C66BE6" w:rsidRPr="001A05F4" w:rsidRDefault="00C66BE6" w:rsidP="00AA4C6F">
            <w:pPr>
              <w:pStyle w:val="TableText0"/>
              <w:spacing w:before="0" w:after="0"/>
              <w:rPr>
                <w:szCs w:val="20"/>
              </w:rPr>
            </w:pPr>
            <w:r w:rsidRPr="001A05F4">
              <w:rPr>
                <w:szCs w:val="20"/>
              </w:rPr>
              <w:t>Non-ambulatory Type II</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AA4C6F">
            <w:pPr>
              <w:pStyle w:val="TableText0"/>
              <w:spacing w:before="0" w:after="0"/>
              <w:jc w:val="center"/>
              <w:rPr>
                <w:szCs w:val="20"/>
              </w:rPr>
            </w:pPr>
            <w:r w:rsidRPr="001A05F4">
              <w:rPr>
                <w:szCs w:val="20"/>
              </w:rPr>
              <w:t>5</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AA4C6F">
            <w:pPr>
              <w:pStyle w:val="TableText0"/>
              <w:spacing w:before="0" w:after="0"/>
              <w:jc w:val="center"/>
              <w:rPr>
                <w:szCs w:val="20"/>
              </w:rPr>
            </w:pPr>
            <w:r w:rsidRPr="001A05F4">
              <w:rPr>
                <w:szCs w:val="20"/>
              </w:rPr>
              <w:t>26.3 (7.5), n=13</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AA4C6F">
            <w:pPr>
              <w:pStyle w:val="TableText0"/>
              <w:spacing w:before="0" w:after="0"/>
              <w:jc w:val="center"/>
              <w:rPr>
                <w:szCs w:val="20"/>
              </w:rPr>
            </w:pPr>
            <w:r w:rsidRPr="001A05F4">
              <w:rPr>
                <w:szCs w:val="20"/>
              </w:rPr>
              <w:t>1.46 (2.82), n=13</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AA4C6F">
            <w:pPr>
              <w:pStyle w:val="TableText0"/>
              <w:spacing w:before="0" w:after="0"/>
              <w:jc w:val="center"/>
              <w:rPr>
                <w:szCs w:val="20"/>
              </w:rPr>
            </w:pPr>
            <w:r w:rsidRPr="001A05F4">
              <w:rPr>
                <w:szCs w:val="20"/>
              </w:rPr>
              <w:t>+1.2 (2.68); 0 (0 to 6), p&gt;0.05</w:t>
            </w:r>
          </w:p>
        </w:tc>
      </w:tr>
      <w:tr w:rsidR="00C66BE6" w:rsidRPr="001A05F4" w:rsidTr="00683790">
        <w:tc>
          <w:tcPr>
            <w:tcW w:w="1012" w:type="dxa"/>
            <w:vMerge/>
            <w:tcBorders>
              <w:top w:val="single" w:sz="4" w:space="0" w:color="auto"/>
              <w:left w:val="single" w:sz="4" w:space="0" w:color="auto"/>
              <w:bottom w:val="nil"/>
              <w:right w:val="single" w:sz="4" w:space="0" w:color="auto"/>
            </w:tcBorders>
            <w:vAlign w:val="center"/>
            <w:hideMark/>
          </w:tcPr>
          <w:p w:rsidR="00C66BE6" w:rsidRPr="001A05F4" w:rsidRDefault="00C66BE6" w:rsidP="00AA4C6F">
            <w:pPr>
              <w:pStyle w:val="TableText0"/>
              <w:spacing w:before="0" w:after="0"/>
              <w:rPr>
                <w:rFonts w:eastAsia="TimesNewRoman" w:cs="Times New Roman"/>
                <w:szCs w:val="20"/>
              </w:rPr>
            </w:pPr>
          </w:p>
        </w:tc>
        <w:tc>
          <w:tcPr>
            <w:tcW w:w="1319" w:type="dxa"/>
            <w:tcBorders>
              <w:top w:val="single" w:sz="4" w:space="0" w:color="auto"/>
              <w:left w:val="single" w:sz="4" w:space="0" w:color="auto"/>
              <w:bottom w:val="single" w:sz="4" w:space="0" w:color="auto"/>
              <w:right w:val="single" w:sz="4" w:space="0" w:color="auto"/>
            </w:tcBorders>
            <w:hideMark/>
          </w:tcPr>
          <w:p w:rsidR="00C66BE6" w:rsidRPr="001A05F4" w:rsidRDefault="00C66BE6" w:rsidP="00AA4C6F">
            <w:pPr>
              <w:pStyle w:val="TableText0"/>
              <w:spacing w:before="0" w:after="0"/>
              <w:rPr>
                <w:szCs w:val="20"/>
              </w:rPr>
            </w:pPr>
            <w:r w:rsidRPr="001A05F4">
              <w:rPr>
                <w:szCs w:val="20"/>
              </w:rPr>
              <w:t>Non-ambulatory</w:t>
            </w:r>
          </w:p>
          <w:p w:rsidR="00C66BE6" w:rsidRPr="001A05F4" w:rsidRDefault="00C66BE6" w:rsidP="00AA4C6F">
            <w:pPr>
              <w:pStyle w:val="TableText0"/>
              <w:spacing w:before="0" w:after="0"/>
              <w:rPr>
                <w:szCs w:val="20"/>
              </w:rPr>
            </w:pPr>
            <w:r w:rsidRPr="001A05F4">
              <w:rPr>
                <w:szCs w:val="20"/>
              </w:rPr>
              <w:t>Type III sitters</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AA4C6F">
            <w:pPr>
              <w:pStyle w:val="TableText0"/>
              <w:spacing w:before="0" w:after="0"/>
              <w:jc w:val="center"/>
              <w:rPr>
                <w:szCs w:val="20"/>
              </w:rPr>
            </w:pPr>
            <w:r w:rsidRPr="001A05F4">
              <w:rPr>
                <w:szCs w:val="20"/>
              </w:rPr>
              <w:t>19</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AA4C6F">
            <w:pPr>
              <w:pStyle w:val="TableText0"/>
              <w:spacing w:before="0" w:after="0"/>
              <w:jc w:val="center"/>
              <w:rPr>
                <w:szCs w:val="20"/>
              </w:rPr>
            </w:pPr>
            <w:r w:rsidRPr="001A05F4">
              <w:rPr>
                <w:szCs w:val="20"/>
              </w:rPr>
              <w:t>40.8 (14.0), n=51</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AA4C6F">
            <w:pPr>
              <w:pStyle w:val="TableText0"/>
              <w:spacing w:before="0" w:after="0"/>
              <w:jc w:val="center"/>
              <w:rPr>
                <w:szCs w:val="20"/>
              </w:rPr>
            </w:pPr>
            <w:r w:rsidRPr="001A05F4">
              <w:rPr>
                <w:szCs w:val="20"/>
              </w:rPr>
              <w:t>11.41 (9.6), n=51</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AA4C6F">
            <w:pPr>
              <w:pStyle w:val="TableText0"/>
              <w:spacing w:before="0" w:after="0"/>
              <w:jc w:val="center"/>
              <w:rPr>
                <w:szCs w:val="20"/>
              </w:rPr>
            </w:pPr>
            <w:r w:rsidRPr="001A05F4">
              <w:rPr>
                <w:szCs w:val="20"/>
              </w:rPr>
              <w:t>+3.53 (3.67); +3 (-3 to 11), p=0.0014</w:t>
            </w:r>
          </w:p>
        </w:tc>
      </w:tr>
      <w:tr w:rsidR="00C66BE6" w:rsidRPr="001A05F4" w:rsidTr="00683790">
        <w:tc>
          <w:tcPr>
            <w:tcW w:w="1012" w:type="dxa"/>
            <w:vMerge/>
            <w:tcBorders>
              <w:top w:val="single" w:sz="4" w:space="0" w:color="auto"/>
              <w:left w:val="single" w:sz="4" w:space="0" w:color="auto"/>
              <w:bottom w:val="nil"/>
              <w:right w:val="single" w:sz="4" w:space="0" w:color="auto"/>
            </w:tcBorders>
            <w:vAlign w:val="center"/>
            <w:hideMark/>
          </w:tcPr>
          <w:p w:rsidR="00C66BE6" w:rsidRPr="001A05F4" w:rsidRDefault="00C66BE6" w:rsidP="00AA4C6F">
            <w:pPr>
              <w:pStyle w:val="TableText0"/>
              <w:spacing w:before="0" w:after="0"/>
              <w:rPr>
                <w:rFonts w:eastAsia="TimesNewRoman" w:cs="Times New Roman"/>
                <w:szCs w:val="20"/>
              </w:rPr>
            </w:pPr>
          </w:p>
        </w:tc>
        <w:tc>
          <w:tcPr>
            <w:tcW w:w="1319" w:type="dxa"/>
            <w:tcBorders>
              <w:top w:val="single" w:sz="4" w:space="0" w:color="auto"/>
              <w:left w:val="single" w:sz="4" w:space="0" w:color="auto"/>
              <w:bottom w:val="single" w:sz="4" w:space="0" w:color="auto"/>
              <w:right w:val="single" w:sz="4" w:space="0" w:color="auto"/>
            </w:tcBorders>
            <w:hideMark/>
          </w:tcPr>
          <w:p w:rsidR="00C66BE6" w:rsidRPr="001A05F4" w:rsidRDefault="00C66BE6" w:rsidP="00AA4C6F">
            <w:pPr>
              <w:pStyle w:val="TableText0"/>
              <w:spacing w:before="0" w:after="0"/>
              <w:rPr>
                <w:szCs w:val="20"/>
              </w:rPr>
            </w:pPr>
            <w:r w:rsidRPr="001A05F4">
              <w:rPr>
                <w:szCs w:val="20"/>
              </w:rPr>
              <w:t xml:space="preserve">Ambulatory </w:t>
            </w:r>
          </w:p>
          <w:p w:rsidR="00C66BE6" w:rsidRPr="001A05F4" w:rsidRDefault="00C66BE6" w:rsidP="00AA4C6F">
            <w:pPr>
              <w:pStyle w:val="TableText0"/>
              <w:spacing w:before="0" w:after="0"/>
              <w:rPr>
                <w:szCs w:val="20"/>
              </w:rPr>
            </w:pPr>
            <w:r w:rsidRPr="001A05F4">
              <w:rPr>
                <w:szCs w:val="20"/>
              </w:rPr>
              <w:t>Type III walkers</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AA4C6F">
            <w:pPr>
              <w:pStyle w:val="TableText0"/>
              <w:spacing w:before="0" w:after="0"/>
              <w:jc w:val="center"/>
              <w:rPr>
                <w:szCs w:val="20"/>
              </w:rPr>
            </w:pPr>
            <w:r w:rsidRPr="001A05F4">
              <w:rPr>
                <w:szCs w:val="20"/>
              </w:rPr>
              <w:t>27</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AA4C6F">
            <w:pPr>
              <w:pStyle w:val="TableText0"/>
              <w:spacing w:before="0" w:after="0"/>
              <w:jc w:val="center"/>
              <w:rPr>
                <w:szCs w:val="20"/>
              </w:rPr>
            </w:pPr>
            <w:r w:rsidRPr="001A05F4">
              <w:rPr>
                <w:szCs w:val="20"/>
              </w:rPr>
              <w:t>35.5 (12.2), n=52</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AA4C6F">
            <w:pPr>
              <w:pStyle w:val="TableText0"/>
              <w:spacing w:before="0" w:after="0"/>
              <w:jc w:val="center"/>
              <w:rPr>
                <w:szCs w:val="20"/>
              </w:rPr>
            </w:pPr>
            <w:r w:rsidRPr="001A05F4">
              <w:rPr>
                <w:szCs w:val="20"/>
              </w:rPr>
              <w:t>47.56 (11.3), n=52</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AA4C6F">
            <w:pPr>
              <w:pStyle w:val="TableText0"/>
              <w:spacing w:before="0" w:after="0"/>
              <w:jc w:val="center"/>
              <w:rPr>
                <w:szCs w:val="20"/>
              </w:rPr>
            </w:pPr>
            <w:r w:rsidRPr="001A05F4">
              <w:rPr>
                <w:szCs w:val="20"/>
              </w:rPr>
              <w:t>+2.37 (2.22); +2 (-2 to 6), p=0.00016</w:t>
            </w:r>
          </w:p>
        </w:tc>
      </w:tr>
      <w:tr w:rsidR="00C66BE6" w:rsidRPr="001A05F4" w:rsidTr="00683790">
        <w:tc>
          <w:tcPr>
            <w:tcW w:w="101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AA4C6F">
            <w:pPr>
              <w:pStyle w:val="TableText0"/>
              <w:spacing w:before="0" w:after="0"/>
              <w:rPr>
                <w:szCs w:val="20"/>
              </w:rPr>
            </w:pPr>
            <w:r w:rsidRPr="001A05F4">
              <w:rPr>
                <w:szCs w:val="20"/>
              </w:rPr>
              <w:t>Hagenacker 2020</w:t>
            </w:r>
            <w:r w:rsidRPr="001A05F4">
              <w:rPr>
                <w:szCs w:val="20"/>
                <w:vertAlign w:val="superscript"/>
              </w:rPr>
              <w:t>a</w:t>
            </w: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AA4C6F">
            <w:pPr>
              <w:pStyle w:val="TableText0"/>
              <w:spacing w:before="0" w:after="0"/>
              <w:rPr>
                <w:szCs w:val="20"/>
              </w:rPr>
            </w:pPr>
            <w:r w:rsidRPr="001A05F4">
              <w:rPr>
                <w:szCs w:val="20"/>
              </w:rPr>
              <w:t>Type II + III (All)</w:t>
            </w:r>
          </w:p>
        </w:tc>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AA4C6F">
            <w:pPr>
              <w:pStyle w:val="TableText0"/>
              <w:spacing w:before="0" w:after="0"/>
              <w:jc w:val="center"/>
              <w:rPr>
                <w:szCs w:val="20"/>
              </w:rPr>
            </w:pPr>
            <w:r w:rsidRPr="001A05F4">
              <w:rPr>
                <w:szCs w:val="20"/>
              </w:rPr>
              <w:t>57</w:t>
            </w:r>
          </w:p>
        </w:tc>
        <w:tc>
          <w:tcPr>
            <w:tcW w:w="2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AA4C6F">
            <w:pPr>
              <w:pStyle w:val="TableText0"/>
              <w:spacing w:before="0" w:after="0"/>
              <w:jc w:val="center"/>
              <w:rPr>
                <w:szCs w:val="20"/>
              </w:rPr>
            </w:pPr>
            <w:r w:rsidRPr="001A05F4">
              <w:rPr>
                <w:szCs w:val="20"/>
              </w:rPr>
              <w:t>33 (11)</w:t>
            </w:r>
          </w:p>
        </w:tc>
        <w:tc>
          <w:tcPr>
            <w:tcW w:w="1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AA4C6F">
            <w:pPr>
              <w:pStyle w:val="TableText0"/>
              <w:spacing w:before="0" w:after="0"/>
              <w:jc w:val="center"/>
              <w:rPr>
                <w:szCs w:val="20"/>
              </w:rPr>
            </w:pPr>
            <w:r w:rsidRPr="001A05F4">
              <w:rPr>
                <w:szCs w:val="20"/>
              </w:rPr>
              <w:t>24.7 (21.8)</w:t>
            </w:r>
          </w:p>
        </w:tc>
        <w:tc>
          <w:tcPr>
            <w:tcW w:w="2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AA4C6F">
            <w:pPr>
              <w:pStyle w:val="TableText0"/>
              <w:spacing w:before="0" w:after="0"/>
              <w:jc w:val="center"/>
              <w:rPr>
                <w:szCs w:val="20"/>
              </w:rPr>
            </w:pPr>
            <w:r w:rsidRPr="001A05F4">
              <w:rPr>
                <w:szCs w:val="20"/>
              </w:rPr>
              <w:t>+3.12 (4.02); NR (2.06 to 4.19), p&lt;0.0001</w:t>
            </w:r>
          </w:p>
        </w:tc>
      </w:tr>
      <w:tr w:rsidR="00C66BE6" w:rsidRPr="001A05F4" w:rsidTr="00683790">
        <w:tc>
          <w:tcPr>
            <w:tcW w:w="101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AA4C6F">
            <w:pPr>
              <w:pStyle w:val="TableText0"/>
              <w:spacing w:before="0" w:after="0"/>
              <w:rPr>
                <w:rFonts w:eastAsia="TimesNewRoman" w:cs="Times New Roman"/>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66BE6" w:rsidRPr="001A05F4" w:rsidRDefault="00C66BE6" w:rsidP="00AA4C6F">
            <w:pPr>
              <w:pStyle w:val="TableText0"/>
              <w:spacing w:before="0" w:after="0"/>
              <w:rPr>
                <w:szCs w:val="20"/>
              </w:rPr>
            </w:pPr>
            <w:r w:rsidRPr="001A05F4">
              <w:rPr>
                <w:szCs w:val="20"/>
              </w:rPr>
              <w:t>Type II</w:t>
            </w:r>
          </w:p>
        </w:tc>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AA4C6F">
            <w:pPr>
              <w:pStyle w:val="TableText0"/>
              <w:spacing w:before="0" w:after="0"/>
              <w:jc w:val="center"/>
              <w:rPr>
                <w:szCs w:val="20"/>
              </w:rPr>
            </w:pPr>
            <w:r w:rsidRPr="001A05F4">
              <w:rPr>
                <w:szCs w:val="20"/>
              </w:rPr>
              <w:t>19</w:t>
            </w:r>
          </w:p>
        </w:tc>
        <w:tc>
          <w:tcPr>
            <w:tcW w:w="2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AA4C6F">
            <w:pPr>
              <w:pStyle w:val="TableText0"/>
              <w:spacing w:before="0" w:after="0"/>
              <w:jc w:val="center"/>
              <w:rPr>
                <w:szCs w:val="20"/>
              </w:rPr>
            </w:pPr>
            <w:r w:rsidRPr="001A05F4">
              <w:rPr>
                <w:szCs w:val="20"/>
              </w:rPr>
              <w:t>28.9 (9.41)</w:t>
            </w:r>
          </w:p>
        </w:tc>
        <w:tc>
          <w:tcPr>
            <w:tcW w:w="1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AA4C6F">
            <w:pPr>
              <w:pStyle w:val="TableText0"/>
              <w:spacing w:before="0" w:after="0"/>
              <w:jc w:val="center"/>
              <w:rPr>
                <w:szCs w:val="20"/>
              </w:rPr>
            </w:pPr>
            <w:r w:rsidRPr="001A05F4">
              <w:rPr>
                <w:szCs w:val="20"/>
              </w:rPr>
              <w:t>4.8 (8.5)</w:t>
            </w:r>
          </w:p>
        </w:tc>
        <w:tc>
          <w:tcPr>
            <w:tcW w:w="2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AA4C6F">
            <w:pPr>
              <w:pStyle w:val="TableText0"/>
              <w:spacing w:before="0" w:after="0"/>
              <w:jc w:val="center"/>
              <w:rPr>
                <w:szCs w:val="20"/>
              </w:rPr>
            </w:pPr>
            <w:r w:rsidRPr="001A05F4">
              <w:rPr>
                <w:szCs w:val="20"/>
              </w:rPr>
              <w:t>+1.1 (1.4); 0 (0.4 to 1.7) p=0.0059</w:t>
            </w:r>
          </w:p>
        </w:tc>
      </w:tr>
      <w:tr w:rsidR="00C66BE6" w:rsidRPr="001A05F4" w:rsidTr="00683790">
        <w:tc>
          <w:tcPr>
            <w:tcW w:w="101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AA4C6F">
            <w:pPr>
              <w:pStyle w:val="TableText0"/>
              <w:spacing w:before="0" w:after="0"/>
              <w:rPr>
                <w:rFonts w:eastAsia="TimesNewRoman" w:cs="Times New Roman"/>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66BE6" w:rsidRPr="001A05F4" w:rsidRDefault="00C66BE6" w:rsidP="00AA4C6F">
            <w:pPr>
              <w:pStyle w:val="TableText0"/>
              <w:spacing w:before="0" w:after="0"/>
              <w:rPr>
                <w:szCs w:val="20"/>
              </w:rPr>
            </w:pPr>
            <w:r w:rsidRPr="001A05F4">
              <w:rPr>
                <w:szCs w:val="20"/>
              </w:rPr>
              <w:t>Type III</w:t>
            </w:r>
          </w:p>
        </w:tc>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AA4C6F">
            <w:pPr>
              <w:pStyle w:val="TableText0"/>
              <w:spacing w:before="0" w:after="0"/>
              <w:jc w:val="center"/>
              <w:rPr>
                <w:szCs w:val="20"/>
              </w:rPr>
            </w:pPr>
            <w:r w:rsidRPr="001A05F4">
              <w:rPr>
                <w:szCs w:val="20"/>
              </w:rPr>
              <w:t>38</w:t>
            </w:r>
          </w:p>
        </w:tc>
        <w:tc>
          <w:tcPr>
            <w:tcW w:w="2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AA4C6F">
            <w:pPr>
              <w:pStyle w:val="TableText0"/>
              <w:spacing w:before="0" w:after="0"/>
              <w:jc w:val="center"/>
              <w:rPr>
                <w:szCs w:val="20"/>
              </w:rPr>
            </w:pPr>
            <w:r w:rsidRPr="001A05F4">
              <w:rPr>
                <w:szCs w:val="20"/>
              </w:rPr>
              <w:t>35.7 (11.6)</w:t>
            </w:r>
          </w:p>
        </w:tc>
        <w:tc>
          <w:tcPr>
            <w:tcW w:w="1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AA4C6F">
            <w:pPr>
              <w:pStyle w:val="TableText0"/>
              <w:spacing w:before="0" w:after="0"/>
              <w:jc w:val="center"/>
              <w:rPr>
                <w:szCs w:val="20"/>
              </w:rPr>
            </w:pPr>
            <w:r w:rsidRPr="001A05F4">
              <w:rPr>
                <w:szCs w:val="20"/>
              </w:rPr>
              <w:t>34.6 (19.5)</w:t>
            </w:r>
          </w:p>
        </w:tc>
        <w:tc>
          <w:tcPr>
            <w:tcW w:w="2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AA4C6F">
            <w:pPr>
              <w:pStyle w:val="TableText0"/>
              <w:spacing w:before="0" w:after="0"/>
              <w:jc w:val="center"/>
              <w:rPr>
                <w:szCs w:val="20"/>
              </w:rPr>
            </w:pPr>
            <w:r w:rsidRPr="001A05F4">
              <w:rPr>
                <w:szCs w:val="20"/>
              </w:rPr>
              <w:t>+4.2 (4.5); 3 (2.7 to 5.7) p&lt;0.0001</w:t>
            </w:r>
          </w:p>
        </w:tc>
      </w:tr>
      <w:tr w:rsidR="00C66BE6" w:rsidRPr="001A05F4" w:rsidTr="00683790">
        <w:tc>
          <w:tcPr>
            <w:tcW w:w="1012" w:type="dxa"/>
            <w:vMerge w:val="restart"/>
            <w:tcBorders>
              <w:top w:val="nil"/>
              <w:left w:val="single" w:sz="4" w:space="0" w:color="auto"/>
              <w:bottom w:val="single" w:sz="4" w:space="0" w:color="auto"/>
              <w:right w:val="single" w:sz="4" w:space="0" w:color="auto"/>
            </w:tcBorders>
            <w:shd w:val="clear" w:color="auto" w:fill="auto"/>
            <w:vAlign w:val="center"/>
            <w:hideMark/>
          </w:tcPr>
          <w:p w:rsidR="00C66BE6" w:rsidRPr="001A05F4" w:rsidRDefault="00C66BE6" w:rsidP="00AA4C6F">
            <w:pPr>
              <w:pStyle w:val="TableText0"/>
              <w:spacing w:before="0" w:after="0"/>
              <w:rPr>
                <w:szCs w:val="20"/>
              </w:rPr>
            </w:pPr>
            <w:r w:rsidRPr="001A05F4">
              <w:rPr>
                <w:szCs w:val="20"/>
              </w:rPr>
              <w:t>Hagenacker 2020</w:t>
            </w:r>
            <w:r w:rsidRPr="001A05F4">
              <w:rPr>
                <w:szCs w:val="20"/>
                <w:vertAlign w:val="superscript"/>
              </w:rPr>
              <w:t xml:space="preserve">a </w:t>
            </w:r>
            <w:r w:rsidRPr="001A05F4">
              <w:rPr>
                <w:szCs w:val="20"/>
              </w:rPr>
              <w:t>(subgroup analysis)</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rsidR="00C66BE6" w:rsidRPr="001A05F4" w:rsidRDefault="00C66BE6" w:rsidP="00AA4C6F">
            <w:pPr>
              <w:pStyle w:val="TableText0"/>
              <w:spacing w:before="0" w:after="0"/>
              <w:rPr>
                <w:szCs w:val="20"/>
              </w:rPr>
            </w:pPr>
            <w:r w:rsidRPr="001A05F4">
              <w:rPr>
                <w:szCs w:val="20"/>
              </w:rPr>
              <w:t>Ambulant patients</w:t>
            </w:r>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AA4C6F">
            <w:pPr>
              <w:pStyle w:val="TableText0"/>
              <w:spacing w:before="0" w:after="0"/>
              <w:jc w:val="center"/>
              <w:rPr>
                <w:szCs w:val="20"/>
              </w:rPr>
            </w:pPr>
            <w:r w:rsidRPr="001A05F4">
              <w:rPr>
                <w:szCs w:val="20"/>
              </w:rPr>
              <w:t>23</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AA4C6F">
            <w:pPr>
              <w:pStyle w:val="TableText0"/>
              <w:spacing w:before="0" w:after="0"/>
              <w:jc w:val="center"/>
              <w:rPr>
                <w:szCs w:val="20"/>
              </w:rPr>
            </w:pPr>
            <w:r w:rsidRPr="001A05F4">
              <w:rPr>
                <w:szCs w:val="20"/>
              </w:rPr>
              <w:t>NR</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AA4C6F">
            <w:pPr>
              <w:pStyle w:val="TableText0"/>
              <w:spacing w:before="0" w:after="0"/>
              <w:jc w:val="center"/>
              <w:rPr>
                <w:szCs w:val="20"/>
              </w:rPr>
            </w:pPr>
            <w:r w:rsidRPr="001A05F4">
              <w:rPr>
                <w:szCs w:val="20"/>
              </w:rPr>
              <w:t>NR</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AA4C6F">
            <w:pPr>
              <w:pStyle w:val="TableText0"/>
              <w:spacing w:before="0" w:after="0"/>
              <w:jc w:val="center"/>
              <w:rPr>
                <w:szCs w:val="20"/>
              </w:rPr>
            </w:pPr>
            <w:r w:rsidRPr="001A05F4">
              <w:rPr>
                <w:szCs w:val="20"/>
              </w:rPr>
              <w:t>+4.6 (4.4); NR (NR), p&lt;0.0001</w:t>
            </w:r>
          </w:p>
        </w:tc>
      </w:tr>
      <w:tr w:rsidR="00C66BE6" w:rsidRPr="001A05F4" w:rsidTr="00683790">
        <w:tc>
          <w:tcPr>
            <w:tcW w:w="1012" w:type="dxa"/>
            <w:vMerge/>
            <w:tcBorders>
              <w:top w:val="nil"/>
              <w:left w:val="single" w:sz="4" w:space="0" w:color="auto"/>
              <w:bottom w:val="single" w:sz="4" w:space="0" w:color="auto"/>
              <w:right w:val="single" w:sz="4" w:space="0" w:color="auto"/>
            </w:tcBorders>
            <w:shd w:val="clear" w:color="auto" w:fill="auto"/>
            <w:vAlign w:val="center"/>
            <w:hideMark/>
          </w:tcPr>
          <w:p w:rsidR="00C66BE6" w:rsidRPr="001A05F4" w:rsidRDefault="00C66BE6" w:rsidP="00AA4C6F">
            <w:pPr>
              <w:pStyle w:val="TableText0"/>
              <w:spacing w:before="0" w:after="0"/>
              <w:rPr>
                <w:rFonts w:eastAsia="TimesNewRoman" w:cs="Times New Roman"/>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rsidR="00C66BE6" w:rsidRPr="001A05F4" w:rsidRDefault="00C66BE6" w:rsidP="00AA4C6F">
            <w:pPr>
              <w:pStyle w:val="TableText0"/>
              <w:spacing w:before="0" w:after="0"/>
              <w:rPr>
                <w:szCs w:val="20"/>
              </w:rPr>
            </w:pPr>
            <w:r w:rsidRPr="001A05F4">
              <w:rPr>
                <w:szCs w:val="20"/>
              </w:rPr>
              <w:t>Non-ambulant patients</w:t>
            </w:r>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AA4C6F">
            <w:pPr>
              <w:pStyle w:val="TableText0"/>
              <w:spacing w:before="0" w:after="0"/>
              <w:jc w:val="center"/>
              <w:rPr>
                <w:szCs w:val="20"/>
              </w:rPr>
            </w:pPr>
            <w:r w:rsidRPr="001A05F4">
              <w:rPr>
                <w:szCs w:val="20"/>
              </w:rPr>
              <w:t>34</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AA4C6F">
            <w:pPr>
              <w:pStyle w:val="TableText0"/>
              <w:spacing w:before="0" w:after="0"/>
              <w:jc w:val="center"/>
              <w:rPr>
                <w:szCs w:val="20"/>
              </w:rPr>
            </w:pPr>
            <w:r w:rsidRPr="001A05F4">
              <w:rPr>
                <w:szCs w:val="20"/>
              </w:rPr>
              <w:t>NR</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AA4C6F">
            <w:pPr>
              <w:pStyle w:val="TableText0"/>
              <w:spacing w:before="0" w:after="0"/>
              <w:jc w:val="center"/>
              <w:rPr>
                <w:szCs w:val="20"/>
              </w:rPr>
            </w:pPr>
            <w:r w:rsidRPr="001A05F4">
              <w:rPr>
                <w:szCs w:val="20"/>
              </w:rPr>
              <w:t>NR</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AA4C6F">
            <w:pPr>
              <w:pStyle w:val="TableText0"/>
              <w:spacing w:before="0" w:after="0"/>
              <w:jc w:val="center"/>
              <w:rPr>
                <w:szCs w:val="20"/>
              </w:rPr>
            </w:pPr>
            <w:r w:rsidRPr="001A05F4">
              <w:rPr>
                <w:szCs w:val="20"/>
              </w:rPr>
              <w:t>+2.1 (3.4); NR (NR), p&lt;0.0001</w:t>
            </w:r>
          </w:p>
        </w:tc>
      </w:tr>
      <w:tr w:rsidR="00C66BE6" w:rsidRPr="001A05F4" w:rsidTr="00683790">
        <w:tc>
          <w:tcPr>
            <w:tcW w:w="1012" w:type="dxa"/>
            <w:vMerge w:val="restart"/>
            <w:tcBorders>
              <w:top w:val="nil"/>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rPr>
                <w:szCs w:val="20"/>
              </w:rPr>
            </w:pPr>
            <w:r w:rsidRPr="001A05F4">
              <w:rPr>
                <w:szCs w:val="20"/>
              </w:rPr>
              <w:t>Duong 2021</w:t>
            </w:r>
          </w:p>
        </w:tc>
        <w:tc>
          <w:tcPr>
            <w:tcW w:w="1319" w:type="dxa"/>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keepNext w:val="0"/>
              <w:spacing w:before="0" w:after="0"/>
              <w:rPr>
                <w:szCs w:val="20"/>
              </w:rPr>
            </w:pPr>
            <w:r w:rsidRPr="001A05F4">
              <w:rPr>
                <w:szCs w:val="20"/>
              </w:rPr>
              <w:t>Type II + III (All)</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31</w:t>
            </w:r>
          </w:p>
        </w:tc>
        <w:tc>
          <w:tcPr>
            <w:tcW w:w="2079" w:type="dxa"/>
            <w:vMerge w:val="restart"/>
            <w:tcBorders>
              <w:top w:val="single" w:sz="4" w:space="0" w:color="auto"/>
              <w:left w:val="single" w:sz="4" w:space="0" w:color="auto"/>
              <w:bottom w:val="single" w:sz="4" w:space="0" w:color="auto"/>
              <w:right w:val="single" w:sz="4" w:space="0" w:color="auto"/>
            </w:tcBorders>
            <w:vAlign w:val="center"/>
          </w:tcPr>
          <w:p w:rsidR="00C66BE6" w:rsidRPr="001A05F4" w:rsidRDefault="00C66BE6" w:rsidP="00927040">
            <w:pPr>
              <w:pStyle w:val="TableText0"/>
              <w:keepNext w:val="0"/>
              <w:spacing w:before="0" w:after="0"/>
              <w:jc w:val="center"/>
              <w:rPr>
                <w:szCs w:val="20"/>
              </w:rPr>
            </w:pPr>
            <w:r w:rsidRPr="001A05F4">
              <w:rPr>
                <w:szCs w:val="20"/>
              </w:rPr>
              <w:t>33.7 (NR)</w:t>
            </w:r>
          </w:p>
          <w:p w:rsidR="00C66BE6" w:rsidRPr="001A05F4" w:rsidRDefault="00C66BE6" w:rsidP="00927040">
            <w:pPr>
              <w:pStyle w:val="TableText0"/>
              <w:keepNext w:val="0"/>
              <w:spacing w:before="0" w:after="0"/>
              <w:jc w:val="center"/>
              <w:rPr>
                <w:szCs w:val="20"/>
              </w:rPr>
            </w:pPr>
            <w:r w:rsidRPr="001A05F4">
              <w:rPr>
                <w:szCs w:val="20"/>
              </w:rPr>
              <w:t>n=42</w:t>
            </w:r>
          </w:p>
        </w:tc>
        <w:tc>
          <w:tcPr>
            <w:tcW w:w="1426" w:type="dxa"/>
            <w:vMerge w:val="restart"/>
            <w:tcBorders>
              <w:top w:val="single" w:sz="4" w:space="0" w:color="auto"/>
              <w:left w:val="single" w:sz="4" w:space="0" w:color="auto"/>
              <w:bottom w:val="single" w:sz="4" w:space="0" w:color="auto"/>
              <w:right w:val="single" w:sz="4" w:space="0" w:color="auto"/>
            </w:tcBorders>
            <w:vAlign w:val="center"/>
          </w:tcPr>
          <w:p w:rsidR="00C66BE6" w:rsidRPr="001A05F4" w:rsidRDefault="00C66BE6" w:rsidP="00927040">
            <w:pPr>
              <w:pStyle w:val="TableText0"/>
              <w:keepNext w:val="0"/>
              <w:spacing w:before="0" w:after="0"/>
              <w:jc w:val="center"/>
              <w:rPr>
                <w:szCs w:val="20"/>
              </w:rPr>
            </w:pPr>
            <w:r w:rsidRPr="001A05F4">
              <w:rPr>
                <w:szCs w:val="20"/>
              </w:rPr>
              <w:t xml:space="preserve">median 19 </w:t>
            </w:r>
          </w:p>
          <w:p w:rsidR="00C66BE6" w:rsidRPr="001A05F4" w:rsidRDefault="00C66BE6" w:rsidP="00927040">
            <w:pPr>
              <w:pStyle w:val="TableText0"/>
              <w:keepNext w:val="0"/>
              <w:spacing w:before="0" w:after="0"/>
              <w:jc w:val="center"/>
              <w:rPr>
                <w:szCs w:val="20"/>
              </w:rPr>
            </w:pPr>
            <w:r w:rsidRPr="001A05F4">
              <w:rPr>
                <w:szCs w:val="20"/>
              </w:rPr>
              <w:t>(range 0- 60)</w:t>
            </w:r>
          </w:p>
          <w:p w:rsidR="00C66BE6" w:rsidRPr="001A05F4" w:rsidRDefault="00C66BE6" w:rsidP="00927040">
            <w:pPr>
              <w:pStyle w:val="TableText0"/>
              <w:keepNext w:val="0"/>
              <w:spacing w:before="0" w:after="0"/>
              <w:jc w:val="center"/>
              <w:rPr>
                <w:szCs w:val="20"/>
              </w:rPr>
            </w:pPr>
            <w:r w:rsidRPr="001A05F4">
              <w:rPr>
                <w:szCs w:val="20"/>
              </w:rPr>
              <w:t>n=42</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+0.86 (95%CI -0.52 to 2.24); NR (NR)</w:t>
            </w:r>
          </w:p>
        </w:tc>
      </w:tr>
      <w:tr w:rsidR="00C66BE6" w:rsidRPr="001A05F4" w:rsidTr="00683790">
        <w:tc>
          <w:tcPr>
            <w:tcW w:w="1012" w:type="dxa"/>
            <w:vMerge/>
            <w:tcBorders>
              <w:top w:val="nil"/>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rPr>
                <w:rFonts w:eastAsia="TimesNewRoman" w:cs="Times New Roman"/>
                <w:szCs w:val="20"/>
              </w:rPr>
            </w:pPr>
          </w:p>
        </w:tc>
        <w:tc>
          <w:tcPr>
            <w:tcW w:w="1319" w:type="dxa"/>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keepNext w:val="0"/>
              <w:spacing w:before="0" w:after="0"/>
              <w:rPr>
                <w:szCs w:val="20"/>
              </w:rPr>
            </w:pPr>
            <w:r w:rsidRPr="001A05F4">
              <w:rPr>
                <w:szCs w:val="20"/>
              </w:rPr>
              <w:t>Type II</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11</w:t>
            </w: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rFonts w:eastAsia="TimesNewRoman" w:cs="Times New Roman"/>
                <w:szCs w:val="20"/>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rFonts w:eastAsia="TimesNewRoman" w:cs="Times New Roman"/>
                <w:szCs w:val="20"/>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+0.66 (95%CI -1.63 to 2.95); NR (NR)</w:t>
            </w:r>
          </w:p>
        </w:tc>
      </w:tr>
      <w:tr w:rsidR="00C66BE6" w:rsidRPr="001A05F4" w:rsidTr="00683790">
        <w:tc>
          <w:tcPr>
            <w:tcW w:w="1012" w:type="dxa"/>
            <w:vMerge/>
            <w:tcBorders>
              <w:top w:val="nil"/>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rPr>
                <w:rFonts w:eastAsia="TimesNewRoman" w:cs="Times New Roman"/>
                <w:szCs w:val="20"/>
              </w:rPr>
            </w:pPr>
          </w:p>
        </w:tc>
        <w:tc>
          <w:tcPr>
            <w:tcW w:w="1319" w:type="dxa"/>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keepNext w:val="0"/>
              <w:spacing w:before="0" w:after="0"/>
              <w:rPr>
                <w:szCs w:val="20"/>
              </w:rPr>
            </w:pPr>
            <w:r w:rsidRPr="001A05F4">
              <w:rPr>
                <w:szCs w:val="20"/>
              </w:rPr>
              <w:t>Type III</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20</w:t>
            </w: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rFonts w:eastAsia="TimesNewRoman" w:cs="Times New Roman"/>
                <w:szCs w:val="20"/>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rFonts w:eastAsia="TimesNewRoman" w:cs="Times New Roman"/>
                <w:szCs w:val="20"/>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+0.99 (95%CI -0.77 to 2.74); NR (NR)</w:t>
            </w:r>
          </w:p>
        </w:tc>
      </w:tr>
      <w:tr w:rsidR="00C66BE6" w:rsidRPr="001A05F4" w:rsidTr="00683790">
        <w:tc>
          <w:tcPr>
            <w:tcW w:w="1012" w:type="dxa"/>
            <w:vMerge/>
            <w:tcBorders>
              <w:top w:val="nil"/>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rPr>
                <w:rFonts w:eastAsia="TimesNewRoman" w:cs="Times New Roman"/>
                <w:szCs w:val="20"/>
              </w:rPr>
            </w:pPr>
          </w:p>
        </w:tc>
        <w:tc>
          <w:tcPr>
            <w:tcW w:w="1319" w:type="dxa"/>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keepNext w:val="0"/>
              <w:spacing w:before="0" w:after="0"/>
              <w:rPr>
                <w:szCs w:val="20"/>
              </w:rPr>
            </w:pPr>
            <w:r w:rsidRPr="001A05F4">
              <w:rPr>
                <w:szCs w:val="20"/>
              </w:rPr>
              <w:t>Non-sitter</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9</w:t>
            </w: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rFonts w:eastAsia="TimesNewRoman" w:cs="Times New Roman"/>
                <w:szCs w:val="20"/>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rFonts w:eastAsia="TimesNewRoman" w:cs="Times New Roman"/>
                <w:szCs w:val="20"/>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bCs/>
                <w:szCs w:val="20"/>
              </w:rPr>
              <w:t>-0.24</w:t>
            </w:r>
            <w:r w:rsidRPr="001A05F4">
              <w:rPr>
                <w:szCs w:val="20"/>
              </w:rPr>
              <w:t xml:space="preserve"> (95%CI -3.57 to 3.09); NR (NR)</w:t>
            </w:r>
          </w:p>
        </w:tc>
      </w:tr>
      <w:tr w:rsidR="00C66BE6" w:rsidRPr="001A05F4" w:rsidTr="00683790">
        <w:tc>
          <w:tcPr>
            <w:tcW w:w="1012" w:type="dxa"/>
            <w:vMerge/>
            <w:tcBorders>
              <w:top w:val="nil"/>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rPr>
                <w:rFonts w:eastAsia="TimesNewRoman" w:cs="Times New Roman"/>
                <w:szCs w:val="20"/>
              </w:rPr>
            </w:pPr>
          </w:p>
        </w:tc>
        <w:tc>
          <w:tcPr>
            <w:tcW w:w="1319" w:type="dxa"/>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keepNext w:val="0"/>
              <w:spacing w:before="0" w:after="0"/>
              <w:rPr>
                <w:szCs w:val="20"/>
              </w:rPr>
            </w:pPr>
            <w:r w:rsidRPr="001A05F4">
              <w:rPr>
                <w:szCs w:val="20"/>
              </w:rPr>
              <w:t>Sitter</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11</w:t>
            </w: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rFonts w:eastAsia="TimesNewRoman" w:cs="Times New Roman"/>
                <w:szCs w:val="20"/>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rFonts w:eastAsia="TimesNewRoman" w:cs="Times New Roman"/>
                <w:szCs w:val="20"/>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+1.13 (95%CI -1.11 to 3.36); NR (NR)</w:t>
            </w:r>
          </w:p>
        </w:tc>
      </w:tr>
      <w:tr w:rsidR="00C66BE6" w:rsidRPr="001A05F4" w:rsidTr="00683790">
        <w:tc>
          <w:tcPr>
            <w:tcW w:w="1012" w:type="dxa"/>
            <w:vMerge/>
            <w:tcBorders>
              <w:top w:val="nil"/>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rPr>
                <w:rFonts w:eastAsia="TimesNewRoman" w:cs="Times New Roman"/>
                <w:szCs w:val="20"/>
              </w:rPr>
            </w:pPr>
          </w:p>
        </w:tc>
        <w:tc>
          <w:tcPr>
            <w:tcW w:w="1319" w:type="dxa"/>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keepNext w:val="0"/>
              <w:spacing w:before="0" w:after="0"/>
              <w:rPr>
                <w:szCs w:val="20"/>
              </w:rPr>
            </w:pPr>
            <w:r w:rsidRPr="001A05F4">
              <w:rPr>
                <w:szCs w:val="20"/>
              </w:rPr>
              <w:t>Walker</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11</w:t>
            </w: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rFonts w:eastAsia="TimesNewRoman" w:cs="Times New Roman"/>
                <w:szCs w:val="20"/>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rFonts w:eastAsia="TimesNewRoman" w:cs="Times New Roman"/>
                <w:szCs w:val="20"/>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+1.09 (95%CI -1.26 to 3.44); NR (NR)</w:t>
            </w:r>
          </w:p>
        </w:tc>
      </w:tr>
      <w:tr w:rsidR="00C66BE6" w:rsidRPr="001A05F4" w:rsidTr="00683790">
        <w:tc>
          <w:tcPr>
            <w:tcW w:w="101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927040">
            <w:pPr>
              <w:pStyle w:val="TableText0"/>
              <w:keepNext w:val="0"/>
              <w:spacing w:before="0" w:after="0"/>
              <w:rPr>
                <w:szCs w:val="20"/>
                <w:vertAlign w:val="superscript"/>
              </w:rPr>
            </w:pPr>
            <w:r w:rsidRPr="001A05F4">
              <w:rPr>
                <w:szCs w:val="20"/>
              </w:rPr>
              <w:t>Walter 2019</w:t>
            </w:r>
            <w:r w:rsidRPr="001A05F4">
              <w:rPr>
                <w:szCs w:val="20"/>
                <w:vertAlign w:val="superscript"/>
              </w:rPr>
              <w:t>b</w:t>
            </w: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927040">
            <w:pPr>
              <w:pStyle w:val="TableText0"/>
              <w:keepNext w:val="0"/>
              <w:spacing w:before="0" w:after="0"/>
              <w:jc w:val="center"/>
              <w:rPr>
                <w:szCs w:val="20"/>
              </w:rPr>
            </w:pPr>
            <w:r w:rsidRPr="001A05F4">
              <w:rPr>
                <w:szCs w:val="20"/>
              </w:rPr>
              <w:t>Type III (All)</w:t>
            </w:r>
          </w:p>
        </w:tc>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927040">
            <w:pPr>
              <w:pStyle w:val="TableText0"/>
              <w:keepNext w:val="0"/>
              <w:spacing w:before="0" w:after="0"/>
              <w:jc w:val="center"/>
              <w:rPr>
                <w:szCs w:val="20"/>
              </w:rPr>
            </w:pPr>
            <w:r w:rsidRPr="001A05F4">
              <w:rPr>
                <w:szCs w:val="20"/>
              </w:rPr>
              <w:t>19</w:t>
            </w:r>
          </w:p>
        </w:tc>
        <w:tc>
          <w:tcPr>
            <w:tcW w:w="2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927040">
            <w:pPr>
              <w:pStyle w:val="TableText0"/>
              <w:keepNext w:val="0"/>
              <w:spacing w:before="0" w:after="0"/>
              <w:jc w:val="center"/>
              <w:rPr>
                <w:szCs w:val="20"/>
              </w:rPr>
            </w:pPr>
            <w:r w:rsidRPr="001A05F4">
              <w:rPr>
                <w:szCs w:val="20"/>
              </w:rPr>
              <w:t>35.2 (11.7)</w:t>
            </w:r>
          </w:p>
        </w:tc>
        <w:tc>
          <w:tcPr>
            <w:tcW w:w="1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927040">
            <w:pPr>
              <w:pStyle w:val="TableText0"/>
              <w:keepNext w:val="0"/>
              <w:spacing w:before="0" w:after="0"/>
              <w:jc w:val="center"/>
              <w:rPr>
                <w:szCs w:val="20"/>
              </w:rPr>
            </w:pPr>
            <w:r w:rsidRPr="001A05F4">
              <w:rPr>
                <w:szCs w:val="20"/>
              </w:rPr>
              <w:t>35.16 (21.1)</w:t>
            </w:r>
          </w:p>
        </w:tc>
        <w:tc>
          <w:tcPr>
            <w:tcW w:w="2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927040">
            <w:pPr>
              <w:pStyle w:val="TableText0"/>
              <w:keepNext w:val="0"/>
              <w:spacing w:before="0" w:after="0"/>
              <w:jc w:val="center"/>
              <w:rPr>
                <w:szCs w:val="20"/>
              </w:rPr>
            </w:pPr>
            <w:r w:rsidRPr="001A05F4">
              <w:rPr>
                <w:szCs w:val="20"/>
              </w:rPr>
              <w:t>+4.34 (NR); NR (NR) p=0.201</w:t>
            </w:r>
          </w:p>
        </w:tc>
      </w:tr>
      <w:tr w:rsidR="00C66BE6" w:rsidRPr="001A05F4" w:rsidTr="00683790">
        <w:tc>
          <w:tcPr>
            <w:tcW w:w="1012" w:type="dxa"/>
            <w:tcBorders>
              <w:top w:val="nil"/>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rPr>
                <w:szCs w:val="20"/>
                <w:vertAlign w:val="superscript"/>
              </w:rPr>
            </w:pPr>
            <w:r w:rsidRPr="001A05F4">
              <w:rPr>
                <w:szCs w:val="20"/>
              </w:rPr>
              <w:t>De Wel 2020</w:t>
            </w:r>
            <w:r w:rsidRPr="001A05F4">
              <w:rPr>
                <w:szCs w:val="20"/>
                <w:vertAlign w:val="superscript"/>
              </w:rPr>
              <w:t>a</w:t>
            </w:r>
          </w:p>
        </w:tc>
        <w:tc>
          <w:tcPr>
            <w:tcW w:w="131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Type III (n=14) + IV (n=2) (All)</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16</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 xml:space="preserve">Median 37.5 </w:t>
            </w:r>
          </w:p>
          <w:p w:rsidR="00C66BE6" w:rsidRPr="001A05F4" w:rsidRDefault="00C66BE6" w:rsidP="00927040">
            <w:pPr>
              <w:pStyle w:val="TableText0"/>
              <w:keepNext w:val="0"/>
              <w:spacing w:before="0" w:after="0"/>
              <w:jc w:val="center"/>
              <w:rPr>
                <w:szCs w:val="20"/>
              </w:rPr>
            </w:pPr>
            <w:r w:rsidRPr="001A05F4">
              <w:rPr>
                <w:szCs w:val="20"/>
              </w:rPr>
              <w:t>(range 22-66)</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27.3 (19.8)</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+2.1 (NR); NR (NR) p=0.31</w:t>
            </w:r>
          </w:p>
        </w:tc>
      </w:tr>
      <w:tr w:rsidR="00C66BE6" w:rsidRPr="001A05F4" w:rsidTr="00683790">
        <w:tc>
          <w:tcPr>
            <w:tcW w:w="1012" w:type="dxa"/>
            <w:tcBorders>
              <w:top w:val="nil"/>
              <w:left w:val="single" w:sz="4" w:space="0" w:color="auto"/>
              <w:bottom w:val="single" w:sz="4" w:space="0" w:color="auto"/>
              <w:right w:val="single" w:sz="4" w:space="0" w:color="auto"/>
            </w:tcBorders>
            <w:vAlign w:val="center"/>
          </w:tcPr>
          <w:p w:rsidR="00C66BE6" w:rsidRPr="001A05F4" w:rsidRDefault="00C66BE6" w:rsidP="00927040">
            <w:pPr>
              <w:pStyle w:val="TableText0"/>
              <w:keepNext w:val="0"/>
              <w:spacing w:before="0" w:after="0"/>
              <w:rPr>
                <w:szCs w:val="20"/>
                <w:vertAlign w:val="superscript"/>
              </w:rPr>
            </w:pPr>
            <w:r w:rsidRPr="001A05F4">
              <w:rPr>
                <w:szCs w:val="20"/>
              </w:rPr>
              <w:t>Jochmann 2020</w:t>
            </w:r>
            <w:r w:rsidRPr="001A05F4">
              <w:rPr>
                <w:szCs w:val="20"/>
                <w:vertAlign w:val="superscript"/>
              </w:rPr>
              <w:t>b</w:t>
            </w:r>
          </w:p>
        </w:tc>
        <w:tc>
          <w:tcPr>
            <w:tcW w:w="1319" w:type="dxa"/>
            <w:tcBorders>
              <w:top w:val="single" w:sz="4" w:space="0" w:color="auto"/>
              <w:left w:val="single" w:sz="4" w:space="0" w:color="auto"/>
              <w:bottom w:val="single" w:sz="4" w:space="0" w:color="auto"/>
              <w:right w:val="single" w:sz="4" w:space="0" w:color="auto"/>
            </w:tcBorders>
            <w:vAlign w:val="center"/>
          </w:tcPr>
          <w:p w:rsidR="00C66BE6" w:rsidRPr="001A05F4" w:rsidRDefault="00C66BE6" w:rsidP="00927040">
            <w:pPr>
              <w:pStyle w:val="TableText0"/>
              <w:keepNext w:val="0"/>
              <w:spacing w:before="0" w:after="0"/>
              <w:jc w:val="center"/>
              <w:rPr>
                <w:szCs w:val="20"/>
              </w:rPr>
            </w:pPr>
            <w:r w:rsidRPr="001A05F4">
              <w:rPr>
                <w:szCs w:val="20"/>
              </w:rPr>
              <w:t>Type II and III</w:t>
            </w:r>
          </w:p>
        </w:tc>
        <w:tc>
          <w:tcPr>
            <w:tcW w:w="485" w:type="dxa"/>
            <w:tcBorders>
              <w:top w:val="single" w:sz="4" w:space="0" w:color="auto"/>
              <w:left w:val="single" w:sz="4" w:space="0" w:color="auto"/>
              <w:bottom w:val="single" w:sz="4" w:space="0" w:color="auto"/>
              <w:right w:val="single" w:sz="4" w:space="0" w:color="auto"/>
            </w:tcBorders>
            <w:vAlign w:val="center"/>
          </w:tcPr>
          <w:p w:rsidR="00C66BE6" w:rsidRPr="001A05F4" w:rsidRDefault="00C66BE6" w:rsidP="00927040">
            <w:pPr>
              <w:pStyle w:val="TableText0"/>
              <w:keepNext w:val="0"/>
              <w:spacing w:before="0" w:after="0"/>
              <w:jc w:val="center"/>
              <w:rPr>
                <w:szCs w:val="20"/>
              </w:rPr>
            </w:pPr>
            <w:r w:rsidRPr="001A05F4">
              <w:rPr>
                <w:szCs w:val="20"/>
              </w:rPr>
              <w:t>6</w:t>
            </w:r>
          </w:p>
        </w:tc>
        <w:tc>
          <w:tcPr>
            <w:tcW w:w="2079" w:type="dxa"/>
            <w:tcBorders>
              <w:top w:val="single" w:sz="4" w:space="0" w:color="auto"/>
              <w:left w:val="single" w:sz="4" w:space="0" w:color="auto"/>
              <w:bottom w:val="single" w:sz="4" w:space="0" w:color="auto"/>
              <w:right w:val="single" w:sz="4" w:space="0" w:color="auto"/>
            </w:tcBorders>
            <w:vAlign w:val="center"/>
          </w:tcPr>
          <w:p w:rsidR="00C66BE6" w:rsidRPr="001A05F4" w:rsidRDefault="00C66BE6" w:rsidP="00927040">
            <w:pPr>
              <w:pStyle w:val="TableText0"/>
              <w:keepNext w:val="0"/>
              <w:spacing w:before="0" w:after="0"/>
              <w:jc w:val="center"/>
              <w:rPr>
                <w:szCs w:val="20"/>
                <w:vertAlign w:val="superscript"/>
              </w:rPr>
            </w:pPr>
            <w:r w:rsidRPr="001A05F4">
              <w:rPr>
                <w:szCs w:val="20"/>
              </w:rPr>
              <w:t>41.2, N=7</w:t>
            </w:r>
            <w:r w:rsidR="004651D1" w:rsidRPr="001A05F4">
              <w:rPr>
                <w:szCs w:val="20"/>
                <w:vertAlign w:val="superscript"/>
              </w:rPr>
              <w:t>*</w:t>
            </w:r>
          </w:p>
        </w:tc>
        <w:tc>
          <w:tcPr>
            <w:tcW w:w="1426" w:type="dxa"/>
            <w:tcBorders>
              <w:top w:val="single" w:sz="4" w:space="0" w:color="auto"/>
              <w:left w:val="single" w:sz="4" w:space="0" w:color="auto"/>
              <w:bottom w:val="single" w:sz="4" w:space="0" w:color="auto"/>
              <w:right w:val="single" w:sz="4" w:space="0" w:color="auto"/>
            </w:tcBorders>
            <w:vAlign w:val="center"/>
          </w:tcPr>
          <w:p w:rsidR="00C66BE6" w:rsidRPr="001A05F4" w:rsidRDefault="00C66BE6" w:rsidP="00927040">
            <w:pPr>
              <w:pStyle w:val="TableText0"/>
              <w:keepNext w:val="0"/>
              <w:spacing w:before="0" w:after="0"/>
              <w:jc w:val="center"/>
              <w:rPr>
                <w:szCs w:val="20"/>
              </w:rPr>
            </w:pPr>
            <w:r w:rsidRPr="001A05F4">
              <w:rPr>
                <w:szCs w:val="20"/>
              </w:rPr>
              <w:t>13.9 (NR)</w:t>
            </w:r>
            <w:r w:rsidR="004651D1" w:rsidRPr="001A05F4">
              <w:rPr>
                <w:szCs w:val="20"/>
              </w:rPr>
              <w:t>*</w:t>
            </w:r>
          </w:p>
        </w:tc>
        <w:tc>
          <w:tcPr>
            <w:tcW w:w="2696" w:type="dxa"/>
            <w:tcBorders>
              <w:top w:val="single" w:sz="4" w:space="0" w:color="auto"/>
              <w:left w:val="single" w:sz="4" w:space="0" w:color="auto"/>
              <w:bottom w:val="single" w:sz="4" w:space="0" w:color="auto"/>
              <w:right w:val="single" w:sz="4" w:space="0" w:color="auto"/>
            </w:tcBorders>
            <w:vAlign w:val="center"/>
          </w:tcPr>
          <w:p w:rsidR="00C66BE6" w:rsidRPr="001A05F4" w:rsidRDefault="00C66BE6" w:rsidP="00927040">
            <w:pPr>
              <w:pStyle w:val="TableText0"/>
              <w:keepNext w:val="0"/>
              <w:spacing w:before="0" w:after="0"/>
              <w:jc w:val="center"/>
              <w:rPr>
                <w:szCs w:val="20"/>
              </w:rPr>
            </w:pPr>
            <w:r w:rsidRPr="001A05F4">
              <w:rPr>
                <w:szCs w:val="20"/>
              </w:rPr>
              <w:t>+5 (6.5); NR (NR)</w:t>
            </w:r>
          </w:p>
        </w:tc>
      </w:tr>
      <w:tr w:rsidR="00C66BE6" w:rsidRPr="001A05F4" w:rsidTr="00683790">
        <w:tc>
          <w:tcPr>
            <w:tcW w:w="1012" w:type="dxa"/>
            <w:tcBorders>
              <w:top w:val="nil"/>
              <w:left w:val="single" w:sz="4" w:space="0" w:color="auto"/>
              <w:bottom w:val="single" w:sz="4" w:space="0" w:color="auto"/>
              <w:right w:val="single" w:sz="4" w:space="0" w:color="auto"/>
            </w:tcBorders>
            <w:vAlign w:val="center"/>
          </w:tcPr>
          <w:p w:rsidR="00C66BE6" w:rsidRPr="001A05F4" w:rsidRDefault="00C66BE6" w:rsidP="00927040">
            <w:pPr>
              <w:pStyle w:val="TableText0"/>
              <w:keepNext w:val="0"/>
              <w:spacing w:before="0" w:after="0"/>
              <w:rPr>
                <w:szCs w:val="20"/>
                <w:vertAlign w:val="superscript"/>
              </w:rPr>
            </w:pPr>
            <w:r w:rsidRPr="001A05F4">
              <w:rPr>
                <w:szCs w:val="20"/>
              </w:rPr>
              <w:t>Yeo 2020</w:t>
            </w:r>
            <w:r w:rsidRPr="001A05F4">
              <w:rPr>
                <w:szCs w:val="20"/>
                <w:vertAlign w:val="superscript"/>
              </w:rPr>
              <w:t>a</w:t>
            </w:r>
          </w:p>
        </w:tc>
        <w:tc>
          <w:tcPr>
            <w:tcW w:w="1319" w:type="dxa"/>
            <w:tcBorders>
              <w:top w:val="single" w:sz="4" w:space="0" w:color="auto"/>
              <w:left w:val="single" w:sz="4" w:space="0" w:color="auto"/>
              <w:bottom w:val="single" w:sz="4" w:space="0" w:color="auto"/>
              <w:right w:val="single" w:sz="4" w:space="0" w:color="auto"/>
            </w:tcBorders>
            <w:vAlign w:val="center"/>
          </w:tcPr>
          <w:p w:rsidR="00C66BE6" w:rsidRPr="001A05F4" w:rsidRDefault="00C66BE6" w:rsidP="00927040">
            <w:pPr>
              <w:pStyle w:val="TableText0"/>
              <w:keepNext w:val="0"/>
              <w:spacing w:before="0" w:after="0"/>
              <w:jc w:val="center"/>
              <w:rPr>
                <w:szCs w:val="20"/>
              </w:rPr>
            </w:pPr>
            <w:r w:rsidRPr="001A05F4">
              <w:rPr>
                <w:szCs w:val="20"/>
              </w:rPr>
              <w:t>Type III</w:t>
            </w:r>
          </w:p>
        </w:tc>
        <w:tc>
          <w:tcPr>
            <w:tcW w:w="485" w:type="dxa"/>
            <w:tcBorders>
              <w:top w:val="single" w:sz="4" w:space="0" w:color="auto"/>
              <w:left w:val="single" w:sz="4" w:space="0" w:color="auto"/>
              <w:bottom w:val="single" w:sz="4" w:space="0" w:color="auto"/>
              <w:right w:val="single" w:sz="4" w:space="0" w:color="auto"/>
            </w:tcBorders>
            <w:vAlign w:val="center"/>
          </w:tcPr>
          <w:p w:rsidR="00C66BE6" w:rsidRPr="001A05F4" w:rsidRDefault="00C66BE6" w:rsidP="00927040">
            <w:pPr>
              <w:pStyle w:val="TableText0"/>
              <w:keepNext w:val="0"/>
              <w:spacing w:before="0" w:after="0"/>
              <w:jc w:val="center"/>
              <w:rPr>
                <w:szCs w:val="20"/>
              </w:rPr>
            </w:pPr>
            <w:r w:rsidRPr="001A05F4">
              <w:rPr>
                <w:szCs w:val="20"/>
              </w:rPr>
              <w:t>6</w:t>
            </w:r>
          </w:p>
        </w:tc>
        <w:tc>
          <w:tcPr>
            <w:tcW w:w="2079" w:type="dxa"/>
            <w:tcBorders>
              <w:top w:val="single" w:sz="4" w:space="0" w:color="auto"/>
              <w:left w:val="single" w:sz="4" w:space="0" w:color="auto"/>
              <w:bottom w:val="single" w:sz="4" w:space="0" w:color="auto"/>
              <w:right w:val="single" w:sz="4" w:space="0" w:color="auto"/>
            </w:tcBorders>
            <w:vAlign w:val="center"/>
          </w:tcPr>
          <w:p w:rsidR="00C66BE6" w:rsidRPr="001A05F4" w:rsidRDefault="00C66BE6" w:rsidP="00927040">
            <w:pPr>
              <w:pStyle w:val="TableText0"/>
              <w:keepNext w:val="0"/>
              <w:spacing w:before="0" w:after="0"/>
              <w:jc w:val="center"/>
              <w:rPr>
                <w:szCs w:val="20"/>
              </w:rPr>
            </w:pPr>
            <w:r w:rsidRPr="001A05F4">
              <w:rPr>
                <w:szCs w:val="20"/>
              </w:rPr>
              <w:t xml:space="preserve">Median 29.9 </w:t>
            </w:r>
          </w:p>
          <w:p w:rsidR="00C66BE6" w:rsidRPr="001A05F4" w:rsidRDefault="00C66BE6" w:rsidP="00927040">
            <w:pPr>
              <w:pStyle w:val="TableText0"/>
              <w:keepNext w:val="0"/>
              <w:spacing w:before="0" w:after="0"/>
              <w:jc w:val="center"/>
              <w:rPr>
                <w:szCs w:val="20"/>
              </w:rPr>
            </w:pPr>
            <w:r w:rsidRPr="001A05F4">
              <w:rPr>
                <w:szCs w:val="20"/>
              </w:rPr>
              <w:t>(range 24.9-65.5)</w:t>
            </w:r>
          </w:p>
        </w:tc>
        <w:tc>
          <w:tcPr>
            <w:tcW w:w="1426" w:type="dxa"/>
            <w:tcBorders>
              <w:top w:val="single" w:sz="4" w:space="0" w:color="auto"/>
              <w:left w:val="single" w:sz="4" w:space="0" w:color="auto"/>
              <w:bottom w:val="single" w:sz="4" w:space="0" w:color="auto"/>
              <w:right w:val="single" w:sz="4" w:space="0" w:color="auto"/>
            </w:tcBorders>
            <w:vAlign w:val="center"/>
          </w:tcPr>
          <w:p w:rsidR="00C66BE6" w:rsidRPr="001A05F4" w:rsidRDefault="00C66BE6" w:rsidP="00927040">
            <w:pPr>
              <w:pStyle w:val="TableText0"/>
              <w:keepNext w:val="0"/>
              <w:spacing w:before="0" w:after="0"/>
              <w:jc w:val="center"/>
              <w:rPr>
                <w:szCs w:val="20"/>
              </w:rPr>
            </w:pPr>
            <w:r w:rsidRPr="001A05F4">
              <w:rPr>
                <w:szCs w:val="20"/>
              </w:rPr>
              <w:t xml:space="preserve">Median 35 </w:t>
            </w:r>
          </w:p>
          <w:p w:rsidR="00C66BE6" w:rsidRPr="001A05F4" w:rsidRDefault="00C66BE6" w:rsidP="00927040">
            <w:pPr>
              <w:pStyle w:val="TableText0"/>
              <w:keepNext w:val="0"/>
              <w:spacing w:before="0" w:after="0"/>
              <w:jc w:val="center"/>
              <w:rPr>
                <w:szCs w:val="20"/>
              </w:rPr>
            </w:pPr>
            <w:r w:rsidRPr="001A05F4">
              <w:rPr>
                <w:szCs w:val="20"/>
              </w:rPr>
              <w:t>(range 21, 53)</w:t>
            </w:r>
          </w:p>
        </w:tc>
        <w:tc>
          <w:tcPr>
            <w:tcW w:w="2696" w:type="dxa"/>
            <w:tcBorders>
              <w:top w:val="single" w:sz="4" w:space="0" w:color="auto"/>
              <w:left w:val="single" w:sz="4" w:space="0" w:color="auto"/>
              <w:bottom w:val="single" w:sz="4" w:space="0" w:color="auto"/>
              <w:right w:val="single" w:sz="4" w:space="0" w:color="auto"/>
            </w:tcBorders>
            <w:vAlign w:val="center"/>
          </w:tcPr>
          <w:p w:rsidR="00C66BE6" w:rsidRPr="001A05F4" w:rsidRDefault="00C66BE6" w:rsidP="00927040">
            <w:pPr>
              <w:pStyle w:val="TableText0"/>
              <w:keepNext w:val="0"/>
              <w:spacing w:before="0" w:after="0"/>
              <w:jc w:val="center"/>
              <w:rPr>
                <w:szCs w:val="20"/>
              </w:rPr>
            </w:pPr>
            <w:r w:rsidRPr="001A05F4">
              <w:rPr>
                <w:szCs w:val="20"/>
              </w:rPr>
              <w:t>+2 (NR); NR (1 to 5)</w:t>
            </w:r>
          </w:p>
        </w:tc>
      </w:tr>
      <w:tr w:rsidR="00C66BE6" w:rsidRPr="001A05F4" w:rsidTr="00683790">
        <w:tc>
          <w:tcPr>
            <w:tcW w:w="9017" w:type="dxa"/>
            <w:gridSpan w:val="6"/>
            <w:tcBorders>
              <w:top w:val="single" w:sz="4" w:space="0" w:color="auto"/>
              <w:left w:val="single" w:sz="4" w:space="0" w:color="auto"/>
              <w:bottom w:val="single" w:sz="4" w:space="0" w:color="auto"/>
              <w:right w:val="single" w:sz="4" w:space="0" w:color="auto"/>
            </w:tcBorders>
            <w:shd w:val="clear" w:color="auto" w:fill="auto"/>
            <w:hideMark/>
          </w:tcPr>
          <w:p w:rsidR="00C66BE6" w:rsidRPr="001A05F4" w:rsidRDefault="00C66BE6" w:rsidP="00927040">
            <w:pPr>
              <w:pStyle w:val="TableText0"/>
              <w:keepNext w:val="0"/>
              <w:spacing w:before="0" w:after="0"/>
              <w:rPr>
                <w:b/>
                <w:bCs/>
                <w:szCs w:val="20"/>
              </w:rPr>
            </w:pPr>
            <w:r w:rsidRPr="001A05F4">
              <w:rPr>
                <w:b/>
                <w:bCs/>
                <w:szCs w:val="20"/>
              </w:rPr>
              <w:t>Natural history studies</w:t>
            </w:r>
          </w:p>
        </w:tc>
      </w:tr>
      <w:tr w:rsidR="00C66BE6" w:rsidRPr="001A05F4" w:rsidTr="00683790">
        <w:tc>
          <w:tcPr>
            <w:tcW w:w="101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C66BE6" w:rsidRPr="001A05F4" w:rsidRDefault="00C66BE6" w:rsidP="00927040">
            <w:pPr>
              <w:pStyle w:val="TableText0"/>
              <w:keepNext w:val="0"/>
              <w:spacing w:before="0" w:after="0"/>
              <w:rPr>
                <w:szCs w:val="20"/>
              </w:rPr>
            </w:pPr>
            <w:r w:rsidRPr="001A05F4">
              <w:rPr>
                <w:szCs w:val="20"/>
              </w:rPr>
              <w:t>Mercuri 2016</w:t>
            </w: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927040">
            <w:pPr>
              <w:pStyle w:val="TableText0"/>
              <w:keepNext w:val="0"/>
              <w:spacing w:before="0" w:after="0"/>
              <w:rPr>
                <w:szCs w:val="20"/>
              </w:rPr>
            </w:pPr>
            <w:r w:rsidRPr="001A05F4">
              <w:rPr>
                <w:szCs w:val="20"/>
              </w:rPr>
              <w:t>Type II</w:t>
            </w:r>
          </w:p>
        </w:tc>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927040">
            <w:pPr>
              <w:pStyle w:val="TableText0"/>
              <w:keepNext w:val="0"/>
              <w:spacing w:before="0" w:after="0"/>
              <w:jc w:val="center"/>
              <w:rPr>
                <w:szCs w:val="20"/>
              </w:rPr>
            </w:pPr>
            <w:r w:rsidRPr="001A05F4">
              <w:rPr>
                <w:szCs w:val="20"/>
              </w:rPr>
              <w:t>17</w:t>
            </w:r>
          </w:p>
        </w:tc>
        <w:tc>
          <w:tcPr>
            <w:tcW w:w="2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927040">
            <w:pPr>
              <w:pStyle w:val="TableText0"/>
              <w:keepNext w:val="0"/>
              <w:spacing w:before="0" w:after="0"/>
              <w:jc w:val="center"/>
              <w:rPr>
                <w:szCs w:val="20"/>
              </w:rPr>
            </w:pPr>
            <w:r w:rsidRPr="001A05F4">
              <w:rPr>
                <w:szCs w:val="20"/>
              </w:rPr>
              <w:t>26.6 (7.5)</w:t>
            </w:r>
          </w:p>
        </w:tc>
        <w:tc>
          <w:tcPr>
            <w:tcW w:w="1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927040">
            <w:pPr>
              <w:pStyle w:val="TableText0"/>
              <w:keepNext w:val="0"/>
              <w:spacing w:before="0" w:after="0"/>
              <w:jc w:val="center"/>
              <w:rPr>
                <w:szCs w:val="20"/>
              </w:rPr>
            </w:pPr>
            <w:r w:rsidRPr="001A05F4">
              <w:rPr>
                <w:szCs w:val="20"/>
              </w:rPr>
              <w:t>4.84</w:t>
            </w:r>
          </w:p>
        </w:tc>
        <w:tc>
          <w:tcPr>
            <w:tcW w:w="2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927040">
            <w:pPr>
              <w:pStyle w:val="TableText0"/>
              <w:keepNext w:val="0"/>
              <w:spacing w:before="0" w:after="0"/>
              <w:jc w:val="center"/>
              <w:rPr>
                <w:szCs w:val="20"/>
              </w:rPr>
            </w:pPr>
            <w:r w:rsidRPr="001A05F4">
              <w:rPr>
                <w:szCs w:val="20"/>
              </w:rPr>
              <w:t>-0.059</w:t>
            </w:r>
            <w:r w:rsidRPr="001A05F4">
              <w:rPr>
                <w:szCs w:val="20"/>
                <w:vertAlign w:val="superscript"/>
              </w:rPr>
              <w:t xml:space="preserve">c </w:t>
            </w:r>
            <w:r w:rsidRPr="001A05F4">
              <w:rPr>
                <w:szCs w:val="20"/>
              </w:rPr>
              <w:t>(NR); NR (NR)</w:t>
            </w:r>
          </w:p>
        </w:tc>
      </w:tr>
      <w:tr w:rsidR="00C66BE6" w:rsidRPr="001A05F4" w:rsidTr="00683790">
        <w:tc>
          <w:tcPr>
            <w:tcW w:w="1012" w:type="dxa"/>
            <w:vMerge/>
            <w:tcBorders>
              <w:left w:val="single" w:sz="4" w:space="0" w:color="auto"/>
              <w:bottom w:val="nil"/>
              <w:right w:val="single" w:sz="4" w:space="0" w:color="auto"/>
            </w:tcBorders>
            <w:shd w:val="clear" w:color="auto" w:fill="D9D9D9" w:themeFill="background1" w:themeFillShade="D9"/>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927040">
            <w:pPr>
              <w:pStyle w:val="TableText0"/>
              <w:keepNext w:val="0"/>
              <w:spacing w:before="0" w:after="0"/>
              <w:rPr>
                <w:szCs w:val="20"/>
              </w:rPr>
            </w:pPr>
            <w:r w:rsidRPr="001A05F4">
              <w:rPr>
                <w:szCs w:val="20"/>
              </w:rPr>
              <w:t>Type III</w:t>
            </w:r>
            <w:r w:rsidRPr="001A05F4">
              <w:rPr>
                <w:szCs w:val="20"/>
                <w:vertAlign w:val="superscript"/>
              </w:rPr>
              <w:t>c</w:t>
            </w:r>
          </w:p>
        </w:tc>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927040">
            <w:pPr>
              <w:pStyle w:val="TableText0"/>
              <w:keepNext w:val="0"/>
              <w:spacing w:before="0" w:after="0"/>
              <w:jc w:val="center"/>
              <w:rPr>
                <w:szCs w:val="20"/>
              </w:rPr>
            </w:pPr>
            <w:r w:rsidRPr="001A05F4">
              <w:rPr>
                <w:szCs w:val="20"/>
              </w:rPr>
              <w:t>12</w:t>
            </w:r>
          </w:p>
        </w:tc>
        <w:tc>
          <w:tcPr>
            <w:tcW w:w="2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927040">
            <w:pPr>
              <w:pStyle w:val="TableText0"/>
              <w:keepNext w:val="0"/>
              <w:spacing w:before="0" w:after="0"/>
              <w:jc w:val="center"/>
              <w:rPr>
                <w:szCs w:val="20"/>
              </w:rPr>
            </w:pPr>
            <w:r w:rsidRPr="001A05F4">
              <w:rPr>
                <w:szCs w:val="20"/>
              </w:rPr>
              <w:t>29.4 (12.9)</w:t>
            </w:r>
          </w:p>
        </w:tc>
        <w:tc>
          <w:tcPr>
            <w:tcW w:w="1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927040">
            <w:pPr>
              <w:pStyle w:val="TableText0"/>
              <w:keepNext w:val="0"/>
              <w:spacing w:before="0" w:after="0"/>
              <w:jc w:val="center"/>
              <w:rPr>
                <w:szCs w:val="20"/>
              </w:rPr>
            </w:pPr>
            <w:r w:rsidRPr="001A05F4">
              <w:rPr>
                <w:szCs w:val="20"/>
              </w:rPr>
              <w:t>55.2</w:t>
            </w:r>
          </w:p>
        </w:tc>
        <w:tc>
          <w:tcPr>
            <w:tcW w:w="2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6BE6" w:rsidRPr="001A05F4" w:rsidRDefault="00C66BE6" w:rsidP="00927040">
            <w:pPr>
              <w:pStyle w:val="TableText0"/>
              <w:keepNext w:val="0"/>
              <w:spacing w:before="0" w:after="0"/>
              <w:jc w:val="center"/>
              <w:rPr>
                <w:szCs w:val="20"/>
              </w:rPr>
            </w:pPr>
            <w:r w:rsidRPr="001A05F4">
              <w:rPr>
                <w:szCs w:val="20"/>
              </w:rPr>
              <w:t>-0.17</w:t>
            </w:r>
            <w:r w:rsidRPr="001A05F4">
              <w:rPr>
                <w:szCs w:val="20"/>
                <w:vertAlign w:val="superscript"/>
              </w:rPr>
              <w:t xml:space="preserve">c </w:t>
            </w:r>
            <w:r w:rsidRPr="001A05F4">
              <w:rPr>
                <w:szCs w:val="20"/>
              </w:rPr>
              <w:t>(NR); NR (NR)</w:t>
            </w:r>
          </w:p>
        </w:tc>
      </w:tr>
      <w:tr w:rsidR="00C66BE6" w:rsidRPr="001A05F4" w:rsidTr="00683790">
        <w:tc>
          <w:tcPr>
            <w:tcW w:w="1012" w:type="dxa"/>
            <w:vMerge w:val="restart"/>
            <w:tcBorders>
              <w:top w:val="single" w:sz="4" w:space="0" w:color="auto"/>
              <w:left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rPr>
                <w:szCs w:val="20"/>
              </w:rPr>
            </w:pPr>
            <w:r w:rsidRPr="001A05F4">
              <w:rPr>
                <w:szCs w:val="20"/>
              </w:rPr>
              <w:t>Wadman 2018</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rPr>
                <w:szCs w:val="20"/>
              </w:rPr>
            </w:pPr>
            <w:r w:rsidRPr="001A05F4">
              <w:rPr>
                <w:szCs w:val="20"/>
              </w:rPr>
              <w:t>Type IIa</w:t>
            </w:r>
          </w:p>
        </w:tc>
        <w:tc>
          <w:tcPr>
            <w:tcW w:w="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44</w:t>
            </w:r>
            <w:r w:rsidRPr="001A05F4">
              <w:rPr>
                <w:szCs w:val="20"/>
                <w:vertAlign w:val="superscript"/>
              </w:rPr>
              <w:t>e</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15-30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1.93</w:t>
            </w:r>
            <w:r w:rsidRPr="001A05F4">
              <w:rPr>
                <w:szCs w:val="20"/>
                <w:vertAlign w:val="superscript"/>
              </w:rPr>
              <w:t xml:space="preserve"> d</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-0.129 (NR); NR (NR)</w:t>
            </w:r>
          </w:p>
        </w:tc>
      </w:tr>
      <w:tr w:rsidR="00C66BE6" w:rsidRPr="001A05F4" w:rsidTr="00683790">
        <w:tc>
          <w:tcPr>
            <w:tcW w:w="1012" w:type="dxa"/>
            <w:vMerge/>
            <w:tcBorders>
              <w:left w:val="single" w:sz="4" w:space="0" w:color="auto"/>
              <w:right w:val="single" w:sz="4" w:space="0" w:color="auto"/>
            </w:tcBorders>
            <w:shd w:val="clear" w:color="auto" w:fill="auto"/>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0"/>
              <w:keepNext w:val="0"/>
              <w:spacing w:before="0" w:after="0"/>
              <w:rPr>
                <w:szCs w:val="20"/>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rFonts w:eastAsia="TimesNewRoman" w:cs="Times New Roman"/>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30+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0.00</w:t>
            </w:r>
            <w:r w:rsidRPr="001A05F4">
              <w:rPr>
                <w:szCs w:val="20"/>
                <w:vertAlign w:val="superscript"/>
              </w:rPr>
              <w:t xml:space="preserve"> d</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0.000</w:t>
            </w:r>
            <w:r w:rsidRPr="001A05F4">
              <w:rPr>
                <w:szCs w:val="20"/>
                <w:vertAlign w:val="superscript"/>
              </w:rPr>
              <w:t xml:space="preserve">f </w:t>
            </w:r>
            <w:r w:rsidRPr="001A05F4">
              <w:rPr>
                <w:szCs w:val="20"/>
              </w:rPr>
              <w:t>(NR); NR (NR)</w:t>
            </w:r>
          </w:p>
        </w:tc>
      </w:tr>
      <w:tr w:rsidR="00C66BE6" w:rsidRPr="001A05F4" w:rsidTr="00683790">
        <w:tc>
          <w:tcPr>
            <w:tcW w:w="1012" w:type="dxa"/>
            <w:vMerge/>
            <w:tcBorders>
              <w:left w:val="single" w:sz="4" w:space="0" w:color="auto"/>
              <w:right w:val="single" w:sz="4" w:space="0" w:color="auto"/>
            </w:tcBorders>
            <w:shd w:val="clear" w:color="auto" w:fill="auto"/>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rPr>
                <w:szCs w:val="20"/>
              </w:rPr>
            </w:pPr>
            <w:r w:rsidRPr="001A05F4">
              <w:rPr>
                <w:szCs w:val="20"/>
              </w:rPr>
              <w:t>Type IIb</w:t>
            </w:r>
          </w:p>
        </w:tc>
        <w:tc>
          <w:tcPr>
            <w:tcW w:w="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36</w:t>
            </w:r>
            <w:r w:rsidRPr="001A05F4">
              <w:rPr>
                <w:szCs w:val="20"/>
                <w:vertAlign w:val="superscript"/>
              </w:rPr>
              <w:t>e</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15-30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6.09</w:t>
            </w:r>
            <w:r w:rsidRPr="001A05F4">
              <w:rPr>
                <w:szCs w:val="20"/>
                <w:vertAlign w:val="superscript"/>
              </w:rPr>
              <w:t xml:space="preserve"> d</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-0.030 (NR); NR (NR)</w:t>
            </w:r>
          </w:p>
        </w:tc>
      </w:tr>
      <w:tr w:rsidR="00C66BE6" w:rsidRPr="001A05F4" w:rsidTr="00683790">
        <w:tc>
          <w:tcPr>
            <w:tcW w:w="1012" w:type="dxa"/>
            <w:vMerge/>
            <w:tcBorders>
              <w:left w:val="single" w:sz="4" w:space="0" w:color="auto"/>
              <w:right w:val="single" w:sz="4" w:space="0" w:color="auto"/>
            </w:tcBorders>
            <w:shd w:val="clear" w:color="auto" w:fill="auto"/>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0"/>
              <w:keepNext w:val="0"/>
              <w:spacing w:before="0" w:after="0"/>
              <w:rPr>
                <w:szCs w:val="20"/>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rFonts w:eastAsia="TimesNewRoman" w:cs="Times New Roman"/>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30+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NR</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-0.165 (NR); NR (NR)</w:t>
            </w:r>
          </w:p>
        </w:tc>
      </w:tr>
      <w:tr w:rsidR="00C66BE6" w:rsidRPr="001A05F4" w:rsidTr="00683790">
        <w:tc>
          <w:tcPr>
            <w:tcW w:w="1012" w:type="dxa"/>
            <w:vMerge/>
            <w:tcBorders>
              <w:left w:val="single" w:sz="4" w:space="0" w:color="auto"/>
              <w:right w:val="single" w:sz="4" w:space="0" w:color="auto"/>
            </w:tcBorders>
            <w:shd w:val="clear" w:color="auto" w:fill="auto"/>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rPr>
                <w:szCs w:val="20"/>
              </w:rPr>
            </w:pPr>
            <w:r w:rsidRPr="001A05F4">
              <w:rPr>
                <w:szCs w:val="20"/>
              </w:rPr>
              <w:t>Type IIIa</w:t>
            </w:r>
          </w:p>
        </w:tc>
        <w:tc>
          <w:tcPr>
            <w:tcW w:w="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40</w:t>
            </w:r>
            <w:r w:rsidRPr="001A05F4">
              <w:rPr>
                <w:szCs w:val="20"/>
                <w:vertAlign w:val="superscript"/>
              </w:rPr>
              <w:t>e</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15-30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30.74</w:t>
            </w:r>
            <w:r w:rsidRPr="001A05F4">
              <w:rPr>
                <w:szCs w:val="20"/>
                <w:vertAlign w:val="superscript"/>
              </w:rPr>
              <w:t xml:space="preserve"> d</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-1.643 (NR); NR (NR)</w:t>
            </w:r>
          </w:p>
        </w:tc>
      </w:tr>
      <w:tr w:rsidR="00C66BE6" w:rsidRPr="001A05F4" w:rsidTr="00683790">
        <w:tc>
          <w:tcPr>
            <w:tcW w:w="1012" w:type="dxa"/>
            <w:vMerge/>
            <w:tcBorders>
              <w:left w:val="single" w:sz="4" w:space="0" w:color="auto"/>
              <w:right w:val="single" w:sz="4" w:space="0" w:color="auto"/>
            </w:tcBorders>
            <w:shd w:val="clear" w:color="auto" w:fill="auto"/>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0"/>
              <w:keepNext w:val="0"/>
              <w:spacing w:before="0" w:after="0"/>
              <w:rPr>
                <w:szCs w:val="20"/>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rFonts w:eastAsia="TimesNewRoman" w:cs="Times New Roman"/>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30+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NR</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-0.085 (NR); NR (NR)</w:t>
            </w:r>
          </w:p>
        </w:tc>
      </w:tr>
      <w:tr w:rsidR="00C66BE6" w:rsidRPr="001A05F4" w:rsidTr="00683790">
        <w:tc>
          <w:tcPr>
            <w:tcW w:w="1012" w:type="dxa"/>
            <w:vMerge/>
            <w:tcBorders>
              <w:left w:val="single" w:sz="4" w:space="0" w:color="auto"/>
              <w:right w:val="single" w:sz="4" w:space="0" w:color="auto"/>
            </w:tcBorders>
            <w:shd w:val="clear" w:color="auto" w:fill="auto"/>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rPr>
                <w:szCs w:val="20"/>
              </w:rPr>
            </w:pPr>
            <w:r w:rsidRPr="001A05F4">
              <w:rPr>
                <w:szCs w:val="20"/>
              </w:rPr>
              <w:t>Type IIIb</w:t>
            </w:r>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36</w:t>
            </w:r>
            <w:r w:rsidRPr="001A05F4">
              <w:rPr>
                <w:szCs w:val="20"/>
                <w:vertAlign w:val="superscript"/>
              </w:rPr>
              <w:t>e</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15-30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64.9</w:t>
            </w:r>
            <w:r w:rsidRPr="001A05F4">
              <w:rPr>
                <w:szCs w:val="20"/>
                <w:vertAlign w:val="superscript"/>
              </w:rPr>
              <w:t xml:space="preserve"> d</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-1.178 (NR); NR (NR)</w:t>
            </w:r>
          </w:p>
        </w:tc>
      </w:tr>
      <w:tr w:rsidR="00C66BE6" w:rsidRPr="001A05F4" w:rsidTr="00683790">
        <w:tc>
          <w:tcPr>
            <w:tcW w:w="1012" w:type="dxa"/>
            <w:vMerge/>
            <w:tcBorders>
              <w:left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0"/>
              <w:keepNext w:val="0"/>
              <w:spacing w:before="0" w:after="0"/>
              <w:rPr>
                <w:szCs w:val="20"/>
              </w:rPr>
            </w:pPr>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0"/>
              <w:keepNext w:val="0"/>
              <w:spacing w:before="0" w:after="0"/>
              <w:jc w:val="center"/>
              <w:rPr>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30+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NR</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BE6" w:rsidRPr="001A05F4" w:rsidRDefault="00C66BE6" w:rsidP="00927040">
            <w:pPr>
              <w:pStyle w:val="TableText0"/>
              <w:keepNext w:val="0"/>
              <w:spacing w:before="0" w:after="0"/>
              <w:jc w:val="center"/>
              <w:rPr>
                <w:szCs w:val="20"/>
              </w:rPr>
            </w:pPr>
            <w:r w:rsidRPr="001A05F4">
              <w:rPr>
                <w:szCs w:val="20"/>
              </w:rPr>
              <w:t>-0.940 (NR); NR (NR)</w:t>
            </w:r>
          </w:p>
        </w:tc>
      </w:tr>
      <w:tr w:rsidR="00C66BE6" w:rsidRPr="001A05F4" w:rsidTr="00683790">
        <w:tc>
          <w:tcPr>
            <w:tcW w:w="1012" w:type="dxa"/>
            <w:vMerge w:val="restart"/>
            <w:tcBorders>
              <w:top w:val="single" w:sz="4" w:space="0" w:color="auto"/>
              <w:left w:val="single" w:sz="4" w:space="0" w:color="auto"/>
              <w:right w:val="single" w:sz="4" w:space="0" w:color="auto"/>
            </w:tcBorders>
            <w:vAlign w:val="center"/>
            <w:hideMark/>
          </w:tcPr>
          <w:p w:rsidR="00C66BE6" w:rsidRPr="001A05F4" w:rsidRDefault="00C66BE6" w:rsidP="00927040">
            <w:pPr>
              <w:pStyle w:val="TableText0"/>
              <w:keepNext w:val="0"/>
              <w:spacing w:before="0" w:after="0"/>
              <w:rPr>
                <w:szCs w:val="20"/>
              </w:rPr>
            </w:pPr>
            <w:r w:rsidRPr="001A05F4">
              <w:rPr>
                <w:szCs w:val="20"/>
              </w:rPr>
              <w:t>Coratti 2020a</w:t>
            </w:r>
            <w:r w:rsidRPr="001A05F4">
              <w:rPr>
                <w:szCs w:val="20"/>
                <w:vertAlign w:val="superscript"/>
              </w:rPr>
              <w:t>g</w:t>
            </w:r>
          </w:p>
        </w:tc>
        <w:tc>
          <w:tcPr>
            <w:tcW w:w="131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rPr>
                <w:szCs w:val="20"/>
              </w:rPr>
            </w:pPr>
            <w:r w:rsidRPr="001A05F4">
              <w:rPr>
                <w:szCs w:val="20"/>
              </w:rPr>
              <w:t>Type III (&gt;20y)</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49</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23.99 (2.67)</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30.42 (18.70)</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-1.65 (3.42); NR (NR)</w:t>
            </w:r>
          </w:p>
        </w:tc>
      </w:tr>
      <w:tr w:rsidR="00C66BE6" w:rsidRPr="001A05F4" w:rsidTr="00683790">
        <w:tc>
          <w:tcPr>
            <w:tcW w:w="1012" w:type="dxa"/>
            <w:vMerge/>
            <w:tcBorders>
              <w:left w:val="single" w:sz="4" w:space="0" w:color="auto"/>
              <w:right w:val="single" w:sz="4" w:space="0" w:color="auto"/>
            </w:tcBorders>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ind w:left="170"/>
              <w:rPr>
                <w:szCs w:val="20"/>
              </w:rPr>
            </w:pPr>
            <w:r w:rsidRPr="001A05F4">
              <w:rPr>
                <w:szCs w:val="20"/>
              </w:rPr>
              <w:t>Ambulant</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18</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23.67 (2.94)</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51.94 (7.63)</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-1.56 (3.96); NR (NR)</w:t>
            </w:r>
          </w:p>
        </w:tc>
      </w:tr>
      <w:tr w:rsidR="00C66BE6" w:rsidRPr="001A05F4" w:rsidTr="00683790">
        <w:tc>
          <w:tcPr>
            <w:tcW w:w="1012" w:type="dxa"/>
            <w:vMerge/>
            <w:tcBorders>
              <w:left w:val="single" w:sz="4" w:space="0" w:color="auto"/>
              <w:right w:val="single" w:sz="4" w:space="0" w:color="auto"/>
            </w:tcBorders>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ind w:left="170"/>
              <w:rPr>
                <w:szCs w:val="20"/>
              </w:rPr>
            </w:pPr>
            <w:r w:rsidRPr="001A05F4">
              <w:rPr>
                <w:szCs w:val="20"/>
              </w:rPr>
              <w:t>Non-ambulant</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31</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24.19 (2.53)</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17.93 (9.38)</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-1.70 (3.14); NR (NR)</w:t>
            </w:r>
          </w:p>
        </w:tc>
      </w:tr>
      <w:tr w:rsidR="00C66BE6" w:rsidRPr="001A05F4" w:rsidTr="00683790">
        <w:tc>
          <w:tcPr>
            <w:tcW w:w="1012" w:type="dxa"/>
            <w:vMerge/>
            <w:tcBorders>
              <w:left w:val="single" w:sz="4" w:space="0" w:color="auto"/>
              <w:right w:val="single" w:sz="4" w:space="0" w:color="auto"/>
            </w:tcBorders>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rPr>
                <w:szCs w:val="20"/>
              </w:rPr>
            </w:pPr>
            <w:r w:rsidRPr="001A05F4">
              <w:rPr>
                <w:szCs w:val="20"/>
              </w:rPr>
              <w:t>Type IIIa (&gt;20y)</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27</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24.18 (2.24)</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23.07 (17.47)</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-2.18 (3.54); NR (NR)</w:t>
            </w:r>
          </w:p>
        </w:tc>
      </w:tr>
      <w:tr w:rsidR="00C66BE6" w:rsidRPr="001A05F4" w:rsidTr="00683790">
        <w:tc>
          <w:tcPr>
            <w:tcW w:w="1012" w:type="dxa"/>
            <w:vMerge/>
            <w:tcBorders>
              <w:left w:val="single" w:sz="4" w:space="0" w:color="auto"/>
              <w:right w:val="single" w:sz="4" w:space="0" w:color="auto"/>
            </w:tcBorders>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ind w:left="170"/>
              <w:rPr>
                <w:szCs w:val="20"/>
              </w:rPr>
            </w:pPr>
            <w:r w:rsidRPr="001A05F4">
              <w:rPr>
                <w:szCs w:val="20"/>
              </w:rPr>
              <w:t>Ambulant</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8</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24.45 (1.66)</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47.63 (6.12)</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-3.25 (4.89); NR (NR)</w:t>
            </w:r>
          </w:p>
        </w:tc>
      </w:tr>
      <w:tr w:rsidR="00C66BE6" w:rsidRPr="001A05F4" w:rsidTr="00683790">
        <w:tc>
          <w:tcPr>
            <w:tcW w:w="1012" w:type="dxa"/>
            <w:vMerge/>
            <w:tcBorders>
              <w:left w:val="single" w:sz="4" w:space="0" w:color="auto"/>
              <w:right w:val="single" w:sz="4" w:space="0" w:color="auto"/>
            </w:tcBorders>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ind w:left="170"/>
              <w:rPr>
                <w:szCs w:val="20"/>
              </w:rPr>
            </w:pPr>
            <w:r w:rsidRPr="001A05F4">
              <w:rPr>
                <w:szCs w:val="20"/>
              </w:rPr>
              <w:t>Non-ambulant</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19</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24.07 (2.48)</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12.74 (6.77)</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-1.74 (2.84); NR (NR)</w:t>
            </w:r>
          </w:p>
        </w:tc>
      </w:tr>
      <w:tr w:rsidR="00C66BE6" w:rsidRPr="001A05F4" w:rsidTr="00683790">
        <w:tc>
          <w:tcPr>
            <w:tcW w:w="1012" w:type="dxa"/>
            <w:vMerge/>
            <w:tcBorders>
              <w:left w:val="single" w:sz="4" w:space="0" w:color="auto"/>
              <w:right w:val="single" w:sz="4" w:space="0" w:color="auto"/>
            </w:tcBorders>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rPr>
                <w:szCs w:val="20"/>
              </w:rPr>
            </w:pPr>
            <w:r w:rsidRPr="001A05F4">
              <w:rPr>
                <w:szCs w:val="20"/>
              </w:rPr>
              <w:t>Type IIIb (&gt;20y)</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22</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23.77 (3.16)</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39.45 (16.34)</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-1.00 (3.24); NR (NR)</w:t>
            </w:r>
          </w:p>
        </w:tc>
      </w:tr>
      <w:tr w:rsidR="00C66BE6" w:rsidRPr="001A05F4" w:rsidTr="00683790">
        <w:tc>
          <w:tcPr>
            <w:tcW w:w="1012" w:type="dxa"/>
            <w:vMerge/>
            <w:tcBorders>
              <w:left w:val="single" w:sz="4" w:space="0" w:color="auto"/>
              <w:right w:val="single" w:sz="4" w:space="0" w:color="auto"/>
            </w:tcBorders>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ind w:left="170"/>
              <w:rPr>
                <w:szCs w:val="20"/>
              </w:rPr>
            </w:pPr>
            <w:r w:rsidRPr="001A05F4">
              <w:rPr>
                <w:szCs w:val="20"/>
              </w:rPr>
              <w:t>Ambulant</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10</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23.04 (3.63)</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55.40 (7.14)</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-0.20 (2.53); NR (NR)</w:t>
            </w:r>
          </w:p>
        </w:tc>
      </w:tr>
      <w:tr w:rsidR="00C66BE6" w:rsidRPr="001A05F4" w:rsidTr="00683790">
        <w:tc>
          <w:tcPr>
            <w:tcW w:w="1012" w:type="dxa"/>
            <w:vMerge/>
            <w:tcBorders>
              <w:left w:val="single" w:sz="4" w:space="0" w:color="auto"/>
              <w:bottom w:val="single" w:sz="4" w:space="0" w:color="auto"/>
              <w:right w:val="single" w:sz="4" w:space="0" w:color="auto"/>
            </w:tcBorders>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ind w:left="170"/>
              <w:rPr>
                <w:szCs w:val="20"/>
              </w:rPr>
            </w:pPr>
            <w:r w:rsidRPr="001A05F4">
              <w:rPr>
                <w:szCs w:val="20"/>
              </w:rPr>
              <w:t>Non-ambulant</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12</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24.38 (2.73)</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26.17 (6.66)</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-1.67 (3.70); NR (NR)</w:t>
            </w:r>
          </w:p>
        </w:tc>
      </w:tr>
      <w:tr w:rsidR="00C66BE6" w:rsidRPr="001A05F4" w:rsidTr="00683790">
        <w:tc>
          <w:tcPr>
            <w:tcW w:w="1012" w:type="dxa"/>
            <w:vMerge w:val="restart"/>
            <w:tcBorders>
              <w:top w:val="single" w:sz="4" w:space="0" w:color="auto"/>
              <w:left w:val="single" w:sz="4" w:space="0" w:color="auto"/>
              <w:right w:val="single" w:sz="4" w:space="0" w:color="auto"/>
            </w:tcBorders>
            <w:vAlign w:val="center"/>
            <w:hideMark/>
          </w:tcPr>
          <w:p w:rsidR="00C66BE6" w:rsidRPr="001A05F4" w:rsidRDefault="00C66BE6" w:rsidP="00927040">
            <w:pPr>
              <w:pStyle w:val="TableText0"/>
              <w:keepNext w:val="0"/>
              <w:spacing w:before="0" w:after="0"/>
              <w:rPr>
                <w:szCs w:val="20"/>
              </w:rPr>
            </w:pPr>
            <w:r w:rsidRPr="001A05F4">
              <w:rPr>
                <w:szCs w:val="20"/>
              </w:rPr>
              <w:t>Coratti 2020b</w:t>
            </w:r>
          </w:p>
        </w:tc>
        <w:tc>
          <w:tcPr>
            <w:tcW w:w="131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rPr>
                <w:szCs w:val="20"/>
              </w:rPr>
            </w:pPr>
            <w:r w:rsidRPr="001A05F4">
              <w:rPr>
                <w:szCs w:val="20"/>
              </w:rPr>
              <w:t>Type II (all)</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vertAlign w:val="superscript"/>
              </w:rPr>
            </w:pPr>
            <w:r w:rsidRPr="001A05F4">
              <w:rPr>
                <w:szCs w:val="20"/>
              </w:rPr>
              <w:t>652</w:t>
            </w:r>
            <w:r w:rsidRPr="001A05F4">
              <w:rPr>
                <w:szCs w:val="20"/>
                <w:vertAlign w:val="superscript"/>
              </w:rPr>
              <w:t>j</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9.41 (6.32)</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11.55 (9.24)</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-0.68 (3.28); NR (-13 to +12)</w:t>
            </w:r>
          </w:p>
        </w:tc>
      </w:tr>
      <w:tr w:rsidR="00C66BE6" w:rsidRPr="001A05F4" w:rsidTr="00683790">
        <w:tc>
          <w:tcPr>
            <w:tcW w:w="1012" w:type="dxa"/>
            <w:vMerge/>
            <w:tcBorders>
              <w:left w:val="single" w:sz="4" w:space="0" w:color="auto"/>
              <w:right w:val="single" w:sz="4" w:space="0" w:color="auto"/>
            </w:tcBorders>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rPr>
                <w:szCs w:val="20"/>
              </w:rPr>
            </w:pPr>
            <w:r w:rsidRPr="001A05F4">
              <w:rPr>
                <w:szCs w:val="20"/>
              </w:rPr>
              <w:t>Type II (&gt;13yr)</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117</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20.21 (5.75)</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3.21 (3.79)</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-0.26 (1.37); NR (-10 to 3)</w:t>
            </w:r>
          </w:p>
        </w:tc>
      </w:tr>
      <w:tr w:rsidR="00C66BE6" w:rsidRPr="001A05F4" w:rsidTr="00683790">
        <w:tc>
          <w:tcPr>
            <w:tcW w:w="1012" w:type="dxa"/>
            <w:vMerge/>
            <w:tcBorders>
              <w:left w:val="single" w:sz="4" w:space="0" w:color="auto"/>
              <w:bottom w:val="single" w:sz="4" w:space="0" w:color="auto"/>
              <w:right w:val="single" w:sz="4" w:space="0" w:color="auto"/>
            </w:tcBorders>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rPr>
                <w:szCs w:val="20"/>
              </w:rPr>
            </w:pPr>
            <w:r w:rsidRPr="001A05F4">
              <w:rPr>
                <w:szCs w:val="20"/>
              </w:rPr>
              <w:t>Type II (&gt;18y)</w:t>
            </w:r>
            <w:r w:rsidRPr="001A05F4">
              <w:rPr>
                <w:szCs w:val="20"/>
                <w:vertAlign w:val="superscript"/>
              </w:rPr>
              <w:t>h</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54</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24.24 (5.10)</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NR</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-0.15 (1.28); NR (NR)</w:t>
            </w:r>
          </w:p>
        </w:tc>
      </w:tr>
      <w:tr w:rsidR="00C66BE6" w:rsidRPr="001A05F4" w:rsidTr="00683790">
        <w:tc>
          <w:tcPr>
            <w:tcW w:w="1012" w:type="dxa"/>
            <w:vMerge w:val="restart"/>
            <w:tcBorders>
              <w:top w:val="single" w:sz="4" w:space="0" w:color="auto"/>
              <w:left w:val="single" w:sz="4" w:space="0" w:color="auto"/>
              <w:right w:val="single" w:sz="4" w:space="0" w:color="auto"/>
            </w:tcBorders>
            <w:vAlign w:val="center"/>
            <w:hideMark/>
          </w:tcPr>
          <w:p w:rsidR="00C66BE6" w:rsidRPr="001A05F4" w:rsidRDefault="00C66BE6" w:rsidP="00927040">
            <w:pPr>
              <w:pStyle w:val="TableText0"/>
              <w:keepNext w:val="0"/>
              <w:spacing w:before="0" w:after="0"/>
              <w:rPr>
                <w:szCs w:val="20"/>
              </w:rPr>
            </w:pPr>
            <w:r w:rsidRPr="001A05F4">
              <w:rPr>
                <w:szCs w:val="20"/>
              </w:rPr>
              <w:t>Wijngaarde 2020a</w:t>
            </w:r>
            <w:r w:rsidRPr="001A05F4">
              <w:rPr>
                <w:szCs w:val="20"/>
                <w:vertAlign w:val="superscript"/>
              </w:rPr>
              <w:t>i</w:t>
            </w:r>
          </w:p>
        </w:tc>
        <w:tc>
          <w:tcPr>
            <w:tcW w:w="131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rPr>
                <w:szCs w:val="20"/>
              </w:rPr>
            </w:pPr>
            <w:r w:rsidRPr="001A05F4">
              <w:rPr>
                <w:szCs w:val="20"/>
              </w:rPr>
              <w:t>Type IIa</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68</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13.4 (5.9-21.2)</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9.27 (1.09)</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−0.29 (95%CI -0.39, -0.18); NR (NR)</w:t>
            </w:r>
          </w:p>
        </w:tc>
      </w:tr>
      <w:tr w:rsidR="00C66BE6" w:rsidRPr="001A05F4" w:rsidTr="00683790">
        <w:tc>
          <w:tcPr>
            <w:tcW w:w="1012" w:type="dxa"/>
            <w:vMerge/>
            <w:tcBorders>
              <w:left w:val="single" w:sz="4" w:space="0" w:color="auto"/>
              <w:right w:val="single" w:sz="4" w:space="0" w:color="auto"/>
            </w:tcBorders>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rPr>
                <w:szCs w:val="20"/>
              </w:rPr>
            </w:pPr>
            <w:r w:rsidRPr="001A05F4">
              <w:rPr>
                <w:szCs w:val="20"/>
              </w:rPr>
              <w:t>Type IIb</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50</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15.0 (7.0-24.7)</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20.58 (2.07)</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−0.46 (95%CI -0.61, -0.30); NR (NR)</w:t>
            </w:r>
          </w:p>
        </w:tc>
      </w:tr>
      <w:tr w:rsidR="00C66BE6" w:rsidRPr="001A05F4" w:rsidTr="00683790">
        <w:tc>
          <w:tcPr>
            <w:tcW w:w="1012" w:type="dxa"/>
            <w:vMerge/>
            <w:tcBorders>
              <w:left w:val="single" w:sz="4" w:space="0" w:color="auto"/>
              <w:right w:val="single" w:sz="4" w:space="0" w:color="auto"/>
            </w:tcBorders>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rPr>
                <w:szCs w:val="20"/>
              </w:rPr>
            </w:pPr>
            <w:r w:rsidRPr="001A05F4">
              <w:rPr>
                <w:szCs w:val="20"/>
              </w:rPr>
              <w:t>Type IIIa</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63</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25.2 (6.2-47.6)</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44.53 (2.74)</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−0.73 (95%CI -0.88, -0.58); NR (NR)</w:t>
            </w:r>
          </w:p>
        </w:tc>
      </w:tr>
      <w:tr w:rsidR="00C66BE6" w:rsidRPr="001A05F4" w:rsidTr="00683790">
        <w:tc>
          <w:tcPr>
            <w:tcW w:w="1012" w:type="dxa"/>
            <w:vMerge/>
            <w:tcBorders>
              <w:left w:val="single" w:sz="4" w:space="0" w:color="auto"/>
              <w:bottom w:val="single" w:sz="4" w:space="0" w:color="auto"/>
              <w:right w:val="single" w:sz="4" w:space="0" w:color="auto"/>
            </w:tcBorders>
            <w:vAlign w:val="center"/>
          </w:tcPr>
          <w:p w:rsidR="00C66BE6" w:rsidRPr="001A05F4" w:rsidRDefault="00C66BE6" w:rsidP="00927040">
            <w:pPr>
              <w:pStyle w:val="TableText0"/>
              <w:keepNext w:val="0"/>
              <w:spacing w:before="0" w:after="0"/>
              <w:rPr>
                <w:szCs w:val="20"/>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rPr>
                <w:szCs w:val="20"/>
              </w:rPr>
            </w:pPr>
            <w:r w:rsidRPr="001A05F4">
              <w:rPr>
                <w:szCs w:val="20"/>
              </w:rPr>
              <w:t>Type IIIb</w:t>
            </w:r>
          </w:p>
        </w:tc>
        <w:tc>
          <w:tcPr>
            <w:tcW w:w="48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40</w:t>
            </w:r>
          </w:p>
        </w:tc>
        <w:tc>
          <w:tcPr>
            <w:tcW w:w="2079"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42.8 (26.7-48.3)</w:t>
            </w:r>
          </w:p>
        </w:tc>
        <w:tc>
          <w:tcPr>
            <w:tcW w:w="142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60.01 (7.06)</w:t>
            </w:r>
          </w:p>
        </w:tc>
        <w:tc>
          <w:tcPr>
            <w:tcW w:w="2696"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keepNext w:val="0"/>
              <w:spacing w:before="0" w:after="0"/>
              <w:jc w:val="center"/>
              <w:rPr>
                <w:szCs w:val="20"/>
              </w:rPr>
            </w:pPr>
            <w:r w:rsidRPr="001A05F4">
              <w:rPr>
                <w:szCs w:val="20"/>
              </w:rPr>
              <w:t>−0.56 (95%CI -0.93, -0.19); NR (NR)</w:t>
            </w:r>
          </w:p>
        </w:tc>
      </w:tr>
    </w:tbl>
    <w:p w:rsidR="00C66BE6" w:rsidRPr="001A05F4" w:rsidRDefault="00C66BE6" w:rsidP="00C66BE6">
      <w:pPr>
        <w:pStyle w:val="TableFigureFooter"/>
        <w:spacing w:after="0"/>
        <w:jc w:val="left"/>
      </w:pPr>
      <w:r w:rsidRPr="001A05F4">
        <w:rPr>
          <w:vertAlign w:val="superscript"/>
        </w:rPr>
        <w:t>a</w:t>
      </w:r>
      <w:r w:rsidRPr="001A05F4">
        <w:t>Data reported for patients who had 14 month assessment only. Baseline values include all patients enrolled</w:t>
      </w:r>
    </w:p>
    <w:p w:rsidR="00C66BE6" w:rsidRPr="001A05F4" w:rsidRDefault="00C66BE6" w:rsidP="00C66BE6">
      <w:pPr>
        <w:pStyle w:val="TableFigureFooter"/>
        <w:spacing w:after="0"/>
        <w:jc w:val="left"/>
      </w:pPr>
      <w:r w:rsidRPr="001A05F4">
        <w:rPr>
          <w:vertAlign w:val="superscript"/>
        </w:rPr>
        <w:t>b</w:t>
      </w:r>
      <w:r w:rsidRPr="001A05F4">
        <w:t xml:space="preserve">Data represents 10 month assessment expressed. Mean age of patients and baseline HFMSE in Jochmann 2020 recalculated during evaluation </w:t>
      </w:r>
    </w:p>
    <w:p w:rsidR="00C66BE6" w:rsidRPr="001A05F4" w:rsidRDefault="00C66BE6" w:rsidP="00C66BE6">
      <w:pPr>
        <w:pStyle w:val="TableFigureFooter"/>
        <w:spacing w:after="0"/>
        <w:jc w:val="left"/>
      </w:pPr>
      <w:r w:rsidRPr="001A05F4">
        <w:rPr>
          <w:vertAlign w:val="superscript"/>
        </w:rPr>
        <w:t>c</w:t>
      </w:r>
      <w:r w:rsidRPr="001A05F4">
        <w:t>Derived from Mercuri Figure 1 in patients ≥18; change over 12 months. The resubmission excluded the one patient aged 17.64.</w:t>
      </w:r>
    </w:p>
    <w:p w:rsidR="00C66BE6" w:rsidRPr="001A05F4" w:rsidRDefault="00C66BE6" w:rsidP="00C66BE6">
      <w:pPr>
        <w:pStyle w:val="TableFigureFooter"/>
        <w:spacing w:after="0"/>
        <w:jc w:val="left"/>
      </w:pPr>
      <w:r w:rsidRPr="001A05F4">
        <w:rPr>
          <w:vertAlign w:val="superscript"/>
        </w:rPr>
        <w:t>d</w:t>
      </w:r>
      <w:r w:rsidRPr="001A05F4">
        <w:t>The resubmission</w:t>
      </w:r>
      <w:r w:rsidRPr="001A05F4">
        <w:rPr>
          <w:vertAlign w:val="superscript"/>
        </w:rPr>
        <w:t xml:space="preserve"> </w:t>
      </w:r>
      <w:r w:rsidRPr="001A05F4">
        <w:t>stated that these values were assumed to be the mean ages captured in the slope. This could not be verified.</w:t>
      </w:r>
    </w:p>
    <w:p w:rsidR="00C66BE6" w:rsidRPr="001A05F4" w:rsidRDefault="00C66BE6" w:rsidP="00C66BE6">
      <w:pPr>
        <w:pStyle w:val="TableFigureFooter"/>
        <w:spacing w:after="0"/>
        <w:jc w:val="left"/>
      </w:pPr>
      <w:r w:rsidRPr="001A05F4">
        <w:rPr>
          <w:vertAlign w:val="superscript"/>
        </w:rPr>
        <w:t>e</w:t>
      </w:r>
      <w:r w:rsidRPr="001A05F4">
        <w:t>Age group sizes not reported, consequently, the N presented here includes patients across all ages for each SMA type</w:t>
      </w:r>
    </w:p>
    <w:p w:rsidR="00C66BE6" w:rsidRPr="001A05F4" w:rsidRDefault="00C66BE6" w:rsidP="00C66BE6">
      <w:pPr>
        <w:pStyle w:val="TableFigureFooter"/>
        <w:spacing w:after="0"/>
        <w:jc w:val="left"/>
      </w:pPr>
      <w:r w:rsidRPr="001A05F4">
        <w:rPr>
          <w:vertAlign w:val="superscript"/>
        </w:rPr>
        <w:t>f</w:t>
      </w:r>
      <w:r w:rsidRPr="001A05F4">
        <w:t>Change of zero due to a mean of zero in this patient group</w:t>
      </w:r>
    </w:p>
    <w:p w:rsidR="00C66BE6" w:rsidRPr="001A05F4" w:rsidRDefault="00C66BE6" w:rsidP="00C66BE6">
      <w:pPr>
        <w:pStyle w:val="TableFigureFooter"/>
        <w:spacing w:after="0"/>
        <w:jc w:val="left"/>
      </w:pPr>
      <w:r w:rsidRPr="001A05F4">
        <w:rPr>
          <w:vertAlign w:val="superscript"/>
        </w:rPr>
        <w:t>g</w:t>
      </w:r>
      <w:r w:rsidRPr="001A05F4">
        <w:t xml:space="preserve">12 month changes reported for the &gt;20 subgroup in supplementary table 1 </w:t>
      </w:r>
      <w:r w:rsidR="00BC2D8D" w:rsidRPr="001A05F4">
        <w:t xml:space="preserve">in </w:t>
      </w:r>
      <w:r w:rsidR="00BC2D8D" w:rsidRPr="001A05F4">
        <w:rPr>
          <w:szCs w:val="20"/>
        </w:rPr>
        <w:t>Coratti 2020a.</w:t>
      </w:r>
    </w:p>
    <w:p w:rsidR="00C66BE6" w:rsidRPr="001A05F4" w:rsidRDefault="00C66BE6" w:rsidP="00C66BE6">
      <w:pPr>
        <w:pStyle w:val="TableFigureFooter"/>
        <w:spacing w:after="0"/>
        <w:jc w:val="left"/>
      </w:pPr>
      <w:r w:rsidRPr="001A05F4">
        <w:rPr>
          <w:vertAlign w:val="superscript"/>
        </w:rPr>
        <w:t>h</w:t>
      </w:r>
      <w:r w:rsidRPr="001A05F4">
        <w:t xml:space="preserve">Estimates are based on IPD </w:t>
      </w:r>
      <w:r w:rsidRPr="001A05F4">
        <w:rPr>
          <w:i/>
          <w:iCs/>
        </w:rPr>
        <w:t>(not defined by resubmission)</w:t>
      </w:r>
      <w:r w:rsidR="002C538F" w:rsidRPr="001A05F4">
        <w:rPr>
          <w:i/>
          <w:iCs/>
        </w:rPr>
        <w:t xml:space="preserve"> </w:t>
      </w:r>
      <w:r w:rsidRPr="001A05F4">
        <w:t>analysis extracted from figure 2 of source document (Nb. overlapping data points, particularly at 0 change means that not all data points may have been captured in analysis).</w:t>
      </w:r>
    </w:p>
    <w:p w:rsidR="00C66BE6" w:rsidRPr="001A05F4" w:rsidRDefault="00C66BE6" w:rsidP="00C66BE6">
      <w:pPr>
        <w:pStyle w:val="TableFigureFooter"/>
        <w:spacing w:after="0"/>
        <w:jc w:val="left"/>
      </w:pPr>
      <w:r w:rsidRPr="001A05F4">
        <w:rPr>
          <w:vertAlign w:val="superscript"/>
        </w:rPr>
        <w:t>i</w:t>
      </w:r>
      <w:r w:rsidRPr="001A05F4">
        <w:t>Baseline and annualised change in HFMSE are based on intercept (SE) and slope from model parameter estimates as reported in table 2 of source document</w:t>
      </w:r>
    </w:p>
    <w:p w:rsidR="00C66BE6" w:rsidRPr="001A05F4" w:rsidRDefault="00C66BE6" w:rsidP="00C66BE6">
      <w:pPr>
        <w:pStyle w:val="TableFigureFooter"/>
        <w:spacing w:after="0"/>
        <w:jc w:val="left"/>
      </w:pPr>
      <w:r w:rsidRPr="001A05F4">
        <w:rPr>
          <w:vertAlign w:val="superscript"/>
        </w:rPr>
        <w:t xml:space="preserve">j </w:t>
      </w:r>
      <w:r w:rsidRPr="001A05F4">
        <w:t>652 12 month assessments taken from 267 patients (150 males and 117 females)</w:t>
      </w:r>
    </w:p>
    <w:p w:rsidR="004651D1" w:rsidRPr="001A05F4" w:rsidRDefault="004651D1" w:rsidP="00C66BE6">
      <w:pPr>
        <w:pStyle w:val="TableFigureFooter"/>
        <w:spacing w:after="0"/>
        <w:jc w:val="left"/>
      </w:pPr>
      <w:r w:rsidRPr="001A05F4">
        <w:rPr>
          <w:vertAlign w:val="superscript"/>
        </w:rPr>
        <w:t xml:space="preserve">* </w:t>
      </w:r>
      <w:r w:rsidRPr="001A05F4">
        <w:t xml:space="preserve">Values calculated during evaluation. </w:t>
      </w:r>
    </w:p>
    <w:p w:rsidR="00C66BE6" w:rsidRPr="001A05F4" w:rsidRDefault="00C66BE6" w:rsidP="00C66BE6">
      <w:pPr>
        <w:pStyle w:val="TableFigureFooter"/>
        <w:spacing w:after="0"/>
        <w:jc w:val="left"/>
      </w:pPr>
      <w:r w:rsidRPr="001A05F4">
        <w:t>CI = confidence interval HFMSE=Hammersmith motor function scale – expanded; NR=not reported; SD=Standard deviation; SMA=spinal muscular atrophy</w:t>
      </w:r>
    </w:p>
    <w:p w:rsidR="00C66BE6" w:rsidRPr="001A05F4" w:rsidRDefault="00C66BE6" w:rsidP="00C66BE6">
      <w:pPr>
        <w:pStyle w:val="TableFigureFooter"/>
        <w:spacing w:after="0"/>
        <w:jc w:val="left"/>
      </w:pPr>
      <w:r w:rsidRPr="001A05F4">
        <w:t xml:space="preserve">Cells shaded grey represent studies presented in the nusinersen November 2020 resubmission. </w:t>
      </w:r>
    </w:p>
    <w:p w:rsidR="00C66BE6" w:rsidRPr="001A05F4" w:rsidRDefault="00C66BE6" w:rsidP="00C66BE6">
      <w:pPr>
        <w:pStyle w:val="TableFigureFooter"/>
        <w:spacing w:after="0"/>
        <w:jc w:val="left"/>
      </w:pPr>
      <w:r w:rsidRPr="001A05F4">
        <w:t>Source: Table 2.80, p255 of the resubmission</w:t>
      </w:r>
    </w:p>
    <w:p w:rsidR="00C66BE6" w:rsidRPr="001A05F4" w:rsidRDefault="00C66BE6" w:rsidP="00C66BE6">
      <w:pPr>
        <w:rPr>
          <w:rStyle w:val="CommentReference"/>
          <w:b w:val="0"/>
          <w:bCs/>
        </w:rPr>
      </w:pPr>
    </w:p>
    <w:p w:rsidR="00E12AFB" w:rsidRPr="001A05F4" w:rsidRDefault="00E12AFB" w:rsidP="00F9436F">
      <w:pPr>
        <w:pStyle w:val="3-BodyText"/>
        <w:numPr>
          <w:ilvl w:val="1"/>
          <w:numId w:val="2"/>
        </w:numPr>
        <w:rPr>
          <w:iCs/>
        </w:rPr>
      </w:pPr>
      <w:r w:rsidRPr="001A05F4">
        <w:rPr>
          <w:iCs/>
        </w:rPr>
        <w:t xml:space="preserve">There were inconsistencies reported by the resubmission for Maggi 2020. For example, the median annualised change from baseline provided in the resubmission for all the subgroups (+1.2 for non-ambulatory type II SMA patients, +3.53 for non-ambulatory type III sitters and +2.37 for ambulatory type III walkers) were all smaller than the annualised change for all patients (+5.38), which was implausible. </w:t>
      </w:r>
      <w:r w:rsidR="00DB7B7C" w:rsidRPr="001A05F4">
        <w:rPr>
          <w:iCs/>
        </w:rPr>
        <w:t xml:space="preserve">This appeared to be due to inconsistencies between the values reported by Maggi 2020 in the publication and in the published supplementary data. </w:t>
      </w:r>
      <w:r w:rsidRPr="001A05F4">
        <w:rPr>
          <w:iCs/>
        </w:rPr>
        <w:t xml:space="preserve">As such, the results of all patients in Maggi 2020 may be uncertain. </w:t>
      </w:r>
    </w:p>
    <w:p w:rsidR="00A47693" w:rsidRPr="001A05F4" w:rsidRDefault="00216D6B" w:rsidP="00F9436F">
      <w:pPr>
        <w:pStyle w:val="3-BodyText"/>
        <w:numPr>
          <w:ilvl w:val="1"/>
          <w:numId w:val="2"/>
        </w:numPr>
      </w:pPr>
      <w:r w:rsidRPr="001A05F4">
        <w:t>Apart from Maggi 2020 ,t</w:t>
      </w:r>
      <w:r w:rsidR="00C66BE6" w:rsidRPr="001A05F4">
        <w:t xml:space="preserve">he included nusinersen studies report that adult patients treated with Type II or III SMA with nusinersen experienced a mean annualised HFMSE improvement from baseline between 0.66 to 4.6 points based on a mean period of 10 to 14 months of treatment (six to seven doses), but a number of patients may continue to experience motor function decline. The natural history study data suggested that HFMSE may remain stable or decline in adult patients without treatment (mean annualised change from baseline ranging from 0.00 to -3.25), </w:t>
      </w:r>
      <w:r w:rsidR="00DB7B7C" w:rsidRPr="001A05F4">
        <w:t xml:space="preserve">although </w:t>
      </w:r>
      <w:r w:rsidR="00C66BE6" w:rsidRPr="001A05F4">
        <w:t>some patients may experien</w:t>
      </w:r>
      <w:r w:rsidR="008A27E6" w:rsidRPr="001A05F4">
        <w:t>ce an improvement from baseline</w:t>
      </w:r>
      <w:r w:rsidR="00C66BE6" w:rsidRPr="001A05F4">
        <w:t xml:space="preserve"> </w:t>
      </w:r>
      <w:r w:rsidR="00DB7B7C" w:rsidRPr="001A05F4">
        <w:t>(e.g. Coratti 2020</w:t>
      </w:r>
      <w:r w:rsidR="00F90127" w:rsidRPr="001A05F4">
        <w:t>b</w:t>
      </w:r>
      <w:r w:rsidR="00DB7B7C" w:rsidRPr="001A05F4">
        <w:t xml:space="preserve"> reported that 11.0% and 9.5% of patients showed an improvement in HFMSE of &gt;2 points after 12 months and 24 months, respectively)</w:t>
      </w:r>
      <w:r w:rsidR="008A27E6" w:rsidRPr="001A05F4">
        <w:t>.</w:t>
      </w:r>
    </w:p>
    <w:p w:rsidR="00C66BE6" w:rsidRPr="001A05F4" w:rsidRDefault="00C66BE6" w:rsidP="00F9436F">
      <w:pPr>
        <w:pStyle w:val="3-BodyText"/>
        <w:numPr>
          <w:ilvl w:val="1"/>
          <w:numId w:val="2"/>
        </w:numPr>
      </w:pPr>
      <w:r w:rsidRPr="001A05F4">
        <w:rPr>
          <w:iCs/>
        </w:rPr>
        <w:t xml:space="preserve">However, the comparison of HFMSE in nusinersen treated versus untreated patients </w:t>
      </w:r>
      <w:r w:rsidR="00A47693" w:rsidRPr="001A05F4">
        <w:rPr>
          <w:iCs/>
        </w:rPr>
        <w:t>wa</w:t>
      </w:r>
      <w:r w:rsidRPr="001A05F4">
        <w:rPr>
          <w:iCs/>
        </w:rPr>
        <w:t xml:space="preserve">s complicated by differences between the study populations that were likely to have caused heterogeneity </w:t>
      </w:r>
      <w:r w:rsidR="00832D70" w:rsidRPr="001A05F4">
        <w:rPr>
          <w:iCs/>
        </w:rPr>
        <w:t xml:space="preserve">and </w:t>
      </w:r>
      <w:r w:rsidRPr="001A05F4">
        <w:rPr>
          <w:iCs/>
        </w:rPr>
        <w:t>were not adequately addressed by the resubmission. In particular, as the rate of change in HFMSE appeared to be dependent on a number of factors, such as type of SMA, whether the patient is ambulant or non-ambulant and age of the patient, the naïve comparison was considered to be limited by the differences in regard to these variables between the nusinersen treatment studies and the natural history data. The comparison may also have been limited by the different time periods for assessment of the outcome in terms of months of treatment/follow-up.</w:t>
      </w:r>
      <w:r w:rsidRPr="001A05F4">
        <w:t xml:space="preserve"> </w:t>
      </w:r>
    </w:p>
    <w:p w:rsidR="00C66BE6" w:rsidRPr="001A05F4" w:rsidRDefault="00C66BE6" w:rsidP="00F9436F">
      <w:pPr>
        <w:pStyle w:val="3-BodyText"/>
        <w:numPr>
          <w:ilvl w:val="1"/>
          <w:numId w:val="2"/>
        </w:numPr>
      </w:pPr>
      <w:r w:rsidRPr="001A05F4">
        <w:t xml:space="preserve">The change in HFMSE reported in the SMA </w:t>
      </w:r>
      <w:r w:rsidR="006E2AE4" w:rsidRPr="001A05F4">
        <w:t xml:space="preserve">registry </w:t>
      </w:r>
      <w:r w:rsidRPr="001A05F4">
        <w:t xml:space="preserve">is presented in </w:t>
      </w:r>
      <w:r w:rsidR="00BC2D8D" w:rsidRPr="001A05F4">
        <w:t>Table 7</w:t>
      </w:r>
      <w:r w:rsidR="00A47693" w:rsidRPr="001A05F4">
        <w:t>.</w:t>
      </w:r>
    </w:p>
    <w:p w:rsidR="00C66BE6" w:rsidRPr="001A05F4" w:rsidRDefault="00A47693" w:rsidP="001B7DBC">
      <w:pPr>
        <w:pStyle w:val="TableFigureHeading"/>
        <w:keepLines/>
      </w:pPr>
      <w:bookmarkStart w:id="22" w:name="_Ref71584627"/>
      <w:r w:rsidRPr="001A05F4">
        <w:t xml:space="preserve">Table </w:t>
      </w:r>
      <w:r w:rsidR="00BC2D8D" w:rsidRPr="001A05F4">
        <w:t>7</w:t>
      </w:r>
      <w:bookmarkEnd w:id="22"/>
      <w:r w:rsidRPr="001A05F4">
        <w:t xml:space="preserve">: </w:t>
      </w:r>
      <w:r w:rsidR="00C66BE6" w:rsidRPr="001A05F4">
        <w:t>HFMSE change from baseline in SMA Registr</w:t>
      </w:r>
      <w:r w:rsidR="006E2AE4" w:rsidRPr="001A05F4">
        <w:t>y</w:t>
      </w:r>
    </w:p>
    <w:tbl>
      <w:tblPr>
        <w:tblStyle w:val="TableGrid"/>
        <w:tblW w:w="9297" w:type="dxa"/>
        <w:tblLook w:val="04A0" w:firstRow="1" w:lastRow="0" w:firstColumn="1" w:lastColumn="0" w:noHBand="0" w:noVBand="1"/>
        <w:tblCaption w:val="Table 7: HFMSE change from baseline in SMA Registry"/>
      </w:tblPr>
      <w:tblGrid>
        <w:gridCol w:w="3114"/>
        <w:gridCol w:w="567"/>
        <w:gridCol w:w="709"/>
        <w:gridCol w:w="1134"/>
        <w:gridCol w:w="1929"/>
        <w:gridCol w:w="1844"/>
      </w:tblGrid>
      <w:tr w:rsidR="00FB61CC" w:rsidRPr="001A05F4" w:rsidTr="007D52E8">
        <w:trPr>
          <w:trHeight w:val="20"/>
          <w:tblHead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1A05F4" w:rsidRDefault="0086491B" w:rsidP="001B7DBC">
            <w:pPr>
              <w:pStyle w:val="TableText0"/>
              <w:keepLines/>
              <w:spacing w:before="0" w:after="0"/>
              <w:rPr>
                <w:b/>
                <w:bCs/>
                <w:szCs w:val="20"/>
              </w:rPr>
            </w:pPr>
            <w:r w:rsidRPr="001A05F4">
              <w:rPr>
                <w:b/>
                <w:bCs/>
                <w:szCs w:val="20"/>
              </w:rPr>
              <w:t>Type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1A05F4" w:rsidRDefault="0086491B" w:rsidP="001B7DBC">
            <w:pPr>
              <w:pStyle w:val="TableText0"/>
              <w:keepLines/>
              <w:spacing w:before="0" w:after="0"/>
              <w:jc w:val="center"/>
              <w:rPr>
                <w:b/>
                <w:bCs/>
                <w:szCs w:val="20"/>
              </w:rPr>
            </w:pPr>
            <w:r w:rsidRPr="001A05F4">
              <w:rPr>
                <w:b/>
                <w:bCs/>
                <w:szCs w:val="20"/>
              </w:rPr>
              <w:t>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1A05F4" w:rsidRDefault="0086491B" w:rsidP="001B7DBC">
            <w:pPr>
              <w:pStyle w:val="TableText0"/>
              <w:keepLines/>
              <w:spacing w:before="0" w:after="0"/>
              <w:jc w:val="center"/>
              <w:rPr>
                <w:b/>
                <w:bCs/>
                <w:szCs w:val="20"/>
              </w:rPr>
            </w:pPr>
            <w:r w:rsidRPr="001A05F4">
              <w:rPr>
                <w:b/>
                <w:bCs/>
                <w:szCs w:val="20"/>
              </w:rPr>
              <w:t>Mean Age in years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1A05F4" w:rsidRDefault="0086491B" w:rsidP="001B7DBC">
            <w:pPr>
              <w:pStyle w:val="TableText0"/>
              <w:keepLines/>
              <w:spacing w:before="0" w:after="0"/>
              <w:jc w:val="center"/>
              <w:rPr>
                <w:b/>
                <w:bCs/>
                <w:szCs w:val="20"/>
              </w:rPr>
            </w:pPr>
            <w:r w:rsidRPr="001A05F4">
              <w:rPr>
                <w:b/>
                <w:bCs/>
                <w:szCs w:val="20"/>
              </w:rPr>
              <w:t xml:space="preserve">Mean Baseline HFMSE </w:t>
            </w:r>
          </w:p>
        </w:tc>
        <w:tc>
          <w:tcPr>
            <w:tcW w:w="1929" w:type="dxa"/>
            <w:tcBorders>
              <w:top w:val="single" w:sz="4" w:space="0" w:color="auto"/>
              <w:left w:val="single" w:sz="4" w:space="0" w:color="auto"/>
              <w:bottom w:val="single" w:sz="4" w:space="0" w:color="auto"/>
              <w:right w:val="single" w:sz="4" w:space="0" w:color="auto"/>
            </w:tcBorders>
            <w:vAlign w:val="center"/>
          </w:tcPr>
          <w:p w:rsidR="0086491B" w:rsidRPr="001A05F4" w:rsidRDefault="0086491B" w:rsidP="00FB61CC">
            <w:pPr>
              <w:pStyle w:val="TableText0"/>
              <w:keepLines/>
              <w:spacing w:before="0" w:after="0"/>
              <w:jc w:val="center"/>
              <w:rPr>
                <w:b/>
                <w:bCs/>
                <w:szCs w:val="20"/>
              </w:rPr>
            </w:pPr>
            <w:r w:rsidRPr="001A05F4">
              <w:rPr>
                <w:b/>
                <w:bCs/>
                <w:szCs w:val="20"/>
              </w:rPr>
              <w:t>Weekly rate of change (95%CI)</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1A05F4" w:rsidRDefault="0086491B" w:rsidP="00FB61CC">
            <w:pPr>
              <w:pStyle w:val="TableText0"/>
              <w:keepLines/>
              <w:spacing w:before="0" w:after="0"/>
              <w:jc w:val="center"/>
              <w:rPr>
                <w:b/>
                <w:bCs/>
                <w:szCs w:val="20"/>
              </w:rPr>
            </w:pPr>
            <w:r w:rsidRPr="001A05F4">
              <w:rPr>
                <w:b/>
                <w:bCs/>
                <w:szCs w:val="20"/>
              </w:rPr>
              <w:t xml:space="preserve">Annualised change from baseline – mean slope – p-value </w:t>
            </w:r>
            <w:r w:rsidRPr="001A05F4">
              <w:rPr>
                <w:szCs w:val="20"/>
                <w:vertAlign w:val="superscript"/>
              </w:rPr>
              <w:t>b</w:t>
            </w:r>
          </w:p>
        </w:tc>
      </w:tr>
      <w:tr w:rsidR="00FB61CC" w:rsidRPr="001A05F4" w:rsidTr="00FB61CC">
        <w:trPr>
          <w:trHeight w:val="20"/>
        </w:trPr>
        <w:tc>
          <w:tcPr>
            <w:tcW w:w="9297" w:type="dxa"/>
            <w:gridSpan w:val="6"/>
            <w:tcBorders>
              <w:top w:val="single" w:sz="4" w:space="0" w:color="auto"/>
              <w:left w:val="single" w:sz="4" w:space="0" w:color="auto"/>
              <w:bottom w:val="single" w:sz="4" w:space="0" w:color="auto"/>
              <w:right w:val="single" w:sz="4" w:space="0" w:color="auto"/>
            </w:tcBorders>
          </w:tcPr>
          <w:p w:rsidR="00FB61CC" w:rsidRPr="001A05F4" w:rsidRDefault="00FB61CC" w:rsidP="001B7DBC">
            <w:pPr>
              <w:pStyle w:val="TableText0"/>
              <w:keepLines/>
              <w:spacing w:before="0" w:after="0"/>
              <w:rPr>
                <w:szCs w:val="20"/>
              </w:rPr>
            </w:pPr>
            <w:r w:rsidRPr="001A05F4">
              <w:rPr>
                <w:szCs w:val="20"/>
              </w:rPr>
              <w:t>Nusinersen treatment</w:t>
            </w:r>
          </w:p>
        </w:tc>
      </w:tr>
      <w:tr w:rsidR="00FB61CC" w:rsidRPr="00C508D4" w:rsidTr="00FB61CC">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auto"/>
            <w:hideMark/>
          </w:tcPr>
          <w:p w:rsidR="0086491B" w:rsidRPr="00C508D4" w:rsidRDefault="0086491B" w:rsidP="001B7DBC">
            <w:pPr>
              <w:pStyle w:val="TableText0"/>
              <w:keepLines/>
              <w:spacing w:before="0" w:after="0"/>
              <w:rPr>
                <w:szCs w:val="20"/>
              </w:rPr>
            </w:pPr>
            <w:r w:rsidRPr="00C508D4">
              <w:rPr>
                <w:szCs w:val="20"/>
              </w:rPr>
              <w:t>Cohort 1: Treated Type III + IV</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C508D4" w:rsidRDefault="0086491B" w:rsidP="001B7DBC">
            <w:pPr>
              <w:pStyle w:val="TableText0"/>
              <w:keepLines/>
              <w:spacing w:before="0" w:after="0"/>
              <w:jc w:val="center"/>
              <w:rPr>
                <w:szCs w:val="20"/>
              </w:rPr>
            </w:pPr>
            <w:r w:rsidRPr="00C508D4">
              <w:rPr>
                <w:szCs w:val="20"/>
              </w:rPr>
              <w:t>235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C508D4" w:rsidRDefault="0086491B" w:rsidP="001B7DBC">
            <w:pPr>
              <w:pStyle w:val="TableText0"/>
              <w:keepLines/>
              <w:spacing w:before="0" w:after="0"/>
              <w:jc w:val="center"/>
              <w:rPr>
                <w:szCs w:val="20"/>
                <w:vertAlign w:val="superscript"/>
              </w:rPr>
            </w:pPr>
            <w:r w:rsidRPr="00C508D4">
              <w:rPr>
                <w:szCs w:val="20"/>
              </w:rPr>
              <w:t>NR</w:t>
            </w:r>
            <w:r w:rsidRPr="00C508D4">
              <w:rPr>
                <w:szCs w:val="20"/>
                <w:vertAlign w:val="superscript"/>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C508D4" w:rsidRDefault="0086491B" w:rsidP="001B7DBC">
            <w:pPr>
              <w:pStyle w:val="TableText0"/>
              <w:keepLines/>
              <w:spacing w:before="0" w:after="0"/>
              <w:jc w:val="center"/>
              <w:rPr>
                <w:szCs w:val="20"/>
                <w:vertAlign w:val="superscript"/>
              </w:rPr>
            </w:pPr>
            <w:r w:rsidRPr="00C508D4">
              <w:rPr>
                <w:szCs w:val="20"/>
              </w:rPr>
              <w:t>NR</w:t>
            </w:r>
            <w:r w:rsidRPr="00C508D4">
              <w:rPr>
                <w:szCs w:val="20"/>
                <w:vertAlign w:val="superscript"/>
              </w:rPr>
              <w:t>a</w:t>
            </w:r>
          </w:p>
        </w:tc>
        <w:tc>
          <w:tcPr>
            <w:tcW w:w="1929" w:type="dxa"/>
            <w:tcBorders>
              <w:top w:val="single" w:sz="4" w:space="0" w:color="auto"/>
              <w:left w:val="single" w:sz="4" w:space="0" w:color="auto"/>
              <w:bottom w:val="single" w:sz="4" w:space="0" w:color="auto"/>
              <w:right w:val="single" w:sz="4" w:space="0" w:color="auto"/>
            </w:tcBorders>
          </w:tcPr>
          <w:p w:rsidR="0086491B" w:rsidRPr="00C508D4" w:rsidRDefault="0086491B" w:rsidP="001B7DBC">
            <w:pPr>
              <w:pStyle w:val="TableText0"/>
              <w:keepLines/>
              <w:spacing w:before="0" w:after="0"/>
              <w:jc w:val="center"/>
              <w:rPr>
                <w:szCs w:val="20"/>
              </w:rPr>
            </w:pPr>
            <w:r w:rsidRPr="00C508D4">
              <w:rPr>
                <w:szCs w:val="20"/>
              </w:rPr>
              <w:t>0.029 (0.019, 0.039)</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C508D4" w:rsidRDefault="0086491B" w:rsidP="001B7DBC">
            <w:pPr>
              <w:pStyle w:val="TableText0"/>
              <w:keepLines/>
              <w:spacing w:before="0" w:after="0"/>
              <w:jc w:val="center"/>
              <w:rPr>
                <w:szCs w:val="20"/>
              </w:rPr>
            </w:pPr>
            <w:r w:rsidRPr="00C508D4">
              <w:rPr>
                <w:szCs w:val="20"/>
              </w:rPr>
              <w:t>+1.51 p&lt;0.0001</w:t>
            </w:r>
          </w:p>
        </w:tc>
      </w:tr>
      <w:tr w:rsidR="00FB61CC" w:rsidRPr="00C508D4" w:rsidTr="00FB61CC">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auto"/>
            <w:hideMark/>
          </w:tcPr>
          <w:p w:rsidR="0086491B" w:rsidRPr="00C508D4" w:rsidRDefault="0086491B" w:rsidP="001B7DBC">
            <w:pPr>
              <w:pStyle w:val="TableText0"/>
              <w:keepLines/>
              <w:spacing w:before="0" w:after="0"/>
              <w:rPr>
                <w:szCs w:val="20"/>
              </w:rPr>
            </w:pPr>
            <w:r w:rsidRPr="00C508D4">
              <w:rPr>
                <w:szCs w:val="20"/>
              </w:rPr>
              <w:t xml:space="preserve">Cohort 2: Treated Type III + IV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C508D4" w:rsidRDefault="0086491B" w:rsidP="001B7DBC">
            <w:pPr>
              <w:pStyle w:val="TableText0"/>
              <w:keepLines/>
              <w:spacing w:before="0" w:after="0"/>
              <w:jc w:val="center"/>
              <w:rPr>
                <w:szCs w:val="20"/>
              </w:rPr>
            </w:pPr>
            <w:r w:rsidRPr="00C508D4">
              <w:rPr>
                <w:szCs w:val="20"/>
              </w:rPr>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C508D4" w:rsidRDefault="0086491B" w:rsidP="001B7DBC">
            <w:pPr>
              <w:pStyle w:val="TableText0"/>
              <w:keepLines/>
              <w:spacing w:before="0" w:after="0"/>
              <w:jc w:val="center"/>
              <w:rPr>
                <w:szCs w:val="20"/>
              </w:rPr>
            </w:pPr>
            <w:r w:rsidRPr="00C508D4">
              <w:rPr>
                <w:szCs w:val="20"/>
              </w:rPr>
              <w:t>37.6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C508D4" w:rsidRDefault="0086491B" w:rsidP="001B7DBC">
            <w:pPr>
              <w:pStyle w:val="TableText0"/>
              <w:keepLines/>
              <w:spacing w:before="0" w:after="0"/>
              <w:jc w:val="center"/>
              <w:rPr>
                <w:szCs w:val="20"/>
              </w:rPr>
            </w:pPr>
            <w:r w:rsidRPr="00C508D4">
              <w:rPr>
                <w:szCs w:val="20"/>
              </w:rPr>
              <w:t>29.15 n=47</w:t>
            </w:r>
          </w:p>
        </w:tc>
        <w:tc>
          <w:tcPr>
            <w:tcW w:w="1929" w:type="dxa"/>
            <w:tcBorders>
              <w:top w:val="single" w:sz="4" w:space="0" w:color="auto"/>
              <w:left w:val="single" w:sz="4" w:space="0" w:color="auto"/>
              <w:bottom w:val="single" w:sz="4" w:space="0" w:color="auto"/>
              <w:right w:val="single" w:sz="4" w:space="0" w:color="auto"/>
            </w:tcBorders>
          </w:tcPr>
          <w:p w:rsidR="0086491B" w:rsidRPr="00C508D4" w:rsidRDefault="00FB61CC" w:rsidP="001B7DBC">
            <w:pPr>
              <w:pStyle w:val="TableText0"/>
              <w:keepLines/>
              <w:spacing w:before="0" w:after="0"/>
              <w:jc w:val="center"/>
              <w:rPr>
                <w:szCs w:val="20"/>
              </w:rPr>
            </w:pPr>
            <w:r w:rsidRPr="00C508D4">
              <w:rPr>
                <w:szCs w:val="20"/>
              </w:rPr>
              <w:t>0.026 (0.0010, 0.041)</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C508D4" w:rsidRDefault="0086491B" w:rsidP="001B7DBC">
            <w:pPr>
              <w:pStyle w:val="TableText0"/>
              <w:keepLines/>
              <w:spacing w:before="0" w:after="0"/>
              <w:jc w:val="center"/>
              <w:rPr>
                <w:szCs w:val="20"/>
              </w:rPr>
            </w:pPr>
            <w:r w:rsidRPr="00C508D4">
              <w:rPr>
                <w:szCs w:val="20"/>
              </w:rPr>
              <w:t>+1.34 p=0.0011</w:t>
            </w:r>
          </w:p>
        </w:tc>
      </w:tr>
      <w:tr w:rsidR="00FB61CC" w:rsidRPr="00C508D4" w:rsidTr="00FB61CC">
        <w:trPr>
          <w:trHeight w:val="20"/>
        </w:trPr>
        <w:tc>
          <w:tcPr>
            <w:tcW w:w="9297" w:type="dxa"/>
            <w:gridSpan w:val="6"/>
            <w:tcBorders>
              <w:top w:val="single" w:sz="4" w:space="0" w:color="auto"/>
              <w:left w:val="single" w:sz="4" w:space="0" w:color="auto"/>
              <w:bottom w:val="single" w:sz="4" w:space="0" w:color="auto"/>
              <w:right w:val="single" w:sz="4" w:space="0" w:color="auto"/>
            </w:tcBorders>
          </w:tcPr>
          <w:p w:rsidR="00FB61CC" w:rsidRPr="00C508D4" w:rsidRDefault="00FB61CC" w:rsidP="001B7DBC">
            <w:pPr>
              <w:pStyle w:val="TableText0"/>
              <w:keepLines/>
              <w:spacing w:before="0" w:after="0"/>
              <w:rPr>
                <w:szCs w:val="20"/>
              </w:rPr>
            </w:pPr>
            <w:r w:rsidRPr="00C508D4">
              <w:rPr>
                <w:szCs w:val="20"/>
              </w:rPr>
              <w:t xml:space="preserve">Natural history </w:t>
            </w:r>
          </w:p>
        </w:tc>
      </w:tr>
      <w:tr w:rsidR="00FB61CC" w:rsidRPr="00C508D4" w:rsidTr="00FB61CC">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auto"/>
            <w:hideMark/>
          </w:tcPr>
          <w:p w:rsidR="0086491B" w:rsidRPr="00C508D4" w:rsidRDefault="0086491B" w:rsidP="001B7DBC">
            <w:pPr>
              <w:pStyle w:val="TableText0"/>
              <w:keepLines/>
              <w:spacing w:before="0" w:after="0"/>
              <w:rPr>
                <w:szCs w:val="20"/>
              </w:rPr>
            </w:pPr>
            <w:r w:rsidRPr="00C508D4">
              <w:rPr>
                <w:szCs w:val="20"/>
              </w:rPr>
              <w:t>Cohort 1: Untreated Type III + IV</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C508D4" w:rsidRDefault="0086491B" w:rsidP="001B7DBC">
            <w:pPr>
              <w:pStyle w:val="TableText0"/>
              <w:keepLines/>
              <w:spacing w:before="0" w:after="0"/>
              <w:jc w:val="center"/>
              <w:rPr>
                <w:szCs w:val="20"/>
              </w:rPr>
            </w:pPr>
            <w:r w:rsidRPr="00C508D4">
              <w:rPr>
                <w:szCs w:val="20"/>
              </w:rPr>
              <w:t>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C508D4" w:rsidRDefault="0086491B" w:rsidP="001B7DBC">
            <w:pPr>
              <w:pStyle w:val="TableText0"/>
              <w:keepLines/>
              <w:spacing w:before="0" w:after="0"/>
              <w:jc w:val="center"/>
              <w:rPr>
                <w:szCs w:val="20"/>
              </w:rPr>
            </w:pPr>
            <w:r w:rsidRPr="00C508D4">
              <w:rPr>
                <w:szCs w:val="20"/>
              </w:rPr>
              <w:t>NR</w:t>
            </w:r>
            <w:r w:rsidRPr="00C508D4">
              <w:rPr>
                <w:szCs w:val="20"/>
                <w:vertAlign w:val="superscript"/>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C508D4" w:rsidRDefault="0086491B" w:rsidP="001B7DBC">
            <w:pPr>
              <w:pStyle w:val="TableText0"/>
              <w:keepLines/>
              <w:spacing w:before="0" w:after="0"/>
              <w:jc w:val="center"/>
              <w:rPr>
                <w:szCs w:val="20"/>
              </w:rPr>
            </w:pPr>
            <w:r w:rsidRPr="00C508D4">
              <w:rPr>
                <w:szCs w:val="20"/>
              </w:rPr>
              <w:t>NR</w:t>
            </w:r>
            <w:r w:rsidRPr="00C508D4">
              <w:rPr>
                <w:szCs w:val="20"/>
                <w:vertAlign w:val="superscript"/>
              </w:rPr>
              <w:t>a</w:t>
            </w:r>
          </w:p>
        </w:tc>
        <w:tc>
          <w:tcPr>
            <w:tcW w:w="1929" w:type="dxa"/>
            <w:tcBorders>
              <w:top w:val="single" w:sz="4" w:space="0" w:color="auto"/>
              <w:left w:val="single" w:sz="4" w:space="0" w:color="auto"/>
              <w:bottom w:val="single" w:sz="4" w:space="0" w:color="auto"/>
              <w:right w:val="single" w:sz="4" w:space="0" w:color="auto"/>
            </w:tcBorders>
          </w:tcPr>
          <w:p w:rsidR="0086491B" w:rsidRPr="00C508D4" w:rsidRDefault="0086491B" w:rsidP="001B7DBC">
            <w:pPr>
              <w:pStyle w:val="TableText0"/>
              <w:keepLines/>
              <w:spacing w:before="0" w:after="0"/>
              <w:jc w:val="center"/>
              <w:rPr>
                <w:szCs w:val="20"/>
              </w:rPr>
            </w:pPr>
            <w:r w:rsidRPr="00C508D4">
              <w:rPr>
                <w:szCs w:val="20"/>
              </w:rPr>
              <w:t>-0.011 (-0.0</w:t>
            </w:r>
            <w:r w:rsidR="00FB61CC" w:rsidRPr="00C508D4">
              <w:rPr>
                <w:szCs w:val="20"/>
              </w:rPr>
              <w:t>33</w:t>
            </w:r>
            <w:r w:rsidRPr="00C508D4">
              <w:rPr>
                <w:szCs w:val="20"/>
              </w:rPr>
              <w:t xml:space="preserve"> 0.01</w:t>
            </w:r>
            <w:r w:rsidR="00FB61CC" w:rsidRPr="00C508D4">
              <w:rPr>
                <w:szCs w:val="20"/>
              </w:rPr>
              <w:t>0</w:t>
            </w:r>
            <w:r w:rsidRPr="00C508D4">
              <w:rPr>
                <w:szCs w:val="20"/>
              </w:rPr>
              <w:t>)</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C508D4" w:rsidRDefault="0086491B" w:rsidP="001B7DBC">
            <w:pPr>
              <w:pStyle w:val="TableText0"/>
              <w:keepLines/>
              <w:spacing w:before="0" w:after="0"/>
              <w:jc w:val="center"/>
              <w:rPr>
                <w:szCs w:val="20"/>
              </w:rPr>
            </w:pPr>
            <w:r w:rsidRPr="00C508D4">
              <w:rPr>
                <w:szCs w:val="20"/>
              </w:rPr>
              <w:t>-0.59 p=0.305</w:t>
            </w:r>
          </w:p>
        </w:tc>
      </w:tr>
      <w:tr w:rsidR="00FB61CC" w:rsidRPr="00C508D4" w:rsidTr="00FB61CC">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auto"/>
            <w:hideMark/>
          </w:tcPr>
          <w:p w:rsidR="0086491B" w:rsidRPr="00C508D4" w:rsidRDefault="0086491B" w:rsidP="001B7DBC">
            <w:pPr>
              <w:pStyle w:val="TableText0"/>
              <w:keepLines/>
              <w:spacing w:before="0" w:after="0"/>
              <w:rPr>
                <w:szCs w:val="20"/>
              </w:rPr>
            </w:pPr>
            <w:r w:rsidRPr="00C508D4">
              <w:rPr>
                <w:szCs w:val="20"/>
              </w:rPr>
              <w:t xml:space="preserve">Cohort 2: Before treatment Type III + IV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C508D4" w:rsidRDefault="0086491B" w:rsidP="001B7DBC">
            <w:pPr>
              <w:pStyle w:val="TableText0"/>
              <w:keepLines/>
              <w:spacing w:before="0" w:after="0"/>
              <w:jc w:val="center"/>
              <w:rPr>
                <w:szCs w:val="20"/>
              </w:rPr>
            </w:pPr>
            <w:r w:rsidRPr="00C508D4">
              <w:rPr>
                <w:szCs w:val="20"/>
              </w:rPr>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C508D4" w:rsidRDefault="0086491B" w:rsidP="001B7DBC">
            <w:pPr>
              <w:pStyle w:val="TableText0"/>
              <w:keepLines/>
              <w:spacing w:before="0" w:after="0"/>
              <w:jc w:val="center"/>
              <w:rPr>
                <w:szCs w:val="20"/>
              </w:rPr>
            </w:pPr>
            <w:r w:rsidRPr="00C508D4">
              <w:rPr>
                <w:szCs w:val="20"/>
              </w:rPr>
              <w:t>37.6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C508D4" w:rsidRDefault="0086491B" w:rsidP="001B7DBC">
            <w:pPr>
              <w:pStyle w:val="TableText0"/>
              <w:keepLines/>
              <w:spacing w:before="0" w:after="0"/>
              <w:jc w:val="center"/>
              <w:rPr>
                <w:szCs w:val="20"/>
              </w:rPr>
            </w:pPr>
            <w:r w:rsidRPr="00C508D4">
              <w:rPr>
                <w:szCs w:val="20"/>
              </w:rPr>
              <w:t>29.15 n=47</w:t>
            </w:r>
          </w:p>
        </w:tc>
        <w:tc>
          <w:tcPr>
            <w:tcW w:w="1929" w:type="dxa"/>
            <w:tcBorders>
              <w:top w:val="single" w:sz="4" w:space="0" w:color="auto"/>
              <w:left w:val="single" w:sz="4" w:space="0" w:color="auto"/>
              <w:bottom w:val="single" w:sz="4" w:space="0" w:color="auto"/>
              <w:right w:val="single" w:sz="4" w:space="0" w:color="auto"/>
            </w:tcBorders>
          </w:tcPr>
          <w:p w:rsidR="0086491B" w:rsidRPr="00C508D4" w:rsidRDefault="00FB61CC" w:rsidP="001B7DBC">
            <w:pPr>
              <w:pStyle w:val="TableText0"/>
              <w:keepLines/>
              <w:spacing w:before="0" w:after="0"/>
              <w:jc w:val="center"/>
              <w:rPr>
                <w:szCs w:val="20"/>
              </w:rPr>
            </w:pPr>
            <w:r w:rsidRPr="00C508D4">
              <w:rPr>
                <w:szCs w:val="20"/>
              </w:rPr>
              <w:t>-0.00006(-0.010,0.009)</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1B" w:rsidRPr="00C508D4" w:rsidRDefault="0086491B" w:rsidP="001B7DBC">
            <w:pPr>
              <w:pStyle w:val="TableText0"/>
              <w:keepLines/>
              <w:spacing w:before="0" w:after="0"/>
              <w:jc w:val="center"/>
              <w:rPr>
                <w:szCs w:val="20"/>
              </w:rPr>
            </w:pPr>
            <w:r w:rsidRPr="00C508D4">
              <w:rPr>
                <w:szCs w:val="20"/>
              </w:rPr>
              <w:t>-0.00312 p=0.9903</w:t>
            </w:r>
          </w:p>
        </w:tc>
      </w:tr>
    </w:tbl>
    <w:p w:rsidR="00C66BE6" w:rsidRPr="001A05F4" w:rsidRDefault="00C66BE6" w:rsidP="001B7DBC">
      <w:pPr>
        <w:pStyle w:val="TableFooter"/>
        <w:keepNext/>
        <w:keepLines/>
        <w:rPr>
          <w:rFonts w:ascii="Arial" w:hAnsi="Arial" w:cs="Times New Roman"/>
          <w:sz w:val="16"/>
          <w:szCs w:val="16"/>
          <w:lang w:eastAsia="en-AU"/>
        </w:rPr>
      </w:pPr>
      <w:r w:rsidRPr="00C508D4">
        <w:t>Note: The total cohort 1 compromises of 252 patients:</w:t>
      </w:r>
    </w:p>
    <w:p w:rsidR="00C66BE6" w:rsidRPr="001A05F4" w:rsidRDefault="00C66BE6" w:rsidP="001B7DBC">
      <w:pPr>
        <w:pStyle w:val="TableFooter"/>
        <w:keepNext/>
        <w:keepLines/>
      </w:pPr>
      <w:r w:rsidRPr="001A05F4">
        <w:t>• Treated cohort 1, adults: n=235 – SMA Type III: n=228 (97.02%) and SMA Type IV: n=7 (2.98%)</w:t>
      </w:r>
    </w:p>
    <w:p w:rsidR="00C66BE6" w:rsidRPr="001A05F4" w:rsidRDefault="00C66BE6" w:rsidP="001B7DBC">
      <w:pPr>
        <w:pStyle w:val="TableFooter"/>
        <w:keepNext/>
        <w:keepLines/>
      </w:pPr>
      <w:r w:rsidRPr="001A05F4">
        <w:t>• Untreated cohort 1, adults: n=17 – SMA Type III: n=14 (82.35%) and SMA Type IV: n=3 (17.65%).</w:t>
      </w:r>
    </w:p>
    <w:p w:rsidR="00C66BE6" w:rsidRPr="001A05F4" w:rsidRDefault="00C66BE6" w:rsidP="001B7DBC">
      <w:pPr>
        <w:pStyle w:val="TableFooter"/>
        <w:keepNext/>
        <w:keepLines/>
      </w:pPr>
      <w:r w:rsidRPr="001A05F4">
        <w:t xml:space="preserve">The total cohort 2 compromises of 75 patients: </w:t>
      </w:r>
      <w:r w:rsidRPr="001A05F4">
        <w:rPr>
          <w:rFonts w:cstheme="minorHAnsi"/>
        </w:rPr>
        <w:t xml:space="preserve">All patients are </w:t>
      </w:r>
      <w:r w:rsidRPr="001A05F4">
        <w:t>SMA Type III (n=74, 98.7%) and IV (n=1, 1.3%).</w:t>
      </w:r>
    </w:p>
    <w:p w:rsidR="00C66BE6" w:rsidRPr="001A05F4" w:rsidRDefault="00C66BE6" w:rsidP="001B7DBC">
      <w:pPr>
        <w:pStyle w:val="TableFooter"/>
        <w:keepNext/>
        <w:keepLines/>
      </w:pPr>
      <w:r w:rsidRPr="001A05F4">
        <w:rPr>
          <w:vertAlign w:val="superscript"/>
        </w:rPr>
        <w:t>a</w:t>
      </w:r>
      <w:r w:rsidRPr="001A05F4">
        <w:t xml:space="preserve">Age and HFMSE score at baseline was not available for adults only for cohort 1 </w:t>
      </w:r>
    </w:p>
    <w:p w:rsidR="00CD206D" w:rsidRPr="001A05F4" w:rsidRDefault="00DB7B7C" w:rsidP="001B7DBC">
      <w:pPr>
        <w:pStyle w:val="TableFooter"/>
        <w:keepNext/>
        <w:keepLines/>
      </w:pPr>
      <w:r w:rsidRPr="001A05F4">
        <w:rPr>
          <w:vertAlign w:val="superscript"/>
        </w:rPr>
        <w:t>b</w:t>
      </w:r>
      <w:r w:rsidRPr="001A05F4">
        <w:t>Annualised change from baseline was estimated multipl</w:t>
      </w:r>
      <w:r w:rsidR="0086491B" w:rsidRPr="001A05F4">
        <w:t xml:space="preserve">ying the weekly rate of change </w:t>
      </w:r>
      <w:r w:rsidRPr="001A05F4">
        <w:t>by 52 to give an approximate change per year</w:t>
      </w:r>
      <w:r w:rsidR="001A05F4">
        <w:t xml:space="preserve">. </w:t>
      </w:r>
    </w:p>
    <w:p w:rsidR="00C66BE6" w:rsidRPr="001A05F4" w:rsidRDefault="00C66BE6" w:rsidP="001B7DBC">
      <w:pPr>
        <w:pStyle w:val="TableFooter"/>
        <w:keepNext/>
        <w:keepLines/>
      </w:pPr>
      <w:r w:rsidRPr="001A05F4">
        <w:t>HFMSE=Hammersmith motor function scale – expanded; NR=not reported</w:t>
      </w:r>
    </w:p>
    <w:p w:rsidR="00C66BE6" w:rsidRPr="001A05F4" w:rsidRDefault="00C66BE6" w:rsidP="001B7DBC">
      <w:pPr>
        <w:pStyle w:val="TableFooter"/>
        <w:keepNext/>
        <w:keepLines/>
      </w:pPr>
      <w:r w:rsidRPr="001A05F4">
        <w:t>Source: Table 2.81, p257 of the resubmission</w:t>
      </w:r>
      <w:r w:rsidR="00FB61CC" w:rsidRPr="001A05F4">
        <w:t>, Table</w:t>
      </w:r>
      <w:r w:rsidR="008E4642" w:rsidRPr="001A05F4">
        <w:t>s</w:t>
      </w:r>
      <w:r w:rsidR="00FB61CC" w:rsidRPr="001A05F4">
        <w:t xml:space="preserve"> 3.1.2.2</w:t>
      </w:r>
      <w:r w:rsidR="008E4642" w:rsidRPr="001A05F4">
        <w:t xml:space="preserve"> and 3.2.2.1, SMA Registry 2020 Analyses Report</w:t>
      </w:r>
    </w:p>
    <w:p w:rsidR="00C66BE6" w:rsidRPr="001A05F4" w:rsidRDefault="00C66BE6" w:rsidP="00C66BE6">
      <w:pPr>
        <w:pStyle w:val="TableFooter"/>
      </w:pPr>
    </w:p>
    <w:p w:rsidR="00C66BE6" w:rsidRPr="001A05F4" w:rsidRDefault="00C66BE6" w:rsidP="00F9436F">
      <w:pPr>
        <w:pStyle w:val="3-BodyText"/>
        <w:numPr>
          <w:ilvl w:val="1"/>
          <w:numId w:val="2"/>
        </w:numPr>
        <w:rPr>
          <w:iCs/>
        </w:rPr>
      </w:pPr>
      <w:r w:rsidRPr="001A05F4">
        <w:t>The results from the SMA Registr</w:t>
      </w:r>
      <w:r w:rsidR="006E2AE4" w:rsidRPr="001A05F4">
        <w:t>y</w:t>
      </w:r>
      <w:r w:rsidRPr="001A05F4">
        <w:t xml:space="preserve"> </w:t>
      </w:r>
      <w:r w:rsidR="00F366CD" w:rsidRPr="001A05F4">
        <w:t xml:space="preserve">were </w:t>
      </w:r>
      <w:r w:rsidRPr="001A05F4">
        <w:t xml:space="preserve">consistent in direction with the results from the published studies. A small decrease in HFMSE was observed for untreated patients while a small increase in HFMSE </w:t>
      </w:r>
      <w:r w:rsidR="005729A3" w:rsidRPr="001A05F4">
        <w:t>wa</w:t>
      </w:r>
      <w:r w:rsidRPr="001A05F4">
        <w:t xml:space="preserve">s observed for patients treated with nusinersen. </w:t>
      </w:r>
      <w:r w:rsidR="00650C13" w:rsidRPr="001A05F4">
        <w:rPr>
          <w:iCs/>
        </w:rPr>
        <w:t xml:space="preserve">It may be </w:t>
      </w:r>
      <w:r w:rsidR="008C5966" w:rsidRPr="001A05F4">
        <w:rPr>
          <w:iCs/>
        </w:rPr>
        <w:t xml:space="preserve">not have been appropriate to </w:t>
      </w:r>
      <w:r w:rsidR="00650C13" w:rsidRPr="001A05F4">
        <w:rPr>
          <w:iCs/>
        </w:rPr>
        <w:t>multipl</w:t>
      </w:r>
      <w:r w:rsidR="00F366CD" w:rsidRPr="001A05F4">
        <w:rPr>
          <w:iCs/>
        </w:rPr>
        <w:t>y</w:t>
      </w:r>
      <w:r w:rsidR="00650C13" w:rsidRPr="001A05F4">
        <w:rPr>
          <w:iCs/>
        </w:rPr>
        <w:t xml:space="preserve"> a weekly rate by 52 to derive an annual rate</w:t>
      </w:r>
      <w:r w:rsidR="008C5966" w:rsidRPr="001A05F4">
        <w:rPr>
          <w:iCs/>
        </w:rPr>
        <w:t>, instead of estimating an annual rate with the available data (as was done for other nusinersen studies).</w:t>
      </w:r>
      <w:r w:rsidR="00650C13" w:rsidRPr="001A05F4">
        <w:rPr>
          <w:iCs/>
        </w:rPr>
        <w:t xml:space="preserve"> </w:t>
      </w:r>
      <w:r w:rsidRPr="001A05F4">
        <w:rPr>
          <w:iCs/>
        </w:rPr>
        <w:t xml:space="preserve">Due to the non-comparative nature of the data, these results do not allow for an accurate quantification of HFMSE benefit when </w:t>
      </w:r>
      <w:r w:rsidR="00655FF6" w:rsidRPr="001A05F4">
        <w:rPr>
          <w:iCs/>
        </w:rPr>
        <w:t xml:space="preserve">treated with </w:t>
      </w:r>
      <w:r w:rsidRPr="001A05F4">
        <w:rPr>
          <w:iCs/>
        </w:rPr>
        <w:t xml:space="preserve">nusinersen. Nonetheless, the before and after results in Cohort 2 may indicate a higher quality of evidence than the naïve comparison </w:t>
      </w:r>
      <w:r w:rsidR="00A47693" w:rsidRPr="001A05F4">
        <w:rPr>
          <w:iCs/>
        </w:rPr>
        <w:t>as it may be argued that each patient acted as their own control. A</w:t>
      </w:r>
      <w:r w:rsidRPr="001A05F4">
        <w:rPr>
          <w:iCs/>
        </w:rPr>
        <w:t xml:space="preserve">n incremental annualised change in HFMSE of +1.34 </w:t>
      </w:r>
      <w:r w:rsidR="00A47693" w:rsidRPr="001A05F4">
        <w:rPr>
          <w:iCs/>
        </w:rPr>
        <w:t xml:space="preserve">was reported </w:t>
      </w:r>
      <w:r w:rsidRPr="001A05F4">
        <w:rPr>
          <w:iCs/>
        </w:rPr>
        <w:t xml:space="preserve">in patients after nusinersen treatment compared to before treatment. </w:t>
      </w:r>
      <w:r w:rsidR="00E12AFB" w:rsidRPr="001A05F4">
        <w:rPr>
          <w:iCs/>
        </w:rPr>
        <w:t xml:space="preserve">It was noted that this was less than the </w:t>
      </w:r>
      <w:r w:rsidR="00E12AFB" w:rsidRPr="001A05F4">
        <w:rPr>
          <w:rFonts w:cstheme="minorHAnsi"/>
          <w:iCs/>
        </w:rPr>
        <w:t>≥</w:t>
      </w:r>
      <w:r w:rsidR="00E12AFB" w:rsidRPr="001A05F4">
        <w:rPr>
          <w:iCs/>
        </w:rPr>
        <w:t xml:space="preserve">3 point of change required for a minimally clinically important difference proposed by the resubmission. </w:t>
      </w:r>
    </w:p>
    <w:p w:rsidR="00C66BE6" w:rsidRPr="001A05F4" w:rsidRDefault="001B7DBC" w:rsidP="00F9436F">
      <w:pPr>
        <w:pStyle w:val="3-BodyText"/>
        <w:numPr>
          <w:ilvl w:val="1"/>
          <w:numId w:val="2"/>
        </w:numPr>
      </w:pPr>
      <w:r w:rsidRPr="001A05F4">
        <w:t>T</w:t>
      </w:r>
      <w:r w:rsidR="00C66BE6" w:rsidRPr="001A05F4">
        <w:t xml:space="preserve">he results </w:t>
      </w:r>
      <w:r w:rsidRPr="001A05F4">
        <w:t xml:space="preserve">of the naïve comparison for RULM </w:t>
      </w:r>
      <w:r w:rsidR="00C66BE6" w:rsidRPr="001A05F4">
        <w:t>from the nusinersen studies and the natural history studies are presented in</w:t>
      </w:r>
      <w:r w:rsidR="00E12AFB" w:rsidRPr="001A05F4">
        <w:t xml:space="preserve"> </w:t>
      </w:r>
      <w:r w:rsidR="00BC2D8D" w:rsidRPr="001A05F4">
        <w:t>Table 8</w:t>
      </w:r>
      <w:r w:rsidR="00C66BE6" w:rsidRPr="001A05F4">
        <w:t xml:space="preserve">. </w:t>
      </w:r>
    </w:p>
    <w:p w:rsidR="00C66BE6" w:rsidRPr="001A05F4" w:rsidRDefault="00E12AFB" w:rsidP="001B7DBC">
      <w:pPr>
        <w:keepNext/>
        <w:keepLines/>
        <w:rPr>
          <w:rStyle w:val="CommentReference"/>
        </w:rPr>
      </w:pPr>
      <w:bookmarkStart w:id="23" w:name="_Ref71584881"/>
      <w:r w:rsidRPr="001A05F4">
        <w:rPr>
          <w:rStyle w:val="CommentReference"/>
        </w:rPr>
        <w:t xml:space="preserve">Table </w:t>
      </w:r>
      <w:r w:rsidR="00BC2D8D" w:rsidRPr="001A05F4">
        <w:rPr>
          <w:rStyle w:val="CommentReference"/>
        </w:rPr>
        <w:t>8</w:t>
      </w:r>
      <w:bookmarkEnd w:id="23"/>
      <w:r w:rsidR="00C66BE6" w:rsidRPr="001A05F4">
        <w:rPr>
          <w:rStyle w:val="CommentReference"/>
        </w:rPr>
        <w:t>:</w:t>
      </w:r>
      <w:r w:rsidRPr="001A05F4">
        <w:rPr>
          <w:rStyle w:val="CommentReference"/>
        </w:rPr>
        <w:t xml:space="preserve"> </w:t>
      </w:r>
      <w:r w:rsidR="00C66BE6" w:rsidRPr="001A05F4">
        <w:rPr>
          <w:rStyle w:val="CommentReference"/>
        </w:rPr>
        <w:t>RULM change from baseline across published studies</w:t>
      </w:r>
    </w:p>
    <w:tbl>
      <w:tblPr>
        <w:tblStyle w:val="TableGrid"/>
        <w:tblW w:w="9209" w:type="dxa"/>
        <w:tblCellMar>
          <w:left w:w="28" w:type="dxa"/>
          <w:right w:w="28" w:type="dxa"/>
        </w:tblCellMar>
        <w:tblLook w:val="04A0" w:firstRow="1" w:lastRow="0" w:firstColumn="1" w:lastColumn="0" w:noHBand="0" w:noVBand="1"/>
        <w:tblCaption w:val="Table 8: RULM change from baseline across published studies"/>
      </w:tblPr>
      <w:tblGrid>
        <w:gridCol w:w="1209"/>
        <w:gridCol w:w="1763"/>
        <w:gridCol w:w="567"/>
        <w:gridCol w:w="1477"/>
        <w:gridCol w:w="1500"/>
        <w:gridCol w:w="2693"/>
      </w:tblGrid>
      <w:tr w:rsidR="00C66BE6" w:rsidRPr="001A05F4" w:rsidTr="007D52E8">
        <w:trPr>
          <w:tblHeader/>
        </w:trPr>
        <w:tc>
          <w:tcPr>
            <w:tcW w:w="1209" w:type="dxa"/>
            <w:shd w:val="clear" w:color="auto" w:fill="auto"/>
            <w:vAlign w:val="center"/>
          </w:tcPr>
          <w:p w:rsidR="00C66BE6" w:rsidRPr="001A05F4" w:rsidRDefault="00C66BE6" w:rsidP="001B7DBC">
            <w:pPr>
              <w:pStyle w:val="TableText0"/>
              <w:keepLines/>
              <w:spacing w:before="0" w:after="0"/>
              <w:jc w:val="center"/>
              <w:rPr>
                <w:b/>
                <w:szCs w:val="20"/>
              </w:rPr>
            </w:pPr>
            <w:r w:rsidRPr="001A05F4">
              <w:rPr>
                <w:b/>
                <w:szCs w:val="20"/>
              </w:rPr>
              <w:t>Study</w:t>
            </w:r>
          </w:p>
        </w:tc>
        <w:tc>
          <w:tcPr>
            <w:tcW w:w="1763" w:type="dxa"/>
            <w:shd w:val="clear" w:color="auto" w:fill="auto"/>
            <w:vAlign w:val="center"/>
          </w:tcPr>
          <w:p w:rsidR="00C66BE6" w:rsidRPr="001A05F4" w:rsidRDefault="00C66BE6" w:rsidP="001B7DBC">
            <w:pPr>
              <w:pStyle w:val="TableText0"/>
              <w:keepLines/>
              <w:spacing w:before="0" w:after="0"/>
              <w:jc w:val="center"/>
              <w:rPr>
                <w:b/>
                <w:szCs w:val="20"/>
              </w:rPr>
            </w:pPr>
            <w:r w:rsidRPr="001A05F4">
              <w:rPr>
                <w:b/>
                <w:szCs w:val="20"/>
              </w:rPr>
              <w:t>Type</w:t>
            </w:r>
          </w:p>
        </w:tc>
        <w:tc>
          <w:tcPr>
            <w:tcW w:w="567" w:type="dxa"/>
            <w:shd w:val="clear" w:color="auto" w:fill="auto"/>
            <w:vAlign w:val="center"/>
          </w:tcPr>
          <w:p w:rsidR="00C66BE6" w:rsidRPr="001A05F4" w:rsidRDefault="00C66BE6" w:rsidP="001B7DBC">
            <w:pPr>
              <w:pStyle w:val="TableText0"/>
              <w:keepLines/>
              <w:spacing w:before="0" w:after="0"/>
              <w:jc w:val="center"/>
              <w:rPr>
                <w:b/>
                <w:szCs w:val="20"/>
              </w:rPr>
            </w:pPr>
            <w:r w:rsidRPr="001A05F4">
              <w:rPr>
                <w:b/>
                <w:szCs w:val="20"/>
              </w:rPr>
              <w:t>N</w:t>
            </w:r>
          </w:p>
        </w:tc>
        <w:tc>
          <w:tcPr>
            <w:tcW w:w="1477" w:type="dxa"/>
            <w:shd w:val="clear" w:color="auto" w:fill="auto"/>
            <w:vAlign w:val="center"/>
          </w:tcPr>
          <w:p w:rsidR="00C66BE6" w:rsidRPr="001A05F4" w:rsidRDefault="00C66BE6" w:rsidP="001B7DBC">
            <w:pPr>
              <w:pStyle w:val="TableText0"/>
              <w:keepLines/>
              <w:spacing w:before="0" w:after="0"/>
              <w:jc w:val="center"/>
              <w:rPr>
                <w:b/>
                <w:szCs w:val="20"/>
              </w:rPr>
            </w:pPr>
            <w:r w:rsidRPr="001A05F4">
              <w:rPr>
                <w:b/>
                <w:bCs/>
                <w:szCs w:val="20"/>
              </w:rPr>
              <w:t>Mean Age in years (SD)</w:t>
            </w:r>
          </w:p>
        </w:tc>
        <w:tc>
          <w:tcPr>
            <w:tcW w:w="1500" w:type="dxa"/>
            <w:shd w:val="clear" w:color="auto" w:fill="auto"/>
            <w:vAlign w:val="center"/>
          </w:tcPr>
          <w:p w:rsidR="00C66BE6" w:rsidRPr="001A05F4" w:rsidRDefault="00C66BE6" w:rsidP="001B7DBC">
            <w:pPr>
              <w:pStyle w:val="TableText0"/>
              <w:keepLines/>
              <w:spacing w:before="0" w:after="0"/>
              <w:jc w:val="center"/>
              <w:rPr>
                <w:b/>
                <w:szCs w:val="20"/>
              </w:rPr>
            </w:pPr>
            <w:r w:rsidRPr="001A05F4">
              <w:rPr>
                <w:b/>
                <w:bCs/>
                <w:szCs w:val="20"/>
              </w:rPr>
              <w:t>Mean Baseline RULM (SD)</w:t>
            </w:r>
          </w:p>
        </w:tc>
        <w:tc>
          <w:tcPr>
            <w:tcW w:w="2693" w:type="dxa"/>
            <w:shd w:val="clear" w:color="auto" w:fill="auto"/>
            <w:vAlign w:val="center"/>
          </w:tcPr>
          <w:p w:rsidR="00C66BE6" w:rsidRPr="001A05F4" w:rsidRDefault="00C66BE6" w:rsidP="001B7DBC">
            <w:pPr>
              <w:pStyle w:val="TableText0"/>
              <w:keepLines/>
              <w:spacing w:before="0" w:after="0"/>
              <w:jc w:val="center"/>
              <w:rPr>
                <w:b/>
                <w:szCs w:val="20"/>
              </w:rPr>
            </w:pPr>
            <w:r w:rsidRPr="001A05F4">
              <w:rPr>
                <w:b/>
                <w:szCs w:val="20"/>
              </w:rPr>
              <w:t>Annualised change from baseline</w:t>
            </w:r>
          </w:p>
          <w:p w:rsidR="00C66BE6" w:rsidRPr="001A05F4" w:rsidRDefault="00C66BE6" w:rsidP="001B7DBC">
            <w:pPr>
              <w:pStyle w:val="TableText0"/>
              <w:keepLines/>
              <w:spacing w:before="0" w:after="0"/>
              <w:jc w:val="center"/>
              <w:rPr>
                <w:b/>
                <w:szCs w:val="20"/>
              </w:rPr>
            </w:pPr>
            <w:r w:rsidRPr="001A05F4">
              <w:rPr>
                <w:b/>
                <w:szCs w:val="20"/>
              </w:rPr>
              <w:t>(mean (SD); median (range)) –</w:t>
            </w:r>
          </w:p>
          <w:p w:rsidR="00C66BE6" w:rsidRPr="001A05F4" w:rsidRDefault="00C66BE6" w:rsidP="001B7DBC">
            <w:pPr>
              <w:pStyle w:val="TableText0"/>
              <w:keepLines/>
              <w:spacing w:before="0" w:after="0"/>
              <w:jc w:val="center"/>
              <w:rPr>
                <w:b/>
                <w:szCs w:val="20"/>
              </w:rPr>
            </w:pPr>
            <w:r w:rsidRPr="001A05F4">
              <w:rPr>
                <w:b/>
                <w:szCs w:val="20"/>
              </w:rPr>
              <w:t>p-value</w:t>
            </w:r>
          </w:p>
        </w:tc>
      </w:tr>
      <w:tr w:rsidR="00C66BE6" w:rsidRPr="001A05F4" w:rsidTr="00683790">
        <w:tc>
          <w:tcPr>
            <w:tcW w:w="9209" w:type="dxa"/>
            <w:gridSpan w:val="6"/>
            <w:shd w:val="clear" w:color="auto" w:fill="auto"/>
          </w:tcPr>
          <w:p w:rsidR="00C66BE6" w:rsidRPr="001A05F4" w:rsidRDefault="00C66BE6" w:rsidP="001B7DBC">
            <w:pPr>
              <w:pStyle w:val="TableText0"/>
              <w:keepLines/>
              <w:spacing w:before="0" w:after="0"/>
              <w:rPr>
                <w:b/>
                <w:szCs w:val="20"/>
              </w:rPr>
            </w:pPr>
            <w:r w:rsidRPr="001A05F4">
              <w:rPr>
                <w:b/>
                <w:szCs w:val="20"/>
              </w:rPr>
              <w:t>Nusinersen studies</w:t>
            </w:r>
          </w:p>
        </w:tc>
      </w:tr>
      <w:tr w:rsidR="00C66BE6" w:rsidRPr="001A05F4" w:rsidTr="00683790">
        <w:tc>
          <w:tcPr>
            <w:tcW w:w="1209" w:type="dxa"/>
            <w:vMerge w:val="restart"/>
          </w:tcPr>
          <w:p w:rsidR="00C66BE6" w:rsidRPr="001A05F4" w:rsidRDefault="00C66BE6" w:rsidP="001B7DBC">
            <w:pPr>
              <w:pStyle w:val="TableText0"/>
              <w:keepLines/>
              <w:spacing w:before="0" w:after="0"/>
              <w:rPr>
                <w:szCs w:val="20"/>
              </w:rPr>
            </w:pPr>
            <w:r w:rsidRPr="001A05F4">
              <w:rPr>
                <w:szCs w:val="20"/>
              </w:rPr>
              <w:t>Maggi 2020</w:t>
            </w:r>
            <w:r w:rsidRPr="001A05F4">
              <w:rPr>
                <w:szCs w:val="20"/>
                <w:vertAlign w:val="superscript"/>
              </w:rPr>
              <w:t>a</w:t>
            </w:r>
          </w:p>
        </w:tc>
        <w:tc>
          <w:tcPr>
            <w:tcW w:w="1763" w:type="dxa"/>
            <w:vAlign w:val="center"/>
          </w:tcPr>
          <w:p w:rsidR="00C66BE6" w:rsidRPr="001A05F4" w:rsidRDefault="00C66BE6" w:rsidP="001B7DBC">
            <w:pPr>
              <w:pStyle w:val="TableText0"/>
              <w:keepLines/>
              <w:spacing w:before="0" w:after="0"/>
              <w:rPr>
                <w:szCs w:val="20"/>
              </w:rPr>
            </w:pPr>
            <w:r w:rsidRPr="001A05F4">
              <w:rPr>
                <w:szCs w:val="20"/>
              </w:rPr>
              <w:t>Type II + III (All)</w:t>
            </w:r>
          </w:p>
        </w:tc>
        <w:tc>
          <w:tcPr>
            <w:tcW w:w="567" w:type="dxa"/>
            <w:vAlign w:val="center"/>
          </w:tcPr>
          <w:p w:rsidR="00C66BE6" w:rsidRPr="001A05F4" w:rsidRDefault="00C66BE6" w:rsidP="001B7DBC">
            <w:pPr>
              <w:pStyle w:val="TableText0"/>
              <w:keepLines/>
              <w:spacing w:before="0" w:after="0"/>
              <w:jc w:val="center"/>
              <w:rPr>
                <w:szCs w:val="20"/>
              </w:rPr>
            </w:pPr>
            <w:r w:rsidRPr="001A05F4">
              <w:rPr>
                <w:szCs w:val="20"/>
              </w:rPr>
              <w:t>50</w:t>
            </w:r>
          </w:p>
        </w:tc>
        <w:tc>
          <w:tcPr>
            <w:tcW w:w="1477" w:type="dxa"/>
            <w:vAlign w:val="center"/>
          </w:tcPr>
          <w:p w:rsidR="00C66BE6" w:rsidRPr="001A05F4" w:rsidRDefault="00C66BE6" w:rsidP="001B7DBC">
            <w:pPr>
              <w:pStyle w:val="TableText0"/>
              <w:keepLines/>
              <w:spacing w:before="0" w:after="0"/>
              <w:jc w:val="center"/>
              <w:rPr>
                <w:szCs w:val="20"/>
              </w:rPr>
            </w:pPr>
            <w:r w:rsidRPr="001A05F4">
              <w:rPr>
                <w:szCs w:val="20"/>
              </w:rPr>
              <w:t>36.8 (13.3), n=116</w:t>
            </w:r>
          </w:p>
        </w:tc>
        <w:tc>
          <w:tcPr>
            <w:tcW w:w="1500" w:type="dxa"/>
            <w:vAlign w:val="center"/>
          </w:tcPr>
          <w:p w:rsidR="00C66BE6" w:rsidRPr="001A05F4" w:rsidRDefault="00C66BE6" w:rsidP="001B7DBC">
            <w:pPr>
              <w:pStyle w:val="TableText0"/>
              <w:keepLines/>
              <w:spacing w:before="0" w:after="0"/>
              <w:jc w:val="center"/>
              <w:rPr>
                <w:szCs w:val="20"/>
              </w:rPr>
            </w:pPr>
            <w:r w:rsidRPr="001A05F4">
              <w:rPr>
                <w:szCs w:val="20"/>
              </w:rPr>
              <w:t>25.2 (11.6), n=114</w:t>
            </w:r>
          </w:p>
        </w:tc>
        <w:tc>
          <w:tcPr>
            <w:tcW w:w="2693" w:type="dxa"/>
            <w:vAlign w:val="center"/>
          </w:tcPr>
          <w:p w:rsidR="00C66BE6" w:rsidRPr="001A05F4" w:rsidRDefault="00C66BE6" w:rsidP="001B7DBC">
            <w:pPr>
              <w:pStyle w:val="TableText0"/>
              <w:keepLines/>
              <w:spacing w:before="0" w:after="0"/>
              <w:jc w:val="center"/>
              <w:rPr>
                <w:szCs w:val="20"/>
              </w:rPr>
            </w:pPr>
            <w:r w:rsidRPr="001A05F4">
              <w:rPr>
                <w:szCs w:val="20"/>
              </w:rPr>
              <w:t>+2.4 (NR); +1.5 (NR)</w:t>
            </w:r>
          </w:p>
        </w:tc>
      </w:tr>
      <w:tr w:rsidR="00C66BE6" w:rsidRPr="001A05F4" w:rsidTr="00683790">
        <w:tc>
          <w:tcPr>
            <w:tcW w:w="1209" w:type="dxa"/>
            <w:vMerge/>
          </w:tcPr>
          <w:p w:rsidR="00C66BE6" w:rsidRPr="001A05F4" w:rsidRDefault="00C66BE6" w:rsidP="001B7DBC">
            <w:pPr>
              <w:pStyle w:val="TableText0"/>
              <w:keepLines/>
              <w:spacing w:before="0" w:after="0"/>
              <w:rPr>
                <w:szCs w:val="20"/>
              </w:rPr>
            </w:pPr>
          </w:p>
        </w:tc>
        <w:tc>
          <w:tcPr>
            <w:tcW w:w="1763" w:type="dxa"/>
            <w:vAlign w:val="center"/>
          </w:tcPr>
          <w:p w:rsidR="00C66BE6" w:rsidRPr="001A05F4" w:rsidRDefault="00C66BE6" w:rsidP="001B7DBC">
            <w:pPr>
              <w:pStyle w:val="TableText0"/>
              <w:keepLines/>
              <w:spacing w:before="0" w:after="0"/>
              <w:rPr>
                <w:szCs w:val="20"/>
              </w:rPr>
            </w:pPr>
            <w:r w:rsidRPr="001A05F4">
              <w:rPr>
                <w:szCs w:val="20"/>
              </w:rPr>
              <w:t>Non-ambulatory Type II</w:t>
            </w:r>
          </w:p>
        </w:tc>
        <w:tc>
          <w:tcPr>
            <w:tcW w:w="567" w:type="dxa"/>
            <w:vAlign w:val="center"/>
          </w:tcPr>
          <w:p w:rsidR="00C66BE6" w:rsidRPr="001A05F4" w:rsidRDefault="00C66BE6" w:rsidP="001B7DBC">
            <w:pPr>
              <w:pStyle w:val="TableText0"/>
              <w:keepLines/>
              <w:spacing w:before="0" w:after="0"/>
              <w:jc w:val="center"/>
              <w:rPr>
                <w:szCs w:val="20"/>
              </w:rPr>
            </w:pPr>
            <w:r w:rsidRPr="001A05F4">
              <w:rPr>
                <w:szCs w:val="20"/>
              </w:rPr>
              <w:t>5</w:t>
            </w:r>
          </w:p>
        </w:tc>
        <w:tc>
          <w:tcPr>
            <w:tcW w:w="1477" w:type="dxa"/>
            <w:vAlign w:val="center"/>
          </w:tcPr>
          <w:p w:rsidR="00C66BE6" w:rsidRPr="001A05F4" w:rsidRDefault="00C66BE6" w:rsidP="001B7DBC">
            <w:pPr>
              <w:pStyle w:val="TableText0"/>
              <w:keepLines/>
              <w:spacing w:before="0" w:after="0"/>
              <w:jc w:val="center"/>
              <w:rPr>
                <w:szCs w:val="20"/>
              </w:rPr>
            </w:pPr>
            <w:r w:rsidRPr="001A05F4">
              <w:rPr>
                <w:szCs w:val="20"/>
              </w:rPr>
              <w:t>26.3 (7.5), n=13</w:t>
            </w:r>
          </w:p>
        </w:tc>
        <w:tc>
          <w:tcPr>
            <w:tcW w:w="1500" w:type="dxa"/>
            <w:vAlign w:val="center"/>
          </w:tcPr>
          <w:p w:rsidR="00C66BE6" w:rsidRPr="001A05F4" w:rsidRDefault="00C66BE6" w:rsidP="001B7DBC">
            <w:pPr>
              <w:pStyle w:val="TableText0"/>
              <w:keepLines/>
              <w:spacing w:before="0" w:after="0"/>
              <w:jc w:val="center"/>
              <w:rPr>
                <w:szCs w:val="20"/>
              </w:rPr>
            </w:pPr>
            <w:r w:rsidRPr="001A05F4">
              <w:rPr>
                <w:szCs w:val="20"/>
              </w:rPr>
              <w:t>6.42 (8.4), n=12</w:t>
            </w:r>
          </w:p>
        </w:tc>
        <w:tc>
          <w:tcPr>
            <w:tcW w:w="2693" w:type="dxa"/>
            <w:vAlign w:val="center"/>
          </w:tcPr>
          <w:p w:rsidR="00C66BE6" w:rsidRPr="001A05F4" w:rsidRDefault="00C66BE6" w:rsidP="001B7DBC">
            <w:pPr>
              <w:pStyle w:val="TableText0"/>
              <w:keepLines/>
              <w:spacing w:before="0" w:after="0"/>
              <w:jc w:val="center"/>
              <w:rPr>
                <w:szCs w:val="20"/>
              </w:rPr>
            </w:pPr>
            <w:r w:rsidRPr="001A05F4">
              <w:rPr>
                <w:szCs w:val="20"/>
              </w:rPr>
              <w:t>+1.6 (1.52); 2 (0 to 3), P&gt;0.05</w:t>
            </w:r>
          </w:p>
        </w:tc>
      </w:tr>
      <w:tr w:rsidR="00C66BE6" w:rsidRPr="001A05F4" w:rsidTr="00683790">
        <w:tc>
          <w:tcPr>
            <w:tcW w:w="1209" w:type="dxa"/>
            <w:vMerge/>
          </w:tcPr>
          <w:p w:rsidR="00C66BE6" w:rsidRPr="001A05F4" w:rsidRDefault="00C66BE6" w:rsidP="001B7DBC">
            <w:pPr>
              <w:pStyle w:val="TableText0"/>
              <w:keepLines/>
              <w:spacing w:before="0" w:after="0"/>
              <w:rPr>
                <w:szCs w:val="20"/>
              </w:rPr>
            </w:pPr>
          </w:p>
        </w:tc>
        <w:tc>
          <w:tcPr>
            <w:tcW w:w="1763" w:type="dxa"/>
            <w:vAlign w:val="center"/>
          </w:tcPr>
          <w:p w:rsidR="00C66BE6" w:rsidRPr="001A05F4" w:rsidRDefault="00C66BE6" w:rsidP="001B7DBC">
            <w:pPr>
              <w:pStyle w:val="TableText0"/>
              <w:keepLines/>
              <w:spacing w:before="0" w:after="0"/>
              <w:rPr>
                <w:szCs w:val="20"/>
              </w:rPr>
            </w:pPr>
            <w:r w:rsidRPr="001A05F4">
              <w:rPr>
                <w:szCs w:val="20"/>
              </w:rPr>
              <w:t>Non-ambulatory</w:t>
            </w:r>
          </w:p>
          <w:p w:rsidR="00C66BE6" w:rsidRPr="001A05F4" w:rsidRDefault="00C66BE6" w:rsidP="001B7DBC">
            <w:pPr>
              <w:pStyle w:val="TableText0"/>
              <w:keepLines/>
              <w:spacing w:before="0" w:after="0"/>
              <w:rPr>
                <w:szCs w:val="20"/>
              </w:rPr>
            </w:pPr>
            <w:r w:rsidRPr="001A05F4">
              <w:rPr>
                <w:szCs w:val="20"/>
              </w:rPr>
              <w:t>Type III sitters</w:t>
            </w:r>
          </w:p>
        </w:tc>
        <w:tc>
          <w:tcPr>
            <w:tcW w:w="567" w:type="dxa"/>
            <w:vAlign w:val="center"/>
          </w:tcPr>
          <w:p w:rsidR="00C66BE6" w:rsidRPr="001A05F4" w:rsidRDefault="00C66BE6" w:rsidP="001B7DBC">
            <w:pPr>
              <w:pStyle w:val="TableText0"/>
              <w:keepLines/>
              <w:spacing w:before="0" w:after="0"/>
              <w:jc w:val="center"/>
              <w:rPr>
                <w:szCs w:val="20"/>
              </w:rPr>
            </w:pPr>
            <w:r w:rsidRPr="001A05F4">
              <w:rPr>
                <w:szCs w:val="20"/>
              </w:rPr>
              <w:t>19</w:t>
            </w:r>
          </w:p>
        </w:tc>
        <w:tc>
          <w:tcPr>
            <w:tcW w:w="1477" w:type="dxa"/>
            <w:vAlign w:val="center"/>
          </w:tcPr>
          <w:p w:rsidR="00C66BE6" w:rsidRPr="001A05F4" w:rsidRDefault="00C66BE6" w:rsidP="001B7DBC">
            <w:pPr>
              <w:pStyle w:val="TableText0"/>
              <w:keepLines/>
              <w:spacing w:before="0" w:after="0"/>
              <w:jc w:val="center"/>
              <w:rPr>
                <w:szCs w:val="20"/>
              </w:rPr>
            </w:pPr>
            <w:r w:rsidRPr="001A05F4">
              <w:rPr>
                <w:szCs w:val="20"/>
              </w:rPr>
              <w:t>40.8 (14.0), n=51</w:t>
            </w:r>
          </w:p>
        </w:tc>
        <w:tc>
          <w:tcPr>
            <w:tcW w:w="1500" w:type="dxa"/>
            <w:vAlign w:val="center"/>
          </w:tcPr>
          <w:p w:rsidR="00C66BE6" w:rsidRPr="001A05F4" w:rsidRDefault="00C66BE6" w:rsidP="001B7DBC">
            <w:pPr>
              <w:pStyle w:val="TableText0"/>
              <w:keepLines/>
              <w:spacing w:before="0" w:after="0"/>
              <w:jc w:val="center"/>
              <w:rPr>
                <w:szCs w:val="20"/>
              </w:rPr>
            </w:pPr>
            <w:r w:rsidRPr="001A05F4">
              <w:rPr>
                <w:szCs w:val="20"/>
              </w:rPr>
              <w:t>20.16 (8.6), n=51</w:t>
            </w:r>
          </w:p>
        </w:tc>
        <w:tc>
          <w:tcPr>
            <w:tcW w:w="2693" w:type="dxa"/>
            <w:vAlign w:val="center"/>
          </w:tcPr>
          <w:p w:rsidR="00C66BE6" w:rsidRPr="001A05F4" w:rsidRDefault="00C66BE6" w:rsidP="001B7DBC">
            <w:pPr>
              <w:pStyle w:val="TableText0"/>
              <w:keepLines/>
              <w:spacing w:before="0" w:after="0"/>
              <w:jc w:val="center"/>
              <w:rPr>
                <w:szCs w:val="20"/>
              </w:rPr>
            </w:pPr>
            <w:r w:rsidRPr="001A05F4">
              <w:rPr>
                <w:szCs w:val="20"/>
              </w:rPr>
              <w:t>+1.47 (2.5); 2 (-6 to 5), p=0.018</w:t>
            </w:r>
          </w:p>
        </w:tc>
      </w:tr>
      <w:tr w:rsidR="00C66BE6" w:rsidRPr="001A05F4" w:rsidTr="00683790">
        <w:tc>
          <w:tcPr>
            <w:tcW w:w="1209" w:type="dxa"/>
            <w:vMerge/>
            <w:tcBorders>
              <w:bottom w:val="nil"/>
            </w:tcBorders>
          </w:tcPr>
          <w:p w:rsidR="00C66BE6" w:rsidRPr="001A05F4" w:rsidRDefault="00C66BE6" w:rsidP="001B7DBC">
            <w:pPr>
              <w:pStyle w:val="TableText0"/>
              <w:keepLines/>
              <w:spacing w:before="0" w:after="0"/>
              <w:rPr>
                <w:szCs w:val="20"/>
              </w:rPr>
            </w:pPr>
          </w:p>
        </w:tc>
        <w:tc>
          <w:tcPr>
            <w:tcW w:w="1763" w:type="dxa"/>
            <w:vAlign w:val="center"/>
          </w:tcPr>
          <w:p w:rsidR="00C66BE6" w:rsidRPr="001A05F4" w:rsidRDefault="00C66BE6" w:rsidP="001B7DBC">
            <w:pPr>
              <w:pStyle w:val="TableText0"/>
              <w:keepLines/>
              <w:spacing w:before="0" w:after="0"/>
              <w:rPr>
                <w:szCs w:val="20"/>
              </w:rPr>
            </w:pPr>
            <w:r w:rsidRPr="001A05F4">
              <w:rPr>
                <w:szCs w:val="20"/>
              </w:rPr>
              <w:t>Ambulatory</w:t>
            </w:r>
          </w:p>
          <w:p w:rsidR="00C66BE6" w:rsidRPr="001A05F4" w:rsidRDefault="00C66BE6" w:rsidP="001B7DBC">
            <w:pPr>
              <w:pStyle w:val="TableText0"/>
              <w:keepLines/>
              <w:spacing w:before="0" w:after="0"/>
              <w:rPr>
                <w:szCs w:val="20"/>
              </w:rPr>
            </w:pPr>
            <w:r w:rsidRPr="001A05F4">
              <w:rPr>
                <w:szCs w:val="20"/>
              </w:rPr>
              <w:t>Type III walkers</w:t>
            </w:r>
          </w:p>
        </w:tc>
        <w:tc>
          <w:tcPr>
            <w:tcW w:w="567" w:type="dxa"/>
            <w:vAlign w:val="center"/>
          </w:tcPr>
          <w:p w:rsidR="00C66BE6" w:rsidRPr="001A05F4" w:rsidRDefault="00C66BE6" w:rsidP="001B7DBC">
            <w:pPr>
              <w:pStyle w:val="TableText0"/>
              <w:keepLines/>
              <w:spacing w:before="0" w:after="0"/>
              <w:jc w:val="center"/>
              <w:rPr>
                <w:szCs w:val="20"/>
              </w:rPr>
            </w:pPr>
            <w:r w:rsidRPr="001A05F4">
              <w:rPr>
                <w:szCs w:val="20"/>
              </w:rPr>
              <w:t>25</w:t>
            </w:r>
          </w:p>
        </w:tc>
        <w:tc>
          <w:tcPr>
            <w:tcW w:w="1477" w:type="dxa"/>
            <w:vAlign w:val="center"/>
          </w:tcPr>
          <w:p w:rsidR="00C66BE6" w:rsidRPr="001A05F4" w:rsidRDefault="00C66BE6" w:rsidP="001B7DBC">
            <w:pPr>
              <w:pStyle w:val="TableText0"/>
              <w:keepLines/>
              <w:spacing w:before="0" w:after="0"/>
              <w:jc w:val="center"/>
              <w:rPr>
                <w:szCs w:val="20"/>
              </w:rPr>
            </w:pPr>
            <w:r w:rsidRPr="001A05F4">
              <w:rPr>
                <w:szCs w:val="20"/>
              </w:rPr>
              <w:t>35.5 (12.2), n=52</w:t>
            </w:r>
          </w:p>
        </w:tc>
        <w:tc>
          <w:tcPr>
            <w:tcW w:w="1500" w:type="dxa"/>
            <w:vAlign w:val="center"/>
          </w:tcPr>
          <w:p w:rsidR="00C66BE6" w:rsidRPr="001A05F4" w:rsidRDefault="00C66BE6" w:rsidP="001B7DBC">
            <w:pPr>
              <w:pStyle w:val="TableText0"/>
              <w:keepLines/>
              <w:spacing w:before="0" w:after="0"/>
              <w:jc w:val="center"/>
              <w:rPr>
                <w:szCs w:val="20"/>
              </w:rPr>
            </w:pPr>
            <w:r w:rsidRPr="001A05F4">
              <w:rPr>
                <w:szCs w:val="20"/>
              </w:rPr>
              <w:t>34.71 (36), n=51</w:t>
            </w:r>
          </w:p>
        </w:tc>
        <w:tc>
          <w:tcPr>
            <w:tcW w:w="2693" w:type="dxa"/>
            <w:vAlign w:val="center"/>
          </w:tcPr>
          <w:p w:rsidR="00C66BE6" w:rsidRPr="001A05F4" w:rsidRDefault="00C66BE6" w:rsidP="001B7DBC">
            <w:pPr>
              <w:pStyle w:val="TableText0"/>
              <w:keepLines/>
              <w:spacing w:before="0" w:after="0"/>
              <w:jc w:val="center"/>
              <w:rPr>
                <w:szCs w:val="20"/>
              </w:rPr>
            </w:pPr>
            <w:r w:rsidRPr="001A05F4">
              <w:rPr>
                <w:szCs w:val="20"/>
              </w:rPr>
              <w:t>+0.4 (1.83); 0 (-3 to 6), P&gt;0.05</w:t>
            </w:r>
          </w:p>
        </w:tc>
      </w:tr>
      <w:tr w:rsidR="00C66BE6" w:rsidRPr="001A05F4" w:rsidTr="00683790">
        <w:tc>
          <w:tcPr>
            <w:tcW w:w="1209" w:type="dxa"/>
            <w:vMerge w:val="restart"/>
            <w:shd w:val="clear" w:color="auto" w:fill="D9D9D9" w:themeFill="background1" w:themeFillShade="D9"/>
          </w:tcPr>
          <w:p w:rsidR="00C66BE6" w:rsidRPr="001A05F4" w:rsidRDefault="00C66BE6" w:rsidP="001B7DBC">
            <w:pPr>
              <w:pStyle w:val="TableText0"/>
              <w:keepLines/>
              <w:spacing w:before="0" w:after="0"/>
              <w:rPr>
                <w:szCs w:val="20"/>
              </w:rPr>
            </w:pPr>
            <w:r w:rsidRPr="001A05F4">
              <w:rPr>
                <w:szCs w:val="20"/>
              </w:rPr>
              <w:t>Hagenacker 2020</w:t>
            </w:r>
            <w:r w:rsidRPr="001A05F4">
              <w:rPr>
                <w:szCs w:val="20"/>
                <w:vertAlign w:val="superscript"/>
              </w:rPr>
              <w:t>a</w:t>
            </w:r>
          </w:p>
        </w:tc>
        <w:tc>
          <w:tcPr>
            <w:tcW w:w="1763" w:type="dxa"/>
            <w:shd w:val="clear" w:color="auto" w:fill="D9D9D9" w:themeFill="background1" w:themeFillShade="D9"/>
            <w:vAlign w:val="center"/>
          </w:tcPr>
          <w:p w:rsidR="00C66BE6" w:rsidRPr="001A05F4" w:rsidRDefault="00C66BE6" w:rsidP="001B7DBC">
            <w:pPr>
              <w:pStyle w:val="TableText0"/>
              <w:keepLines/>
              <w:spacing w:before="0" w:after="0"/>
              <w:rPr>
                <w:szCs w:val="20"/>
              </w:rPr>
            </w:pPr>
            <w:r w:rsidRPr="001A05F4">
              <w:rPr>
                <w:szCs w:val="20"/>
              </w:rPr>
              <w:t>Type II + III (All)</w:t>
            </w:r>
          </w:p>
        </w:tc>
        <w:tc>
          <w:tcPr>
            <w:tcW w:w="567"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57</w:t>
            </w:r>
          </w:p>
        </w:tc>
        <w:tc>
          <w:tcPr>
            <w:tcW w:w="1477"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33 (11)</w:t>
            </w:r>
          </w:p>
        </w:tc>
        <w:tc>
          <w:tcPr>
            <w:tcW w:w="1500"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23.85 (12.16), n = 58</w:t>
            </w:r>
          </w:p>
        </w:tc>
        <w:tc>
          <w:tcPr>
            <w:tcW w:w="2693"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+1.09 (±1.75); NR (0.62 to 1.55)</w:t>
            </w:r>
          </w:p>
          <w:p w:rsidR="00C66BE6" w:rsidRPr="001A05F4" w:rsidRDefault="00C66BE6" w:rsidP="001B7DBC">
            <w:pPr>
              <w:pStyle w:val="TableText0"/>
              <w:keepLines/>
              <w:spacing w:before="0" w:after="0"/>
              <w:jc w:val="center"/>
              <w:rPr>
                <w:szCs w:val="20"/>
              </w:rPr>
            </w:pPr>
            <w:r w:rsidRPr="001A05F4">
              <w:rPr>
                <w:szCs w:val="20"/>
              </w:rPr>
              <w:t>p&lt;0.0001</w:t>
            </w:r>
          </w:p>
        </w:tc>
      </w:tr>
      <w:tr w:rsidR="00C66BE6" w:rsidRPr="001A05F4" w:rsidTr="00683790">
        <w:tc>
          <w:tcPr>
            <w:tcW w:w="1209" w:type="dxa"/>
            <w:vMerge/>
            <w:shd w:val="clear" w:color="auto" w:fill="D9D9D9" w:themeFill="background1" w:themeFillShade="D9"/>
          </w:tcPr>
          <w:p w:rsidR="00C66BE6" w:rsidRPr="001A05F4" w:rsidRDefault="00C66BE6" w:rsidP="001B7DBC">
            <w:pPr>
              <w:pStyle w:val="TableText0"/>
              <w:keepLines/>
              <w:spacing w:before="0" w:after="0"/>
              <w:rPr>
                <w:szCs w:val="20"/>
                <w:vertAlign w:val="superscript"/>
              </w:rPr>
            </w:pPr>
          </w:p>
        </w:tc>
        <w:tc>
          <w:tcPr>
            <w:tcW w:w="1763" w:type="dxa"/>
            <w:shd w:val="clear" w:color="auto" w:fill="D9D9D9" w:themeFill="background1" w:themeFillShade="D9"/>
            <w:vAlign w:val="center"/>
          </w:tcPr>
          <w:p w:rsidR="00C66BE6" w:rsidRPr="001A05F4" w:rsidRDefault="00C66BE6" w:rsidP="001B7DBC">
            <w:pPr>
              <w:pStyle w:val="TableText0"/>
              <w:keepLines/>
              <w:spacing w:before="0" w:after="0"/>
              <w:rPr>
                <w:szCs w:val="20"/>
              </w:rPr>
            </w:pPr>
            <w:r w:rsidRPr="001A05F4">
              <w:rPr>
                <w:szCs w:val="20"/>
              </w:rPr>
              <w:t>Type II</w:t>
            </w:r>
          </w:p>
        </w:tc>
        <w:tc>
          <w:tcPr>
            <w:tcW w:w="567"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19</w:t>
            </w:r>
          </w:p>
        </w:tc>
        <w:tc>
          <w:tcPr>
            <w:tcW w:w="1477"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28.9 (9.41)</w:t>
            </w:r>
          </w:p>
        </w:tc>
        <w:tc>
          <w:tcPr>
            <w:tcW w:w="1500"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12.3 (9.0)</w:t>
            </w:r>
          </w:p>
        </w:tc>
        <w:tc>
          <w:tcPr>
            <w:tcW w:w="2693"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+1.6 (±2.0); NR (0.7 to 2.5)</w:t>
            </w:r>
          </w:p>
          <w:p w:rsidR="00C66BE6" w:rsidRPr="001A05F4" w:rsidRDefault="00C66BE6" w:rsidP="001B7DBC">
            <w:pPr>
              <w:pStyle w:val="TableText0"/>
              <w:keepLines/>
              <w:spacing w:before="0" w:after="0"/>
              <w:jc w:val="center"/>
              <w:rPr>
                <w:szCs w:val="20"/>
              </w:rPr>
            </w:pPr>
            <w:r w:rsidRPr="001A05F4">
              <w:rPr>
                <w:szCs w:val="20"/>
              </w:rPr>
              <w:t>p=0.0049</w:t>
            </w:r>
          </w:p>
        </w:tc>
      </w:tr>
      <w:tr w:rsidR="00C66BE6" w:rsidRPr="001A05F4" w:rsidTr="00683790">
        <w:tc>
          <w:tcPr>
            <w:tcW w:w="1209" w:type="dxa"/>
            <w:vMerge/>
            <w:shd w:val="clear" w:color="auto" w:fill="D9D9D9" w:themeFill="background1" w:themeFillShade="D9"/>
          </w:tcPr>
          <w:p w:rsidR="00C66BE6" w:rsidRPr="001A05F4" w:rsidRDefault="00C66BE6" w:rsidP="001B7DBC">
            <w:pPr>
              <w:pStyle w:val="TableText0"/>
              <w:keepLines/>
              <w:spacing w:before="0" w:after="0"/>
              <w:rPr>
                <w:szCs w:val="20"/>
              </w:rPr>
            </w:pPr>
          </w:p>
        </w:tc>
        <w:tc>
          <w:tcPr>
            <w:tcW w:w="1763" w:type="dxa"/>
            <w:shd w:val="clear" w:color="auto" w:fill="D9D9D9" w:themeFill="background1" w:themeFillShade="D9"/>
            <w:vAlign w:val="center"/>
          </w:tcPr>
          <w:p w:rsidR="00C66BE6" w:rsidRPr="001A05F4" w:rsidRDefault="00C66BE6" w:rsidP="001B7DBC">
            <w:pPr>
              <w:pStyle w:val="TableText0"/>
              <w:keepLines/>
              <w:spacing w:before="0" w:after="0"/>
              <w:rPr>
                <w:szCs w:val="20"/>
              </w:rPr>
            </w:pPr>
            <w:r w:rsidRPr="001A05F4">
              <w:rPr>
                <w:szCs w:val="20"/>
              </w:rPr>
              <w:t>Type III</w:t>
            </w:r>
          </w:p>
        </w:tc>
        <w:tc>
          <w:tcPr>
            <w:tcW w:w="567"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38</w:t>
            </w:r>
          </w:p>
        </w:tc>
        <w:tc>
          <w:tcPr>
            <w:tcW w:w="1477"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35.7 (11.6)</w:t>
            </w:r>
          </w:p>
        </w:tc>
        <w:tc>
          <w:tcPr>
            <w:tcW w:w="1500"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29.5 (9.1)</w:t>
            </w:r>
          </w:p>
        </w:tc>
        <w:tc>
          <w:tcPr>
            <w:tcW w:w="2693"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+0.7 (±1.7); NR (0.2 to 1.3)</w:t>
            </w:r>
          </w:p>
          <w:p w:rsidR="00C66BE6" w:rsidRPr="001A05F4" w:rsidRDefault="00C66BE6" w:rsidP="001B7DBC">
            <w:pPr>
              <w:pStyle w:val="TableText0"/>
              <w:keepLines/>
              <w:spacing w:before="0" w:after="0"/>
              <w:jc w:val="center"/>
              <w:rPr>
                <w:szCs w:val="20"/>
              </w:rPr>
            </w:pPr>
            <w:r w:rsidRPr="001A05F4">
              <w:rPr>
                <w:szCs w:val="20"/>
              </w:rPr>
              <w:t>p=0.01</w:t>
            </w:r>
          </w:p>
        </w:tc>
      </w:tr>
      <w:tr w:rsidR="00C66BE6" w:rsidRPr="001A05F4" w:rsidTr="00683790">
        <w:tc>
          <w:tcPr>
            <w:tcW w:w="1209" w:type="dxa"/>
            <w:vMerge w:val="restart"/>
            <w:tcBorders>
              <w:top w:val="nil"/>
            </w:tcBorders>
            <w:shd w:val="clear" w:color="auto" w:fill="FFFFFF" w:themeFill="background1"/>
          </w:tcPr>
          <w:p w:rsidR="00C66BE6" w:rsidRPr="001A05F4" w:rsidRDefault="00C66BE6" w:rsidP="001B7DBC">
            <w:pPr>
              <w:pStyle w:val="TableText0"/>
              <w:keepLines/>
              <w:spacing w:before="0" w:after="0"/>
              <w:rPr>
                <w:szCs w:val="20"/>
              </w:rPr>
            </w:pPr>
            <w:r w:rsidRPr="001A05F4">
              <w:rPr>
                <w:szCs w:val="20"/>
              </w:rPr>
              <w:t>Duong 2021</w:t>
            </w:r>
          </w:p>
        </w:tc>
        <w:tc>
          <w:tcPr>
            <w:tcW w:w="1763" w:type="dxa"/>
            <w:shd w:val="clear" w:color="auto" w:fill="FFFFFF" w:themeFill="background1"/>
            <w:vAlign w:val="center"/>
          </w:tcPr>
          <w:p w:rsidR="00C66BE6" w:rsidRPr="001A05F4" w:rsidRDefault="00C66BE6" w:rsidP="001B7DBC">
            <w:pPr>
              <w:pStyle w:val="TableText0"/>
              <w:keepLines/>
              <w:spacing w:before="0" w:after="0"/>
              <w:rPr>
                <w:szCs w:val="20"/>
              </w:rPr>
            </w:pPr>
            <w:r w:rsidRPr="001A05F4">
              <w:rPr>
                <w:szCs w:val="20"/>
              </w:rPr>
              <w:t>Type II + III (All)</w:t>
            </w:r>
          </w:p>
        </w:tc>
        <w:tc>
          <w:tcPr>
            <w:tcW w:w="567" w:type="dxa"/>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39</w:t>
            </w:r>
          </w:p>
        </w:tc>
        <w:tc>
          <w:tcPr>
            <w:tcW w:w="1477" w:type="dxa"/>
            <w:vMerge w:val="restart"/>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33.7 (NR)</w:t>
            </w:r>
          </w:p>
          <w:p w:rsidR="00C66BE6" w:rsidRPr="001A05F4" w:rsidRDefault="00C66BE6" w:rsidP="001B7DBC">
            <w:pPr>
              <w:pStyle w:val="TableText0"/>
              <w:keepLines/>
              <w:spacing w:before="0" w:after="0"/>
              <w:jc w:val="center"/>
              <w:rPr>
                <w:szCs w:val="20"/>
              </w:rPr>
            </w:pPr>
            <w:r w:rsidRPr="001A05F4">
              <w:rPr>
                <w:szCs w:val="20"/>
              </w:rPr>
              <w:t>n=42</w:t>
            </w:r>
          </w:p>
        </w:tc>
        <w:tc>
          <w:tcPr>
            <w:tcW w:w="1500" w:type="dxa"/>
            <w:vMerge w:val="restart"/>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18.2 (range 0-37)</w:t>
            </w:r>
          </w:p>
          <w:p w:rsidR="00C66BE6" w:rsidRPr="001A05F4" w:rsidRDefault="00C66BE6" w:rsidP="001B7DBC">
            <w:pPr>
              <w:pStyle w:val="TableText0"/>
              <w:keepLines/>
              <w:spacing w:before="0" w:after="0"/>
              <w:jc w:val="center"/>
              <w:rPr>
                <w:szCs w:val="20"/>
              </w:rPr>
            </w:pPr>
            <w:r w:rsidRPr="001A05F4">
              <w:rPr>
                <w:szCs w:val="20"/>
              </w:rPr>
              <w:t>n=42</w:t>
            </w:r>
          </w:p>
        </w:tc>
        <w:tc>
          <w:tcPr>
            <w:tcW w:w="2693" w:type="dxa"/>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+0.11 (95%CI -0.45, 0.67); NR (NR)</w:t>
            </w:r>
          </w:p>
        </w:tc>
      </w:tr>
      <w:tr w:rsidR="00C66BE6" w:rsidRPr="001A05F4" w:rsidTr="00683790">
        <w:tc>
          <w:tcPr>
            <w:tcW w:w="1209" w:type="dxa"/>
            <w:vMerge/>
          </w:tcPr>
          <w:p w:rsidR="00C66BE6" w:rsidRPr="001A05F4" w:rsidRDefault="00C66BE6" w:rsidP="001B7DBC">
            <w:pPr>
              <w:pStyle w:val="TableText0"/>
              <w:keepLines/>
              <w:spacing w:before="0" w:after="0"/>
              <w:rPr>
                <w:szCs w:val="20"/>
              </w:rPr>
            </w:pPr>
          </w:p>
        </w:tc>
        <w:tc>
          <w:tcPr>
            <w:tcW w:w="1763" w:type="dxa"/>
            <w:vAlign w:val="center"/>
          </w:tcPr>
          <w:p w:rsidR="00C66BE6" w:rsidRPr="001A05F4" w:rsidRDefault="00C66BE6" w:rsidP="001B7DBC">
            <w:pPr>
              <w:pStyle w:val="TableText0"/>
              <w:keepLines/>
              <w:spacing w:before="0" w:after="0"/>
              <w:rPr>
                <w:szCs w:val="20"/>
              </w:rPr>
            </w:pPr>
            <w:r w:rsidRPr="001A05F4">
              <w:rPr>
                <w:szCs w:val="20"/>
              </w:rPr>
              <w:t>Type II</w:t>
            </w:r>
          </w:p>
        </w:tc>
        <w:tc>
          <w:tcPr>
            <w:tcW w:w="567" w:type="dxa"/>
            <w:vAlign w:val="center"/>
          </w:tcPr>
          <w:p w:rsidR="00C66BE6" w:rsidRPr="001A05F4" w:rsidRDefault="00C66BE6" w:rsidP="001B7DBC">
            <w:pPr>
              <w:pStyle w:val="TableText0"/>
              <w:keepLines/>
              <w:spacing w:before="0" w:after="0"/>
              <w:jc w:val="center"/>
              <w:rPr>
                <w:szCs w:val="20"/>
              </w:rPr>
            </w:pPr>
            <w:r w:rsidRPr="001A05F4">
              <w:rPr>
                <w:szCs w:val="20"/>
              </w:rPr>
              <w:t>16</w:t>
            </w:r>
          </w:p>
        </w:tc>
        <w:tc>
          <w:tcPr>
            <w:tcW w:w="1477" w:type="dxa"/>
            <w:vMerge/>
            <w:vAlign w:val="center"/>
          </w:tcPr>
          <w:p w:rsidR="00C66BE6" w:rsidRPr="001A05F4" w:rsidRDefault="00C66BE6" w:rsidP="001B7DBC">
            <w:pPr>
              <w:pStyle w:val="TableText0"/>
              <w:keepLines/>
              <w:spacing w:before="0" w:after="0"/>
              <w:jc w:val="center"/>
              <w:rPr>
                <w:szCs w:val="20"/>
              </w:rPr>
            </w:pPr>
          </w:p>
        </w:tc>
        <w:tc>
          <w:tcPr>
            <w:tcW w:w="1500" w:type="dxa"/>
            <w:vMerge/>
            <w:vAlign w:val="center"/>
          </w:tcPr>
          <w:p w:rsidR="00C66BE6" w:rsidRPr="001A05F4" w:rsidRDefault="00C66BE6" w:rsidP="001B7DBC">
            <w:pPr>
              <w:pStyle w:val="TableText0"/>
              <w:keepLines/>
              <w:spacing w:before="0" w:after="0"/>
              <w:jc w:val="center"/>
              <w:rPr>
                <w:szCs w:val="20"/>
              </w:rPr>
            </w:pPr>
          </w:p>
        </w:tc>
        <w:tc>
          <w:tcPr>
            <w:tcW w:w="2693" w:type="dxa"/>
            <w:vAlign w:val="center"/>
          </w:tcPr>
          <w:p w:rsidR="00C66BE6" w:rsidRPr="001A05F4" w:rsidRDefault="00C66BE6" w:rsidP="001B7DBC">
            <w:pPr>
              <w:pStyle w:val="TableText0"/>
              <w:keepLines/>
              <w:spacing w:before="0" w:after="0"/>
              <w:jc w:val="center"/>
              <w:rPr>
                <w:szCs w:val="20"/>
              </w:rPr>
            </w:pPr>
            <w:r w:rsidRPr="001A05F4">
              <w:rPr>
                <w:szCs w:val="20"/>
              </w:rPr>
              <w:t>+0.43 (95%CI -0.44, 1.31); NR (NR)</w:t>
            </w:r>
          </w:p>
        </w:tc>
      </w:tr>
      <w:tr w:rsidR="00C66BE6" w:rsidRPr="001A05F4" w:rsidTr="00683790">
        <w:tc>
          <w:tcPr>
            <w:tcW w:w="1209" w:type="dxa"/>
            <w:vMerge/>
          </w:tcPr>
          <w:p w:rsidR="00C66BE6" w:rsidRPr="001A05F4" w:rsidRDefault="00C66BE6" w:rsidP="001B7DBC">
            <w:pPr>
              <w:pStyle w:val="TableText0"/>
              <w:keepLines/>
              <w:spacing w:before="0" w:after="0"/>
              <w:rPr>
                <w:szCs w:val="20"/>
              </w:rPr>
            </w:pPr>
          </w:p>
        </w:tc>
        <w:tc>
          <w:tcPr>
            <w:tcW w:w="1763" w:type="dxa"/>
            <w:vAlign w:val="center"/>
          </w:tcPr>
          <w:p w:rsidR="00C66BE6" w:rsidRPr="001A05F4" w:rsidRDefault="00C66BE6" w:rsidP="001B7DBC">
            <w:pPr>
              <w:pStyle w:val="TableText0"/>
              <w:keepLines/>
              <w:spacing w:before="0" w:after="0"/>
              <w:rPr>
                <w:szCs w:val="20"/>
              </w:rPr>
            </w:pPr>
            <w:r w:rsidRPr="001A05F4">
              <w:rPr>
                <w:szCs w:val="20"/>
              </w:rPr>
              <w:t>Type III</w:t>
            </w:r>
          </w:p>
        </w:tc>
        <w:tc>
          <w:tcPr>
            <w:tcW w:w="567" w:type="dxa"/>
            <w:vAlign w:val="center"/>
          </w:tcPr>
          <w:p w:rsidR="00C66BE6" w:rsidRPr="001A05F4" w:rsidRDefault="00C66BE6" w:rsidP="001B7DBC">
            <w:pPr>
              <w:pStyle w:val="TableText0"/>
              <w:keepLines/>
              <w:spacing w:before="0" w:after="0"/>
              <w:jc w:val="center"/>
              <w:rPr>
                <w:szCs w:val="20"/>
              </w:rPr>
            </w:pPr>
            <w:r w:rsidRPr="001A05F4">
              <w:rPr>
                <w:szCs w:val="20"/>
              </w:rPr>
              <w:t>23</w:t>
            </w:r>
          </w:p>
        </w:tc>
        <w:tc>
          <w:tcPr>
            <w:tcW w:w="1477" w:type="dxa"/>
            <w:vMerge/>
            <w:vAlign w:val="center"/>
          </w:tcPr>
          <w:p w:rsidR="00C66BE6" w:rsidRPr="001A05F4" w:rsidRDefault="00C66BE6" w:rsidP="001B7DBC">
            <w:pPr>
              <w:pStyle w:val="TableText0"/>
              <w:keepLines/>
              <w:spacing w:before="0" w:after="0"/>
              <w:jc w:val="center"/>
              <w:rPr>
                <w:szCs w:val="20"/>
              </w:rPr>
            </w:pPr>
          </w:p>
        </w:tc>
        <w:tc>
          <w:tcPr>
            <w:tcW w:w="1500" w:type="dxa"/>
            <w:vMerge/>
            <w:vAlign w:val="center"/>
          </w:tcPr>
          <w:p w:rsidR="00C66BE6" w:rsidRPr="001A05F4" w:rsidRDefault="00C66BE6" w:rsidP="001B7DBC">
            <w:pPr>
              <w:pStyle w:val="TableText0"/>
              <w:keepLines/>
              <w:spacing w:before="0" w:after="0"/>
              <w:jc w:val="center"/>
              <w:rPr>
                <w:szCs w:val="20"/>
              </w:rPr>
            </w:pPr>
          </w:p>
        </w:tc>
        <w:tc>
          <w:tcPr>
            <w:tcW w:w="2693" w:type="dxa"/>
            <w:vAlign w:val="center"/>
          </w:tcPr>
          <w:p w:rsidR="00C66BE6" w:rsidRPr="001A05F4" w:rsidRDefault="00C66BE6" w:rsidP="001B7DBC">
            <w:pPr>
              <w:pStyle w:val="TableText0"/>
              <w:keepLines/>
              <w:spacing w:before="0" w:after="0"/>
              <w:jc w:val="center"/>
              <w:rPr>
                <w:szCs w:val="20"/>
              </w:rPr>
            </w:pPr>
            <w:r w:rsidRPr="001A05F4">
              <w:rPr>
                <w:szCs w:val="20"/>
              </w:rPr>
              <w:t>-0.12 (95%CI -0.81 to 0.57); NR (NR)</w:t>
            </w:r>
          </w:p>
        </w:tc>
      </w:tr>
      <w:tr w:rsidR="00C66BE6" w:rsidRPr="001A05F4" w:rsidTr="00683790">
        <w:tc>
          <w:tcPr>
            <w:tcW w:w="1209" w:type="dxa"/>
            <w:vMerge/>
          </w:tcPr>
          <w:p w:rsidR="00C66BE6" w:rsidRPr="001A05F4" w:rsidRDefault="00C66BE6" w:rsidP="001B7DBC">
            <w:pPr>
              <w:pStyle w:val="TableText0"/>
              <w:keepLines/>
              <w:spacing w:before="0" w:after="0"/>
              <w:rPr>
                <w:szCs w:val="20"/>
              </w:rPr>
            </w:pPr>
          </w:p>
        </w:tc>
        <w:tc>
          <w:tcPr>
            <w:tcW w:w="1763" w:type="dxa"/>
            <w:vAlign w:val="center"/>
          </w:tcPr>
          <w:p w:rsidR="00C66BE6" w:rsidRPr="001A05F4" w:rsidRDefault="00C66BE6" w:rsidP="001B7DBC">
            <w:pPr>
              <w:pStyle w:val="TableText0"/>
              <w:keepLines/>
              <w:spacing w:before="0" w:after="0"/>
              <w:rPr>
                <w:szCs w:val="20"/>
              </w:rPr>
            </w:pPr>
            <w:r w:rsidRPr="001A05F4">
              <w:rPr>
                <w:szCs w:val="20"/>
              </w:rPr>
              <w:t>Non-sitter</w:t>
            </w:r>
          </w:p>
        </w:tc>
        <w:tc>
          <w:tcPr>
            <w:tcW w:w="567" w:type="dxa"/>
            <w:vAlign w:val="center"/>
          </w:tcPr>
          <w:p w:rsidR="00C66BE6" w:rsidRPr="001A05F4" w:rsidRDefault="00C66BE6" w:rsidP="001B7DBC">
            <w:pPr>
              <w:pStyle w:val="TableText0"/>
              <w:keepLines/>
              <w:spacing w:before="0" w:after="0"/>
              <w:jc w:val="center"/>
              <w:rPr>
                <w:szCs w:val="20"/>
              </w:rPr>
            </w:pPr>
            <w:r w:rsidRPr="001A05F4">
              <w:rPr>
                <w:szCs w:val="20"/>
              </w:rPr>
              <w:t>16</w:t>
            </w:r>
          </w:p>
        </w:tc>
        <w:tc>
          <w:tcPr>
            <w:tcW w:w="1477" w:type="dxa"/>
            <w:vMerge/>
            <w:vAlign w:val="center"/>
          </w:tcPr>
          <w:p w:rsidR="00C66BE6" w:rsidRPr="001A05F4" w:rsidRDefault="00C66BE6" w:rsidP="001B7DBC">
            <w:pPr>
              <w:pStyle w:val="TableText0"/>
              <w:keepLines/>
              <w:spacing w:before="0" w:after="0"/>
              <w:jc w:val="center"/>
              <w:rPr>
                <w:szCs w:val="20"/>
              </w:rPr>
            </w:pPr>
          </w:p>
        </w:tc>
        <w:tc>
          <w:tcPr>
            <w:tcW w:w="1500" w:type="dxa"/>
            <w:vMerge/>
            <w:vAlign w:val="center"/>
          </w:tcPr>
          <w:p w:rsidR="00C66BE6" w:rsidRPr="001A05F4" w:rsidRDefault="00C66BE6" w:rsidP="001B7DBC">
            <w:pPr>
              <w:pStyle w:val="TableText0"/>
              <w:keepLines/>
              <w:spacing w:before="0" w:after="0"/>
              <w:jc w:val="center"/>
              <w:rPr>
                <w:szCs w:val="20"/>
              </w:rPr>
            </w:pPr>
          </w:p>
        </w:tc>
        <w:tc>
          <w:tcPr>
            <w:tcW w:w="2693" w:type="dxa"/>
            <w:vAlign w:val="center"/>
          </w:tcPr>
          <w:p w:rsidR="00C66BE6" w:rsidRPr="001A05F4" w:rsidRDefault="00C66BE6" w:rsidP="001B7DBC">
            <w:pPr>
              <w:pStyle w:val="TableText0"/>
              <w:keepLines/>
              <w:spacing w:before="0" w:after="0"/>
              <w:jc w:val="center"/>
              <w:rPr>
                <w:szCs w:val="20"/>
              </w:rPr>
            </w:pPr>
            <w:r w:rsidRPr="001A05F4">
              <w:rPr>
                <w:szCs w:val="20"/>
              </w:rPr>
              <w:t>-0.17 (95%CI -1.09 to 0.74); NR (NR)</w:t>
            </w:r>
          </w:p>
        </w:tc>
      </w:tr>
      <w:tr w:rsidR="00C66BE6" w:rsidRPr="001A05F4" w:rsidTr="00683790">
        <w:tc>
          <w:tcPr>
            <w:tcW w:w="1209" w:type="dxa"/>
            <w:vMerge/>
          </w:tcPr>
          <w:p w:rsidR="00C66BE6" w:rsidRPr="001A05F4" w:rsidRDefault="00C66BE6" w:rsidP="001B7DBC">
            <w:pPr>
              <w:pStyle w:val="TableText0"/>
              <w:keepLines/>
              <w:spacing w:before="0" w:after="0"/>
              <w:rPr>
                <w:szCs w:val="20"/>
              </w:rPr>
            </w:pPr>
          </w:p>
        </w:tc>
        <w:tc>
          <w:tcPr>
            <w:tcW w:w="1763" w:type="dxa"/>
            <w:vAlign w:val="center"/>
          </w:tcPr>
          <w:p w:rsidR="00C66BE6" w:rsidRPr="001A05F4" w:rsidRDefault="00C66BE6" w:rsidP="001B7DBC">
            <w:pPr>
              <w:pStyle w:val="TableText0"/>
              <w:keepLines/>
              <w:spacing w:before="0" w:after="0"/>
              <w:rPr>
                <w:szCs w:val="20"/>
              </w:rPr>
            </w:pPr>
            <w:r w:rsidRPr="001A05F4">
              <w:rPr>
                <w:szCs w:val="20"/>
              </w:rPr>
              <w:t>Sitter</w:t>
            </w:r>
          </w:p>
        </w:tc>
        <w:tc>
          <w:tcPr>
            <w:tcW w:w="567" w:type="dxa"/>
            <w:vAlign w:val="center"/>
          </w:tcPr>
          <w:p w:rsidR="00C66BE6" w:rsidRPr="001A05F4" w:rsidRDefault="00C66BE6" w:rsidP="001B7DBC">
            <w:pPr>
              <w:pStyle w:val="TableText0"/>
              <w:keepLines/>
              <w:spacing w:before="0" w:after="0"/>
              <w:jc w:val="center"/>
              <w:rPr>
                <w:szCs w:val="20"/>
              </w:rPr>
            </w:pPr>
            <w:r w:rsidRPr="001A05F4">
              <w:rPr>
                <w:szCs w:val="20"/>
              </w:rPr>
              <w:t>12</w:t>
            </w:r>
          </w:p>
        </w:tc>
        <w:tc>
          <w:tcPr>
            <w:tcW w:w="1477" w:type="dxa"/>
            <w:vMerge/>
            <w:vAlign w:val="center"/>
          </w:tcPr>
          <w:p w:rsidR="00C66BE6" w:rsidRPr="001A05F4" w:rsidRDefault="00C66BE6" w:rsidP="001B7DBC">
            <w:pPr>
              <w:pStyle w:val="TableText0"/>
              <w:keepLines/>
              <w:spacing w:before="0" w:after="0"/>
              <w:jc w:val="center"/>
              <w:rPr>
                <w:szCs w:val="20"/>
              </w:rPr>
            </w:pPr>
          </w:p>
        </w:tc>
        <w:tc>
          <w:tcPr>
            <w:tcW w:w="1500" w:type="dxa"/>
            <w:vMerge/>
            <w:vAlign w:val="center"/>
          </w:tcPr>
          <w:p w:rsidR="00C66BE6" w:rsidRPr="001A05F4" w:rsidRDefault="00C66BE6" w:rsidP="001B7DBC">
            <w:pPr>
              <w:pStyle w:val="TableText0"/>
              <w:keepLines/>
              <w:spacing w:before="0" w:after="0"/>
              <w:jc w:val="center"/>
              <w:rPr>
                <w:szCs w:val="20"/>
              </w:rPr>
            </w:pPr>
          </w:p>
        </w:tc>
        <w:tc>
          <w:tcPr>
            <w:tcW w:w="2693" w:type="dxa"/>
            <w:vAlign w:val="center"/>
          </w:tcPr>
          <w:p w:rsidR="00C66BE6" w:rsidRPr="001A05F4" w:rsidRDefault="00C66BE6" w:rsidP="001B7DBC">
            <w:pPr>
              <w:pStyle w:val="TableText0"/>
              <w:keepLines/>
              <w:spacing w:before="0" w:after="0"/>
              <w:jc w:val="center"/>
              <w:rPr>
                <w:szCs w:val="20"/>
              </w:rPr>
            </w:pPr>
            <w:r w:rsidRPr="001A05F4">
              <w:rPr>
                <w:szCs w:val="20"/>
              </w:rPr>
              <w:t>+0.74 (95%CI -0.32 to 1.80); NR (NR)</w:t>
            </w:r>
          </w:p>
        </w:tc>
      </w:tr>
      <w:tr w:rsidR="00C66BE6" w:rsidRPr="001A05F4" w:rsidTr="00683790">
        <w:tc>
          <w:tcPr>
            <w:tcW w:w="1209" w:type="dxa"/>
            <w:vMerge/>
          </w:tcPr>
          <w:p w:rsidR="00C66BE6" w:rsidRPr="001A05F4" w:rsidRDefault="00C66BE6" w:rsidP="001B7DBC">
            <w:pPr>
              <w:pStyle w:val="TableText0"/>
              <w:keepLines/>
              <w:spacing w:before="0" w:after="0"/>
              <w:rPr>
                <w:szCs w:val="20"/>
              </w:rPr>
            </w:pPr>
          </w:p>
        </w:tc>
        <w:tc>
          <w:tcPr>
            <w:tcW w:w="1763" w:type="dxa"/>
            <w:vAlign w:val="center"/>
          </w:tcPr>
          <w:p w:rsidR="00C66BE6" w:rsidRPr="001A05F4" w:rsidRDefault="00C66BE6" w:rsidP="001B7DBC">
            <w:pPr>
              <w:pStyle w:val="TableText0"/>
              <w:keepLines/>
              <w:spacing w:before="0" w:after="0"/>
              <w:rPr>
                <w:szCs w:val="20"/>
              </w:rPr>
            </w:pPr>
            <w:r w:rsidRPr="001A05F4">
              <w:rPr>
                <w:szCs w:val="20"/>
              </w:rPr>
              <w:t>Walker</w:t>
            </w:r>
          </w:p>
        </w:tc>
        <w:tc>
          <w:tcPr>
            <w:tcW w:w="567" w:type="dxa"/>
            <w:vAlign w:val="center"/>
          </w:tcPr>
          <w:p w:rsidR="00C66BE6" w:rsidRPr="001A05F4" w:rsidRDefault="00C66BE6" w:rsidP="001B7DBC">
            <w:pPr>
              <w:pStyle w:val="TableText0"/>
              <w:keepLines/>
              <w:spacing w:before="0" w:after="0"/>
              <w:jc w:val="center"/>
              <w:rPr>
                <w:szCs w:val="20"/>
              </w:rPr>
            </w:pPr>
            <w:r w:rsidRPr="001A05F4">
              <w:rPr>
                <w:szCs w:val="20"/>
              </w:rPr>
              <w:t>11</w:t>
            </w:r>
          </w:p>
        </w:tc>
        <w:tc>
          <w:tcPr>
            <w:tcW w:w="1477" w:type="dxa"/>
            <w:vMerge/>
            <w:vAlign w:val="center"/>
          </w:tcPr>
          <w:p w:rsidR="00C66BE6" w:rsidRPr="001A05F4" w:rsidRDefault="00C66BE6" w:rsidP="001B7DBC">
            <w:pPr>
              <w:pStyle w:val="TableText0"/>
              <w:keepLines/>
              <w:spacing w:before="0" w:after="0"/>
              <w:jc w:val="center"/>
              <w:rPr>
                <w:szCs w:val="20"/>
              </w:rPr>
            </w:pPr>
          </w:p>
        </w:tc>
        <w:tc>
          <w:tcPr>
            <w:tcW w:w="1500" w:type="dxa"/>
            <w:vMerge/>
            <w:vAlign w:val="center"/>
          </w:tcPr>
          <w:p w:rsidR="00C66BE6" w:rsidRPr="001A05F4" w:rsidRDefault="00C66BE6" w:rsidP="001B7DBC">
            <w:pPr>
              <w:pStyle w:val="TableText0"/>
              <w:keepLines/>
              <w:spacing w:before="0" w:after="0"/>
              <w:jc w:val="center"/>
              <w:rPr>
                <w:szCs w:val="20"/>
              </w:rPr>
            </w:pPr>
          </w:p>
        </w:tc>
        <w:tc>
          <w:tcPr>
            <w:tcW w:w="2693" w:type="dxa"/>
            <w:vAlign w:val="center"/>
          </w:tcPr>
          <w:p w:rsidR="00C66BE6" w:rsidRPr="001A05F4" w:rsidRDefault="00C66BE6" w:rsidP="001B7DBC">
            <w:pPr>
              <w:pStyle w:val="TableText0"/>
              <w:keepLines/>
              <w:spacing w:before="0" w:after="0"/>
              <w:jc w:val="center"/>
              <w:rPr>
                <w:szCs w:val="20"/>
              </w:rPr>
            </w:pPr>
            <w:r w:rsidRPr="001A05F4">
              <w:rPr>
                <w:szCs w:val="20"/>
              </w:rPr>
              <w:t>-0.01 (95%CI -1.02 to 0.99); NR (NR)</w:t>
            </w:r>
          </w:p>
        </w:tc>
      </w:tr>
      <w:tr w:rsidR="00C66BE6" w:rsidRPr="001A05F4" w:rsidTr="00683790">
        <w:tc>
          <w:tcPr>
            <w:tcW w:w="1209" w:type="dxa"/>
            <w:tcBorders>
              <w:top w:val="nil"/>
            </w:tcBorders>
            <w:shd w:val="clear" w:color="auto" w:fill="D9D9D9" w:themeFill="background1" w:themeFillShade="D9"/>
          </w:tcPr>
          <w:p w:rsidR="00C66BE6" w:rsidRPr="001A05F4" w:rsidRDefault="00C66BE6" w:rsidP="001B7DBC">
            <w:pPr>
              <w:pStyle w:val="TableText0"/>
              <w:keepLines/>
              <w:spacing w:before="0" w:after="0"/>
              <w:rPr>
                <w:szCs w:val="20"/>
                <w:vertAlign w:val="superscript"/>
              </w:rPr>
            </w:pPr>
            <w:r w:rsidRPr="001A05F4">
              <w:rPr>
                <w:szCs w:val="20"/>
              </w:rPr>
              <w:t>Walter 2019</w:t>
            </w:r>
            <w:r w:rsidRPr="001A05F4">
              <w:rPr>
                <w:szCs w:val="20"/>
                <w:vertAlign w:val="superscript"/>
              </w:rPr>
              <w:t>b</w:t>
            </w:r>
          </w:p>
        </w:tc>
        <w:tc>
          <w:tcPr>
            <w:tcW w:w="1763" w:type="dxa"/>
            <w:shd w:val="clear" w:color="auto" w:fill="D9D9D9" w:themeFill="background1" w:themeFillShade="D9"/>
            <w:vAlign w:val="center"/>
          </w:tcPr>
          <w:p w:rsidR="00C66BE6" w:rsidRPr="001A05F4" w:rsidRDefault="00C66BE6" w:rsidP="001B7DBC">
            <w:pPr>
              <w:pStyle w:val="TableText0"/>
              <w:keepLines/>
              <w:spacing w:before="0" w:after="0"/>
              <w:rPr>
                <w:szCs w:val="20"/>
              </w:rPr>
            </w:pPr>
            <w:r w:rsidRPr="001A05F4">
              <w:rPr>
                <w:szCs w:val="20"/>
              </w:rPr>
              <w:t>Type III (All)</w:t>
            </w:r>
          </w:p>
        </w:tc>
        <w:tc>
          <w:tcPr>
            <w:tcW w:w="567"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19</w:t>
            </w:r>
          </w:p>
        </w:tc>
        <w:tc>
          <w:tcPr>
            <w:tcW w:w="1477"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35.2 (11.7)</w:t>
            </w:r>
          </w:p>
        </w:tc>
        <w:tc>
          <w:tcPr>
            <w:tcW w:w="1500"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32.32 (7.39)</w:t>
            </w:r>
          </w:p>
        </w:tc>
        <w:tc>
          <w:tcPr>
            <w:tcW w:w="2693"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+0.74 (0)p=0.048</w:t>
            </w:r>
          </w:p>
        </w:tc>
      </w:tr>
      <w:tr w:rsidR="00C66BE6" w:rsidRPr="001A05F4" w:rsidTr="00683790">
        <w:tc>
          <w:tcPr>
            <w:tcW w:w="1209" w:type="dxa"/>
            <w:tcBorders>
              <w:top w:val="nil"/>
            </w:tcBorders>
            <w:shd w:val="clear" w:color="auto" w:fill="FFFFFF" w:themeFill="background1"/>
          </w:tcPr>
          <w:p w:rsidR="00C66BE6" w:rsidRPr="001A05F4" w:rsidRDefault="00C66BE6" w:rsidP="001B7DBC">
            <w:pPr>
              <w:pStyle w:val="TableText0"/>
              <w:keepLines/>
              <w:spacing w:before="0" w:after="0"/>
              <w:rPr>
                <w:szCs w:val="20"/>
                <w:vertAlign w:val="superscript"/>
              </w:rPr>
            </w:pPr>
            <w:r w:rsidRPr="001A05F4">
              <w:rPr>
                <w:szCs w:val="20"/>
              </w:rPr>
              <w:t>De Wel 2020</w:t>
            </w:r>
            <w:r w:rsidRPr="001A05F4">
              <w:rPr>
                <w:szCs w:val="20"/>
                <w:vertAlign w:val="superscript"/>
              </w:rPr>
              <w:t>a</w:t>
            </w:r>
          </w:p>
        </w:tc>
        <w:tc>
          <w:tcPr>
            <w:tcW w:w="1763" w:type="dxa"/>
            <w:shd w:val="clear" w:color="auto" w:fill="FFFFFF" w:themeFill="background1"/>
            <w:vAlign w:val="center"/>
          </w:tcPr>
          <w:p w:rsidR="00C66BE6" w:rsidRPr="001A05F4" w:rsidRDefault="00C66BE6" w:rsidP="001B7DBC">
            <w:pPr>
              <w:pStyle w:val="TableText0"/>
              <w:keepLines/>
              <w:spacing w:before="0" w:after="0"/>
              <w:rPr>
                <w:szCs w:val="20"/>
              </w:rPr>
            </w:pPr>
            <w:r w:rsidRPr="001A05F4">
              <w:rPr>
                <w:szCs w:val="20"/>
              </w:rPr>
              <w:t>Type III + IV (All)</w:t>
            </w:r>
          </w:p>
        </w:tc>
        <w:tc>
          <w:tcPr>
            <w:tcW w:w="567" w:type="dxa"/>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16</w:t>
            </w:r>
          </w:p>
        </w:tc>
        <w:tc>
          <w:tcPr>
            <w:tcW w:w="1477" w:type="dxa"/>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Median 37.5</w:t>
            </w:r>
          </w:p>
          <w:p w:rsidR="00C66BE6" w:rsidRPr="001A05F4" w:rsidRDefault="00C66BE6" w:rsidP="001B7DBC">
            <w:pPr>
              <w:pStyle w:val="TableText0"/>
              <w:keepLines/>
              <w:spacing w:before="0" w:after="0"/>
              <w:jc w:val="center"/>
              <w:rPr>
                <w:szCs w:val="20"/>
              </w:rPr>
            </w:pPr>
            <w:r w:rsidRPr="001A05F4">
              <w:rPr>
                <w:szCs w:val="20"/>
              </w:rPr>
              <w:t>(range 22-66)</w:t>
            </w:r>
          </w:p>
        </w:tc>
        <w:tc>
          <w:tcPr>
            <w:tcW w:w="1500" w:type="dxa"/>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27.1 (8.10)</w:t>
            </w:r>
          </w:p>
        </w:tc>
        <w:tc>
          <w:tcPr>
            <w:tcW w:w="2693" w:type="dxa"/>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+1.06 (95%CI-0.79 to 2.91); NR (NR)</w:t>
            </w:r>
          </w:p>
          <w:p w:rsidR="00C66BE6" w:rsidRPr="001A05F4" w:rsidRDefault="00C66BE6" w:rsidP="001B7DBC">
            <w:pPr>
              <w:pStyle w:val="TableText0"/>
              <w:keepLines/>
              <w:spacing w:before="0" w:after="0"/>
              <w:jc w:val="center"/>
              <w:rPr>
                <w:szCs w:val="20"/>
              </w:rPr>
            </w:pPr>
            <w:r w:rsidRPr="001A05F4">
              <w:rPr>
                <w:szCs w:val="20"/>
              </w:rPr>
              <w:t>p=0.24</w:t>
            </w:r>
          </w:p>
        </w:tc>
      </w:tr>
      <w:tr w:rsidR="00C66BE6" w:rsidRPr="001A05F4" w:rsidTr="00683790">
        <w:tc>
          <w:tcPr>
            <w:tcW w:w="1209" w:type="dxa"/>
            <w:tcBorders>
              <w:top w:val="nil"/>
              <w:left w:val="single" w:sz="4" w:space="0" w:color="auto"/>
              <w:bottom w:val="single" w:sz="4" w:space="0" w:color="auto"/>
              <w:right w:val="single" w:sz="4" w:space="0" w:color="auto"/>
            </w:tcBorders>
            <w:shd w:val="clear" w:color="auto" w:fill="FFFFFF" w:themeFill="background1"/>
          </w:tcPr>
          <w:p w:rsidR="00C66BE6" w:rsidRPr="001A05F4" w:rsidRDefault="00C66BE6" w:rsidP="001B7DBC">
            <w:pPr>
              <w:pStyle w:val="TableText0"/>
              <w:keepLines/>
              <w:spacing w:before="0" w:after="0"/>
              <w:rPr>
                <w:szCs w:val="20"/>
              </w:rPr>
            </w:pPr>
            <w:r w:rsidRPr="001A05F4">
              <w:rPr>
                <w:szCs w:val="20"/>
              </w:rPr>
              <w:t>Jochmann 2020</w:t>
            </w:r>
          </w:p>
        </w:tc>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6BE6" w:rsidRPr="001A05F4" w:rsidRDefault="00C66BE6" w:rsidP="001B7DBC">
            <w:pPr>
              <w:pStyle w:val="TableText0"/>
              <w:keepLines/>
              <w:spacing w:before="0" w:after="0"/>
              <w:rPr>
                <w:szCs w:val="20"/>
              </w:rPr>
            </w:pPr>
            <w:r w:rsidRPr="001A05F4">
              <w:rPr>
                <w:szCs w:val="20"/>
              </w:rPr>
              <w:t>Type II and III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6</w:t>
            </w:r>
          </w:p>
        </w:tc>
        <w:tc>
          <w:tcPr>
            <w:tcW w:w="1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6BE6" w:rsidRPr="001A05F4" w:rsidRDefault="00C66BE6" w:rsidP="001B7DBC">
            <w:pPr>
              <w:pStyle w:val="TableText0"/>
              <w:keepLines/>
              <w:spacing w:before="0" w:after="0"/>
              <w:jc w:val="center"/>
              <w:rPr>
                <w:szCs w:val="20"/>
                <w:vertAlign w:val="superscript"/>
              </w:rPr>
            </w:pPr>
            <w:r w:rsidRPr="001A05F4">
              <w:rPr>
                <w:szCs w:val="20"/>
              </w:rPr>
              <w:t>41.2, N=7</w:t>
            </w:r>
            <w:r w:rsidRPr="001A05F4">
              <w:rPr>
                <w:szCs w:val="20"/>
                <w:vertAlign w:val="superscript"/>
              </w:rPr>
              <w:t>e</w:t>
            </w:r>
            <w:r w:rsidR="00152C45" w:rsidRPr="001A05F4">
              <w:rPr>
                <w:szCs w:val="20"/>
                <w:vertAlign w:val="superscript"/>
              </w:rPr>
              <w:t>*</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6BE6" w:rsidRPr="001A05F4" w:rsidRDefault="00C66BE6" w:rsidP="001B7DBC">
            <w:pPr>
              <w:pStyle w:val="TableText0"/>
              <w:keepLines/>
              <w:spacing w:before="0" w:after="0"/>
              <w:jc w:val="center"/>
              <w:rPr>
                <w:szCs w:val="20"/>
                <w:vertAlign w:val="superscript"/>
              </w:rPr>
            </w:pPr>
            <w:r w:rsidRPr="001A05F4">
              <w:rPr>
                <w:szCs w:val="20"/>
              </w:rPr>
              <w:t>11.7 (NR)</w:t>
            </w:r>
            <w:r w:rsidRPr="001A05F4">
              <w:rPr>
                <w:szCs w:val="20"/>
                <w:vertAlign w:val="superscript"/>
              </w:rPr>
              <w:t>e</w:t>
            </w:r>
            <w:r w:rsidR="00152C45" w:rsidRPr="001A05F4">
              <w:rPr>
                <w:szCs w:val="20"/>
                <w:vertAlign w:val="superscript"/>
              </w:rPr>
              <w:t>*</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+7.7 (9.3); NR (NR)</w:t>
            </w:r>
          </w:p>
        </w:tc>
      </w:tr>
      <w:tr w:rsidR="00C66BE6" w:rsidRPr="001A05F4" w:rsidTr="00683790">
        <w:tc>
          <w:tcPr>
            <w:tcW w:w="1209" w:type="dxa"/>
            <w:tcBorders>
              <w:top w:val="nil"/>
            </w:tcBorders>
            <w:shd w:val="clear" w:color="auto" w:fill="FFFFFF" w:themeFill="background1"/>
          </w:tcPr>
          <w:p w:rsidR="00C66BE6" w:rsidRPr="001A05F4" w:rsidRDefault="00C66BE6" w:rsidP="001B7DBC">
            <w:pPr>
              <w:pStyle w:val="TableText0"/>
              <w:keepLines/>
              <w:spacing w:before="0" w:after="0"/>
              <w:rPr>
                <w:szCs w:val="20"/>
              </w:rPr>
            </w:pPr>
            <w:r w:rsidRPr="001A05F4">
              <w:rPr>
                <w:szCs w:val="20"/>
              </w:rPr>
              <w:t>Yeo 2020</w:t>
            </w:r>
          </w:p>
        </w:tc>
        <w:tc>
          <w:tcPr>
            <w:tcW w:w="1763" w:type="dxa"/>
            <w:shd w:val="clear" w:color="auto" w:fill="FFFFFF" w:themeFill="background1"/>
            <w:vAlign w:val="center"/>
          </w:tcPr>
          <w:p w:rsidR="00C66BE6" w:rsidRPr="001A05F4" w:rsidRDefault="00C66BE6" w:rsidP="001B7DBC">
            <w:pPr>
              <w:pStyle w:val="TableText0"/>
              <w:keepLines/>
              <w:spacing w:before="0" w:after="0"/>
              <w:rPr>
                <w:szCs w:val="20"/>
              </w:rPr>
            </w:pPr>
            <w:r w:rsidRPr="001A05F4">
              <w:rPr>
                <w:szCs w:val="20"/>
              </w:rPr>
              <w:t>Type III</w:t>
            </w:r>
          </w:p>
        </w:tc>
        <w:tc>
          <w:tcPr>
            <w:tcW w:w="567" w:type="dxa"/>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6</w:t>
            </w:r>
          </w:p>
        </w:tc>
        <w:tc>
          <w:tcPr>
            <w:tcW w:w="1477" w:type="dxa"/>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Median 29.9</w:t>
            </w:r>
          </w:p>
          <w:p w:rsidR="00C66BE6" w:rsidRPr="001A05F4" w:rsidRDefault="00C66BE6" w:rsidP="001B7DBC">
            <w:pPr>
              <w:pStyle w:val="TableText0"/>
              <w:keepLines/>
              <w:spacing w:before="0" w:after="0"/>
              <w:jc w:val="center"/>
              <w:rPr>
                <w:szCs w:val="20"/>
              </w:rPr>
            </w:pPr>
            <w:r w:rsidRPr="001A05F4">
              <w:rPr>
                <w:szCs w:val="20"/>
              </w:rPr>
              <w:t>(range 24.9-65.5)</w:t>
            </w:r>
          </w:p>
        </w:tc>
        <w:tc>
          <w:tcPr>
            <w:tcW w:w="1500" w:type="dxa"/>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31.5 (range 22–37)</w:t>
            </w:r>
          </w:p>
        </w:tc>
        <w:tc>
          <w:tcPr>
            <w:tcW w:w="2693" w:type="dxa"/>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+1.8(NR); NR (0, 3), p &lt; 0.05</w:t>
            </w:r>
          </w:p>
        </w:tc>
      </w:tr>
      <w:tr w:rsidR="00C66BE6" w:rsidRPr="001A05F4" w:rsidTr="00683790">
        <w:tc>
          <w:tcPr>
            <w:tcW w:w="1209" w:type="dxa"/>
            <w:tcBorders>
              <w:top w:val="nil"/>
            </w:tcBorders>
            <w:shd w:val="clear" w:color="auto" w:fill="FFFFFF" w:themeFill="background1"/>
          </w:tcPr>
          <w:p w:rsidR="00C66BE6" w:rsidRPr="001A05F4" w:rsidRDefault="00C66BE6" w:rsidP="001B7DBC">
            <w:pPr>
              <w:pStyle w:val="TableText0"/>
              <w:keepLines/>
              <w:spacing w:before="0" w:after="0"/>
              <w:rPr>
                <w:szCs w:val="20"/>
              </w:rPr>
            </w:pPr>
            <w:r w:rsidRPr="001A05F4">
              <w:rPr>
                <w:szCs w:val="20"/>
              </w:rPr>
              <w:t>Veerapandiyan 2019</w:t>
            </w:r>
          </w:p>
        </w:tc>
        <w:tc>
          <w:tcPr>
            <w:tcW w:w="1763" w:type="dxa"/>
            <w:shd w:val="clear" w:color="auto" w:fill="FFFFFF" w:themeFill="background1"/>
            <w:vAlign w:val="center"/>
          </w:tcPr>
          <w:p w:rsidR="00C66BE6" w:rsidRPr="001A05F4" w:rsidRDefault="00C66BE6" w:rsidP="001B7DBC">
            <w:pPr>
              <w:pStyle w:val="TableText0"/>
              <w:keepLines/>
              <w:spacing w:before="0" w:after="0"/>
              <w:rPr>
                <w:szCs w:val="20"/>
              </w:rPr>
            </w:pPr>
            <w:r w:rsidRPr="001A05F4">
              <w:rPr>
                <w:szCs w:val="20"/>
              </w:rPr>
              <w:t>Type I, II and III</w:t>
            </w:r>
          </w:p>
        </w:tc>
        <w:tc>
          <w:tcPr>
            <w:tcW w:w="567" w:type="dxa"/>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4</w:t>
            </w:r>
          </w:p>
        </w:tc>
        <w:tc>
          <w:tcPr>
            <w:tcW w:w="1477" w:type="dxa"/>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35.8 (NR)N=4</w:t>
            </w:r>
          </w:p>
        </w:tc>
        <w:tc>
          <w:tcPr>
            <w:tcW w:w="1500" w:type="dxa"/>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16.7 (NR)</w:t>
            </w:r>
          </w:p>
        </w:tc>
        <w:tc>
          <w:tcPr>
            <w:tcW w:w="2693" w:type="dxa"/>
            <w:shd w:val="clear" w:color="auto" w:fill="FFFFFF" w:themeFill="background1"/>
            <w:vAlign w:val="center"/>
          </w:tcPr>
          <w:p w:rsidR="00C66BE6" w:rsidRPr="001A05F4" w:rsidRDefault="00C66BE6" w:rsidP="001B7DBC">
            <w:pPr>
              <w:pStyle w:val="TableText0"/>
              <w:keepLines/>
              <w:spacing w:before="0" w:after="0"/>
              <w:jc w:val="center"/>
              <w:rPr>
                <w:szCs w:val="20"/>
              </w:rPr>
            </w:pPr>
            <w:r w:rsidRPr="001A05F4">
              <w:rPr>
                <w:szCs w:val="20"/>
              </w:rPr>
              <w:t>+1.6</w:t>
            </w:r>
            <w:r w:rsidRPr="001A05F4">
              <w:rPr>
                <w:szCs w:val="20"/>
                <w:vertAlign w:val="superscript"/>
              </w:rPr>
              <w:t>d</w:t>
            </w:r>
            <w:r w:rsidRPr="001A05F4">
              <w:rPr>
                <w:szCs w:val="20"/>
              </w:rPr>
              <w:t xml:space="preserve"> (NR); NR (NR)</w:t>
            </w:r>
          </w:p>
        </w:tc>
      </w:tr>
      <w:tr w:rsidR="00C66BE6" w:rsidRPr="001A05F4" w:rsidTr="00683790">
        <w:tc>
          <w:tcPr>
            <w:tcW w:w="9209" w:type="dxa"/>
            <w:gridSpan w:val="6"/>
            <w:shd w:val="clear" w:color="auto" w:fill="auto"/>
          </w:tcPr>
          <w:p w:rsidR="00C66BE6" w:rsidRPr="001A05F4" w:rsidRDefault="00C66BE6" w:rsidP="001B7DBC">
            <w:pPr>
              <w:pStyle w:val="TableText0"/>
              <w:keepLines/>
              <w:spacing w:before="0" w:after="0"/>
              <w:rPr>
                <w:b/>
                <w:szCs w:val="20"/>
              </w:rPr>
            </w:pPr>
            <w:r w:rsidRPr="001A05F4">
              <w:rPr>
                <w:b/>
                <w:szCs w:val="20"/>
              </w:rPr>
              <w:t>Natural history studies</w:t>
            </w:r>
          </w:p>
        </w:tc>
      </w:tr>
      <w:tr w:rsidR="00C66BE6" w:rsidRPr="001A05F4" w:rsidTr="00683790">
        <w:tc>
          <w:tcPr>
            <w:tcW w:w="1209" w:type="dxa"/>
            <w:vMerge w:val="restart"/>
            <w:shd w:val="clear" w:color="auto" w:fill="D9D9D9" w:themeFill="background1" w:themeFillShade="D9"/>
          </w:tcPr>
          <w:p w:rsidR="00C66BE6" w:rsidRPr="001A05F4" w:rsidRDefault="00C66BE6" w:rsidP="001B7DBC">
            <w:pPr>
              <w:pStyle w:val="TableText0"/>
              <w:keepLines/>
              <w:spacing w:before="0" w:after="0"/>
              <w:rPr>
                <w:szCs w:val="20"/>
              </w:rPr>
            </w:pPr>
            <w:r w:rsidRPr="001A05F4">
              <w:rPr>
                <w:szCs w:val="20"/>
              </w:rPr>
              <w:t>Pera 2019</w:t>
            </w:r>
          </w:p>
          <w:p w:rsidR="00C66BE6" w:rsidRPr="001A05F4" w:rsidRDefault="00C66BE6" w:rsidP="001B7DBC">
            <w:pPr>
              <w:pStyle w:val="TableText0"/>
              <w:keepLines/>
              <w:spacing w:before="0" w:after="0"/>
              <w:rPr>
                <w:szCs w:val="20"/>
              </w:rPr>
            </w:pPr>
            <w:r w:rsidRPr="001A05F4">
              <w:rPr>
                <w:szCs w:val="20"/>
              </w:rPr>
              <w:t>Patients ≥18 years</w:t>
            </w:r>
            <w:r w:rsidRPr="001A05F4">
              <w:rPr>
                <w:szCs w:val="20"/>
                <w:vertAlign w:val="superscript"/>
              </w:rPr>
              <w:t>c</w:t>
            </w:r>
          </w:p>
        </w:tc>
        <w:tc>
          <w:tcPr>
            <w:tcW w:w="1763" w:type="dxa"/>
            <w:shd w:val="clear" w:color="auto" w:fill="D9D9D9" w:themeFill="background1" w:themeFillShade="D9"/>
          </w:tcPr>
          <w:p w:rsidR="00C66BE6" w:rsidRPr="001A05F4" w:rsidRDefault="00C66BE6" w:rsidP="001B7DBC">
            <w:pPr>
              <w:pStyle w:val="TableText0"/>
              <w:keepLines/>
              <w:spacing w:before="0" w:after="0"/>
              <w:rPr>
                <w:szCs w:val="20"/>
              </w:rPr>
            </w:pPr>
            <w:r w:rsidRPr="001A05F4">
              <w:rPr>
                <w:szCs w:val="20"/>
              </w:rPr>
              <w:t>All</w:t>
            </w:r>
          </w:p>
        </w:tc>
        <w:tc>
          <w:tcPr>
            <w:tcW w:w="567"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24</w:t>
            </w:r>
          </w:p>
        </w:tc>
        <w:tc>
          <w:tcPr>
            <w:tcW w:w="1477"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NR (NR)</w:t>
            </w:r>
          </w:p>
        </w:tc>
        <w:tc>
          <w:tcPr>
            <w:tcW w:w="1500"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22.0 (NR)</w:t>
            </w:r>
          </w:p>
        </w:tc>
        <w:tc>
          <w:tcPr>
            <w:tcW w:w="2693"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-0.7 (2.5); NR (NR)</w:t>
            </w:r>
          </w:p>
        </w:tc>
      </w:tr>
      <w:tr w:rsidR="00C66BE6" w:rsidRPr="001A05F4" w:rsidTr="00683790">
        <w:tc>
          <w:tcPr>
            <w:tcW w:w="1209" w:type="dxa"/>
            <w:vMerge/>
            <w:shd w:val="clear" w:color="auto" w:fill="D9D9D9" w:themeFill="background1" w:themeFillShade="D9"/>
          </w:tcPr>
          <w:p w:rsidR="00C66BE6" w:rsidRPr="001A05F4" w:rsidRDefault="00C66BE6" w:rsidP="001B7DBC">
            <w:pPr>
              <w:pStyle w:val="TableText0"/>
              <w:keepLines/>
              <w:spacing w:before="0" w:after="0"/>
              <w:rPr>
                <w:szCs w:val="20"/>
              </w:rPr>
            </w:pPr>
          </w:p>
        </w:tc>
        <w:tc>
          <w:tcPr>
            <w:tcW w:w="1763" w:type="dxa"/>
            <w:shd w:val="clear" w:color="auto" w:fill="D9D9D9" w:themeFill="background1" w:themeFillShade="D9"/>
          </w:tcPr>
          <w:p w:rsidR="00C66BE6" w:rsidRPr="001A05F4" w:rsidRDefault="00C66BE6" w:rsidP="001B7DBC">
            <w:pPr>
              <w:pStyle w:val="TableText0"/>
              <w:keepLines/>
              <w:spacing w:before="0" w:after="0"/>
              <w:rPr>
                <w:szCs w:val="20"/>
              </w:rPr>
            </w:pPr>
            <w:r w:rsidRPr="001A05F4">
              <w:rPr>
                <w:szCs w:val="20"/>
              </w:rPr>
              <w:t>Type II</w:t>
            </w:r>
          </w:p>
        </w:tc>
        <w:tc>
          <w:tcPr>
            <w:tcW w:w="567"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11</w:t>
            </w:r>
          </w:p>
        </w:tc>
        <w:tc>
          <w:tcPr>
            <w:tcW w:w="1477"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NR (NR)</w:t>
            </w:r>
          </w:p>
        </w:tc>
        <w:tc>
          <w:tcPr>
            <w:tcW w:w="1500"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11.8 (NR)</w:t>
            </w:r>
          </w:p>
        </w:tc>
        <w:tc>
          <w:tcPr>
            <w:tcW w:w="2693"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+0.6 (1.9); NR (NR)</w:t>
            </w:r>
          </w:p>
        </w:tc>
      </w:tr>
      <w:tr w:rsidR="00C66BE6" w:rsidRPr="001A05F4" w:rsidTr="00683790">
        <w:tc>
          <w:tcPr>
            <w:tcW w:w="1209" w:type="dxa"/>
            <w:vMerge/>
            <w:shd w:val="clear" w:color="auto" w:fill="D9D9D9" w:themeFill="background1" w:themeFillShade="D9"/>
          </w:tcPr>
          <w:p w:rsidR="00C66BE6" w:rsidRPr="001A05F4" w:rsidRDefault="00C66BE6" w:rsidP="001B7DBC">
            <w:pPr>
              <w:pStyle w:val="TableText0"/>
              <w:keepLines/>
              <w:spacing w:before="0" w:after="0"/>
              <w:rPr>
                <w:szCs w:val="20"/>
              </w:rPr>
            </w:pPr>
          </w:p>
        </w:tc>
        <w:tc>
          <w:tcPr>
            <w:tcW w:w="1763" w:type="dxa"/>
            <w:shd w:val="clear" w:color="auto" w:fill="D9D9D9" w:themeFill="background1" w:themeFillShade="D9"/>
          </w:tcPr>
          <w:p w:rsidR="00C66BE6" w:rsidRPr="001A05F4" w:rsidRDefault="00C66BE6" w:rsidP="001B7DBC">
            <w:pPr>
              <w:pStyle w:val="TableText0"/>
              <w:keepLines/>
              <w:spacing w:before="0" w:after="0"/>
              <w:rPr>
                <w:szCs w:val="20"/>
              </w:rPr>
            </w:pPr>
            <w:r w:rsidRPr="001A05F4">
              <w:rPr>
                <w:szCs w:val="20"/>
              </w:rPr>
              <w:t>Type III non-ambulant</w:t>
            </w:r>
          </w:p>
        </w:tc>
        <w:tc>
          <w:tcPr>
            <w:tcW w:w="567"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6</w:t>
            </w:r>
          </w:p>
        </w:tc>
        <w:tc>
          <w:tcPr>
            <w:tcW w:w="1477"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NR (NR)</w:t>
            </w:r>
          </w:p>
        </w:tc>
        <w:tc>
          <w:tcPr>
            <w:tcW w:w="1500"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22.7 (NR)</w:t>
            </w:r>
          </w:p>
        </w:tc>
        <w:tc>
          <w:tcPr>
            <w:tcW w:w="2693"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-1.7 (2.4); NR (NR)</w:t>
            </w:r>
          </w:p>
        </w:tc>
      </w:tr>
      <w:tr w:rsidR="00C66BE6" w:rsidRPr="001A05F4" w:rsidTr="00683790">
        <w:tc>
          <w:tcPr>
            <w:tcW w:w="1209" w:type="dxa"/>
            <w:vMerge/>
            <w:tcBorders>
              <w:bottom w:val="single" w:sz="4" w:space="0" w:color="auto"/>
            </w:tcBorders>
            <w:shd w:val="clear" w:color="auto" w:fill="D9D9D9" w:themeFill="background1" w:themeFillShade="D9"/>
          </w:tcPr>
          <w:p w:rsidR="00C66BE6" w:rsidRPr="001A05F4" w:rsidRDefault="00C66BE6" w:rsidP="001B7DBC">
            <w:pPr>
              <w:pStyle w:val="TableText0"/>
              <w:keepLines/>
              <w:spacing w:before="0" w:after="0"/>
              <w:rPr>
                <w:szCs w:val="20"/>
              </w:rPr>
            </w:pPr>
          </w:p>
        </w:tc>
        <w:tc>
          <w:tcPr>
            <w:tcW w:w="1763" w:type="dxa"/>
            <w:tcBorders>
              <w:bottom w:val="single" w:sz="4" w:space="0" w:color="auto"/>
            </w:tcBorders>
            <w:shd w:val="clear" w:color="auto" w:fill="D9D9D9" w:themeFill="background1" w:themeFillShade="D9"/>
          </w:tcPr>
          <w:p w:rsidR="00C66BE6" w:rsidRPr="001A05F4" w:rsidRDefault="00C66BE6" w:rsidP="001B7DBC">
            <w:pPr>
              <w:pStyle w:val="TableText0"/>
              <w:keepLines/>
              <w:spacing w:before="0" w:after="0"/>
              <w:rPr>
                <w:szCs w:val="20"/>
              </w:rPr>
            </w:pPr>
            <w:r w:rsidRPr="001A05F4">
              <w:rPr>
                <w:szCs w:val="20"/>
              </w:rPr>
              <w:t>Type III ambulant</w:t>
            </w:r>
          </w:p>
        </w:tc>
        <w:tc>
          <w:tcPr>
            <w:tcW w:w="567"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7</w:t>
            </w:r>
          </w:p>
        </w:tc>
        <w:tc>
          <w:tcPr>
            <w:tcW w:w="1477"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NR (NR)</w:t>
            </w:r>
          </w:p>
        </w:tc>
        <w:tc>
          <w:tcPr>
            <w:tcW w:w="1500"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36.0 (NR)</w:t>
            </w:r>
          </w:p>
        </w:tc>
        <w:tc>
          <w:tcPr>
            <w:tcW w:w="2693"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-1.4 (2.7); NR (NR)</w:t>
            </w:r>
          </w:p>
        </w:tc>
      </w:tr>
    </w:tbl>
    <w:p w:rsidR="00C66BE6" w:rsidRPr="001A05F4" w:rsidRDefault="00C66BE6" w:rsidP="001B7DBC">
      <w:pPr>
        <w:pStyle w:val="TableFigureFooter"/>
        <w:keepNext/>
        <w:keepLines/>
        <w:jc w:val="left"/>
      </w:pPr>
      <w:r w:rsidRPr="001A05F4">
        <w:rPr>
          <w:vertAlign w:val="superscript"/>
        </w:rPr>
        <w:t>a</w:t>
      </w:r>
      <w:r w:rsidRPr="001A05F4">
        <w:t>Data represents 14 month assessment expressed. Baseline values include all patients enrolled</w:t>
      </w:r>
      <w:r w:rsidRPr="001A05F4">
        <w:br/>
      </w:r>
      <w:r w:rsidRPr="001A05F4">
        <w:rPr>
          <w:vertAlign w:val="superscript"/>
        </w:rPr>
        <w:t>b</w:t>
      </w:r>
      <w:r w:rsidRPr="001A05F4">
        <w:t>Data represents 10 month assessment expressed</w:t>
      </w:r>
    </w:p>
    <w:p w:rsidR="00C66BE6" w:rsidRPr="001A05F4" w:rsidRDefault="00C66BE6" w:rsidP="001B7DBC">
      <w:pPr>
        <w:pStyle w:val="TableFigureFooter"/>
        <w:keepNext/>
        <w:keepLines/>
        <w:jc w:val="left"/>
      </w:pPr>
      <w:r w:rsidRPr="001A05F4">
        <w:rPr>
          <w:vertAlign w:val="superscript"/>
        </w:rPr>
        <w:t>c</w:t>
      </w:r>
      <w:r w:rsidRPr="001A05F4">
        <w:t>Data extracted using DigitizeIT Software.</w:t>
      </w:r>
    </w:p>
    <w:p w:rsidR="00C66BE6" w:rsidRPr="001A05F4" w:rsidRDefault="00C66BE6" w:rsidP="001B7DBC">
      <w:pPr>
        <w:pStyle w:val="TableFigureFooter"/>
        <w:keepNext/>
        <w:keepLines/>
        <w:jc w:val="left"/>
      </w:pPr>
      <w:r w:rsidRPr="001A05F4">
        <w:rPr>
          <w:vertAlign w:val="superscript"/>
        </w:rPr>
        <w:t>d</w:t>
      </w:r>
      <w:r w:rsidRPr="001A05F4">
        <w:t>Increase from baseline to last assessment. Last assessment varied from 9 to 26 months.</w:t>
      </w:r>
    </w:p>
    <w:p w:rsidR="00152C45" w:rsidRPr="001A05F4" w:rsidRDefault="00C66BE6" w:rsidP="001B7DBC">
      <w:pPr>
        <w:pStyle w:val="TableFigureFooter"/>
        <w:keepNext/>
        <w:keepLines/>
        <w:spacing w:after="0"/>
        <w:jc w:val="left"/>
      </w:pPr>
      <w:r w:rsidRPr="001A05F4">
        <w:rPr>
          <w:vertAlign w:val="superscript"/>
        </w:rPr>
        <w:t>e</w:t>
      </w:r>
      <w:r w:rsidRPr="001A05F4">
        <w:t>Mean age of patients and baseline RULM in Jochmann 2020 recalculated during evaluation</w:t>
      </w:r>
    </w:p>
    <w:p w:rsidR="00C66BE6" w:rsidRPr="001A05F4" w:rsidRDefault="00152C45" w:rsidP="001B7DBC">
      <w:pPr>
        <w:pStyle w:val="TableFigureFooter"/>
        <w:keepNext/>
        <w:keepLines/>
        <w:spacing w:after="0"/>
        <w:jc w:val="left"/>
      </w:pPr>
      <w:r w:rsidRPr="001A05F4">
        <w:rPr>
          <w:vertAlign w:val="superscript"/>
        </w:rPr>
        <w:t>*</w:t>
      </w:r>
      <w:r w:rsidRPr="001A05F4">
        <w:t xml:space="preserve">  Values calculated during evaluation</w:t>
      </w:r>
      <w:r w:rsidR="001A05F4">
        <w:t xml:space="preserve">. </w:t>
      </w:r>
    </w:p>
    <w:p w:rsidR="00C66BE6" w:rsidRPr="001A05F4" w:rsidRDefault="00C66BE6" w:rsidP="001B7DBC">
      <w:pPr>
        <w:pStyle w:val="TableFigureFooter"/>
        <w:keepNext/>
        <w:keepLines/>
        <w:spacing w:after="0"/>
        <w:jc w:val="left"/>
      </w:pPr>
      <w:r w:rsidRPr="001A05F4">
        <w:t>Data shaded grey was presented in the nusinersen November 2020 submission.</w:t>
      </w:r>
    </w:p>
    <w:p w:rsidR="00C66BE6" w:rsidRPr="001A05F4" w:rsidRDefault="00C66BE6" w:rsidP="001B7DBC">
      <w:pPr>
        <w:pStyle w:val="TableFigureFooter"/>
        <w:keepNext/>
        <w:keepLines/>
        <w:jc w:val="left"/>
      </w:pPr>
      <w:r w:rsidRPr="001A05F4">
        <w:t>CI = confidence interval; NR = not reported</w:t>
      </w:r>
      <w:r w:rsidR="00BC2D8D" w:rsidRPr="001A05F4">
        <w:t>;</w:t>
      </w:r>
      <w:r w:rsidRPr="001A05F4">
        <w:t xml:space="preserve"> RULM=Revised upper limb module; SD=Standard deviation; SMA=spinal muscular atrophy</w:t>
      </w:r>
      <w:r w:rsidRPr="001A05F4">
        <w:br/>
        <w:t>Source: Table 2.82, p259 of the resubmission</w:t>
      </w:r>
    </w:p>
    <w:p w:rsidR="00E12AFB" w:rsidRPr="001A05F4" w:rsidRDefault="00E12AFB" w:rsidP="00F9436F">
      <w:pPr>
        <w:pStyle w:val="3-BodyText"/>
        <w:numPr>
          <w:ilvl w:val="1"/>
          <w:numId w:val="2"/>
        </w:numPr>
      </w:pPr>
      <w:r w:rsidRPr="001A05F4">
        <w:rPr>
          <w:iCs/>
        </w:rPr>
        <w:t>As for HFMSE, the results reported for all patients in Maggi 2020 were not consistent</w:t>
      </w:r>
      <w:r w:rsidR="00886706" w:rsidRPr="001A05F4">
        <w:rPr>
          <w:iCs/>
        </w:rPr>
        <w:t xml:space="preserve"> with the results for the subtypes</w:t>
      </w:r>
      <w:r w:rsidRPr="001A05F4">
        <w:rPr>
          <w:iCs/>
        </w:rPr>
        <w:t xml:space="preserve">, with a mean change in RULM for all patients being greater than the value in each of the SMA subgroups. </w:t>
      </w:r>
    </w:p>
    <w:p w:rsidR="00E12AFB" w:rsidRPr="001A05F4" w:rsidRDefault="00E12AFB" w:rsidP="00F9436F">
      <w:pPr>
        <w:pStyle w:val="3-BodyText"/>
        <w:numPr>
          <w:ilvl w:val="1"/>
          <w:numId w:val="2"/>
        </w:numPr>
      </w:pPr>
      <w:r w:rsidRPr="001A05F4">
        <w:t>The ambulant SMA Type III walkers in Maggi 2020 and Type III (All patients) in Walter 2019 both had a median baseline score of 37 points, which is the maximum possible score on the RULM scale. Patients then generally maintained this functionality for the duration of follow up. The resubmission reasonably reported that an observed ceiling effect indicated that RULM may not be sensitive enough to capture functional gains attributable to nusinersen treatment in this patient population.</w:t>
      </w:r>
    </w:p>
    <w:p w:rsidR="00C66BE6" w:rsidRPr="001A05F4" w:rsidRDefault="00C66BE6" w:rsidP="00F9436F">
      <w:pPr>
        <w:pStyle w:val="3-BodyText"/>
        <w:numPr>
          <w:ilvl w:val="1"/>
          <w:numId w:val="2"/>
        </w:numPr>
        <w:rPr>
          <w:iCs/>
        </w:rPr>
      </w:pPr>
      <w:r w:rsidRPr="001A05F4">
        <w:t xml:space="preserve">The resubmission stated that the naïve comparison appeared to indicate that adult SMA patients treated with nusinersen reported disease stabilisation or a modest improvement when measured using RULM, whereas a decline was reported in natural history studies of adults with SMA. </w:t>
      </w:r>
      <w:r w:rsidRPr="001A05F4">
        <w:rPr>
          <w:iCs/>
        </w:rPr>
        <w:t xml:space="preserve">However, given the non-comparative nature of the data, limited amount of natural history data available with which to compare nusinersen data, the heterogeneity of the population, the inconsistencies in the follow up period of the nusinersen studies, the data inconsistencies observed with the Maggi 2020 study and the ceiling effect observed for the RULM outcome, it </w:t>
      </w:r>
      <w:r w:rsidR="00E12AFB" w:rsidRPr="001A05F4">
        <w:rPr>
          <w:iCs/>
        </w:rPr>
        <w:t>wa</w:t>
      </w:r>
      <w:r w:rsidRPr="001A05F4">
        <w:rPr>
          <w:iCs/>
        </w:rPr>
        <w:t>s difficult to draw any reliable conclusions from the available RULM data in the naïve comparison.</w:t>
      </w:r>
    </w:p>
    <w:p w:rsidR="00C66BE6" w:rsidRPr="001A05F4" w:rsidRDefault="00C66BE6" w:rsidP="00F9436F">
      <w:pPr>
        <w:pStyle w:val="3-BodyText"/>
        <w:numPr>
          <w:ilvl w:val="1"/>
          <w:numId w:val="2"/>
        </w:numPr>
      </w:pPr>
      <w:r w:rsidRPr="001A05F4">
        <w:t>The results of change in RULM from baseline for the SMA registr</w:t>
      </w:r>
      <w:r w:rsidR="006E2AE4" w:rsidRPr="001A05F4">
        <w:t>y</w:t>
      </w:r>
      <w:r w:rsidRPr="001A05F4">
        <w:t xml:space="preserve"> are summarised in </w:t>
      </w:r>
      <w:r w:rsidR="00BC2D8D" w:rsidRPr="001A05F4">
        <w:t>Table 9</w:t>
      </w:r>
      <w:r w:rsidR="00E12AFB" w:rsidRPr="001A05F4">
        <w:t>.</w:t>
      </w:r>
    </w:p>
    <w:p w:rsidR="00C66BE6" w:rsidRPr="001A05F4" w:rsidRDefault="00E12AFB" w:rsidP="001B7DBC">
      <w:pPr>
        <w:pStyle w:val="TableFigureHeading"/>
        <w:keepLines/>
      </w:pPr>
      <w:bookmarkStart w:id="24" w:name="_Ref71585347"/>
      <w:r w:rsidRPr="001A05F4">
        <w:t xml:space="preserve">Table </w:t>
      </w:r>
      <w:r w:rsidR="00BC2D8D" w:rsidRPr="001A05F4">
        <w:t>9</w:t>
      </w:r>
      <w:bookmarkEnd w:id="24"/>
      <w:r w:rsidRPr="001A05F4">
        <w:t xml:space="preserve">: </w:t>
      </w:r>
      <w:r w:rsidR="00C66BE6" w:rsidRPr="001A05F4">
        <w:t>RULM change from baseline in SMA Registr</w:t>
      </w:r>
      <w:r w:rsidR="006E2AE4" w:rsidRPr="001A05F4">
        <w:t>y</w:t>
      </w:r>
    </w:p>
    <w:tbl>
      <w:tblPr>
        <w:tblStyle w:val="TableGrid"/>
        <w:tblW w:w="9118" w:type="dxa"/>
        <w:tblLook w:val="04A0" w:firstRow="1" w:lastRow="0" w:firstColumn="1" w:lastColumn="0" w:noHBand="0" w:noVBand="1"/>
        <w:tblCaption w:val="Table 9: RULM change from baseline in SMA Registry"/>
      </w:tblPr>
      <w:tblGrid>
        <w:gridCol w:w="2685"/>
        <w:gridCol w:w="849"/>
        <w:gridCol w:w="991"/>
        <w:gridCol w:w="891"/>
        <w:gridCol w:w="1952"/>
        <w:gridCol w:w="1750"/>
      </w:tblGrid>
      <w:tr w:rsidR="0086491B" w:rsidRPr="001A05F4" w:rsidTr="00466FA7">
        <w:trPr>
          <w:trHeight w:val="20"/>
          <w:tblHeader/>
        </w:trPr>
        <w:tc>
          <w:tcPr>
            <w:tcW w:w="2685" w:type="dxa"/>
            <w:shd w:val="clear" w:color="auto" w:fill="auto"/>
            <w:vAlign w:val="center"/>
          </w:tcPr>
          <w:p w:rsidR="0086491B" w:rsidRPr="001A05F4" w:rsidRDefault="0086491B" w:rsidP="001B7DBC">
            <w:pPr>
              <w:pStyle w:val="TableText0"/>
              <w:keepLines/>
              <w:spacing w:before="0" w:after="0"/>
              <w:rPr>
                <w:b/>
                <w:bCs/>
                <w:szCs w:val="20"/>
              </w:rPr>
            </w:pPr>
            <w:r w:rsidRPr="001A05F4">
              <w:rPr>
                <w:b/>
                <w:bCs/>
                <w:szCs w:val="20"/>
              </w:rPr>
              <w:t>Type</w:t>
            </w:r>
          </w:p>
        </w:tc>
        <w:tc>
          <w:tcPr>
            <w:tcW w:w="849" w:type="dxa"/>
            <w:shd w:val="clear" w:color="auto" w:fill="auto"/>
            <w:vAlign w:val="center"/>
          </w:tcPr>
          <w:p w:rsidR="0086491B" w:rsidRPr="001A05F4" w:rsidRDefault="0086491B" w:rsidP="001B7DBC">
            <w:pPr>
              <w:pStyle w:val="TableText0"/>
              <w:keepLines/>
              <w:spacing w:before="0" w:after="0"/>
              <w:jc w:val="center"/>
              <w:rPr>
                <w:b/>
                <w:bCs/>
                <w:szCs w:val="20"/>
              </w:rPr>
            </w:pPr>
            <w:r w:rsidRPr="001A05F4">
              <w:rPr>
                <w:b/>
                <w:bCs/>
                <w:szCs w:val="20"/>
              </w:rPr>
              <w:t>N</w:t>
            </w:r>
          </w:p>
        </w:tc>
        <w:tc>
          <w:tcPr>
            <w:tcW w:w="991" w:type="dxa"/>
            <w:shd w:val="clear" w:color="auto" w:fill="auto"/>
            <w:vAlign w:val="center"/>
          </w:tcPr>
          <w:p w:rsidR="0086491B" w:rsidRPr="001A05F4" w:rsidRDefault="0086491B" w:rsidP="001B7DBC">
            <w:pPr>
              <w:pStyle w:val="TableText0"/>
              <w:keepLines/>
              <w:spacing w:before="0" w:after="0"/>
              <w:rPr>
                <w:b/>
                <w:bCs/>
                <w:szCs w:val="20"/>
              </w:rPr>
            </w:pPr>
            <w:r w:rsidRPr="001A05F4">
              <w:rPr>
                <w:b/>
                <w:bCs/>
                <w:szCs w:val="20"/>
              </w:rPr>
              <w:t>Mean Age in years</w:t>
            </w:r>
          </w:p>
        </w:tc>
        <w:tc>
          <w:tcPr>
            <w:tcW w:w="891" w:type="dxa"/>
            <w:shd w:val="clear" w:color="auto" w:fill="auto"/>
            <w:vAlign w:val="center"/>
          </w:tcPr>
          <w:p w:rsidR="0086491B" w:rsidRPr="001A05F4" w:rsidRDefault="0086491B" w:rsidP="001B7DBC">
            <w:pPr>
              <w:pStyle w:val="TableText0"/>
              <w:keepLines/>
              <w:spacing w:before="0" w:after="0"/>
              <w:rPr>
                <w:b/>
                <w:bCs/>
                <w:szCs w:val="20"/>
              </w:rPr>
            </w:pPr>
            <w:r w:rsidRPr="001A05F4">
              <w:rPr>
                <w:b/>
                <w:bCs/>
                <w:szCs w:val="20"/>
              </w:rPr>
              <w:t xml:space="preserve">Mean Baseline RULM </w:t>
            </w:r>
          </w:p>
        </w:tc>
        <w:tc>
          <w:tcPr>
            <w:tcW w:w="1952" w:type="dxa"/>
            <w:vAlign w:val="center"/>
          </w:tcPr>
          <w:p w:rsidR="0086491B" w:rsidRPr="001A05F4" w:rsidRDefault="0086491B" w:rsidP="008E4642">
            <w:pPr>
              <w:pStyle w:val="TableText0"/>
              <w:keepLines/>
              <w:spacing w:before="0" w:after="0"/>
              <w:jc w:val="center"/>
              <w:rPr>
                <w:b/>
                <w:bCs/>
                <w:szCs w:val="20"/>
              </w:rPr>
            </w:pPr>
            <w:r w:rsidRPr="001A05F4">
              <w:rPr>
                <w:b/>
                <w:bCs/>
                <w:szCs w:val="20"/>
              </w:rPr>
              <w:t>Weekly rate of change (95%CI)</w:t>
            </w:r>
          </w:p>
        </w:tc>
        <w:tc>
          <w:tcPr>
            <w:tcW w:w="1750" w:type="dxa"/>
            <w:shd w:val="clear" w:color="auto" w:fill="auto"/>
            <w:vAlign w:val="center"/>
          </w:tcPr>
          <w:p w:rsidR="0086491B" w:rsidRPr="001A05F4" w:rsidRDefault="0086491B" w:rsidP="008E4642">
            <w:pPr>
              <w:pStyle w:val="TableText0"/>
              <w:keepLines/>
              <w:spacing w:before="0" w:after="0"/>
              <w:jc w:val="center"/>
              <w:rPr>
                <w:b/>
                <w:bCs/>
                <w:szCs w:val="20"/>
                <w:vertAlign w:val="superscript"/>
              </w:rPr>
            </w:pPr>
            <w:r w:rsidRPr="001A05F4">
              <w:rPr>
                <w:b/>
                <w:bCs/>
                <w:szCs w:val="20"/>
              </w:rPr>
              <w:t>Annualised change from baseline – mean slope – p-value</w:t>
            </w:r>
            <w:r w:rsidR="008E4642" w:rsidRPr="001A05F4">
              <w:rPr>
                <w:b/>
                <w:bCs/>
                <w:szCs w:val="20"/>
              </w:rPr>
              <w:t xml:space="preserve"> </w:t>
            </w:r>
            <w:r w:rsidR="008E4642" w:rsidRPr="001A05F4">
              <w:rPr>
                <w:b/>
                <w:bCs/>
                <w:szCs w:val="20"/>
                <w:vertAlign w:val="superscript"/>
              </w:rPr>
              <w:t>b</w:t>
            </w:r>
          </w:p>
        </w:tc>
      </w:tr>
      <w:tr w:rsidR="008E4642" w:rsidRPr="001A05F4" w:rsidTr="00650C13">
        <w:trPr>
          <w:trHeight w:val="20"/>
        </w:trPr>
        <w:tc>
          <w:tcPr>
            <w:tcW w:w="9118" w:type="dxa"/>
            <w:gridSpan w:val="6"/>
          </w:tcPr>
          <w:p w:rsidR="008E4642" w:rsidRPr="001A05F4" w:rsidRDefault="008E4642" w:rsidP="001B7DBC">
            <w:pPr>
              <w:pStyle w:val="TableText0"/>
              <w:keepLines/>
              <w:spacing w:before="0" w:after="0"/>
              <w:rPr>
                <w:szCs w:val="20"/>
              </w:rPr>
            </w:pPr>
            <w:r w:rsidRPr="001A05F4">
              <w:rPr>
                <w:szCs w:val="20"/>
              </w:rPr>
              <w:t>Nusinersen treatment</w:t>
            </w:r>
          </w:p>
        </w:tc>
      </w:tr>
      <w:tr w:rsidR="0086491B" w:rsidRPr="00C508D4" w:rsidTr="008E4642">
        <w:trPr>
          <w:trHeight w:val="20"/>
        </w:trPr>
        <w:tc>
          <w:tcPr>
            <w:tcW w:w="2685" w:type="dxa"/>
            <w:shd w:val="clear" w:color="auto" w:fill="auto"/>
          </w:tcPr>
          <w:p w:rsidR="0086491B" w:rsidRPr="001A05F4" w:rsidRDefault="0086491B" w:rsidP="001B7DBC">
            <w:pPr>
              <w:pStyle w:val="TableText0"/>
              <w:keepLines/>
              <w:spacing w:before="0" w:after="0"/>
              <w:rPr>
                <w:szCs w:val="20"/>
              </w:rPr>
            </w:pPr>
            <w:r w:rsidRPr="001A05F4">
              <w:rPr>
                <w:szCs w:val="20"/>
              </w:rPr>
              <w:t>Cohort 1: Treated Type III + IV</w:t>
            </w:r>
          </w:p>
        </w:tc>
        <w:tc>
          <w:tcPr>
            <w:tcW w:w="849" w:type="dxa"/>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235</w:t>
            </w:r>
          </w:p>
        </w:tc>
        <w:tc>
          <w:tcPr>
            <w:tcW w:w="991" w:type="dxa"/>
            <w:vMerge w:val="restart"/>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NA</w:t>
            </w:r>
            <w:r w:rsidRPr="00C508D4">
              <w:rPr>
                <w:szCs w:val="20"/>
                <w:vertAlign w:val="superscript"/>
              </w:rPr>
              <w:t>a</w:t>
            </w:r>
          </w:p>
        </w:tc>
        <w:tc>
          <w:tcPr>
            <w:tcW w:w="891" w:type="dxa"/>
            <w:vMerge w:val="restart"/>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NA</w:t>
            </w:r>
            <w:r w:rsidRPr="00C508D4">
              <w:rPr>
                <w:szCs w:val="20"/>
                <w:vertAlign w:val="superscript"/>
              </w:rPr>
              <w:t>a</w:t>
            </w:r>
          </w:p>
        </w:tc>
        <w:tc>
          <w:tcPr>
            <w:tcW w:w="1952" w:type="dxa"/>
            <w:vAlign w:val="center"/>
          </w:tcPr>
          <w:p w:rsidR="0086491B" w:rsidRPr="00C508D4" w:rsidRDefault="00FB61CC" w:rsidP="008E4642">
            <w:pPr>
              <w:pStyle w:val="TableText0"/>
              <w:keepLines/>
              <w:spacing w:before="0" w:after="0"/>
              <w:jc w:val="center"/>
              <w:rPr>
                <w:szCs w:val="20"/>
              </w:rPr>
            </w:pPr>
            <w:r w:rsidRPr="00C508D4">
              <w:rPr>
                <w:szCs w:val="20"/>
              </w:rPr>
              <w:t>0.012 (0.005, 0.018)</w:t>
            </w:r>
          </w:p>
        </w:tc>
        <w:tc>
          <w:tcPr>
            <w:tcW w:w="1750" w:type="dxa"/>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+0.61 p=0.0007</w:t>
            </w:r>
          </w:p>
        </w:tc>
      </w:tr>
      <w:tr w:rsidR="0086491B" w:rsidRPr="00C508D4" w:rsidTr="008E4642">
        <w:trPr>
          <w:trHeight w:val="20"/>
        </w:trPr>
        <w:tc>
          <w:tcPr>
            <w:tcW w:w="2685" w:type="dxa"/>
            <w:shd w:val="clear" w:color="auto" w:fill="auto"/>
          </w:tcPr>
          <w:p w:rsidR="0086491B" w:rsidRPr="001A05F4" w:rsidRDefault="0086491B" w:rsidP="001B7DBC">
            <w:pPr>
              <w:pStyle w:val="TableText0"/>
              <w:keepLines/>
              <w:spacing w:before="0" w:after="0"/>
              <w:rPr>
                <w:szCs w:val="20"/>
              </w:rPr>
            </w:pPr>
            <w:r w:rsidRPr="001A05F4">
              <w:rPr>
                <w:szCs w:val="20"/>
              </w:rPr>
              <w:t>Cohort 1: Treated Type III + IV (excl. ceiling effect)</w:t>
            </w:r>
          </w:p>
        </w:tc>
        <w:tc>
          <w:tcPr>
            <w:tcW w:w="849" w:type="dxa"/>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NA</w:t>
            </w:r>
          </w:p>
        </w:tc>
        <w:tc>
          <w:tcPr>
            <w:tcW w:w="991" w:type="dxa"/>
            <w:vMerge/>
            <w:shd w:val="clear" w:color="auto" w:fill="auto"/>
            <w:vAlign w:val="center"/>
          </w:tcPr>
          <w:p w:rsidR="0086491B" w:rsidRPr="00C508D4" w:rsidRDefault="0086491B" w:rsidP="001B7DBC">
            <w:pPr>
              <w:pStyle w:val="TableText0"/>
              <w:keepLines/>
              <w:spacing w:before="0" w:after="0"/>
              <w:jc w:val="center"/>
              <w:rPr>
                <w:szCs w:val="20"/>
              </w:rPr>
            </w:pPr>
          </w:p>
        </w:tc>
        <w:tc>
          <w:tcPr>
            <w:tcW w:w="891" w:type="dxa"/>
            <w:vMerge/>
            <w:shd w:val="clear" w:color="auto" w:fill="auto"/>
            <w:vAlign w:val="center"/>
          </w:tcPr>
          <w:p w:rsidR="0086491B" w:rsidRPr="00C508D4" w:rsidRDefault="0086491B" w:rsidP="001B7DBC">
            <w:pPr>
              <w:pStyle w:val="TableText0"/>
              <w:keepLines/>
              <w:spacing w:before="0" w:after="0"/>
              <w:jc w:val="center"/>
              <w:rPr>
                <w:szCs w:val="20"/>
              </w:rPr>
            </w:pPr>
          </w:p>
        </w:tc>
        <w:tc>
          <w:tcPr>
            <w:tcW w:w="1952" w:type="dxa"/>
            <w:vAlign w:val="center"/>
          </w:tcPr>
          <w:p w:rsidR="0086491B" w:rsidRPr="00C508D4" w:rsidRDefault="00FB61CC" w:rsidP="008E4642">
            <w:pPr>
              <w:pStyle w:val="TableText0"/>
              <w:keepLines/>
              <w:spacing w:before="0" w:after="0"/>
              <w:jc w:val="center"/>
              <w:rPr>
                <w:szCs w:val="20"/>
              </w:rPr>
            </w:pPr>
            <w:r w:rsidRPr="00C508D4">
              <w:rPr>
                <w:szCs w:val="20"/>
              </w:rPr>
              <w:t>0.016 (0.007, 0.025)</w:t>
            </w:r>
          </w:p>
        </w:tc>
        <w:tc>
          <w:tcPr>
            <w:tcW w:w="1750" w:type="dxa"/>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+0.84 p=0.0007</w:t>
            </w:r>
          </w:p>
        </w:tc>
      </w:tr>
      <w:tr w:rsidR="0086491B" w:rsidRPr="00C508D4" w:rsidTr="008E4642">
        <w:trPr>
          <w:trHeight w:val="20"/>
        </w:trPr>
        <w:tc>
          <w:tcPr>
            <w:tcW w:w="2685" w:type="dxa"/>
            <w:shd w:val="clear" w:color="auto" w:fill="auto"/>
          </w:tcPr>
          <w:p w:rsidR="0086491B" w:rsidRPr="001A05F4" w:rsidRDefault="0086491B" w:rsidP="001B7DBC">
            <w:pPr>
              <w:pStyle w:val="TableText0"/>
              <w:keepLines/>
              <w:spacing w:before="0" w:after="0"/>
              <w:rPr>
                <w:szCs w:val="20"/>
              </w:rPr>
            </w:pPr>
            <w:r w:rsidRPr="001A05F4">
              <w:rPr>
                <w:szCs w:val="20"/>
              </w:rPr>
              <w:t>Cohort 2: Treated Type III + IV</w:t>
            </w:r>
          </w:p>
        </w:tc>
        <w:tc>
          <w:tcPr>
            <w:tcW w:w="849" w:type="dxa"/>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75</w:t>
            </w:r>
          </w:p>
        </w:tc>
        <w:tc>
          <w:tcPr>
            <w:tcW w:w="991" w:type="dxa"/>
            <w:vMerge w:val="restart"/>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37.6</w:t>
            </w:r>
          </w:p>
          <w:p w:rsidR="0086491B" w:rsidRPr="00C508D4" w:rsidRDefault="0086491B" w:rsidP="001B7DBC">
            <w:pPr>
              <w:pStyle w:val="TableText0"/>
              <w:keepLines/>
              <w:spacing w:before="0" w:after="0"/>
              <w:jc w:val="center"/>
              <w:rPr>
                <w:szCs w:val="20"/>
              </w:rPr>
            </w:pPr>
            <w:r w:rsidRPr="00C508D4">
              <w:rPr>
                <w:szCs w:val="20"/>
              </w:rPr>
              <w:t>n=75</w:t>
            </w:r>
          </w:p>
        </w:tc>
        <w:tc>
          <w:tcPr>
            <w:tcW w:w="891" w:type="dxa"/>
            <w:vMerge w:val="restart"/>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26.15</w:t>
            </w:r>
          </w:p>
          <w:p w:rsidR="0086491B" w:rsidRPr="00C508D4" w:rsidRDefault="0086491B" w:rsidP="001B7DBC">
            <w:pPr>
              <w:pStyle w:val="TableText0"/>
              <w:keepLines/>
              <w:spacing w:before="0" w:after="0"/>
              <w:jc w:val="center"/>
              <w:rPr>
                <w:szCs w:val="20"/>
              </w:rPr>
            </w:pPr>
            <w:r w:rsidRPr="00C508D4">
              <w:rPr>
                <w:szCs w:val="20"/>
              </w:rPr>
              <w:t>n=45</w:t>
            </w:r>
          </w:p>
        </w:tc>
        <w:tc>
          <w:tcPr>
            <w:tcW w:w="1952" w:type="dxa"/>
            <w:vAlign w:val="center"/>
          </w:tcPr>
          <w:p w:rsidR="0086491B" w:rsidRPr="00C508D4" w:rsidRDefault="008E4642" w:rsidP="008E4642">
            <w:pPr>
              <w:pStyle w:val="TableText0"/>
              <w:keepLines/>
              <w:spacing w:before="0" w:after="0"/>
              <w:jc w:val="center"/>
              <w:rPr>
                <w:szCs w:val="20"/>
              </w:rPr>
            </w:pPr>
            <w:r w:rsidRPr="00C508D4">
              <w:rPr>
                <w:szCs w:val="20"/>
              </w:rPr>
              <w:t>0.003 (-0.005,0.010)</w:t>
            </w:r>
          </w:p>
        </w:tc>
        <w:tc>
          <w:tcPr>
            <w:tcW w:w="1750" w:type="dxa"/>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+0.13 p=0.5227</w:t>
            </w:r>
          </w:p>
        </w:tc>
      </w:tr>
      <w:tr w:rsidR="0086491B" w:rsidRPr="00C508D4" w:rsidTr="008E4642">
        <w:trPr>
          <w:trHeight w:val="20"/>
        </w:trPr>
        <w:tc>
          <w:tcPr>
            <w:tcW w:w="2685" w:type="dxa"/>
            <w:shd w:val="clear" w:color="auto" w:fill="auto"/>
          </w:tcPr>
          <w:p w:rsidR="0086491B" w:rsidRPr="001A05F4" w:rsidRDefault="0086491B" w:rsidP="001B7DBC">
            <w:pPr>
              <w:pStyle w:val="TableText0"/>
              <w:keepLines/>
              <w:spacing w:before="0" w:after="0"/>
              <w:rPr>
                <w:szCs w:val="20"/>
              </w:rPr>
            </w:pPr>
            <w:r w:rsidRPr="001A05F4">
              <w:rPr>
                <w:szCs w:val="20"/>
              </w:rPr>
              <w:t>Cohort 2: Treated Type III + IV (excl. ceiling effect)</w:t>
            </w:r>
          </w:p>
        </w:tc>
        <w:tc>
          <w:tcPr>
            <w:tcW w:w="849" w:type="dxa"/>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53</w:t>
            </w:r>
          </w:p>
        </w:tc>
        <w:tc>
          <w:tcPr>
            <w:tcW w:w="991" w:type="dxa"/>
            <w:vMerge/>
            <w:shd w:val="clear" w:color="auto" w:fill="auto"/>
            <w:vAlign w:val="center"/>
          </w:tcPr>
          <w:p w:rsidR="0086491B" w:rsidRPr="00C508D4" w:rsidRDefault="0086491B" w:rsidP="001B7DBC">
            <w:pPr>
              <w:pStyle w:val="TableText0"/>
              <w:keepLines/>
              <w:spacing w:before="0" w:after="0"/>
              <w:jc w:val="center"/>
              <w:rPr>
                <w:szCs w:val="20"/>
              </w:rPr>
            </w:pPr>
          </w:p>
        </w:tc>
        <w:tc>
          <w:tcPr>
            <w:tcW w:w="891" w:type="dxa"/>
            <w:vMerge/>
            <w:shd w:val="clear" w:color="auto" w:fill="auto"/>
            <w:vAlign w:val="center"/>
          </w:tcPr>
          <w:p w:rsidR="0086491B" w:rsidRPr="00C508D4" w:rsidRDefault="0086491B" w:rsidP="001B7DBC">
            <w:pPr>
              <w:pStyle w:val="TableText0"/>
              <w:keepLines/>
              <w:spacing w:before="0" w:after="0"/>
              <w:jc w:val="center"/>
              <w:rPr>
                <w:szCs w:val="20"/>
              </w:rPr>
            </w:pPr>
          </w:p>
        </w:tc>
        <w:tc>
          <w:tcPr>
            <w:tcW w:w="1952" w:type="dxa"/>
            <w:vAlign w:val="center"/>
          </w:tcPr>
          <w:p w:rsidR="0086491B" w:rsidRPr="00C508D4" w:rsidRDefault="008E4642" w:rsidP="008E4642">
            <w:pPr>
              <w:pStyle w:val="TableText0"/>
              <w:keepLines/>
              <w:spacing w:before="0" w:after="0"/>
              <w:jc w:val="center"/>
              <w:rPr>
                <w:szCs w:val="20"/>
              </w:rPr>
            </w:pPr>
            <w:r w:rsidRPr="00C508D4">
              <w:rPr>
                <w:szCs w:val="20"/>
              </w:rPr>
              <w:t>0.005 (-0.007, 0.016)</w:t>
            </w:r>
          </w:p>
        </w:tc>
        <w:tc>
          <w:tcPr>
            <w:tcW w:w="1750" w:type="dxa"/>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+0.24 p=0.4275</w:t>
            </w:r>
          </w:p>
        </w:tc>
      </w:tr>
      <w:tr w:rsidR="008E4642" w:rsidRPr="00C508D4" w:rsidTr="00650C13">
        <w:trPr>
          <w:trHeight w:val="20"/>
        </w:trPr>
        <w:tc>
          <w:tcPr>
            <w:tcW w:w="9118" w:type="dxa"/>
            <w:gridSpan w:val="6"/>
          </w:tcPr>
          <w:p w:rsidR="008E4642" w:rsidRPr="00C508D4" w:rsidRDefault="008E4642" w:rsidP="001B7DBC">
            <w:pPr>
              <w:pStyle w:val="TableText0"/>
              <w:keepLines/>
              <w:spacing w:before="0" w:after="0"/>
              <w:rPr>
                <w:szCs w:val="20"/>
              </w:rPr>
            </w:pPr>
            <w:r w:rsidRPr="00C508D4">
              <w:rPr>
                <w:szCs w:val="20"/>
              </w:rPr>
              <w:t>Natural history</w:t>
            </w:r>
          </w:p>
        </w:tc>
      </w:tr>
      <w:tr w:rsidR="0086491B" w:rsidRPr="00C508D4" w:rsidTr="008E4642">
        <w:trPr>
          <w:trHeight w:val="20"/>
        </w:trPr>
        <w:tc>
          <w:tcPr>
            <w:tcW w:w="2685" w:type="dxa"/>
            <w:shd w:val="clear" w:color="auto" w:fill="auto"/>
          </w:tcPr>
          <w:p w:rsidR="0086491B" w:rsidRPr="001A05F4" w:rsidRDefault="0086491B" w:rsidP="001B7DBC">
            <w:pPr>
              <w:pStyle w:val="TableText0"/>
              <w:keepLines/>
              <w:spacing w:before="0" w:after="0"/>
              <w:rPr>
                <w:szCs w:val="20"/>
              </w:rPr>
            </w:pPr>
            <w:r w:rsidRPr="001A05F4">
              <w:rPr>
                <w:szCs w:val="20"/>
              </w:rPr>
              <w:t>Cohort 1: Untreated Type III + IV</w:t>
            </w:r>
          </w:p>
        </w:tc>
        <w:tc>
          <w:tcPr>
            <w:tcW w:w="849" w:type="dxa"/>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17</w:t>
            </w:r>
          </w:p>
        </w:tc>
        <w:tc>
          <w:tcPr>
            <w:tcW w:w="991" w:type="dxa"/>
            <w:vMerge w:val="restart"/>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NA</w:t>
            </w:r>
            <w:r w:rsidRPr="00C508D4">
              <w:rPr>
                <w:szCs w:val="20"/>
                <w:vertAlign w:val="superscript"/>
              </w:rPr>
              <w:t>a</w:t>
            </w:r>
          </w:p>
        </w:tc>
        <w:tc>
          <w:tcPr>
            <w:tcW w:w="891" w:type="dxa"/>
            <w:vMerge w:val="restart"/>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NA</w:t>
            </w:r>
            <w:r w:rsidRPr="00C508D4">
              <w:rPr>
                <w:szCs w:val="20"/>
                <w:vertAlign w:val="superscript"/>
              </w:rPr>
              <w:t>a</w:t>
            </w:r>
          </w:p>
        </w:tc>
        <w:tc>
          <w:tcPr>
            <w:tcW w:w="1952" w:type="dxa"/>
            <w:vAlign w:val="center"/>
          </w:tcPr>
          <w:p w:rsidR="0086491B" w:rsidRPr="00C508D4" w:rsidRDefault="00FB61CC" w:rsidP="008E4642">
            <w:pPr>
              <w:pStyle w:val="TableText0"/>
              <w:keepLines/>
              <w:spacing w:before="0" w:after="0"/>
              <w:jc w:val="center"/>
              <w:rPr>
                <w:szCs w:val="20"/>
              </w:rPr>
            </w:pPr>
            <w:r w:rsidRPr="00C508D4">
              <w:rPr>
                <w:szCs w:val="20"/>
              </w:rPr>
              <w:t>0.004 (-0.010, 0.018)</w:t>
            </w:r>
          </w:p>
        </w:tc>
        <w:tc>
          <w:tcPr>
            <w:tcW w:w="1750" w:type="dxa"/>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+0.21 p=0.5875</w:t>
            </w:r>
          </w:p>
        </w:tc>
      </w:tr>
      <w:tr w:rsidR="0086491B" w:rsidRPr="00C508D4" w:rsidTr="008E4642">
        <w:trPr>
          <w:trHeight w:val="20"/>
        </w:trPr>
        <w:tc>
          <w:tcPr>
            <w:tcW w:w="2685" w:type="dxa"/>
            <w:shd w:val="clear" w:color="auto" w:fill="auto"/>
          </w:tcPr>
          <w:p w:rsidR="0086491B" w:rsidRPr="001A05F4" w:rsidRDefault="0086491B" w:rsidP="001B7DBC">
            <w:pPr>
              <w:pStyle w:val="TableText0"/>
              <w:keepLines/>
              <w:spacing w:before="0" w:after="0"/>
              <w:rPr>
                <w:szCs w:val="20"/>
              </w:rPr>
            </w:pPr>
            <w:r w:rsidRPr="001A05F4">
              <w:rPr>
                <w:szCs w:val="20"/>
              </w:rPr>
              <w:t>Cohort 1: Untreated Type III + IV (excl. ceiling effect)</w:t>
            </w:r>
          </w:p>
        </w:tc>
        <w:tc>
          <w:tcPr>
            <w:tcW w:w="849" w:type="dxa"/>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NA</w:t>
            </w:r>
          </w:p>
        </w:tc>
        <w:tc>
          <w:tcPr>
            <w:tcW w:w="991" w:type="dxa"/>
            <w:vMerge/>
            <w:shd w:val="clear" w:color="auto" w:fill="auto"/>
            <w:vAlign w:val="center"/>
          </w:tcPr>
          <w:p w:rsidR="0086491B" w:rsidRPr="00C508D4" w:rsidRDefault="0086491B" w:rsidP="001B7DBC">
            <w:pPr>
              <w:pStyle w:val="TableText0"/>
              <w:keepLines/>
              <w:spacing w:before="0" w:after="0"/>
              <w:jc w:val="center"/>
              <w:rPr>
                <w:szCs w:val="20"/>
              </w:rPr>
            </w:pPr>
          </w:p>
        </w:tc>
        <w:tc>
          <w:tcPr>
            <w:tcW w:w="891" w:type="dxa"/>
            <w:vMerge/>
            <w:shd w:val="clear" w:color="auto" w:fill="auto"/>
            <w:vAlign w:val="center"/>
          </w:tcPr>
          <w:p w:rsidR="0086491B" w:rsidRPr="00C508D4" w:rsidRDefault="0086491B" w:rsidP="001B7DBC">
            <w:pPr>
              <w:pStyle w:val="TableText0"/>
              <w:keepLines/>
              <w:spacing w:before="0" w:after="0"/>
              <w:jc w:val="center"/>
              <w:rPr>
                <w:szCs w:val="20"/>
              </w:rPr>
            </w:pPr>
          </w:p>
        </w:tc>
        <w:tc>
          <w:tcPr>
            <w:tcW w:w="1952" w:type="dxa"/>
            <w:vAlign w:val="center"/>
          </w:tcPr>
          <w:p w:rsidR="0086491B" w:rsidRPr="00C508D4" w:rsidRDefault="00FB61CC" w:rsidP="008E4642">
            <w:pPr>
              <w:pStyle w:val="TableText0"/>
              <w:keepLines/>
              <w:spacing w:before="0" w:after="0"/>
              <w:jc w:val="center"/>
              <w:rPr>
                <w:szCs w:val="20"/>
              </w:rPr>
            </w:pPr>
            <w:r w:rsidRPr="00C508D4">
              <w:rPr>
                <w:szCs w:val="20"/>
              </w:rPr>
              <w:t>0.026 (-0.034, 0.086)</w:t>
            </w:r>
          </w:p>
        </w:tc>
        <w:tc>
          <w:tcPr>
            <w:tcW w:w="1750" w:type="dxa"/>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+1.36 p=0.3929</w:t>
            </w:r>
          </w:p>
        </w:tc>
      </w:tr>
      <w:tr w:rsidR="0086491B" w:rsidRPr="00C508D4" w:rsidTr="008E4642">
        <w:trPr>
          <w:trHeight w:val="20"/>
        </w:trPr>
        <w:tc>
          <w:tcPr>
            <w:tcW w:w="2685" w:type="dxa"/>
            <w:shd w:val="clear" w:color="auto" w:fill="auto"/>
          </w:tcPr>
          <w:p w:rsidR="0086491B" w:rsidRPr="001A05F4" w:rsidRDefault="0086491B" w:rsidP="001B7DBC">
            <w:pPr>
              <w:pStyle w:val="TableText0"/>
              <w:keepLines/>
              <w:spacing w:before="0" w:after="0"/>
              <w:rPr>
                <w:szCs w:val="20"/>
              </w:rPr>
            </w:pPr>
            <w:r w:rsidRPr="001A05F4">
              <w:rPr>
                <w:szCs w:val="20"/>
              </w:rPr>
              <w:t>Cohort 2: Before treatment Type III + IV</w:t>
            </w:r>
          </w:p>
        </w:tc>
        <w:tc>
          <w:tcPr>
            <w:tcW w:w="849" w:type="dxa"/>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75</w:t>
            </w:r>
          </w:p>
        </w:tc>
        <w:tc>
          <w:tcPr>
            <w:tcW w:w="991" w:type="dxa"/>
            <w:vMerge w:val="restart"/>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37.6</w:t>
            </w:r>
          </w:p>
          <w:p w:rsidR="0086491B" w:rsidRPr="00C508D4" w:rsidRDefault="0086491B" w:rsidP="001B7DBC">
            <w:pPr>
              <w:pStyle w:val="TableText0"/>
              <w:keepLines/>
              <w:spacing w:before="0" w:after="0"/>
              <w:jc w:val="center"/>
              <w:rPr>
                <w:szCs w:val="20"/>
              </w:rPr>
            </w:pPr>
            <w:r w:rsidRPr="00C508D4">
              <w:rPr>
                <w:szCs w:val="20"/>
              </w:rPr>
              <w:t>n=75</w:t>
            </w:r>
          </w:p>
        </w:tc>
        <w:tc>
          <w:tcPr>
            <w:tcW w:w="891" w:type="dxa"/>
            <w:vMerge w:val="restart"/>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26.15</w:t>
            </w:r>
          </w:p>
          <w:p w:rsidR="0086491B" w:rsidRPr="00C508D4" w:rsidRDefault="0086491B" w:rsidP="001B7DBC">
            <w:pPr>
              <w:pStyle w:val="TableText0"/>
              <w:keepLines/>
              <w:spacing w:before="0" w:after="0"/>
              <w:jc w:val="center"/>
              <w:rPr>
                <w:szCs w:val="20"/>
              </w:rPr>
            </w:pPr>
            <w:r w:rsidRPr="00C508D4">
              <w:rPr>
                <w:szCs w:val="20"/>
              </w:rPr>
              <w:t>n=45</w:t>
            </w:r>
          </w:p>
        </w:tc>
        <w:tc>
          <w:tcPr>
            <w:tcW w:w="1952" w:type="dxa"/>
            <w:vAlign w:val="center"/>
          </w:tcPr>
          <w:p w:rsidR="0086491B" w:rsidRPr="00C508D4" w:rsidRDefault="008E4642" w:rsidP="008E4642">
            <w:pPr>
              <w:pStyle w:val="TableText0"/>
              <w:keepLines/>
              <w:spacing w:before="0" w:after="0"/>
              <w:jc w:val="center"/>
              <w:rPr>
                <w:szCs w:val="20"/>
              </w:rPr>
            </w:pPr>
            <w:r w:rsidRPr="00C508D4">
              <w:rPr>
                <w:szCs w:val="20"/>
              </w:rPr>
              <w:t>-0.007(-0.014,-0.0009)</w:t>
            </w:r>
          </w:p>
        </w:tc>
        <w:tc>
          <w:tcPr>
            <w:tcW w:w="1750" w:type="dxa"/>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-0.39 p=0.0259</w:t>
            </w:r>
          </w:p>
        </w:tc>
      </w:tr>
      <w:tr w:rsidR="0086491B" w:rsidRPr="00C508D4" w:rsidTr="008E4642">
        <w:trPr>
          <w:trHeight w:val="20"/>
        </w:trPr>
        <w:tc>
          <w:tcPr>
            <w:tcW w:w="2685" w:type="dxa"/>
            <w:shd w:val="clear" w:color="auto" w:fill="auto"/>
          </w:tcPr>
          <w:p w:rsidR="0086491B" w:rsidRPr="001A05F4" w:rsidRDefault="0086491B" w:rsidP="001B7DBC">
            <w:pPr>
              <w:pStyle w:val="TableText0"/>
              <w:keepLines/>
              <w:spacing w:before="0" w:after="0"/>
              <w:rPr>
                <w:szCs w:val="20"/>
              </w:rPr>
            </w:pPr>
            <w:r w:rsidRPr="001A05F4">
              <w:rPr>
                <w:szCs w:val="20"/>
              </w:rPr>
              <w:t>Cohort 2: Before treatment Type III + IV (excl. ceiling effect)</w:t>
            </w:r>
          </w:p>
        </w:tc>
        <w:tc>
          <w:tcPr>
            <w:tcW w:w="849" w:type="dxa"/>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53</w:t>
            </w:r>
          </w:p>
        </w:tc>
        <w:tc>
          <w:tcPr>
            <w:tcW w:w="991" w:type="dxa"/>
            <w:vMerge/>
            <w:shd w:val="clear" w:color="auto" w:fill="auto"/>
            <w:vAlign w:val="center"/>
          </w:tcPr>
          <w:p w:rsidR="0086491B" w:rsidRPr="00C508D4" w:rsidRDefault="0086491B" w:rsidP="001B7DBC">
            <w:pPr>
              <w:pStyle w:val="TableText0"/>
              <w:keepLines/>
              <w:spacing w:before="0" w:after="0"/>
              <w:jc w:val="center"/>
              <w:rPr>
                <w:szCs w:val="20"/>
              </w:rPr>
            </w:pPr>
          </w:p>
        </w:tc>
        <w:tc>
          <w:tcPr>
            <w:tcW w:w="891" w:type="dxa"/>
            <w:vMerge/>
            <w:shd w:val="clear" w:color="auto" w:fill="auto"/>
            <w:vAlign w:val="center"/>
          </w:tcPr>
          <w:p w:rsidR="0086491B" w:rsidRPr="00C508D4" w:rsidRDefault="0086491B" w:rsidP="001B7DBC">
            <w:pPr>
              <w:pStyle w:val="TableText0"/>
              <w:keepLines/>
              <w:spacing w:before="0" w:after="0"/>
              <w:jc w:val="center"/>
              <w:rPr>
                <w:szCs w:val="20"/>
              </w:rPr>
            </w:pPr>
          </w:p>
        </w:tc>
        <w:tc>
          <w:tcPr>
            <w:tcW w:w="1952" w:type="dxa"/>
            <w:vAlign w:val="center"/>
          </w:tcPr>
          <w:p w:rsidR="0086491B" w:rsidRPr="00C508D4" w:rsidRDefault="008E4642" w:rsidP="008E4642">
            <w:pPr>
              <w:pStyle w:val="TableText0"/>
              <w:keepLines/>
              <w:spacing w:before="0" w:after="0"/>
              <w:jc w:val="center"/>
              <w:rPr>
                <w:szCs w:val="20"/>
              </w:rPr>
            </w:pPr>
            <w:r w:rsidRPr="00C508D4">
              <w:rPr>
                <w:szCs w:val="20"/>
              </w:rPr>
              <w:t>-0.014 (-0.026, -0.003)</w:t>
            </w:r>
          </w:p>
        </w:tc>
        <w:tc>
          <w:tcPr>
            <w:tcW w:w="1750" w:type="dxa"/>
            <w:shd w:val="clear" w:color="auto" w:fill="auto"/>
            <w:vAlign w:val="center"/>
          </w:tcPr>
          <w:p w:rsidR="0086491B" w:rsidRPr="00C508D4" w:rsidRDefault="0086491B" w:rsidP="001B7DBC">
            <w:pPr>
              <w:pStyle w:val="TableText0"/>
              <w:keepLines/>
              <w:spacing w:before="0" w:after="0"/>
              <w:jc w:val="center"/>
              <w:rPr>
                <w:szCs w:val="20"/>
              </w:rPr>
            </w:pPr>
            <w:r w:rsidRPr="00C508D4">
              <w:rPr>
                <w:szCs w:val="20"/>
              </w:rPr>
              <w:t>-0.75 p=0.0115</w:t>
            </w:r>
          </w:p>
        </w:tc>
      </w:tr>
    </w:tbl>
    <w:p w:rsidR="00C66BE6" w:rsidRPr="001A05F4" w:rsidRDefault="00C66BE6" w:rsidP="001B7DBC">
      <w:pPr>
        <w:pStyle w:val="TableFooter"/>
        <w:keepNext/>
        <w:keepLines/>
      </w:pPr>
      <w:r w:rsidRPr="001A05F4">
        <w:t>Note: The total cohort 1 compromises of 252 patients:</w:t>
      </w:r>
    </w:p>
    <w:p w:rsidR="00C66BE6" w:rsidRPr="001A05F4" w:rsidRDefault="00C66BE6" w:rsidP="001B7DBC">
      <w:pPr>
        <w:pStyle w:val="TableFooter"/>
        <w:keepNext/>
        <w:keepLines/>
      </w:pPr>
      <w:r w:rsidRPr="001A05F4">
        <w:t>• Treated cohort 1: n=235 – SMA Type III: n=228 (97.02%) and SMA Type IV: n=7 (2.98%)</w:t>
      </w:r>
    </w:p>
    <w:p w:rsidR="00C66BE6" w:rsidRPr="001A05F4" w:rsidRDefault="00C66BE6" w:rsidP="001B7DBC">
      <w:pPr>
        <w:pStyle w:val="TableFooter"/>
        <w:keepNext/>
        <w:keepLines/>
      </w:pPr>
      <w:r w:rsidRPr="001A05F4">
        <w:t>• Untreated cohort 1: n=17 – SMA Type III: n=14 (82.35%) and SMA Type IV: n=3 (17.65%).</w:t>
      </w:r>
    </w:p>
    <w:p w:rsidR="00C66BE6" w:rsidRPr="001A05F4" w:rsidRDefault="00C66BE6" w:rsidP="001B7DBC">
      <w:pPr>
        <w:pStyle w:val="TableFooter"/>
        <w:keepNext/>
        <w:keepLines/>
      </w:pPr>
      <w:r w:rsidRPr="001A05F4">
        <w:t xml:space="preserve">The total cohort 2 compromises of 75 patients: </w:t>
      </w:r>
      <w:r w:rsidRPr="001A05F4">
        <w:rPr>
          <w:rFonts w:cstheme="minorHAnsi"/>
        </w:rPr>
        <w:t xml:space="preserve">All patients are </w:t>
      </w:r>
      <w:r w:rsidRPr="001A05F4">
        <w:t>SMA Type III (n=74, 98.7%) and IV (n=1, 1.3%).</w:t>
      </w:r>
    </w:p>
    <w:p w:rsidR="00C66BE6" w:rsidRPr="001A05F4" w:rsidRDefault="00C66BE6" w:rsidP="001B7DBC">
      <w:pPr>
        <w:pStyle w:val="TableFooter"/>
        <w:keepNext/>
        <w:keepLines/>
      </w:pPr>
      <w:r w:rsidRPr="001A05F4">
        <w:rPr>
          <w:vertAlign w:val="superscript"/>
        </w:rPr>
        <w:t>a</w:t>
      </w:r>
      <w:r w:rsidRPr="001A05F4">
        <w:t xml:space="preserve">Age and RULM score at baseline is not available for adults only for cohort 1 </w:t>
      </w:r>
    </w:p>
    <w:p w:rsidR="008E4642" w:rsidRPr="001A05F4" w:rsidRDefault="008E4642" w:rsidP="001B7DBC">
      <w:pPr>
        <w:pStyle w:val="TableFooter"/>
        <w:keepNext/>
        <w:keepLines/>
      </w:pPr>
      <w:r w:rsidRPr="001A05F4">
        <w:rPr>
          <w:vertAlign w:val="superscript"/>
        </w:rPr>
        <w:t>b</w:t>
      </w:r>
      <w:r w:rsidRPr="001A05F4">
        <w:t>Annualised change from baseline was estimated multiplying the weekly rate of change by 52 to give an approximate change per year.</w:t>
      </w:r>
    </w:p>
    <w:p w:rsidR="00C66BE6" w:rsidRPr="001A05F4" w:rsidRDefault="00C66BE6" w:rsidP="001B7DBC">
      <w:pPr>
        <w:pStyle w:val="TableFigureFooter"/>
        <w:keepNext/>
        <w:keepLines/>
        <w:jc w:val="left"/>
      </w:pPr>
      <w:r w:rsidRPr="001A05F4">
        <w:t>RULM=Revised Upper limb module; SMA=spinal muscular atrophy</w:t>
      </w:r>
      <w:r w:rsidRPr="001A05F4">
        <w:br/>
        <w:t>Source: Table 2.83, p262 of the resubmission</w:t>
      </w:r>
      <w:r w:rsidR="008E4642" w:rsidRPr="001A05F4">
        <w:t>, Tables 3.1.2.3, 3.1.2.3.2, 3.2.2.2.1 and 3.2.2.2.2, SMA Registry 2020 Analyses Report</w:t>
      </w:r>
    </w:p>
    <w:p w:rsidR="001B7DBC" w:rsidRPr="001A05F4" w:rsidRDefault="00C66BE6" w:rsidP="00F9436F">
      <w:pPr>
        <w:pStyle w:val="3-BodyText"/>
        <w:numPr>
          <w:ilvl w:val="1"/>
          <w:numId w:val="2"/>
        </w:numPr>
        <w:rPr>
          <w:iCs/>
        </w:rPr>
      </w:pPr>
      <w:r w:rsidRPr="001A05F4">
        <w:t>The data for the SMA registr</w:t>
      </w:r>
      <w:r w:rsidR="005F6E44" w:rsidRPr="001A05F4">
        <w:t>y</w:t>
      </w:r>
      <w:r w:rsidRPr="001A05F4">
        <w:t xml:space="preserve"> found that RULM score increased by +0.61 points annually in the nusinersen-treated patients compared to the untreated patients (Cohort 1). It should be noted however, that an increase in RULM by +0.21 per year was seen in untreated patients, </w:t>
      </w:r>
      <w:r w:rsidRPr="001A05F4">
        <w:rPr>
          <w:iCs/>
        </w:rPr>
        <w:t>going against the expectation that untreated patients will slowly experience motor decline over time. An even greater increase in RULM (+1.36 per year) was seen when patients in cohort 1 with a ceiling effect were excluded from the analysis.</w:t>
      </w:r>
      <w:r w:rsidRPr="001A05F4">
        <w:rPr>
          <w:i/>
          <w:iCs/>
        </w:rPr>
        <w:t xml:space="preserve"> </w:t>
      </w:r>
      <w:r w:rsidRPr="001A05F4">
        <w:t>In Cohort 2 of the SMA registr</w:t>
      </w:r>
      <w:r w:rsidR="006E2AE4" w:rsidRPr="001A05F4">
        <w:t>y</w:t>
      </w:r>
      <w:r w:rsidRPr="001A05F4">
        <w:t xml:space="preserve">, the RULM scores showed an annualised decrease in slope of -0.39 points before initiation of nusinersen treatment and a +0.13 points annualised increase after treatment with nusinersen. </w:t>
      </w:r>
      <w:r w:rsidRPr="001A05F4">
        <w:rPr>
          <w:iCs/>
        </w:rPr>
        <w:t xml:space="preserve">It </w:t>
      </w:r>
      <w:r w:rsidR="001B7DBC" w:rsidRPr="001A05F4">
        <w:rPr>
          <w:iCs/>
        </w:rPr>
        <w:t>wa</w:t>
      </w:r>
      <w:r w:rsidRPr="001A05F4">
        <w:rPr>
          <w:iCs/>
        </w:rPr>
        <w:t xml:space="preserve">s </w:t>
      </w:r>
      <w:r w:rsidR="001B7DBC" w:rsidRPr="001A05F4">
        <w:rPr>
          <w:iCs/>
        </w:rPr>
        <w:t xml:space="preserve">unclear </w:t>
      </w:r>
      <w:r w:rsidRPr="001A05F4">
        <w:rPr>
          <w:iCs/>
        </w:rPr>
        <w:t xml:space="preserve">why the change in RULM was so different when comparing the untreated patients in cohort 1 (whose RULM increased over time), to the patients in cohort 2 before treatment (whose RULM decreased over time). </w:t>
      </w:r>
    </w:p>
    <w:p w:rsidR="00C66BE6" w:rsidRPr="001A05F4" w:rsidRDefault="00C66BE6" w:rsidP="00F9436F">
      <w:pPr>
        <w:pStyle w:val="3-BodyText"/>
        <w:numPr>
          <w:ilvl w:val="1"/>
          <w:numId w:val="2"/>
        </w:numPr>
        <w:rPr>
          <w:iCs/>
        </w:rPr>
      </w:pPr>
      <w:r w:rsidRPr="001A05F4">
        <w:rPr>
          <w:iCs/>
        </w:rPr>
        <w:t xml:space="preserve">Assuming that the before and after treatment effects in Cohort 2 were representative of an incremental benefit, the change in RULM from the first year of nusinersen treatment was +0.52 points (+0.99 when excluding ceiling effect), which was </w:t>
      </w:r>
      <w:r w:rsidR="001B7DBC" w:rsidRPr="001A05F4">
        <w:rPr>
          <w:iCs/>
        </w:rPr>
        <w:t>less than</w:t>
      </w:r>
      <w:r w:rsidR="00216D6B" w:rsidRPr="001A05F4">
        <w:rPr>
          <w:iCs/>
        </w:rPr>
        <w:t xml:space="preserve"> the</w:t>
      </w:r>
      <w:r w:rsidR="001B7DBC" w:rsidRPr="001A05F4">
        <w:rPr>
          <w:iCs/>
        </w:rPr>
        <w:t xml:space="preserve"> </w:t>
      </w:r>
      <w:r w:rsidR="001B7DBC" w:rsidRPr="001A05F4">
        <w:rPr>
          <w:rFonts w:cstheme="minorHAnsi"/>
          <w:iCs/>
        </w:rPr>
        <w:t>≥</w:t>
      </w:r>
      <w:r w:rsidR="001B7DBC" w:rsidRPr="001A05F4">
        <w:rPr>
          <w:iCs/>
        </w:rPr>
        <w:t xml:space="preserve">2 point </w:t>
      </w:r>
      <w:r w:rsidRPr="001A05F4">
        <w:rPr>
          <w:iCs/>
        </w:rPr>
        <w:t>change in RULM that was proposed to represent a clinically meaningful change.</w:t>
      </w:r>
    </w:p>
    <w:p w:rsidR="00C66BE6" w:rsidRPr="001A05F4" w:rsidRDefault="00C66BE6" w:rsidP="00F9436F">
      <w:pPr>
        <w:pStyle w:val="3-BodyText"/>
        <w:numPr>
          <w:ilvl w:val="1"/>
          <w:numId w:val="2"/>
        </w:numPr>
      </w:pPr>
      <w:r w:rsidRPr="001A05F4">
        <w:rPr>
          <w:iCs/>
        </w:rPr>
        <w:t xml:space="preserve">While the data appears to suggest that adult SMA patients treated with nusinersen experience a small increase or at least no decline in RULM scores, in the absence of a direct comparative study, it was not possible to elicit an incremental benefit </w:t>
      </w:r>
      <w:r w:rsidR="00216D6B" w:rsidRPr="001A05F4">
        <w:rPr>
          <w:iCs/>
        </w:rPr>
        <w:t>for</w:t>
      </w:r>
      <w:r w:rsidRPr="001A05F4">
        <w:rPr>
          <w:iCs/>
        </w:rPr>
        <w:t xml:space="preserve"> treatment with nusinersen compared to best supportive care. This was consistent with the PBAC’s previous consideration that while a claim of superior comparative effectiveness of nusinersen to standard of care was reasonable, the magnitude and durability of benefit was not able to be quantif</w:t>
      </w:r>
      <w:r w:rsidR="00BD23D0" w:rsidRPr="001A05F4">
        <w:rPr>
          <w:iCs/>
        </w:rPr>
        <w:t>ied based on the data presented</w:t>
      </w:r>
      <w:r w:rsidRPr="001A05F4">
        <w:rPr>
          <w:iCs/>
        </w:rPr>
        <w:t xml:space="preserve"> (paragraph 7.10, p34 nusinersen PSD, November 2020). </w:t>
      </w:r>
    </w:p>
    <w:p w:rsidR="00C66BE6" w:rsidRPr="001A05F4" w:rsidRDefault="001B7DBC" w:rsidP="00F9436F">
      <w:pPr>
        <w:pStyle w:val="ListParagraph"/>
        <w:numPr>
          <w:ilvl w:val="1"/>
          <w:numId w:val="2"/>
        </w:numPr>
      </w:pPr>
      <w:r w:rsidRPr="001A05F4">
        <w:rPr>
          <w:rFonts w:asciiTheme="minorHAnsi" w:hAnsiTheme="minorHAnsi"/>
          <w:szCs w:val="24"/>
          <w:lang w:eastAsia="en-AU"/>
        </w:rPr>
        <w:t xml:space="preserve">The results of the naïve comparison for 6MWT from the nusinersen studies and the natural history studies are presented in </w:t>
      </w:r>
      <w:r w:rsidR="00BC2D8D" w:rsidRPr="001A05F4">
        <w:rPr>
          <w:rFonts w:asciiTheme="minorHAnsi" w:hAnsiTheme="minorHAnsi"/>
        </w:rPr>
        <w:t>Table 10</w:t>
      </w:r>
      <w:r w:rsidR="00C66BE6" w:rsidRPr="001A05F4">
        <w:t xml:space="preserve">. </w:t>
      </w:r>
    </w:p>
    <w:p w:rsidR="00C66BE6" w:rsidRPr="001A05F4" w:rsidRDefault="001B7DBC" w:rsidP="001B7DBC">
      <w:pPr>
        <w:pStyle w:val="TableFigureHeading"/>
        <w:keepLines/>
        <w:rPr>
          <w:rStyle w:val="CommentReference"/>
          <w:b/>
          <w:bCs w:val="0"/>
          <w:szCs w:val="24"/>
        </w:rPr>
      </w:pPr>
      <w:bookmarkStart w:id="25" w:name="_Ref71585504"/>
      <w:r w:rsidRPr="001A05F4">
        <w:rPr>
          <w:rStyle w:val="CommentReference"/>
          <w:b/>
          <w:bCs w:val="0"/>
          <w:szCs w:val="24"/>
        </w:rPr>
        <w:t xml:space="preserve">Table </w:t>
      </w:r>
      <w:r w:rsidR="00BC2D8D" w:rsidRPr="001A05F4">
        <w:rPr>
          <w:rStyle w:val="CommentReference"/>
          <w:b/>
          <w:bCs w:val="0"/>
          <w:szCs w:val="24"/>
        </w:rPr>
        <w:t>10</w:t>
      </w:r>
      <w:bookmarkEnd w:id="25"/>
      <w:r w:rsidRPr="001A05F4">
        <w:rPr>
          <w:rStyle w:val="CommentReference"/>
          <w:b/>
          <w:bCs w:val="0"/>
          <w:szCs w:val="24"/>
        </w:rPr>
        <w:t xml:space="preserve">: </w:t>
      </w:r>
      <w:r w:rsidR="00C66BE6" w:rsidRPr="001A05F4">
        <w:rPr>
          <w:rStyle w:val="CommentReference"/>
          <w:b/>
          <w:bCs w:val="0"/>
          <w:szCs w:val="24"/>
        </w:rPr>
        <w:t>Change in 6MWT from baseline across studies</w:t>
      </w:r>
    </w:p>
    <w:tbl>
      <w:tblPr>
        <w:tblStyle w:val="TableGrid"/>
        <w:tblW w:w="9209" w:type="dxa"/>
        <w:tblLook w:val="04A0" w:firstRow="1" w:lastRow="0" w:firstColumn="1" w:lastColumn="0" w:noHBand="0" w:noVBand="1"/>
        <w:tblCaption w:val="Table 10: Change in 6MWT from baseline across studies"/>
      </w:tblPr>
      <w:tblGrid>
        <w:gridCol w:w="1364"/>
        <w:gridCol w:w="1359"/>
        <w:gridCol w:w="466"/>
        <w:gridCol w:w="1401"/>
        <w:gridCol w:w="1880"/>
        <w:gridCol w:w="2739"/>
      </w:tblGrid>
      <w:tr w:rsidR="00C66BE6" w:rsidRPr="001A05F4" w:rsidTr="00466FA7">
        <w:trPr>
          <w:tblHeader/>
        </w:trPr>
        <w:tc>
          <w:tcPr>
            <w:tcW w:w="1364" w:type="dxa"/>
            <w:shd w:val="clear" w:color="auto" w:fill="auto"/>
            <w:vAlign w:val="center"/>
          </w:tcPr>
          <w:p w:rsidR="00C66BE6" w:rsidRPr="001A05F4" w:rsidRDefault="00C66BE6" w:rsidP="001B7DBC">
            <w:pPr>
              <w:pStyle w:val="TableText0"/>
              <w:keepLines/>
              <w:spacing w:before="0" w:after="0"/>
              <w:rPr>
                <w:b/>
                <w:szCs w:val="20"/>
              </w:rPr>
            </w:pPr>
            <w:r w:rsidRPr="001A05F4">
              <w:rPr>
                <w:b/>
                <w:szCs w:val="20"/>
              </w:rPr>
              <w:t>Study</w:t>
            </w:r>
          </w:p>
        </w:tc>
        <w:tc>
          <w:tcPr>
            <w:tcW w:w="1359" w:type="dxa"/>
            <w:shd w:val="clear" w:color="auto" w:fill="auto"/>
            <w:vAlign w:val="center"/>
          </w:tcPr>
          <w:p w:rsidR="00C66BE6" w:rsidRPr="001A05F4" w:rsidRDefault="00C66BE6" w:rsidP="001B7DBC">
            <w:pPr>
              <w:pStyle w:val="TableText0"/>
              <w:keepLines/>
              <w:spacing w:before="0" w:after="0"/>
              <w:jc w:val="center"/>
              <w:rPr>
                <w:b/>
                <w:szCs w:val="20"/>
              </w:rPr>
            </w:pPr>
            <w:r w:rsidRPr="001A05F4">
              <w:rPr>
                <w:b/>
                <w:szCs w:val="20"/>
              </w:rPr>
              <w:t>Type</w:t>
            </w:r>
          </w:p>
        </w:tc>
        <w:tc>
          <w:tcPr>
            <w:tcW w:w="466" w:type="dxa"/>
            <w:shd w:val="clear" w:color="auto" w:fill="auto"/>
            <w:vAlign w:val="center"/>
          </w:tcPr>
          <w:p w:rsidR="00C66BE6" w:rsidRPr="001A05F4" w:rsidRDefault="00C66BE6" w:rsidP="001B7DBC">
            <w:pPr>
              <w:pStyle w:val="TableText0"/>
              <w:keepLines/>
              <w:spacing w:before="0" w:after="0"/>
              <w:jc w:val="center"/>
              <w:rPr>
                <w:b/>
                <w:szCs w:val="20"/>
              </w:rPr>
            </w:pPr>
            <w:r w:rsidRPr="001A05F4">
              <w:rPr>
                <w:b/>
                <w:szCs w:val="20"/>
              </w:rPr>
              <w:t>N</w:t>
            </w:r>
          </w:p>
        </w:tc>
        <w:tc>
          <w:tcPr>
            <w:tcW w:w="1401" w:type="dxa"/>
            <w:shd w:val="clear" w:color="auto" w:fill="auto"/>
            <w:vAlign w:val="center"/>
          </w:tcPr>
          <w:p w:rsidR="00C66BE6" w:rsidRPr="001A05F4" w:rsidRDefault="00C66BE6" w:rsidP="001B7DBC">
            <w:pPr>
              <w:pStyle w:val="TableText0"/>
              <w:keepLines/>
              <w:spacing w:before="0" w:after="0"/>
              <w:jc w:val="center"/>
              <w:rPr>
                <w:b/>
                <w:szCs w:val="20"/>
              </w:rPr>
            </w:pPr>
            <w:r w:rsidRPr="001A05F4">
              <w:rPr>
                <w:b/>
                <w:szCs w:val="20"/>
              </w:rPr>
              <w:t>Mean age in years (SD)</w:t>
            </w:r>
          </w:p>
        </w:tc>
        <w:tc>
          <w:tcPr>
            <w:tcW w:w="1880" w:type="dxa"/>
            <w:shd w:val="clear" w:color="auto" w:fill="auto"/>
            <w:vAlign w:val="center"/>
          </w:tcPr>
          <w:p w:rsidR="00C66BE6" w:rsidRPr="001A05F4" w:rsidRDefault="00C66BE6" w:rsidP="001B7DBC">
            <w:pPr>
              <w:pStyle w:val="TableText0"/>
              <w:keepLines/>
              <w:spacing w:before="0" w:after="0"/>
              <w:jc w:val="center"/>
              <w:rPr>
                <w:b/>
                <w:szCs w:val="20"/>
              </w:rPr>
            </w:pPr>
            <w:r w:rsidRPr="001A05F4">
              <w:rPr>
                <w:b/>
                <w:szCs w:val="20"/>
              </w:rPr>
              <w:t>Mean baseline 6MWT metres (SD)</w:t>
            </w:r>
          </w:p>
        </w:tc>
        <w:tc>
          <w:tcPr>
            <w:tcW w:w="2739" w:type="dxa"/>
            <w:shd w:val="clear" w:color="auto" w:fill="auto"/>
          </w:tcPr>
          <w:p w:rsidR="00C66BE6" w:rsidRPr="001A05F4" w:rsidRDefault="00C66BE6" w:rsidP="001B7DBC">
            <w:pPr>
              <w:pStyle w:val="TableText0"/>
              <w:keepLines/>
              <w:spacing w:before="0" w:after="0"/>
              <w:rPr>
                <w:b/>
                <w:szCs w:val="20"/>
              </w:rPr>
            </w:pPr>
            <w:r w:rsidRPr="001A05F4">
              <w:rPr>
                <w:b/>
                <w:szCs w:val="20"/>
              </w:rPr>
              <w:t>Annualised change from baseline (mean (SD); median (range)) – p-value</w:t>
            </w:r>
          </w:p>
        </w:tc>
      </w:tr>
      <w:tr w:rsidR="00C66BE6" w:rsidRPr="001A05F4" w:rsidTr="00927040">
        <w:tc>
          <w:tcPr>
            <w:tcW w:w="9209" w:type="dxa"/>
            <w:gridSpan w:val="6"/>
            <w:shd w:val="clear" w:color="auto" w:fill="auto"/>
          </w:tcPr>
          <w:p w:rsidR="00C66BE6" w:rsidRPr="001A05F4" w:rsidRDefault="00C66BE6" w:rsidP="001B7DBC">
            <w:pPr>
              <w:pStyle w:val="TableText0"/>
              <w:keepLines/>
              <w:spacing w:before="0" w:after="0"/>
              <w:rPr>
                <w:b/>
                <w:szCs w:val="20"/>
              </w:rPr>
            </w:pPr>
            <w:r w:rsidRPr="001A05F4">
              <w:rPr>
                <w:b/>
                <w:szCs w:val="20"/>
              </w:rPr>
              <w:t>Nusinersen studies</w:t>
            </w:r>
          </w:p>
        </w:tc>
      </w:tr>
      <w:tr w:rsidR="00C66BE6" w:rsidRPr="001A05F4" w:rsidTr="00927040">
        <w:trPr>
          <w:trHeight w:val="519"/>
        </w:trPr>
        <w:tc>
          <w:tcPr>
            <w:tcW w:w="1364" w:type="dxa"/>
            <w:shd w:val="clear" w:color="auto" w:fill="auto"/>
          </w:tcPr>
          <w:p w:rsidR="00C66BE6" w:rsidRPr="001A05F4" w:rsidRDefault="00C66BE6" w:rsidP="001B7DBC">
            <w:pPr>
              <w:pStyle w:val="TableText0"/>
              <w:keepLines/>
              <w:spacing w:before="0" w:after="0"/>
              <w:rPr>
                <w:szCs w:val="20"/>
              </w:rPr>
            </w:pPr>
            <w:r w:rsidRPr="001A05F4">
              <w:rPr>
                <w:szCs w:val="20"/>
              </w:rPr>
              <w:t>Maggi 2020</w:t>
            </w:r>
            <w:r w:rsidRPr="001A05F4">
              <w:rPr>
                <w:szCs w:val="20"/>
                <w:vertAlign w:val="superscript"/>
              </w:rPr>
              <w:t>a</w:t>
            </w:r>
          </w:p>
        </w:tc>
        <w:tc>
          <w:tcPr>
            <w:tcW w:w="1359" w:type="dxa"/>
            <w:shd w:val="clear" w:color="auto" w:fill="auto"/>
            <w:vAlign w:val="center"/>
          </w:tcPr>
          <w:p w:rsidR="00C66BE6" w:rsidRPr="001A05F4" w:rsidRDefault="00C66BE6" w:rsidP="001B7DBC">
            <w:pPr>
              <w:pStyle w:val="TableText0"/>
              <w:keepLines/>
              <w:spacing w:before="0" w:after="0"/>
              <w:rPr>
                <w:szCs w:val="20"/>
              </w:rPr>
            </w:pPr>
            <w:r w:rsidRPr="001A05F4">
              <w:rPr>
                <w:szCs w:val="20"/>
              </w:rPr>
              <w:t>Ambulatory</w:t>
            </w:r>
          </w:p>
          <w:p w:rsidR="00C66BE6" w:rsidRPr="001A05F4" w:rsidRDefault="00C66BE6" w:rsidP="001B7DBC">
            <w:pPr>
              <w:pStyle w:val="TableText0"/>
              <w:keepLines/>
              <w:spacing w:before="0" w:after="0"/>
              <w:rPr>
                <w:szCs w:val="20"/>
              </w:rPr>
            </w:pPr>
            <w:r w:rsidRPr="001A05F4">
              <w:rPr>
                <w:szCs w:val="20"/>
              </w:rPr>
              <w:t>Type III walkers</w:t>
            </w:r>
          </w:p>
        </w:tc>
        <w:tc>
          <w:tcPr>
            <w:tcW w:w="466"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24</w:t>
            </w:r>
          </w:p>
        </w:tc>
        <w:tc>
          <w:tcPr>
            <w:tcW w:w="1401"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35.5 (12.2), n=52</w:t>
            </w:r>
          </w:p>
        </w:tc>
        <w:tc>
          <w:tcPr>
            <w:tcW w:w="1880"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308 (140), n=48</w:t>
            </w:r>
          </w:p>
        </w:tc>
        <w:tc>
          <w:tcPr>
            <w:tcW w:w="2739"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+23.11 (51.2); 20 (-101 to 111)</w:t>
            </w:r>
          </w:p>
          <w:p w:rsidR="00C66BE6" w:rsidRPr="001A05F4" w:rsidRDefault="00C66BE6" w:rsidP="001B7DBC">
            <w:pPr>
              <w:pStyle w:val="TableText0"/>
              <w:keepLines/>
              <w:spacing w:before="0" w:after="0"/>
              <w:jc w:val="center"/>
              <w:rPr>
                <w:szCs w:val="20"/>
              </w:rPr>
            </w:pPr>
            <w:r w:rsidRPr="001A05F4">
              <w:rPr>
                <w:szCs w:val="20"/>
              </w:rPr>
              <w:t>p=0.016</w:t>
            </w:r>
          </w:p>
        </w:tc>
      </w:tr>
      <w:tr w:rsidR="00C66BE6" w:rsidRPr="001A05F4" w:rsidTr="00927040">
        <w:trPr>
          <w:trHeight w:val="285"/>
        </w:trPr>
        <w:tc>
          <w:tcPr>
            <w:tcW w:w="1364" w:type="dxa"/>
            <w:shd w:val="clear" w:color="auto" w:fill="D9D9D9" w:themeFill="background1" w:themeFillShade="D9"/>
          </w:tcPr>
          <w:p w:rsidR="00C66BE6" w:rsidRPr="001A05F4" w:rsidRDefault="00C66BE6" w:rsidP="001B7DBC">
            <w:pPr>
              <w:pStyle w:val="TableText0"/>
              <w:keepLines/>
              <w:spacing w:before="0" w:after="0"/>
              <w:rPr>
                <w:szCs w:val="20"/>
                <w:vertAlign w:val="superscript"/>
              </w:rPr>
            </w:pPr>
            <w:r w:rsidRPr="001A05F4">
              <w:rPr>
                <w:szCs w:val="20"/>
              </w:rPr>
              <w:t>Hagenacker 2020</w:t>
            </w:r>
            <w:r w:rsidRPr="001A05F4">
              <w:rPr>
                <w:szCs w:val="20"/>
                <w:vertAlign w:val="superscript"/>
              </w:rPr>
              <w:t>a</w:t>
            </w:r>
          </w:p>
        </w:tc>
        <w:tc>
          <w:tcPr>
            <w:tcW w:w="1359" w:type="dxa"/>
            <w:shd w:val="clear" w:color="auto" w:fill="D9D9D9" w:themeFill="background1" w:themeFillShade="D9"/>
            <w:vAlign w:val="center"/>
          </w:tcPr>
          <w:p w:rsidR="00C66BE6" w:rsidRPr="001A05F4" w:rsidRDefault="00C66BE6" w:rsidP="001B7DBC">
            <w:pPr>
              <w:pStyle w:val="TableText0"/>
              <w:keepLines/>
              <w:spacing w:before="0" w:after="0"/>
              <w:rPr>
                <w:szCs w:val="20"/>
              </w:rPr>
            </w:pPr>
            <w:r w:rsidRPr="001A05F4">
              <w:rPr>
                <w:szCs w:val="20"/>
              </w:rPr>
              <w:t>Type III</w:t>
            </w:r>
          </w:p>
        </w:tc>
        <w:tc>
          <w:tcPr>
            <w:tcW w:w="466"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25</w:t>
            </w:r>
          </w:p>
        </w:tc>
        <w:tc>
          <w:tcPr>
            <w:tcW w:w="1401"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35.7 (11.6)</w:t>
            </w:r>
          </w:p>
        </w:tc>
        <w:tc>
          <w:tcPr>
            <w:tcW w:w="1880"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371.43 (210.34)</w:t>
            </w:r>
            <w:r w:rsidRPr="001A05F4">
              <w:rPr>
                <w:szCs w:val="20"/>
                <w:vertAlign w:val="superscript"/>
              </w:rPr>
              <w:t>g</w:t>
            </w:r>
          </w:p>
        </w:tc>
        <w:tc>
          <w:tcPr>
            <w:tcW w:w="2739"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+46.0 (49.91); 46 (25.4 to 66.6)</w:t>
            </w:r>
            <w:r w:rsidRPr="001A05F4">
              <w:rPr>
                <w:szCs w:val="20"/>
                <w:vertAlign w:val="superscript"/>
              </w:rPr>
              <w:t>h</w:t>
            </w:r>
          </w:p>
          <w:p w:rsidR="00C66BE6" w:rsidRPr="001A05F4" w:rsidRDefault="00C66BE6" w:rsidP="001B7DBC">
            <w:pPr>
              <w:pStyle w:val="TableText0"/>
              <w:keepLines/>
              <w:spacing w:before="0" w:after="0"/>
              <w:jc w:val="center"/>
              <w:rPr>
                <w:szCs w:val="20"/>
              </w:rPr>
            </w:pPr>
            <w:r w:rsidRPr="001A05F4">
              <w:rPr>
                <w:szCs w:val="20"/>
              </w:rPr>
              <w:t>p&lt;0.0001</w:t>
            </w:r>
          </w:p>
        </w:tc>
      </w:tr>
      <w:tr w:rsidR="00C66BE6" w:rsidRPr="001A05F4" w:rsidTr="00927040">
        <w:trPr>
          <w:trHeight w:val="193"/>
        </w:trPr>
        <w:tc>
          <w:tcPr>
            <w:tcW w:w="1364" w:type="dxa"/>
            <w:tcBorders>
              <w:top w:val="nil"/>
            </w:tcBorders>
            <w:shd w:val="clear" w:color="auto" w:fill="auto"/>
          </w:tcPr>
          <w:p w:rsidR="00C66BE6" w:rsidRPr="001A05F4" w:rsidRDefault="00C66BE6" w:rsidP="001B7DBC">
            <w:pPr>
              <w:pStyle w:val="TableText0"/>
              <w:keepLines/>
              <w:spacing w:before="0" w:after="0"/>
              <w:rPr>
                <w:szCs w:val="20"/>
              </w:rPr>
            </w:pPr>
            <w:r w:rsidRPr="001A05F4">
              <w:rPr>
                <w:szCs w:val="20"/>
              </w:rPr>
              <w:t>Duong 2021</w:t>
            </w:r>
          </w:p>
        </w:tc>
        <w:tc>
          <w:tcPr>
            <w:tcW w:w="1359" w:type="dxa"/>
            <w:shd w:val="clear" w:color="auto" w:fill="auto"/>
            <w:vAlign w:val="center"/>
          </w:tcPr>
          <w:p w:rsidR="00C66BE6" w:rsidRPr="001A05F4" w:rsidRDefault="00C66BE6" w:rsidP="001B7DBC">
            <w:pPr>
              <w:pStyle w:val="TableText0"/>
              <w:keepLines/>
              <w:spacing w:before="0" w:after="0"/>
              <w:rPr>
                <w:szCs w:val="20"/>
              </w:rPr>
            </w:pPr>
            <w:r w:rsidRPr="001A05F4">
              <w:rPr>
                <w:szCs w:val="20"/>
              </w:rPr>
              <w:t>Walkers</w:t>
            </w:r>
          </w:p>
        </w:tc>
        <w:tc>
          <w:tcPr>
            <w:tcW w:w="466"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10</w:t>
            </w:r>
          </w:p>
        </w:tc>
        <w:tc>
          <w:tcPr>
            <w:tcW w:w="1401"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 xml:space="preserve">33.7 </w:t>
            </w:r>
          </w:p>
          <w:p w:rsidR="00C66BE6" w:rsidRPr="001A05F4" w:rsidRDefault="00C66BE6" w:rsidP="001B7DBC">
            <w:pPr>
              <w:pStyle w:val="TableText0"/>
              <w:keepLines/>
              <w:spacing w:before="0" w:after="0"/>
              <w:jc w:val="center"/>
              <w:rPr>
                <w:szCs w:val="20"/>
              </w:rPr>
            </w:pPr>
            <w:r w:rsidRPr="001A05F4">
              <w:rPr>
                <w:szCs w:val="20"/>
              </w:rPr>
              <w:t>n=42</w:t>
            </w:r>
          </w:p>
        </w:tc>
        <w:tc>
          <w:tcPr>
            <w:tcW w:w="1880"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300 (123.8) n=42</w:t>
            </w:r>
          </w:p>
        </w:tc>
        <w:tc>
          <w:tcPr>
            <w:tcW w:w="2739"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+3.29 (95%CI -28.04 to 34.62); NR (NR)</w:t>
            </w:r>
          </w:p>
        </w:tc>
      </w:tr>
      <w:tr w:rsidR="00C66BE6" w:rsidRPr="001A05F4" w:rsidTr="00927040">
        <w:tc>
          <w:tcPr>
            <w:tcW w:w="1364" w:type="dxa"/>
            <w:tcBorders>
              <w:top w:val="nil"/>
            </w:tcBorders>
            <w:shd w:val="clear" w:color="auto" w:fill="D9D9D9" w:themeFill="background1" w:themeFillShade="D9"/>
          </w:tcPr>
          <w:p w:rsidR="00C66BE6" w:rsidRPr="001A05F4" w:rsidRDefault="00C66BE6" w:rsidP="001B7DBC">
            <w:pPr>
              <w:pStyle w:val="TableText0"/>
              <w:keepLines/>
              <w:spacing w:before="0" w:after="0"/>
              <w:rPr>
                <w:szCs w:val="20"/>
                <w:vertAlign w:val="superscript"/>
              </w:rPr>
            </w:pPr>
            <w:r w:rsidRPr="001A05F4">
              <w:rPr>
                <w:szCs w:val="20"/>
              </w:rPr>
              <w:t>Walter 2019</w:t>
            </w:r>
            <w:r w:rsidRPr="001A05F4">
              <w:rPr>
                <w:szCs w:val="20"/>
                <w:vertAlign w:val="superscript"/>
              </w:rPr>
              <w:t>b</w:t>
            </w:r>
          </w:p>
        </w:tc>
        <w:tc>
          <w:tcPr>
            <w:tcW w:w="1359" w:type="dxa"/>
            <w:shd w:val="clear" w:color="auto" w:fill="D9D9D9" w:themeFill="background1" w:themeFillShade="D9"/>
            <w:vAlign w:val="center"/>
          </w:tcPr>
          <w:p w:rsidR="00C66BE6" w:rsidRPr="001A05F4" w:rsidRDefault="00C66BE6" w:rsidP="001B7DBC">
            <w:pPr>
              <w:pStyle w:val="TableText0"/>
              <w:keepLines/>
              <w:spacing w:before="0" w:after="0"/>
              <w:rPr>
                <w:szCs w:val="20"/>
              </w:rPr>
            </w:pPr>
            <w:r w:rsidRPr="001A05F4">
              <w:rPr>
                <w:szCs w:val="20"/>
              </w:rPr>
              <w:t>Type III (All)</w:t>
            </w:r>
          </w:p>
        </w:tc>
        <w:tc>
          <w:tcPr>
            <w:tcW w:w="466"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11</w:t>
            </w:r>
          </w:p>
        </w:tc>
        <w:tc>
          <w:tcPr>
            <w:tcW w:w="1401"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35.2 (11.7)</w:t>
            </w:r>
          </w:p>
        </w:tc>
        <w:tc>
          <w:tcPr>
            <w:tcW w:w="1880"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369.5 (126.6)</w:t>
            </w:r>
          </w:p>
        </w:tc>
        <w:tc>
          <w:tcPr>
            <w:tcW w:w="2739"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+8.25 (NR); NR (NR) p=0.01</w:t>
            </w:r>
          </w:p>
        </w:tc>
      </w:tr>
      <w:tr w:rsidR="00C66BE6" w:rsidRPr="001A05F4" w:rsidTr="00927040">
        <w:tc>
          <w:tcPr>
            <w:tcW w:w="1364" w:type="dxa"/>
            <w:tcBorders>
              <w:top w:val="nil"/>
            </w:tcBorders>
            <w:shd w:val="clear" w:color="auto" w:fill="auto"/>
          </w:tcPr>
          <w:p w:rsidR="00C66BE6" w:rsidRPr="001A05F4" w:rsidRDefault="00C66BE6" w:rsidP="001B7DBC">
            <w:pPr>
              <w:pStyle w:val="TableText0"/>
              <w:keepLines/>
              <w:spacing w:before="0" w:after="0"/>
              <w:rPr>
                <w:szCs w:val="20"/>
                <w:vertAlign w:val="superscript"/>
              </w:rPr>
            </w:pPr>
            <w:r w:rsidRPr="001A05F4">
              <w:rPr>
                <w:szCs w:val="20"/>
              </w:rPr>
              <w:t>De Wel 2020</w:t>
            </w:r>
            <w:r w:rsidRPr="001A05F4">
              <w:rPr>
                <w:szCs w:val="20"/>
                <w:vertAlign w:val="superscript"/>
              </w:rPr>
              <w:t>a</w:t>
            </w:r>
          </w:p>
        </w:tc>
        <w:tc>
          <w:tcPr>
            <w:tcW w:w="1359" w:type="dxa"/>
            <w:shd w:val="clear" w:color="auto" w:fill="auto"/>
            <w:vAlign w:val="center"/>
          </w:tcPr>
          <w:p w:rsidR="00C66BE6" w:rsidRPr="001A05F4" w:rsidRDefault="00C66BE6" w:rsidP="001B7DBC">
            <w:pPr>
              <w:pStyle w:val="TableText0"/>
              <w:keepLines/>
              <w:spacing w:before="0" w:after="0"/>
              <w:rPr>
                <w:szCs w:val="20"/>
              </w:rPr>
            </w:pPr>
            <w:r w:rsidRPr="001A05F4">
              <w:rPr>
                <w:szCs w:val="20"/>
              </w:rPr>
              <w:t>Type III + IV (All)</w:t>
            </w:r>
          </w:p>
        </w:tc>
        <w:tc>
          <w:tcPr>
            <w:tcW w:w="466"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7</w:t>
            </w:r>
          </w:p>
        </w:tc>
        <w:tc>
          <w:tcPr>
            <w:tcW w:w="1401"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Median 37.5</w:t>
            </w:r>
          </w:p>
        </w:tc>
        <w:tc>
          <w:tcPr>
            <w:tcW w:w="1880"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296 (199)</w:t>
            </w:r>
          </w:p>
        </w:tc>
        <w:tc>
          <w:tcPr>
            <w:tcW w:w="2739"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+7 (95%CI -38.42 to 53.27); NR (NR) p=0.71</w:t>
            </w:r>
          </w:p>
        </w:tc>
      </w:tr>
      <w:tr w:rsidR="00C66BE6" w:rsidRPr="001A05F4" w:rsidTr="00927040">
        <w:tc>
          <w:tcPr>
            <w:tcW w:w="1364" w:type="dxa"/>
            <w:tcBorders>
              <w:top w:val="nil"/>
            </w:tcBorders>
            <w:shd w:val="clear" w:color="auto" w:fill="auto"/>
          </w:tcPr>
          <w:p w:rsidR="00C66BE6" w:rsidRPr="001A05F4" w:rsidRDefault="00C66BE6" w:rsidP="001B7DBC">
            <w:pPr>
              <w:pStyle w:val="TableText0"/>
              <w:keepLines/>
              <w:spacing w:before="0" w:after="0"/>
              <w:rPr>
                <w:szCs w:val="20"/>
              </w:rPr>
            </w:pPr>
            <w:r w:rsidRPr="001A05F4">
              <w:rPr>
                <w:szCs w:val="20"/>
              </w:rPr>
              <w:t>Yeo 2020</w:t>
            </w:r>
          </w:p>
        </w:tc>
        <w:tc>
          <w:tcPr>
            <w:tcW w:w="1359" w:type="dxa"/>
            <w:shd w:val="clear" w:color="auto" w:fill="auto"/>
            <w:vAlign w:val="center"/>
          </w:tcPr>
          <w:p w:rsidR="00C66BE6" w:rsidRPr="001A05F4" w:rsidRDefault="00C66BE6" w:rsidP="001B7DBC">
            <w:pPr>
              <w:pStyle w:val="TableText0"/>
              <w:keepLines/>
              <w:spacing w:before="0" w:after="0"/>
              <w:rPr>
                <w:szCs w:val="20"/>
              </w:rPr>
            </w:pPr>
            <w:r w:rsidRPr="001A05F4">
              <w:rPr>
                <w:szCs w:val="20"/>
              </w:rPr>
              <w:t>Type III</w:t>
            </w:r>
          </w:p>
        </w:tc>
        <w:tc>
          <w:tcPr>
            <w:tcW w:w="466"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4</w:t>
            </w:r>
          </w:p>
        </w:tc>
        <w:tc>
          <w:tcPr>
            <w:tcW w:w="1401"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Median 29.9</w:t>
            </w:r>
          </w:p>
          <w:p w:rsidR="00C66BE6" w:rsidRPr="001A05F4" w:rsidRDefault="00C66BE6" w:rsidP="001B7DBC">
            <w:pPr>
              <w:pStyle w:val="TableText0"/>
              <w:keepLines/>
              <w:spacing w:before="0" w:after="0"/>
              <w:jc w:val="center"/>
              <w:rPr>
                <w:szCs w:val="20"/>
              </w:rPr>
            </w:pPr>
            <w:r w:rsidRPr="001A05F4">
              <w:rPr>
                <w:szCs w:val="20"/>
              </w:rPr>
              <w:t>(range 24.9-65.5)</w:t>
            </w:r>
          </w:p>
        </w:tc>
        <w:tc>
          <w:tcPr>
            <w:tcW w:w="1880"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 xml:space="preserve">249 </w:t>
            </w:r>
          </w:p>
          <w:p w:rsidR="00C66BE6" w:rsidRPr="001A05F4" w:rsidRDefault="00C66BE6" w:rsidP="001B7DBC">
            <w:pPr>
              <w:pStyle w:val="TableText0"/>
              <w:keepLines/>
              <w:spacing w:before="0" w:after="0"/>
              <w:jc w:val="center"/>
              <w:rPr>
                <w:szCs w:val="20"/>
              </w:rPr>
            </w:pPr>
            <w:r w:rsidRPr="001A05F4">
              <w:rPr>
                <w:szCs w:val="20"/>
              </w:rPr>
              <w:t>(range 74, 429)</w:t>
            </w:r>
          </w:p>
        </w:tc>
        <w:tc>
          <w:tcPr>
            <w:tcW w:w="2739"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NR [No results clinically or statistically meaningful.]</w:t>
            </w:r>
          </w:p>
        </w:tc>
      </w:tr>
      <w:tr w:rsidR="00C66BE6" w:rsidRPr="001A05F4" w:rsidTr="00927040">
        <w:tc>
          <w:tcPr>
            <w:tcW w:w="9209" w:type="dxa"/>
            <w:gridSpan w:val="6"/>
            <w:shd w:val="clear" w:color="auto" w:fill="auto"/>
          </w:tcPr>
          <w:p w:rsidR="00C66BE6" w:rsidRPr="001A05F4" w:rsidRDefault="00C66BE6" w:rsidP="001B7DBC">
            <w:pPr>
              <w:pStyle w:val="TableText0"/>
              <w:keepLines/>
              <w:spacing w:before="0" w:after="0"/>
              <w:rPr>
                <w:b/>
                <w:szCs w:val="20"/>
              </w:rPr>
            </w:pPr>
            <w:r w:rsidRPr="001A05F4">
              <w:rPr>
                <w:b/>
                <w:szCs w:val="20"/>
              </w:rPr>
              <w:t>Natural history studies</w:t>
            </w:r>
          </w:p>
        </w:tc>
      </w:tr>
      <w:tr w:rsidR="00C66BE6" w:rsidRPr="001A05F4" w:rsidTr="00927040">
        <w:trPr>
          <w:trHeight w:val="305"/>
        </w:trPr>
        <w:tc>
          <w:tcPr>
            <w:tcW w:w="1364" w:type="dxa"/>
            <w:shd w:val="clear" w:color="auto" w:fill="auto"/>
          </w:tcPr>
          <w:p w:rsidR="00C66BE6" w:rsidRPr="001A05F4" w:rsidRDefault="00C66BE6" w:rsidP="001B7DBC">
            <w:pPr>
              <w:pStyle w:val="TableText0"/>
              <w:keepLines/>
              <w:spacing w:before="0" w:after="0"/>
              <w:rPr>
                <w:szCs w:val="20"/>
              </w:rPr>
            </w:pPr>
            <w:r w:rsidRPr="001A05F4">
              <w:rPr>
                <w:szCs w:val="20"/>
              </w:rPr>
              <w:t>Montes 2018</w:t>
            </w:r>
          </w:p>
        </w:tc>
        <w:tc>
          <w:tcPr>
            <w:tcW w:w="1359" w:type="dxa"/>
            <w:shd w:val="clear" w:color="auto" w:fill="auto"/>
            <w:vAlign w:val="center"/>
          </w:tcPr>
          <w:p w:rsidR="00C66BE6" w:rsidRPr="001A05F4" w:rsidRDefault="00C66BE6" w:rsidP="001B7DBC">
            <w:pPr>
              <w:pStyle w:val="TableText0"/>
              <w:keepLines/>
              <w:spacing w:before="0" w:after="0"/>
              <w:rPr>
                <w:szCs w:val="20"/>
              </w:rPr>
            </w:pPr>
            <w:r w:rsidRPr="001A05F4">
              <w:rPr>
                <w:szCs w:val="20"/>
              </w:rPr>
              <w:t>Type III</w:t>
            </w:r>
          </w:p>
        </w:tc>
        <w:tc>
          <w:tcPr>
            <w:tcW w:w="466"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15</w:t>
            </w:r>
          </w:p>
        </w:tc>
        <w:tc>
          <w:tcPr>
            <w:tcW w:w="1401"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&gt;20 years</w:t>
            </w:r>
          </w:p>
        </w:tc>
        <w:tc>
          <w:tcPr>
            <w:tcW w:w="1880"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NR (NR)</w:t>
            </w:r>
          </w:p>
        </w:tc>
        <w:tc>
          <w:tcPr>
            <w:tcW w:w="2739"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-9.7 (NR); NR (-19.3 to -0.1), p=0.05</w:t>
            </w:r>
          </w:p>
        </w:tc>
      </w:tr>
      <w:tr w:rsidR="00C66BE6" w:rsidRPr="001A05F4" w:rsidTr="00927040">
        <w:trPr>
          <w:trHeight w:val="305"/>
        </w:trPr>
        <w:tc>
          <w:tcPr>
            <w:tcW w:w="1364" w:type="dxa"/>
            <w:tcBorders>
              <w:bottom w:val="single" w:sz="4" w:space="0" w:color="auto"/>
            </w:tcBorders>
            <w:shd w:val="clear" w:color="auto" w:fill="auto"/>
          </w:tcPr>
          <w:p w:rsidR="00C66BE6" w:rsidRPr="001A05F4" w:rsidRDefault="00C66BE6" w:rsidP="001B7DBC">
            <w:pPr>
              <w:pStyle w:val="TableText0"/>
              <w:keepLines/>
              <w:spacing w:before="0" w:after="0"/>
              <w:rPr>
                <w:szCs w:val="20"/>
              </w:rPr>
            </w:pPr>
            <w:r w:rsidRPr="001A05F4">
              <w:rPr>
                <w:szCs w:val="20"/>
              </w:rPr>
              <w:t>Querin 2021</w:t>
            </w:r>
            <w:r w:rsidRPr="001A05F4">
              <w:rPr>
                <w:szCs w:val="20"/>
                <w:vertAlign w:val="superscript"/>
              </w:rPr>
              <w:t>c</w:t>
            </w:r>
          </w:p>
        </w:tc>
        <w:tc>
          <w:tcPr>
            <w:tcW w:w="1359" w:type="dxa"/>
            <w:shd w:val="clear" w:color="auto" w:fill="auto"/>
            <w:vAlign w:val="center"/>
          </w:tcPr>
          <w:p w:rsidR="00C66BE6" w:rsidRPr="001A05F4" w:rsidRDefault="00C66BE6" w:rsidP="001B7DBC">
            <w:pPr>
              <w:pStyle w:val="TableText0"/>
              <w:keepLines/>
              <w:spacing w:before="0" w:after="0"/>
              <w:rPr>
                <w:szCs w:val="20"/>
              </w:rPr>
            </w:pPr>
            <w:r w:rsidRPr="001A05F4">
              <w:rPr>
                <w:szCs w:val="20"/>
              </w:rPr>
              <w:t>Type III + IV</w:t>
            </w:r>
          </w:p>
        </w:tc>
        <w:tc>
          <w:tcPr>
            <w:tcW w:w="466"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14</w:t>
            </w:r>
          </w:p>
        </w:tc>
        <w:tc>
          <w:tcPr>
            <w:tcW w:w="1401"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43.5 (12.1)</w:t>
            </w:r>
          </w:p>
        </w:tc>
        <w:tc>
          <w:tcPr>
            <w:tcW w:w="1880"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341.3 (247.6)</w:t>
            </w:r>
          </w:p>
        </w:tc>
        <w:tc>
          <w:tcPr>
            <w:tcW w:w="2739" w:type="dxa"/>
            <w:shd w:val="clear" w:color="auto" w:fill="auto"/>
            <w:vAlign w:val="center"/>
          </w:tcPr>
          <w:p w:rsidR="00C66BE6" w:rsidRPr="001A05F4" w:rsidRDefault="00C66BE6" w:rsidP="001B7DBC">
            <w:pPr>
              <w:pStyle w:val="TableText0"/>
              <w:keepLines/>
              <w:spacing w:before="0" w:after="0"/>
              <w:jc w:val="center"/>
              <w:rPr>
                <w:szCs w:val="20"/>
              </w:rPr>
            </w:pPr>
            <w:r w:rsidRPr="001A05F4">
              <w:rPr>
                <w:szCs w:val="20"/>
              </w:rPr>
              <w:t>-4 (NR); NR (NR) p=0.318</w:t>
            </w:r>
            <w:r w:rsidR="005E52D2" w:rsidRPr="001A05F4">
              <w:rPr>
                <w:szCs w:val="20"/>
                <w:vertAlign w:val="superscript"/>
              </w:rPr>
              <w:t>i</w:t>
            </w:r>
          </w:p>
        </w:tc>
      </w:tr>
      <w:tr w:rsidR="00C66BE6" w:rsidRPr="001A05F4" w:rsidTr="00927040">
        <w:trPr>
          <w:trHeight w:val="305"/>
        </w:trPr>
        <w:tc>
          <w:tcPr>
            <w:tcW w:w="1364" w:type="dxa"/>
            <w:tcBorders>
              <w:top w:val="single" w:sz="4" w:space="0" w:color="auto"/>
              <w:left w:val="single" w:sz="4" w:space="0" w:color="auto"/>
              <w:bottom w:val="nil"/>
              <w:right w:val="single" w:sz="4" w:space="0" w:color="auto"/>
            </w:tcBorders>
            <w:shd w:val="clear" w:color="auto" w:fill="D9D9D9" w:themeFill="background1" w:themeFillShade="D9"/>
          </w:tcPr>
          <w:p w:rsidR="00C66BE6" w:rsidRPr="001A05F4" w:rsidRDefault="00C66BE6" w:rsidP="001B7DBC">
            <w:pPr>
              <w:pStyle w:val="TableText0"/>
              <w:keepLines/>
              <w:spacing w:before="0" w:after="0"/>
              <w:rPr>
                <w:szCs w:val="20"/>
              </w:rPr>
            </w:pPr>
            <w:r w:rsidRPr="001A05F4">
              <w:rPr>
                <w:szCs w:val="20"/>
              </w:rPr>
              <w:t>Mazzone 2013</w:t>
            </w:r>
            <w:r w:rsidRPr="001A05F4">
              <w:rPr>
                <w:szCs w:val="20"/>
                <w:vertAlign w:val="superscript"/>
              </w:rPr>
              <w:t>d</w:t>
            </w:r>
          </w:p>
        </w:tc>
        <w:tc>
          <w:tcPr>
            <w:tcW w:w="1359" w:type="dxa"/>
            <w:tcBorders>
              <w:left w:val="single" w:sz="4" w:space="0" w:color="auto"/>
            </w:tcBorders>
            <w:shd w:val="clear" w:color="auto" w:fill="D9D9D9" w:themeFill="background1" w:themeFillShade="D9"/>
            <w:vAlign w:val="center"/>
          </w:tcPr>
          <w:p w:rsidR="00C66BE6" w:rsidRPr="001A05F4" w:rsidRDefault="00C66BE6" w:rsidP="001B7DBC">
            <w:pPr>
              <w:pStyle w:val="TableText0"/>
              <w:keepLines/>
              <w:spacing w:before="0" w:after="0"/>
              <w:rPr>
                <w:szCs w:val="20"/>
              </w:rPr>
            </w:pPr>
            <w:r w:rsidRPr="001A05F4">
              <w:rPr>
                <w:szCs w:val="20"/>
              </w:rPr>
              <w:t>Type IIIa</w:t>
            </w:r>
          </w:p>
        </w:tc>
        <w:tc>
          <w:tcPr>
            <w:tcW w:w="466"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2</w:t>
            </w:r>
          </w:p>
        </w:tc>
        <w:tc>
          <w:tcPr>
            <w:tcW w:w="1401"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&gt;18 years</w:t>
            </w:r>
          </w:p>
        </w:tc>
        <w:tc>
          <w:tcPr>
            <w:tcW w:w="1880"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NR (NR)</w:t>
            </w:r>
          </w:p>
        </w:tc>
        <w:tc>
          <w:tcPr>
            <w:tcW w:w="2739"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+17.06 (NR); NR (NR)</w:t>
            </w:r>
          </w:p>
        </w:tc>
      </w:tr>
      <w:tr w:rsidR="00C66BE6" w:rsidRPr="001A05F4" w:rsidTr="00927040">
        <w:trPr>
          <w:trHeight w:val="305"/>
        </w:trPr>
        <w:tc>
          <w:tcPr>
            <w:tcW w:w="1364" w:type="dxa"/>
            <w:tcBorders>
              <w:top w:val="nil"/>
              <w:left w:val="single" w:sz="4" w:space="0" w:color="auto"/>
              <w:bottom w:val="single" w:sz="4" w:space="0" w:color="auto"/>
              <w:right w:val="single" w:sz="4" w:space="0" w:color="auto"/>
            </w:tcBorders>
            <w:shd w:val="clear" w:color="auto" w:fill="D9D9D9" w:themeFill="background1" w:themeFillShade="D9"/>
          </w:tcPr>
          <w:p w:rsidR="00C66BE6" w:rsidRPr="001A05F4" w:rsidRDefault="00C66BE6" w:rsidP="001B7DBC">
            <w:pPr>
              <w:pStyle w:val="TableText0"/>
              <w:keepLines/>
              <w:spacing w:before="0" w:after="0"/>
              <w:rPr>
                <w:szCs w:val="20"/>
              </w:rPr>
            </w:pPr>
          </w:p>
        </w:tc>
        <w:tc>
          <w:tcPr>
            <w:tcW w:w="1359" w:type="dxa"/>
            <w:tcBorders>
              <w:left w:val="single" w:sz="4" w:space="0" w:color="auto"/>
            </w:tcBorders>
            <w:shd w:val="clear" w:color="auto" w:fill="D9D9D9" w:themeFill="background1" w:themeFillShade="D9"/>
            <w:vAlign w:val="center"/>
          </w:tcPr>
          <w:p w:rsidR="00C66BE6" w:rsidRPr="001A05F4" w:rsidRDefault="00C66BE6" w:rsidP="001B7DBC">
            <w:pPr>
              <w:pStyle w:val="TableText0"/>
              <w:keepLines/>
              <w:spacing w:before="0" w:after="0"/>
              <w:rPr>
                <w:szCs w:val="20"/>
              </w:rPr>
            </w:pPr>
            <w:r w:rsidRPr="001A05F4">
              <w:rPr>
                <w:szCs w:val="20"/>
              </w:rPr>
              <w:t>Type IIIb</w:t>
            </w:r>
          </w:p>
        </w:tc>
        <w:tc>
          <w:tcPr>
            <w:tcW w:w="466"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6</w:t>
            </w:r>
          </w:p>
        </w:tc>
        <w:tc>
          <w:tcPr>
            <w:tcW w:w="1401"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&gt;18 years</w:t>
            </w:r>
          </w:p>
        </w:tc>
        <w:tc>
          <w:tcPr>
            <w:tcW w:w="1880"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NR (NR)</w:t>
            </w:r>
          </w:p>
        </w:tc>
        <w:tc>
          <w:tcPr>
            <w:tcW w:w="2739"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+22.35 (NR); NR (NR)</w:t>
            </w:r>
          </w:p>
        </w:tc>
      </w:tr>
      <w:tr w:rsidR="00C66BE6" w:rsidRPr="001A05F4" w:rsidTr="00927040">
        <w:trPr>
          <w:trHeight w:val="305"/>
        </w:trPr>
        <w:tc>
          <w:tcPr>
            <w:tcW w:w="1364" w:type="dxa"/>
            <w:tcBorders>
              <w:top w:val="single" w:sz="4" w:space="0" w:color="auto"/>
            </w:tcBorders>
            <w:shd w:val="clear" w:color="auto" w:fill="D9D9D9" w:themeFill="background1" w:themeFillShade="D9"/>
          </w:tcPr>
          <w:p w:rsidR="00C66BE6" w:rsidRPr="001A05F4" w:rsidRDefault="00C66BE6" w:rsidP="001B7DBC">
            <w:pPr>
              <w:pStyle w:val="TableText0"/>
              <w:keepLines/>
              <w:spacing w:before="0" w:after="0"/>
              <w:rPr>
                <w:szCs w:val="20"/>
                <w:vertAlign w:val="superscript"/>
              </w:rPr>
            </w:pPr>
            <w:r w:rsidRPr="001A05F4">
              <w:rPr>
                <w:szCs w:val="20"/>
              </w:rPr>
              <w:t>Bonati 2017</w:t>
            </w:r>
            <w:r w:rsidRPr="001A05F4">
              <w:rPr>
                <w:szCs w:val="20"/>
                <w:vertAlign w:val="superscript"/>
              </w:rPr>
              <w:t>e</w:t>
            </w:r>
          </w:p>
        </w:tc>
        <w:tc>
          <w:tcPr>
            <w:tcW w:w="1359" w:type="dxa"/>
            <w:shd w:val="clear" w:color="auto" w:fill="D9D9D9" w:themeFill="background1" w:themeFillShade="D9"/>
            <w:vAlign w:val="center"/>
          </w:tcPr>
          <w:p w:rsidR="00C66BE6" w:rsidRPr="001A05F4" w:rsidRDefault="00C66BE6" w:rsidP="001B7DBC">
            <w:pPr>
              <w:pStyle w:val="TableText0"/>
              <w:keepLines/>
              <w:spacing w:before="0" w:after="0"/>
              <w:rPr>
                <w:szCs w:val="20"/>
              </w:rPr>
            </w:pPr>
            <w:r w:rsidRPr="001A05F4">
              <w:rPr>
                <w:szCs w:val="20"/>
              </w:rPr>
              <w:t>Type III</w:t>
            </w:r>
          </w:p>
        </w:tc>
        <w:tc>
          <w:tcPr>
            <w:tcW w:w="466"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19</w:t>
            </w:r>
          </w:p>
        </w:tc>
        <w:tc>
          <w:tcPr>
            <w:tcW w:w="1401"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32 (13)</w:t>
            </w:r>
          </w:p>
          <w:p w:rsidR="00C66BE6" w:rsidRPr="001A05F4" w:rsidRDefault="00C66BE6" w:rsidP="001B7DBC">
            <w:pPr>
              <w:pStyle w:val="TableText0"/>
              <w:keepLines/>
              <w:spacing w:before="0" w:after="0"/>
              <w:jc w:val="center"/>
              <w:rPr>
                <w:szCs w:val="20"/>
              </w:rPr>
            </w:pPr>
            <w:r w:rsidRPr="001A05F4">
              <w:rPr>
                <w:szCs w:val="20"/>
              </w:rPr>
              <w:t>(range 11-51)</w:t>
            </w:r>
          </w:p>
        </w:tc>
        <w:tc>
          <w:tcPr>
            <w:tcW w:w="1880"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460.05 (138.12)</w:t>
            </w:r>
          </w:p>
          <w:p w:rsidR="00C66BE6" w:rsidRPr="001A05F4" w:rsidRDefault="00C66BE6" w:rsidP="001B7DBC">
            <w:pPr>
              <w:pStyle w:val="TableText0"/>
              <w:keepLines/>
              <w:spacing w:before="0" w:after="0"/>
              <w:jc w:val="center"/>
              <w:rPr>
                <w:szCs w:val="20"/>
              </w:rPr>
            </w:pPr>
            <w:r w:rsidRPr="001A05F4">
              <w:rPr>
                <w:szCs w:val="20"/>
              </w:rPr>
              <w:t>n=18</w:t>
            </w:r>
          </w:p>
        </w:tc>
        <w:tc>
          <w:tcPr>
            <w:tcW w:w="2739" w:type="dxa"/>
            <w:shd w:val="clear" w:color="auto" w:fill="D9D9D9" w:themeFill="background1" w:themeFillShade="D9"/>
            <w:vAlign w:val="center"/>
          </w:tcPr>
          <w:p w:rsidR="00C66BE6" w:rsidRPr="001A05F4" w:rsidRDefault="00C66BE6" w:rsidP="001B7DBC">
            <w:pPr>
              <w:pStyle w:val="TableText0"/>
              <w:keepLines/>
              <w:spacing w:before="0" w:after="0"/>
              <w:jc w:val="center"/>
              <w:rPr>
                <w:szCs w:val="20"/>
              </w:rPr>
            </w:pPr>
            <w:r w:rsidRPr="001A05F4">
              <w:rPr>
                <w:szCs w:val="20"/>
              </w:rPr>
              <w:t>+38.88 (based on a final assessment of 498.93m available in 14 of 18 patients)</w:t>
            </w:r>
          </w:p>
        </w:tc>
      </w:tr>
    </w:tbl>
    <w:p w:rsidR="00C66BE6" w:rsidRPr="001A05F4" w:rsidRDefault="00C66BE6" w:rsidP="001B7DBC">
      <w:pPr>
        <w:pStyle w:val="TableFooter"/>
        <w:keepNext/>
        <w:keepLines/>
        <w:jc w:val="left"/>
      </w:pPr>
      <w:r w:rsidRPr="001A05F4">
        <w:rPr>
          <w:vertAlign w:val="superscript"/>
        </w:rPr>
        <w:t>a</w:t>
      </w:r>
      <w:r w:rsidRPr="001A05F4">
        <w:t>Data represents 14 month assessment expressed</w:t>
      </w:r>
    </w:p>
    <w:p w:rsidR="00C66BE6" w:rsidRPr="001A05F4" w:rsidRDefault="00C66BE6" w:rsidP="001B7DBC">
      <w:pPr>
        <w:pStyle w:val="TableFooter"/>
        <w:keepNext/>
        <w:keepLines/>
        <w:jc w:val="left"/>
      </w:pPr>
      <w:r w:rsidRPr="001A05F4">
        <w:rPr>
          <w:vertAlign w:val="superscript"/>
        </w:rPr>
        <w:t>b</w:t>
      </w:r>
      <w:r w:rsidRPr="001A05F4">
        <w:t>Data represents 10 month assessment expressed</w:t>
      </w:r>
    </w:p>
    <w:p w:rsidR="00C66BE6" w:rsidRPr="001A05F4" w:rsidRDefault="00C66BE6" w:rsidP="001B7DBC">
      <w:pPr>
        <w:pStyle w:val="TableFooter"/>
        <w:keepNext/>
        <w:keepLines/>
        <w:jc w:val="left"/>
      </w:pPr>
      <w:r w:rsidRPr="001A05F4">
        <w:rPr>
          <w:vertAlign w:val="superscript"/>
        </w:rPr>
        <w:t>c</w:t>
      </w:r>
      <w:r w:rsidRPr="001A05F4">
        <w:t>Annualised</w:t>
      </w:r>
      <w:r w:rsidRPr="001A05F4">
        <w:rPr>
          <w:vertAlign w:val="superscript"/>
        </w:rPr>
        <w:t xml:space="preserve"> </w:t>
      </w:r>
      <w:r w:rsidRPr="001A05F4">
        <w:t>change was estimated from mean baseline and 24 months values reported in Table 1 of Querin 2021.</w:t>
      </w:r>
    </w:p>
    <w:p w:rsidR="00C66BE6" w:rsidRPr="001A05F4" w:rsidRDefault="00C66BE6" w:rsidP="001B7DBC">
      <w:pPr>
        <w:pStyle w:val="TableFooter"/>
        <w:keepNext/>
        <w:keepLines/>
        <w:jc w:val="left"/>
      </w:pPr>
      <w:r w:rsidRPr="001A05F4">
        <w:rPr>
          <w:vertAlign w:val="superscript"/>
        </w:rPr>
        <w:t>d</w:t>
      </w:r>
      <w:r w:rsidRPr="001A05F4">
        <w:t>Estimates are based on IPD analysis extracted from figure 1a of source document.</w:t>
      </w:r>
      <w:r w:rsidRPr="001A05F4">
        <w:br/>
      </w:r>
      <w:r w:rsidRPr="001A05F4">
        <w:rPr>
          <w:vertAlign w:val="superscript"/>
        </w:rPr>
        <w:t>e</w:t>
      </w:r>
      <w:r w:rsidRPr="001A05F4">
        <w:t>Previously excluded due to insufficient baseline data on underlying disease; not all patients were adults (the composition of group of patients by age is unclear), and no subgroup data presented.</w:t>
      </w:r>
    </w:p>
    <w:p w:rsidR="00C66BE6" w:rsidRPr="001A05F4" w:rsidRDefault="00C66BE6" w:rsidP="001B7DBC">
      <w:pPr>
        <w:pStyle w:val="TableFooter"/>
        <w:keepNext/>
        <w:keepLines/>
        <w:jc w:val="left"/>
      </w:pPr>
      <w:r w:rsidRPr="001A05F4">
        <w:rPr>
          <w:vertAlign w:val="superscript"/>
        </w:rPr>
        <w:t>f</w:t>
      </w:r>
      <w:r w:rsidRPr="001A05F4">
        <w:t>Jochmann 2020 reported 6MWT results for one patient only. This data has therefore not been included in the table.</w:t>
      </w:r>
    </w:p>
    <w:p w:rsidR="00C66BE6" w:rsidRPr="001A05F4" w:rsidRDefault="00C66BE6" w:rsidP="001B7DBC">
      <w:pPr>
        <w:pStyle w:val="TableFooter"/>
        <w:keepNext/>
        <w:keepLines/>
        <w:jc w:val="left"/>
      </w:pPr>
      <w:r w:rsidRPr="001A05F4">
        <w:rPr>
          <w:vertAlign w:val="superscript"/>
        </w:rPr>
        <w:t>g</w:t>
      </w:r>
      <w:r w:rsidRPr="001A05F4">
        <w:t>The result provided is the figure reported in the publication by Hagenacker 2020. The supplementary appendix to Hagenacker 2020 shows this result to be 356 (212.9).</w:t>
      </w:r>
    </w:p>
    <w:p w:rsidR="00C66BE6" w:rsidRPr="001A05F4" w:rsidRDefault="00C66BE6" w:rsidP="001B7DBC">
      <w:pPr>
        <w:pStyle w:val="TableFooter"/>
        <w:keepNext/>
        <w:keepLines/>
        <w:jc w:val="left"/>
      </w:pPr>
      <w:r w:rsidRPr="001A05F4">
        <w:rPr>
          <w:vertAlign w:val="superscript"/>
        </w:rPr>
        <w:t>h</w:t>
      </w:r>
      <w:r w:rsidRPr="001A05F4">
        <w:t>The result provided is the figure reported in the publication by Hagenacker 2020. The supplementary appendix to Hagenacker 2020 shows the median result to be 46 (0-71).</w:t>
      </w:r>
    </w:p>
    <w:p w:rsidR="00C66BE6" w:rsidRPr="001A05F4" w:rsidRDefault="00C66BE6" w:rsidP="001B7DBC">
      <w:pPr>
        <w:pStyle w:val="TableFooter"/>
        <w:keepNext/>
        <w:keepLines/>
        <w:jc w:val="left"/>
      </w:pPr>
      <w:r w:rsidRPr="001A05F4">
        <w:rPr>
          <w:vertAlign w:val="superscript"/>
        </w:rPr>
        <w:t>i</w:t>
      </w:r>
      <w:r w:rsidR="00676709" w:rsidRPr="001A05F4">
        <w:t xml:space="preserve">Likely estimated as half the difference between the point estimate at baseline (341.3m) and at 24 months (333.3m) </w:t>
      </w:r>
    </w:p>
    <w:p w:rsidR="00C66BE6" w:rsidRPr="001A05F4" w:rsidRDefault="00C66BE6" w:rsidP="001B7DBC">
      <w:pPr>
        <w:pStyle w:val="TableFooter"/>
        <w:keepNext/>
        <w:keepLines/>
        <w:jc w:val="left"/>
      </w:pPr>
      <w:r w:rsidRPr="001A05F4">
        <w:t>CI = confidence interval; NR=not reported; RULM=Revised upper limb module; SD=Standard deviation; SMA=spinal muscular atrophy</w:t>
      </w:r>
      <w:r w:rsidRPr="001A05F4">
        <w:br/>
        <w:t>Source: Table 2.84, p264 in the resubmission</w:t>
      </w:r>
      <w:r w:rsidR="00E116C5" w:rsidRPr="001A05F4">
        <w:t>.</w:t>
      </w:r>
    </w:p>
    <w:p w:rsidR="00C66BE6" w:rsidRPr="001A05F4" w:rsidRDefault="00C66BE6" w:rsidP="00C66BE6">
      <w:pPr>
        <w:rPr>
          <w:rStyle w:val="CommentReference"/>
          <w:b w:val="0"/>
          <w:szCs w:val="24"/>
        </w:rPr>
      </w:pPr>
    </w:p>
    <w:p w:rsidR="00C66BE6" w:rsidRPr="001A05F4" w:rsidRDefault="00C66BE6" w:rsidP="00F9436F">
      <w:pPr>
        <w:pStyle w:val="3-BodyText"/>
        <w:numPr>
          <w:ilvl w:val="1"/>
          <w:numId w:val="2"/>
        </w:numPr>
        <w:rPr>
          <w:iCs/>
        </w:rPr>
      </w:pPr>
      <w:r w:rsidRPr="001A05F4">
        <w:t xml:space="preserve">The results reported in the resubmission for the 6MWT in the nusinersen studies were highly variable, ranging in change from baseline from +7 metres (m) in De Wel 2020 to +46.0 m in SMA Type III patients in Hagenacker 2020. The 6MWT results for the natural history studies varied in a similar manner, ranging from -9.7 m (Montes 2018) to +38.88 m (Bonati 2017). </w:t>
      </w:r>
      <w:r w:rsidRPr="001A05F4">
        <w:rPr>
          <w:iCs/>
        </w:rPr>
        <w:t>The inconsistency between studies within the nusinersen and natural history studies made it difficult to draw any conclusions from the naïve comparison for the 6MWT outcome.</w:t>
      </w:r>
    </w:p>
    <w:p w:rsidR="00C66BE6" w:rsidRPr="001A05F4" w:rsidRDefault="00C66BE6" w:rsidP="00F9436F">
      <w:pPr>
        <w:pStyle w:val="3-BodyText"/>
        <w:numPr>
          <w:ilvl w:val="1"/>
          <w:numId w:val="2"/>
        </w:numPr>
        <w:rPr>
          <w:i/>
          <w:iCs/>
        </w:rPr>
      </w:pPr>
      <w:r w:rsidRPr="001A05F4">
        <w:t>The results of the 6MWT from the SMA registry are summarised in</w:t>
      </w:r>
      <w:r w:rsidR="001B7DBC" w:rsidRPr="001A05F4">
        <w:t xml:space="preserve"> </w:t>
      </w:r>
      <w:r w:rsidR="00BC2D8D" w:rsidRPr="001A05F4">
        <w:t>Table 11</w:t>
      </w:r>
      <w:r w:rsidRPr="001A05F4">
        <w:t xml:space="preserve">. </w:t>
      </w:r>
    </w:p>
    <w:p w:rsidR="00C66BE6" w:rsidRPr="001A05F4" w:rsidRDefault="001B7DBC" w:rsidP="001B7DBC">
      <w:pPr>
        <w:pStyle w:val="TableFigureHeading"/>
        <w:rPr>
          <w:rStyle w:val="CommentReference"/>
          <w:b/>
          <w:bCs w:val="0"/>
          <w:szCs w:val="24"/>
        </w:rPr>
      </w:pPr>
      <w:bookmarkStart w:id="26" w:name="_Ref71585789"/>
      <w:r w:rsidRPr="001A05F4">
        <w:rPr>
          <w:rStyle w:val="CommentReference"/>
          <w:b/>
          <w:bCs w:val="0"/>
          <w:szCs w:val="24"/>
        </w:rPr>
        <w:t xml:space="preserve">Table </w:t>
      </w:r>
      <w:r w:rsidR="00BC2D8D" w:rsidRPr="001A05F4">
        <w:rPr>
          <w:rStyle w:val="CommentReference"/>
          <w:b/>
          <w:bCs w:val="0"/>
          <w:szCs w:val="24"/>
        </w:rPr>
        <w:t>11</w:t>
      </w:r>
      <w:bookmarkEnd w:id="26"/>
      <w:r w:rsidRPr="001A05F4">
        <w:rPr>
          <w:rStyle w:val="CommentReference"/>
          <w:b/>
          <w:bCs w:val="0"/>
          <w:szCs w:val="24"/>
        </w:rPr>
        <w:t xml:space="preserve">: </w:t>
      </w:r>
      <w:r w:rsidR="00C66BE6" w:rsidRPr="001A05F4">
        <w:rPr>
          <w:rStyle w:val="CommentReference"/>
          <w:b/>
          <w:bCs w:val="0"/>
          <w:szCs w:val="24"/>
        </w:rPr>
        <w:t>6MWT change from baseline in SMA Registr</w:t>
      </w:r>
      <w:r w:rsidR="006E2AE4" w:rsidRPr="001A05F4">
        <w:rPr>
          <w:rStyle w:val="CommentReference"/>
          <w:b/>
          <w:bCs w:val="0"/>
          <w:szCs w:val="24"/>
        </w:rPr>
        <w:t>y</w:t>
      </w:r>
    </w:p>
    <w:tbl>
      <w:tblPr>
        <w:tblStyle w:val="TableGrid"/>
        <w:tblW w:w="9067" w:type="dxa"/>
        <w:tblLook w:val="04A0" w:firstRow="1" w:lastRow="0" w:firstColumn="1" w:lastColumn="0" w:noHBand="0" w:noVBand="1"/>
        <w:tblCaption w:val="Table 11: 6MWT change from baseline in SMA Registry"/>
      </w:tblPr>
      <w:tblGrid>
        <w:gridCol w:w="3106"/>
        <w:gridCol w:w="453"/>
        <w:gridCol w:w="972"/>
        <w:gridCol w:w="1134"/>
        <w:gridCol w:w="1843"/>
        <w:gridCol w:w="1559"/>
      </w:tblGrid>
      <w:tr w:rsidR="00FB61CC" w:rsidRPr="001A05F4" w:rsidTr="00466FA7">
        <w:trPr>
          <w:trHeight w:val="20"/>
          <w:tblHeader/>
        </w:trPr>
        <w:tc>
          <w:tcPr>
            <w:tcW w:w="3106" w:type="dxa"/>
            <w:shd w:val="clear" w:color="auto" w:fill="auto"/>
            <w:vAlign w:val="center"/>
          </w:tcPr>
          <w:p w:rsidR="00FB61CC" w:rsidRPr="001A05F4" w:rsidRDefault="00FB61CC" w:rsidP="008C5966">
            <w:pPr>
              <w:pStyle w:val="TableText0"/>
              <w:keepLines/>
              <w:spacing w:before="0" w:after="0"/>
              <w:rPr>
                <w:b/>
              </w:rPr>
            </w:pPr>
            <w:r w:rsidRPr="001A05F4">
              <w:rPr>
                <w:b/>
              </w:rPr>
              <w:t>Type</w:t>
            </w:r>
          </w:p>
        </w:tc>
        <w:tc>
          <w:tcPr>
            <w:tcW w:w="453" w:type="dxa"/>
            <w:shd w:val="clear" w:color="auto" w:fill="auto"/>
            <w:vAlign w:val="center"/>
          </w:tcPr>
          <w:p w:rsidR="00FB61CC" w:rsidRPr="001A05F4" w:rsidRDefault="00FB61CC" w:rsidP="008C5966">
            <w:pPr>
              <w:pStyle w:val="TableText0"/>
              <w:keepLines/>
              <w:spacing w:before="0" w:after="0"/>
              <w:jc w:val="center"/>
              <w:rPr>
                <w:b/>
              </w:rPr>
            </w:pPr>
            <w:r w:rsidRPr="001A05F4">
              <w:rPr>
                <w:b/>
              </w:rPr>
              <w:t>N</w:t>
            </w:r>
          </w:p>
        </w:tc>
        <w:tc>
          <w:tcPr>
            <w:tcW w:w="972" w:type="dxa"/>
            <w:shd w:val="clear" w:color="auto" w:fill="auto"/>
            <w:vAlign w:val="center"/>
          </w:tcPr>
          <w:p w:rsidR="00FB61CC" w:rsidRPr="001A05F4" w:rsidRDefault="00FB61CC" w:rsidP="008C5966">
            <w:pPr>
              <w:pStyle w:val="TableText0"/>
              <w:keepLines/>
              <w:spacing w:before="0" w:after="0"/>
              <w:jc w:val="center"/>
              <w:rPr>
                <w:b/>
              </w:rPr>
            </w:pPr>
            <w:r w:rsidRPr="001A05F4">
              <w:rPr>
                <w:b/>
                <w:szCs w:val="20"/>
              </w:rPr>
              <w:t>Mean age in years (SD)</w:t>
            </w:r>
          </w:p>
        </w:tc>
        <w:tc>
          <w:tcPr>
            <w:tcW w:w="1134" w:type="dxa"/>
            <w:shd w:val="clear" w:color="auto" w:fill="auto"/>
            <w:vAlign w:val="center"/>
          </w:tcPr>
          <w:p w:rsidR="00FB61CC" w:rsidRPr="001A05F4" w:rsidRDefault="00FB61CC" w:rsidP="008C5966">
            <w:pPr>
              <w:pStyle w:val="TableText0"/>
              <w:keepLines/>
              <w:spacing w:before="0" w:after="0"/>
              <w:jc w:val="center"/>
              <w:rPr>
                <w:b/>
              </w:rPr>
            </w:pPr>
            <w:r w:rsidRPr="001A05F4">
              <w:rPr>
                <w:b/>
                <w:szCs w:val="20"/>
              </w:rPr>
              <w:t>Mean baseline 6MWT metres(SD)</w:t>
            </w:r>
          </w:p>
        </w:tc>
        <w:tc>
          <w:tcPr>
            <w:tcW w:w="1843" w:type="dxa"/>
            <w:vAlign w:val="center"/>
          </w:tcPr>
          <w:p w:rsidR="00FB61CC" w:rsidRPr="001A05F4" w:rsidRDefault="00FB61CC" w:rsidP="008C5966">
            <w:pPr>
              <w:pStyle w:val="TableText0"/>
              <w:keepLines/>
              <w:spacing w:before="0" w:after="0"/>
              <w:jc w:val="center"/>
              <w:rPr>
                <w:b/>
              </w:rPr>
            </w:pPr>
            <w:r w:rsidRPr="001A05F4">
              <w:rPr>
                <w:b/>
                <w:bCs/>
                <w:szCs w:val="20"/>
              </w:rPr>
              <w:t>Weekly rate of change (95%CI)</w:t>
            </w:r>
          </w:p>
        </w:tc>
        <w:tc>
          <w:tcPr>
            <w:tcW w:w="1559" w:type="dxa"/>
            <w:shd w:val="clear" w:color="auto" w:fill="auto"/>
            <w:vAlign w:val="center"/>
          </w:tcPr>
          <w:p w:rsidR="00FB61CC" w:rsidRPr="001A05F4" w:rsidRDefault="00FB61CC" w:rsidP="008C5966">
            <w:pPr>
              <w:pStyle w:val="TableText0"/>
              <w:keepLines/>
              <w:spacing w:before="0" w:after="0"/>
              <w:jc w:val="center"/>
              <w:rPr>
                <w:b/>
                <w:vertAlign w:val="superscript"/>
              </w:rPr>
            </w:pPr>
            <w:r w:rsidRPr="001A05F4">
              <w:rPr>
                <w:b/>
              </w:rPr>
              <w:t>Annualised change from baseline – mean slope – p-value</w:t>
            </w:r>
            <w:r w:rsidR="008E4642" w:rsidRPr="001A05F4">
              <w:rPr>
                <w:b/>
              </w:rPr>
              <w:t xml:space="preserve"> </w:t>
            </w:r>
            <w:r w:rsidR="008E4642" w:rsidRPr="001A05F4">
              <w:rPr>
                <w:b/>
                <w:vertAlign w:val="superscript"/>
              </w:rPr>
              <w:t>b</w:t>
            </w:r>
          </w:p>
        </w:tc>
      </w:tr>
      <w:tr w:rsidR="00FB61CC" w:rsidRPr="001A05F4" w:rsidTr="00FB61CC">
        <w:trPr>
          <w:trHeight w:val="20"/>
        </w:trPr>
        <w:tc>
          <w:tcPr>
            <w:tcW w:w="9067" w:type="dxa"/>
            <w:gridSpan w:val="6"/>
          </w:tcPr>
          <w:p w:rsidR="00FB61CC" w:rsidRPr="001A05F4" w:rsidRDefault="00FB61CC" w:rsidP="008C5966">
            <w:pPr>
              <w:pStyle w:val="TableText0"/>
              <w:keepLines/>
              <w:spacing w:before="0" w:after="0"/>
            </w:pPr>
            <w:r w:rsidRPr="001A05F4">
              <w:t>Nusinersen treatment</w:t>
            </w:r>
          </w:p>
        </w:tc>
      </w:tr>
      <w:tr w:rsidR="00FB61CC" w:rsidRPr="00C508D4" w:rsidTr="008E4642">
        <w:trPr>
          <w:trHeight w:val="20"/>
        </w:trPr>
        <w:tc>
          <w:tcPr>
            <w:tcW w:w="3106" w:type="dxa"/>
            <w:shd w:val="clear" w:color="auto" w:fill="auto"/>
          </w:tcPr>
          <w:p w:rsidR="00FB61CC" w:rsidRPr="00C508D4" w:rsidRDefault="00FB61CC" w:rsidP="008C5966">
            <w:pPr>
              <w:pStyle w:val="TableText0"/>
              <w:keepLines/>
              <w:spacing w:before="0" w:after="0"/>
            </w:pPr>
            <w:r w:rsidRPr="00C508D4">
              <w:t>Cohort 1: Treated Type III + IV</w:t>
            </w:r>
          </w:p>
        </w:tc>
        <w:tc>
          <w:tcPr>
            <w:tcW w:w="453" w:type="dxa"/>
            <w:shd w:val="clear" w:color="auto" w:fill="auto"/>
            <w:vAlign w:val="center"/>
          </w:tcPr>
          <w:p w:rsidR="00FB61CC" w:rsidRPr="00C508D4" w:rsidRDefault="00FB61CC" w:rsidP="008C5966">
            <w:pPr>
              <w:pStyle w:val="TableText0"/>
              <w:keepLines/>
              <w:spacing w:before="0" w:after="0"/>
              <w:jc w:val="center"/>
            </w:pPr>
            <w:r w:rsidRPr="00C508D4">
              <w:t>NR</w:t>
            </w:r>
          </w:p>
        </w:tc>
        <w:tc>
          <w:tcPr>
            <w:tcW w:w="972" w:type="dxa"/>
            <w:shd w:val="clear" w:color="auto" w:fill="auto"/>
            <w:vAlign w:val="center"/>
          </w:tcPr>
          <w:p w:rsidR="00FB61CC" w:rsidRPr="00C508D4" w:rsidRDefault="00FB61CC" w:rsidP="008C5966">
            <w:pPr>
              <w:pStyle w:val="TableText0"/>
              <w:keepLines/>
              <w:spacing w:before="0" w:after="0"/>
              <w:jc w:val="center"/>
              <w:rPr>
                <w:vertAlign w:val="superscript"/>
              </w:rPr>
            </w:pPr>
            <w:r w:rsidRPr="00C508D4">
              <w:t>NR</w:t>
            </w:r>
            <w:r w:rsidRPr="00C508D4">
              <w:rPr>
                <w:vertAlign w:val="superscript"/>
              </w:rPr>
              <w:t>a</w:t>
            </w:r>
          </w:p>
        </w:tc>
        <w:tc>
          <w:tcPr>
            <w:tcW w:w="1134" w:type="dxa"/>
            <w:shd w:val="clear" w:color="auto" w:fill="auto"/>
            <w:vAlign w:val="center"/>
          </w:tcPr>
          <w:p w:rsidR="00FB61CC" w:rsidRPr="00C508D4" w:rsidRDefault="00FB61CC" w:rsidP="008C5966">
            <w:pPr>
              <w:pStyle w:val="TableText0"/>
              <w:keepLines/>
              <w:spacing w:before="0" w:after="0"/>
              <w:jc w:val="center"/>
              <w:rPr>
                <w:vertAlign w:val="superscript"/>
              </w:rPr>
            </w:pPr>
            <w:r w:rsidRPr="00C508D4">
              <w:t>NR</w:t>
            </w:r>
            <w:r w:rsidRPr="00C508D4">
              <w:rPr>
                <w:vertAlign w:val="superscript"/>
              </w:rPr>
              <w:t>a</w:t>
            </w:r>
          </w:p>
        </w:tc>
        <w:tc>
          <w:tcPr>
            <w:tcW w:w="1843" w:type="dxa"/>
          </w:tcPr>
          <w:p w:rsidR="00FB61CC" w:rsidRPr="00C508D4" w:rsidRDefault="00FB61CC" w:rsidP="008C5966">
            <w:pPr>
              <w:pStyle w:val="TableText0"/>
              <w:keepLines/>
              <w:spacing w:before="0" w:after="0"/>
              <w:jc w:val="center"/>
            </w:pPr>
            <w:r w:rsidRPr="00C508D4">
              <w:t>0.263 (0.099, 0.427)</w:t>
            </w:r>
          </w:p>
        </w:tc>
        <w:tc>
          <w:tcPr>
            <w:tcW w:w="1559" w:type="dxa"/>
            <w:shd w:val="clear" w:color="auto" w:fill="auto"/>
            <w:vAlign w:val="center"/>
          </w:tcPr>
          <w:p w:rsidR="00FB61CC" w:rsidRPr="00C508D4" w:rsidRDefault="00FB61CC" w:rsidP="008C5966">
            <w:pPr>
              <w:pStyle w:val="TableText0"/>
              <w:keepLines/>
              <w:spacing w:before="0" w:after="0"/>
              <w:jc w:val="center"/>
            </w:pPr>
            <w:r w:rsidRPr="00C508D4">
              <w:t>+13.69 p=0.0018</w:t>
            </w:r>
          </w:p>
        </w:tc>
      </w:tr>
      <w:tr w:rsidR="00FB61CC" w:rsidRPr="00C508D4" w:rsidTr="008E4642">
        <w:trPr>
          <w:trHeight w:val="20"/>
        </w:trPr>
        <w:tc>
          <w:tcPr>
            <w:tcW w:w="3106" w:type="dxa"/>
            <w:shd w:val="clear" w:color="auto" w:fill="auto"/>
          </w:tcPr>
          <w:p w:rsidR="00FB61CC" w:rsidRPr="00C508D4" w:rsidRDefault="00FB61CC" w:rsidP="008C5966">
            <w:pPr>
              <w:pStyle w:val="TableText0"/>
              <w:keepLines/>
              <w:spacing w:before="0" w:after="0"/>
            </w:pPr>
            <w:r w:rsidRPr="00C508D4">
              <w:t xml:space="preserve">Cohort 2: Treated Type III + IV </w:t>
            </w:r>
          </w:p>
        </w:tc>
        <w:tc>
          <w:tcPr>
            <w:tcW w:w="453" w:type="dxa"/>
            <w:shd w:val="clear" w:color="auto" w:fill="auto"/>
            <w:vAlign w:val="center"/>
          </w:tcPr>
          <w:p w:rsidR="00FB61CC" w:rsidRPr="00C508D4" w:rsidRDefault="00FB61CC" w:rsidP="008C5966">
            <w:pPr>
              <w:pStyle w:val="TableText0"/>
              <w:keepLines/>
              <w:spacing w:before="0" w:after="0"/>
              <w:jc w:val="center"/>
            </w:pPr>
            <w:r w:rsidRPr="00C508D4">
              <w:t>13</w:t>
            </w:r>
          </w:p>
        </w:tc>
        <w:tc>
          <w:tcPr>
            <w:tcW w:w="972" w:type="dxa"/>
            <w:shd w:val="clear" w:color="auto" w:fill="auto"/>
            <w:vAlign w:val="center"/>
          </w:tcPr>
          <w:p w:rsidR="00FB61CC" w:rsidRPr="00C508D4" w:rsidRDefault="00FB61CC" w:rsidP="008C5966">
            <w:pPr>
              <w:pStyle w:val="TableText0"/>
              <w:keepLines/>
              <w:spacing w:before="0" w:after="0"/>
              <w:jc w:val="center"/>
            </w:pPr>
            <w:r w:rsidRPr="00C508D4">
              <w:t>37.6 n=75</w:t>
            </w:r>
          </w:p>
        </w:tc>
        <w:tc>
          <w:tcPr>
            <w:tcW w:w="1134" w:type="dxa"/>
            <w:shd w:val="clear" w:color="auto" w:fill="auto"/>
            <w:vAlign w:val="center"/>
          </w:tcPr>
          <w:p w:rsidR="00FB61CC" w:rsidRPr="00C508D4" w:rsidRDefault="00FB61CC" w:rsidP="008C5966">
            <w:pPr>
              <w:pStyle w:val="TableText0"/>
              <w:keepLines/>
              <w:spacing w:before="0" w:after="0"/>
              <w:jc w:val="center"/>
            </w:pPr>
            <w:r w:rsidRPr="00C508D4">
              <w:t>383.40 n=16</w:t>
            </w:r>
          </w:p>
        </w:tc>
        <w:tc>
          <w:tcPr>
            <w:tcW w:w="1843" w:type="dxa"/>
          </w:tcPr>
          <w:p w:rsidR="00FB61CC" w:rsidRPr="00C508D4" w:rsidRDefault="008E4642" w:rsidP="008C5966">
            <w:pPr>
              <w:pStyle w:val="TableText0"/>
              <w:keepLines/>
              <w:spacing w:before="0" w:after="0"/>
              <w:jc w:val="center"/>
            </w:pPr>
            <w:r w:rsidRPr="00C508D4">
              <w:t>-0.034 (-0.437, 0.369)</w:t>
            </w:r>
          </w:p>
        </w:tc>
        <w:tc>
          <w:tcPr>
            <w:tcW w:w="1559" w:type="dxa"/>
            <w:shd w:val="clear" w:color="auto" w:fill="auto"/>
            <w:vAlign w:val="center"/>
          </w:tcPr>
          <w:p w:rsidR="00FB61CC" w:rsidRPr="00C508D4" w:rsidRDefault="00FB61CC" w:rsidP="008C5966">
            <w:pPr>
              <w:pStyle w:val="TableText0"/>
              <w:keepLines/>
              <w:spacing w:before="0" w:after="0"/>
              <w:jc w:val="center"/>
            </w:pPr>
            <w:r w:rsidRPr="00C508D4">
              <w:t>-1.78 p=0.8675</w:t>
            </w:r>
          </w:p>
        </w:tc>
      </w:tr>
      <w:tr w:rsidR="00FB61CC" w:rsidRPr="00C508D4" w:rsidTr="00FB61CC">
        <w:trPr>
          <w:trHeight w:val="20"/>
        </w:trPr>
        <w:tc>
          <w:tcPr>
            <w:tcW w:w="9067" w:type="dxa"/>
            <w:gridSpan w:val="6"/>
          </w:tcPr>
          <w:p w:rsidR="00FB61CC" w:rsidRPr="00C508D4" w:rsidRDefault="00FB61CC" w:rsidP="008C5966">
            <w:pPr>
              <w:pStyle w:val="TableText0"/>
              <w:keepLines/>
              <w:spacing w:before="0" w:after="0"/>
            </w:pPr>
            <w:r w:rsidRPr="00C508D4">
              <w:t xml:space="preserve">Natural history </w:t>
            </w:r>
          </w:p>
        </w:tc>
      </w:tr>
      <w:tr w:rsidR="00FB61CC" w:rsidRPr="00C508D4" w:rsidTr="008E4642">
        <w:trPr>
          <w:trHeight w:val="20"/>
        </w:trPr>
        <w:tc>
          <w:tcPr>
            <w:tcW w:w="3106" w:type="dxa"/>
            <w:shd w:val="clear" w:color="auto" w:fill="auto"/>
          </w:tcPr>
          <w:p w:rsidR="00FB61CC" w:rsidRPr="00C508D4" w:rsidRDefault="00FB61CC" w:rsidP="008C5966">
            <w:pPr>
              <w:pStyle w:val="TableText0"/>
              <w:keepLines/>
              <w:spacing w:before="0" w:after="0"/>
            </w:pPr>
            <w:r w:rsidRPr="00C508D4">
              <w:t>Cohort 1: Untreated Type III + IV</w:t>
            </w:r>
          </w:p>
        </w:tc>
        <w:tc>
          <w:tcPr>
            <w:tcW w:w="453" w:type="dxa"/>
            <w:shd w:val="clear" w:color="auto" w:fill="auto"/>
            <w:vAlign w:val="center"/>
          </w:tcPr>
          <w:p w:rsidR="00FB61CC" w:rsidRPr="00C508D4" w:rsidRDefault="00FB61CC" w:rsidP="008C5966">
            <w:pPr>
              <w:pStyle w:val="TableText0"/>
              <w:keepLines/>
              <w:spacing w:before="0" w:after="0"/>
              <w:jc w:val="center"/>
            </w:pPr>
            <w:r w:rsidRPr="00C508D4">
              <w:t>NR</w:t>
            </w:r>
          </w:p>
        </w:tc>
        <w:tc>
          <w:tcPr>
            <w:tcW w:w="972" w:type="dxa"/>
            <w:shd w:val="clear" w:color="auto" w:fill="auto"/>
            <w:vAlign w:val="center"/>
          </w:tcPr>
          <w:p w:rsidR="00FB61CC" w:rsidRPr="00C508D4" w:rsidRDefault="00FB61CC" w:rsidP="008C5966">
            <w:pPr>
              <w:pStyle w:val="TableText0"/>
              <w:keepLines/>
              <w:spacing w:before="0" w:after="0"/>
              <w:jc w:val="center"/>
            </w:pPr>
            <w:r w:rsidRPr="00C508D4">
              <w:t>NR</w:t>
            </w:r>
            <w:r w:rsidRPr="00C508D4">
              <w:rPr>
                <w:vertAlign w:val="superscript"/>
              </w:rPr>
              <w:t>a</w:t>
            </w:r>
          </w:p>
        </w:tc>
        <w:tc>
          <w:tcPr>
            <w:tcW w:w="1134" w:type="dxa"/>
            <w:shd w:val="clear" w:color="auto" w:fill="auto"/>
            <w:vAlign w:val="center"/>
          </w:tcPr>
          <w:p w:rsidR="00FB61CC" w:rsidRPr="00C508D4" w:rsidRDefault="00FB61CC" w:rsidP="008C5966">
            <w:pPr>
              <w:pStyle w:val="TableText0"/>
              <w:keepLines/>
              <w:spacing w:before="0" w:after="0"/>
              <w:jc w:val="center"/>
            </w:pPr>
            <w:r w:rsidRPr="00C508D4">
              <w:t>NR</w:t>
            </w:r>
            <w:r w:rsidRPr="00C508D4">
              <w:rPr>
                <w:vertAlign w:val="superscript"/>
              </w:rPr>
              <w:t>a</w:t>
            </w:r>
          </w:p>
        </w:tc>
        <w:tc>
          <w:tcPr>
            <w:tcW w:w="1843" w:type="dxa"/>
          </w:tcPr>
          <w:p w:rsidR="00FB61CC" w:rsidRPr="00C508D4" w:rsidRDefault="00FB61CC" w:rsidP="008C5966">
            <w:pPr>
              <w:pStyle w:val="TableText0"/>
              <w:keepLines/>
              <w:spacing w:before="0" w:after="0"/>
              <w:jc w:val="center"/>
            </w:pPr>
            <w:r w:rsidRPr="00C508D4">
              <w:t>-0.715 (-1.279,-0.151)</w:t>
            </w:r>
          </w:p>
        </w:tc>
        <w:tc>
          <w:tcPr>
            <w:tcW w:w="1559" w:type="dxa"/>
            <w:shd w:val="clear" w:color="auto" w:fill="auto"/>
            <w:vAlign w:val="center"/>
          </w:tcPr>
          <w:p w:rsidR="00FB61CC" w:rsidRPr="00C508D4" w:rsidRDefault="00FB61CC" w:rsidP="008C5966">
            <w:pPr>
              <w:pStyle w:val="TableText0"/>
              <w:keepLines/>
              <w:spacing w:before="0" w:after="0"/>
              <w:jc w:val="center"/>
            </w:pPr>
            <w:r w:rsidRPr="00C508D4">
              <w:t>-37.17 p=0.0133</w:t>
            </w:r>
          </w:p>
        </w:tc>
      </w:tr>
      <w:tr w:rsidR="00FB61CC" w:rsidRPr="00C508D4" w:rsidTr="008E4642">
        <w:trPr>
          <w:trHeight w:val="20"/>
        </w:trPr>
        <w:tc>
          <w:tcPr>
            <w:tcW w:w="3106" w:type="dxa"/>
            <w:shd w:val="clear" w:color="auto" w:fill="auto"/>
          </w:tcPr>
          <w:p w:rsidR="00FB61CC" w:rsidRPr="00C508D4" w:rsidRDefault="00FB61CC" w:rsidP="008C5966">
            <w:pPr>
              <w:pStyle w:val="TableText0"/>
              <w:keepLines/>
              <w:spacing w:before="0" w:after="0"/>
            </w:pPr>
            <w:r w:rsidRPr="00C508D4">
              <w:t xml:space="preserve">Cohort 2: Before treatment Type III + IV </w:t>
            </w:r>
          </w:p>
        </w:tc>
        <w:tc>
          <w:tcPr>
            <w:tcW w:w="453" w:type="dxa"/>
            <w:shd w:val="clear" w:color="auto" w:fill="auto"/>
            <w:vAlign w:val="center"/>
          </w:tcPr>
          <w:p w:rsidR="00FB61CC" w:rsidRPr="00C508D4" w:rsidRDefault="00FB61CC" w:rsidP="008C5966">
            <w:pPr>
              <w:pStyle w:val="TableText0"/>
              <w:keepLines/>
              <w:spacing w:before="0" w:after="0"/>
              <w:jc w:val="center"/>
            </w:pPr>
            <w:r w:rsidRPr="00C508D4">
              <w:t>13</w:t>
            </w:r>
          </w:p>
        </w:tc>
        <w:tc>
          <w:tcPr>
            <w:tcW w:w="972" w:type="dxa"/>
            <w:shd w:val="clear" w:color="auto" w:fill="auto"/>
            <w:vAlign w:val="center"/>
          </w:tcPr>
          <w:p w:rsidR="00FB61CC" w:rsidRPr="00C508D4" w:rsidRDefault="00FB61CC" w:rsidP="008C5966">
            <w:pPr>
              <w:pStyle w:val="TableText0"/>
              <w:keepLines/>
              <w:spacing w:before="0" w:after="0"/>
              <w:jc w:val="center"/>
            </w:pPr>
            <w:r w:rsidRPr="00C508D4">
              <w:t>37.6 n=75</w:t>
            </w:r>
          </w:p>
        </w:tc>
        <w:tc>
          <w:tcPr>
            <w:tcW w:w="1134" w:type="dxa"/>
            <w:shd w:val="clear" w:color="auto" w:fill="auto"/>
            <w:vAlign w:val="center"/>
          </w:tcPr>
          <w:p w:rsidR="00FB61CC" w:rsidRPr="00C508D4" w:rsidRDefault="00FB61CC" w:rsidP="008C5966">
            <w:pPr>
              <w:pStyle w:val="TableText0"/>
              <w:keepLines/>
              <w:spacing w:before="0" w:after="0"/>
              <w:jc w:val="center"/>
            </w:pPr>
            <w:r w:rsidRPr="00C508D4">
              <w:t>383.40 n=16</w:t>
            </w:r>
          </w:p>
        </w:tc>
        <w:tc>
          <w:tcPr>
            <w:tcW w:w="1843" w:type="dxa"/>
          </w:tcPr>
          <w:p w:rsidR="00FB61CC" w:rsidRPr="00C508D4" w:rsidRDefault="008E4642" w:rsidP="008C5966">
            <w:pPr>
              <w:pStyle w:val="TableText0"/>
              <w:keepLines/>
              <w:spacing w:before="0" w:after="0"/>
              <w:jc w:val="center"/>
            </w:pPr>
            <w:r w:rsidRPr="00C508D4">
              <w:t>-0.239 (-0.349,-0.130)</w:t>
            </w:r>
          </w:p>
        </w:tc>
        <w:tc>
          <w:tcPr>
            <w:tcW w:w="1559" w:type="dxa"/>
            <w:shd w:val="clear" w:color="auto" w:fill="auto"/>
            <w:vAlign w:val="center"/>
          </w:tcPr>
          <w:p w:rsidR="00FB61CC" w:rsidRPr="00C508D4" w:rsidRDefault="00FB61CC" w:rsidP="008C5966">
            <w:pPr>
              <w:pStyle w:val="TableText0"/>
              <w:keepLines/>
              <w:spacing w:before="0" w:after="0"/>
              <w:jc w:val="center"/>
            </w:pPr>
            <w:r w:rsidRPr="00C508D4">
              <w:t>-12.44 p&lt;0.0001</w:t>
            </w:r>
          </w:p>
        </w:tc>
      </w:tr>
    </w:tbl>
    <w:p w:rsidR="00C66BE6" w:rsidRPr="001A05F4" w:rsidRDefault="00C66BE6" w:rsidP="008C5966">
      <w:pPr>
        <w:pStyle w:val="TableFooter"/>
        <w:keepNext/>
        <w:keepLines/>
        <w:jc w:val="left"/>
      </w:pPr>
      <w:r w:rsidRPr="00C508D4">
        <w:t>Note: The total cohort 1 compromises of 252 patients:</w:t>
      </w:r>
    </w:p>
    <w:p w:rsidR="00C66BE6" w:rsidRPr="001A05F4" w:rsidRDefault="00C66BE6" w:rsidP="008C5966">
      <w:pPr>
        <w:pStyle w:val="TableFooter"/>
        <w:keepNext/>
        <w:keepLines/>
        <w:jc w:val="left"/>
      </w:pPr>
      <w:r w:rsidRPr="001A05F4">
        <w:t>• Treated cohort 1: n=235 – SMA Type III: n=228 (97.02%) and SMA Type IV: n=7 (2.98%)</w:t>
      </w:r>
    </w:p>
    <w:p w:rsidR="00C66BE6" w:rsidRPr="001A05F4" w:rsidRDefault="00C66BE6" w:rsidP="008C5966">
      <w:pPr>
        <w:pStyle w:val="TableFooter"/>
        <w:keepNext/>
        <w:keepLines/>
        <w:jc w:val="left"/>
      </w:pPr>
      <w:r w:rsidRPr="001A05F4">
        <w:t>• Untreated cohort 1: n=17 – SMA Type III: n=14 (82.35%) and SMA Type IV: n=3 (17.65%).</w:t>
      </w:r>
    </w:p>
    <w:p w:rsidR="00C66BE6" w:rsidRPr="001A05F4" w:rsidRDefault="00C66BE6" w:rsidP="008C5966">
      <w:pPr>
        <w:pStyle w:val="TableFooter"/>
        <w:keepNext/>
        <w:keepLines/>
        <w:jc w:val="left"/>
      </w:pPr>
      <w:r w:rsidRPr="001A05F4">
        <w:t xml:space="preserve">The total cohort 2 compromises of 75 patients: </w:t>
      </w:r>
      <w:r w:rsidRPr="001A05F4">
        <w:rPr>
          <w:rFonts w:cstheme="minorHAnsi"/>
        </w:rPr>
        <w:t xml:space="preserve">All patients are </w:t>
      </w:r>
      <w:r w:rsidRPr="001A05F4">
        <w:t>SMA Type III (n=74, 98.7%) and IV (n=1, 1.3%).</w:t>
      </w:r>
    </w:p>
    <w:p w:rsidR="00C66BE6" w:rsidRPr="001A05F4" w:rsidRDefault="00C66BE6" w:rsidP="008C5966">
      <w:pPr>
        <w:pStyle w:val="TableFooter"/>
        <w:keepNext/>
        <w:keepLines/>
        <w:jc w:val="left"/>
      </w:pPr>
      <w:r w:rsidRPr="001A05F4">
        <w:rPr>
          <w:vertAlign w:val="superscript"/>
        </w:rPr>
        <w:t>a</w:t>
      </w:r>
      <w:r w:rsidRPr="001A05F4">
        <w:t xml:space="preserve">Age and 6MWT score at baseline is not available for adults only for cohort 1 table. </w:t>
      </w:r>
    </w:p>
    <w:p w:rsidR="008E4642" w:rsidRPr="001A05F4" w:rsidRDefault="008E4642" w:rsidP="008C5966">
      <w:pPr>
        <w:pStyle w:val="TableFooter"/>
        <w:keepNext/>
        <w:keepLines/>
        <w:jc w:val="left"/>
      </w:pPr>
      <w:r w:rsidRPr="001A05F4">
        <w:rPr>
          <w:vertAlign w:val="superscript"/>
        </w:rPr>
        <w:t>b</w:t>
      </w:r>
      <w:r w:rsidRPr="001A05F4">
        <w:t>Annualised change from baseline was estimated multiplying the weekly rate of change by 52 to give an approximate change per year.</w:t>
      </w:r>
    </w:p>
    <w:p w:rsidR="00C66BE6" w:rsidRPr="001A05F4" w:rsidRDefault="00C66BE6" w:rsidP="008C5966">
      <w:pPr>
        <w:pStyle w:val="TableFooter"/>
        <w:keepNext/>
        <w:keepLines/>
        <w:jc w:val="left"/>
      </w:pPr>
      <w:r w:rsidRPr="001A05F4">
        <w:t>6MWT=Six minute walk test; NR=not reported; SMA=spinal muscular atrophy</w:t>
      </w:r>
      <w:r w:rsidRPr="001A05F4">
        <w:br/>
        <w:t xml:space="preserve">Source: </w:t>
      </w:r>
      <w:r w:rsidR="008E4642" w:rsidRPr="001A05F4">
        <w:t xml:space="preserve">Table 2.85, p264 of resubmission and Tables 3.1.2.4 and 3.2.2.3, </w:t>
      </w:r>
      <w:r w:rsidRPr="001A05F4">
        <w:t>SMA Registr</w:t>
      </w:r>
      <w:r w:rsidR="006E2AE4" w:rsidRPr="001A05F4">
        <w:t>y</w:t>
      </w:r>
      <w:r w:rsidRPr="001A05F4">
        <w:t xml:space="preserve"> 2020 Analyses Report</w:t>
      </w:r>
      <w:r w:rsidR="008E4642" w:rsidRPr="001A05F4">
        <w:t xml:space="preserve"> </w:t>
      </w:r>
    </w:p>
    <w:p w:rsidR="00C66BE6" w:rsidRPr="001A05F4" w:rsidRDefault="00C66BE6" w:rsidP="00C66BE6">
      <w:pPr>
        <w:rPr>
          <w:lang w:eastAsia="en-AU"/>
        </w:rPr>
      </w:pPr>
    </w:p>
    <w:p w:rsidR="001B7DBC" w:rsidRPr="001A05F4" w:rsidRDefault="001B7DBC" w:rsidP="00F9436F">
      <w:pPr>
        <w:pStyle w:val="3-BodyText"/>
        <w:numPr>
          <w:ilvl w:val="1"/>
          <w:numId w:val="2"/>
        </w:numPr>
        <w:spacing w:after="160"/>
        <w:rPr>
          <w:iCs/>
        </w:rPr>
      </w:pPr>
      <w:r w:rsidRPr="001A05F4">
        <w:rPr>
          <w:iCs/>
        </w:rPr>
        <w:t xml:space="preserve">In Cohort 1 of the SMA </w:t>
      </w:r>
      <w:r w:rsidR="00BD23D0" w:rsidRPr="001A05F4">
        <w:rPr>
          <w:iCs/>
        </w:rPr>
        <w:t>Registry</w:t>
      </w:r>
      <w:r w:rsidRPr="001A05F4">
        <w:rPr>
          <w:iCs/>
        </w:rPr>
        <w:t xml:space="preserve">, nusinersen-treated patients showed an increase in distance of +13.69 m annually, while the untreated patients decreased by 37.17 m. The results for cohort 2 showed that both patients before treatment and when treated with nusinersen experienced a decrease in 6MWT scores but the decline in 6MWT was smaller for patients </w:t>
      </w:r>
      <w:r w:rsidR="005729A3" w:rsidRPr="001A05F4">
        <w:rPr>
          <w:iCs/>
        </w:rPr>
        <w:t xml:space="preserve">treated with </w:t>
      </w:r>
      <w:r w:rsidRPr="001A05F4">
        <w:rPr>
          <w:iCs/>
        </w:rPr>
        <w:t>nusinersen. It should be noted that only 13 patients reported results for the 6MWT in Cohort 2. The incremental difference in the annualised rate of change in the 6MWT before and after nusinersen treatment in Cohort 2 was +10.66 m, though this should be expressed as a smaller decrease rather than an increase.</w:t>
      </w:r>
    </w:p>
    <w:p w:rsidR="00C66BE6" w:rsidRPr="001A05F4" w:rsidRDefault="00C66BE6" w:rsidP="00F9436F">
      <w:pPr>
        <w:pStyle w:val="3-BodyText"/>
        <w:numPr>
          <w:ilvl w:val="1"/>
          <w:numId w:val="2"/>
        </w:numPr>
        <w:spacing w:after="0"/>
      </w:pPr>
      <w:r w:rsidRPr="001A05F4">
        <w:t>In November 2020 the PBAC considered that:</w:t>
      </w:r>
    </w:p>
    <w:p w:rsidR="00C66BE6" w:rsidRPr="001A05F4" w:rsidRDefault="00C66BE6" w:rsidP="00F9436F">
      <w:pPr>
        <w:pStyle w:val="ListParagraph"/>
        <w:numPr>
          <w:ilvl w:val="0"/>
          <w:numId w:val="8"/>
        </w:numPr>
        <w:spacing w:after="0"/>
        <w:ind w:left="993" w:hanging="142"/>
        <w:rPr>
          <w:iCs/>
        </w:rPr>
      </w:pPr>
      <w:r w:rsidRPr="001A05F4">
        <w:rPr>
          <w:iCs/>
        </w:rPr>
        <w:t>‘…the incremental benefit of nusinersen in the requested population was unclear due to the lack of randomised comparative data and lack of statistical analyses for the indirect naïve comparisons presented; lack of transitivity between studies, particularly for the studies used to support the outcome of HFMSE noting the unknown impact of variables such as ambulant / non ambulant status, age of patient and rate of decline across types of SMA; the potential for a placebo effect; and the inappropriate exclusion of studies.’ (paragraph 7.7, p.33 nusinersen PSD, November 2020); and</w:t>
      </w:r>
    </w:p>
    <w:p w:rsidR="00C66BE6" w:rsidRPr="001A05F4" w:rsidRDefault="00C66BE6" w:rsidP="00F9436F">
      <w:pPr>
        <w:pStyle w:val="ListParagraph"/>
        <w:numPr>
          <w:ilvl w:val="0"/>
          <w:numId w:val="8"/>
        </w:numPr>
        <w:spacing w:after="0"/>
        <w:ind w:left="993" w:hanging="142"/>
        <w:rPr>
          <w:iCs/>
        </w:rPr>
      </w:pPr>
      <w:r w:rsidRPr="001A05F4">
        <w:rPr>
          <w:iCs/>
        </w:rPr>
        <w:t xml:space="preserve">‘…while the claim of superior comparative effectiveness compared to standard of care was reasonable, the magnitude and durability of benefit was not able to be quantified based on the data presented’ (paragraph 7.10, p.34 nusinersen PSD November 2020). </w:t>
      </w:r>
    </w:p>
    <w:p w:rsidR="00C66BE6" w:rsidRPr="001A05F4" w:rsidRDefault="00C66BE6" w:rsidP="00C66BE6">
      <w:pPr>
        <w:spacing w:after="120"/>
        <w:ind w:left="709"/>
        <w:rPr>
          <w:iCs/>
        </w:rPr>
      </w:pPr>
      <w:r w:rsidRPr="001A05F4">
        <w:rPr>
          <w:iCs/>
        </w:rPr>
        <w:t xml:space="preserve">No additional randomised comparative data or longer term clinical data that would allow these issues to be addressed was provided in this resubmission. The clinical results provided appear consistent in direction with data previously presented to the PBAC but still did not allow for a reliable quantification of the incremental benefit of nusinersen treatment in adults with SMA. Given the numerous inconsistencies in the data and the lack of comparative data, it </w:t>
      </w:r>
      <w:r w:rsidR="001B7DBC" w:rsidRPr="001A05F4">
        <w:rPr>
          <w:iCs/>
        </w:rPr>
        <w:t>wa</w:t>
      </w:r>
      <w:r w:rsidRPr="001A05F4">
        <w:rPr>
          <w:iCs/>
        </w:rPr>
        <w:t xml:space="preserve">s difficult to make specific conclusions about the efficacy of nusinersen for the treatment of SMA in adults, particularly using the endpoints RULM </w:t>
      </w:r>
      <w:r w:rsidR="005E52D2" w:rsidRPr="001A05F4">
        <w:rPr>
          <w:iCs/>
        </w:rPr>
        <w:t>(due to the ceiling effect observed</w:t>
      </w:r>
      <w:r w:rsidR="00E96895" w:rsidRPr="001A05F4">
        <w:rPr>
          <w:iCs/>
        </w:rPr>
        <w:t xml:space="preserve"> and the resulting insensitivity of this measure</w:t>
      </w:r>
      <w:r w:rsidR="005E52D2" w:rsidRPr="001A05F4">
        <w:rPr>
          <w:iCs/>
        </w:rPr>
        <w:t xml:space="preserve">) </w:t>
      </w:r>
      <w:r w:rsidRPr="001A05F4">
        <w:rPr>
          <w:iCs/>
        </w:rPr>
        <w:t>and 6MWT</w:t>
      </w:r>
      <w:r w:rsidR="005E52D2" w:rsidRPr="001A05F4">
        <w:rPr>
          <w:iCs/>
        </w:rPr>
        <w:t xml:space="preserve"> (due to </w:t>
      </w:r>
      <w:r w:rsidR="00E96895" w:rsidRPr="001A05F4">
        <w:rPr>
          <w:iCs/>
        </w:rPr>
        <w:t>the highly variable nature of the results reported between studies)</w:t>
      </w:r>
      <w:r w:rsidRPr="001A05F4">
        <w:rPr>
          <w:iCs/>
        </w:rPr>
        <w:t>. It should also be noted that not all patients improve or remain stable with nusinersen, which can be observed in the reported ranges of differences from baseline for each outcome. Similarly, some patients who were untreated reported improvements in scores.</w:t>
      </w:r>
    </w:p>
    <w:p w:rsidR="00C66BE6" w:rsidRPr="001A05F4" w:rsidRDefault="00C66BE6" w:rsidP="00F9436F">
      <w:pPr>
        <w:pStyle w:val="3-BodyText"/>
        <w:numPr>
          <w:ilvl w:val="1"/>
          <w:numId w:val="2"/>
        </w:numPr>
      </w:pPr>
      <w:r w:rsidRPr="001A05F4">
        <w:t xml:space="preserve">Responder analysis from Maggi 2020 is presented in </w:t>
      </w:r>
      <w:r w:rsidR="00BC2D8D" w:rsidRPr="001A05F4">
        <w:t>Table 12</w:t>
      </w:r>
      <w:r w:rsidRPr="001A05F4">
        <w:t xml:space="preserve">. Responders were defined as a patient who experienced at least one of: ≥3-point HFMSE score change, ≥2-point RULM score change or a ≥30 m distance change in the 6MWT from baseline. The responders for each of these endpoints was assessed individually, then patients who were a responder in at least one of these three outcomes was defined as an ‘overall responder’. </w:t>
      </w:r>
    </w:p>
    <w:p w:rsidR="00C66BE6" w:rsidRPr="001A05F4" w:rsidRDefault="001B7DBC" w:rsidP="001B7DBC">
      <w:pPr>
        <w:pStyle w:val="TableFigureHeading"/>
        <w:keepLines/>
      </w:pPr>
      <w:bookmarkStart w:id="27" w:name="_Ref71585952"/>
      <w:r w:rsidRPr="001A05F4">
        <w:t xml:space="preserve">Table </w:t>
      </w:r>
      <w:r w:rsidR="00BC2D8D" w:rsidRPr="001A05F4">
        <w:t>12</w:t>
      </w:r>
      <w:bookmarkEnd w:id="27"/>
      <w:r w:rsidRPr="001A05F4">
        <w:t>: Proportion of responder for HFMSE, RULM and 6MWT in Maggi 2020</w:t>
      </w:r>
      <w:r w:rsidR="00C66BE6" w:rsidRPr="001A05F4">
        <w:t>.</w:t>
      </w:r>
    </w:p>
    <w:p w:rsidR="00C66BE6" w:rsidRPr="001A05F4" w:rsidRDefault="00C66BE6" w:rsidP="00C66BE6">
      <w:pPr>
        <w:keepNext/>
        <w:keepLines/>
      </w:pPr>
      <w:r w:rsidRPr="001A05F4">
        <w:rPr>
          <w:noProof/>
          <w:lang w:eastAsia="en-AU"/>
        </w:rPr>
        <w:drawing>
          <wp:inline distT="0" distB="0" distL="0" distR="0" wp14:anchorId="6306F0CD" wp14:editId="1C50D56C">
            <wp:extent cx="5868670" cy="2091690"/>
            <wp:effectExtent l="0" t="0" r="0" b="3810"/>
            <wp:docPr id="25" name="Picture 25" title="Table 12: Proportion of responder for HFMSE, RULM and 6MWT in Maggi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pic:nvPicPr>
                  <pic:blipFill>
                    <a:blip r:embed="rId8">
                      <a:extLst>
                        <a:ext uri="{28A0092B-C50C-407E-A947-70E740481C1C}">
                          <a14:useLocalDpi xmlns:a14="http://schemas.microsoft.com/office/drawing/2010/main" val="0"/>
                        </a:ext>
                      </a:extLst>
                    </a:blip>
                    <a:stretch>
                      <a:fillRect/>
                    </a:stretch>
                  </pic:blipFill>
                  <pic:spPr>
                    <a:xfrm>
                      <a:off x="0" y="0"/>
                      <a:ext cx="5868670" cy="2091690"/>
                    </a:xfrm>
                    <a:prstGeom prst="rect">
                      <a:avLst/>
                    </a:prstGeom>
                  </pic:spPr>
                </pic:pic>
              </a:graphicData>
            </a:graphic>
          </wp:inline>
        </w:drawing>
      </w:r>
    </w:p>
    <w:p w:rsidR="00C66BE6" w:rsidRPr="001A05F4" w:rsidRDefault="00C66BE6" w:rsidP="00C66BE6">
      <w:pPr>
        <w:pStyle w:val="TableFooter"/>
        <w:keepNext/>
        <w:keepLines/>
      </w:pPr>
      <w:r w:rsidRPr="001A05F4">
        <w:t xml:space="preserve">Red colour code corresponds to population size at given time points </w:t>
      </w:r>
      <w:r w:rsidR="005729A3" w:rsidRPr="001A05F4">
        <w:t xml:space="preserve">(months from the beginning of treatment) </w:t>
      </w:r>
      <w:r w:rsidRPr="001A05F4">
        <w:t xml:space="preserve">for different subgroups (SMA Type II, SMA Type III sitters and walkers), with intense red corresponding to relatively large populations. Green colour code corresponds to % of responders (ie, patients considered by Maggi 2020 to have a clinically meaningful improvement) at a given time point, with intense green corresponding to high responder rates. </w:t>
      </w:r>
    </w:p>
    <w:p w:rsidR="00C66BE6" w:rsidRPr="001A05F4" w:rsidRDefault="00C66BE6" w:rsidP="00C66BE6">
      <w:pPr>
        <w:pStyle w:val="TableFooter"/>
        <w:keepNext/>
        <w:keepLines/>
      </w:pPr>
      <w:r w:rsidRPr="001A05F4">
        <w:t>HFMSE=Hammersmith Functional Motor Scale– Expanded; 6MWT=6 min walking test; RULM=Revised Upper Limb Module; SMA=spinal muscular atrophy</w:t>
      </w:r>
      <w:r w:rsidR="005729A3" w:rsidRPr="001A05F4">
        <w:t>; T6=6 months from the beginning of treatment; T10=10 months from the beginning of treatment; T14=14 months from the beginning of treatment</w:t>
      </w:r>
      <w:r w:rsidRPr="001A05F4">
        <w:t>.</w:t>
      </w:r>
    </w:p>
    <w:p w:rsidR="00C66BE6" w:rsidRPr="001A05F4" w:rsidRDefault="00C66BE6" w:rsidP="00C66BE6">
      <w:pPr>
        <w:pStyle w:val="TableFooter"/>
        <w:keepNext/>
        <w:keepLines/>
      </w:pPr>
      <w:r w:rsidRPr="001A05F4">
        <w:t>Source: Figure 2.15, p178 of the resubmission</w:t>
      </w:r>
    </w:p>
    <w:p w:rsidR="00C66BE6" w:rsidRPr="001A05F4" w:rsidRDefault="00C66BE6" w:rsidP="00C66BE6">
      <w:pPr>
        <w:pStyle w:val="TableFooter"/>
      </w:pPr>
    </w:p>
    <w:p w:rsidR="00C66BE6" w:rsidRPr="001A05F4" w:rsidRDefault="00141E75" w:rsidP="00F9436F">
      <w:pPr>
        <w:pStyle w:val="3-BodyText"/>
        <w:numPr>
          <w:ilvl w:val="1"/>
          <w:numId w:val="2"/>
        </w:numPr>
      </w:pPr>
      <w:bookmarkStart w:id="28" w:name="_Ref71590759"/>
      <w:r w:rsidRPr="001A05F4">
        <w:rPr>
          <w:iCs/>
        </w:rPr>
        <w:t xml:space="preserve">While Maggi 2020 reported that the proportion of </w:t>
      </w:r>
      <w:r w:rsidR="00C66BE6" w:rsidRPr="001A05F4">
        <w:rPr>
          <w:iCs/>
        </w:rPr>
        <w:t>responders increase</w:t>
      </w:r>
      <w:r w:rsidRPr="001A05F4">
        <w:rPr>
          <w:iCs/>
        </w:rPr>
        <w:t>d</w:t>
      </w:r>
      <w:r w:rsidR="00C66BE6" w:rsidRPr="001A05F4">
        <w:rPr>
          <w:iCs/>
        </w:rPr>
        <w:t xml:space="preserve"> over time</w:t>
      </w:r>
      <w:r w:rsidRPr="001A05F4">
        <w:rPr>
          <w:iCs/>
        </w:rPr>
        <w:t>, t</w:t>
      </w:r>
      <w:r w:rsidR="00C66BE6" w:rsidRPr="001A05F4">
        <w:rPr>
          <w:iCs/>
        </w:rPr>
        <w:t xml:space="preserve">his was misleading because the total number of patients evaluated at each time point progressively decreased, </w:t>
      </w:r>
      <w:r w:rsidRPr="001A05F4">
        <w:rPr>
          <w:iCs/>
        </w:rPr>
        <w:t xml:space="preserve">likely because </w:t>
      </w:r>
      <w:r w:rsidR="00C66BE6" w:rsidRPr="001A05F4">
        <w:rPr>
          <w:iCs/>
        </w:rPr>
        <w:t xml:space="preserve">patients who were non-responders disproportionately </w:t>
      </w:r>
      <w:r w:rsidRPr="001A05F4">
        <w:rPr>
          <w:iCs/>
        </w:rPr>
        <w:t xml:space="preserve">were </w:t>
      </w:r>
      <w:r w:rsidR="00C66BE6" w:rsidRPr="001A05F4">
        <w:rPr>
          <w:iCs/>
        </w:rPr>
        <w:t xml:space="preserve">more likely to stop treatment. For each patient subpopulation, the actual number of responders </w:t>
      </w:r>
      <w:r w:rsidR="00195F3A" w:rsidRPr="001A05F4">
        <w:rPr>
          <w:iCs/>
        </w:rPr>
        <w:t xml:space="preserve">generally </w:t>
      </w:r>
      <w:r w:rsidR="00C66BE6" w:rsidRPr="001A05F4">
        <w:rPr>
          <w:iCs/>
        </w:rPr>
        <w:t>decreased over time. For example, for HFMSE responders for all SMA patients there are 33 responders at 6 months, 32 responders at 10 months and 25 responders at 14 months, but this rate of decline was lower than the decrease in total evaluable patients. Therefore, the increase in the percentage of responders over time was likely driven by the decreasing number of patients who have elected to continue to receive nusinersen</w:t>
      </w:r>
      <w:r w:rsidRPr="001A05F4">
        <w:rPr>
          <w:iCs/>
        </w:rPr>
        <w:t xml:space="preserve"> rather than an actual increase in response over time</w:t>
      </w:r>
      <w:r w:rsidR="00C66BE6" w:rsidRPr="001A05F4">
        <w:rPr>
          <w:iCs/>
        </w:rPr>
        <w:t xml:space="preserve">. A more reasonable approach </w:t>
      </w:r>
      <w:r w:rsidR="0096269D" w:rsidRPr="001A05F4">
        <w:rPr>
          <w:iCs/>
        </w:rPr>
        <w:t xml:space="preserve">would be </w:t>
      </w:r>
      <w:r w:rsidR="00C66BE6" w:rsidRPr="001A05F4">
        <w:rPr>
          <w:iCs/>
        </w:rPr>
        <w:t xml:space="preserve">to use the same number of evaluable patients for all time points </w:t>
      </w:r>
      <w:r w:rsidRPr="001A05F4">
        <w:rPr>
          <w:iCs/>
        </w:rPr>
        <w:t xml:space="preserve">based on the number of patients enrolled </w:t>
      </w:r>
      <w:r w:rsidR="00C66BE6" w:rsidRPr="001A05F4">
        <w:rPr>
          <w:iCs/>
        </w:rPr>
        <w:t xml:space="preserve">(i.e. an </w:t>
      </w:r>
      <w:r w:rsidRPr="001A05F4">
        <w:rPr>
          <w:iCs/>
        </w:rPr>
        <w:t xml:space="preserve">intention to treat </w:t>
      </w:r>
      <w:r w:rsidR="00C66BE6" w:rsidRPr="001A05F4">
        <w:rPr>
          <w:iCs/>
        </w:rPr>
        <w:t>approach). Also importantly,</w:t>
      </w:r>
      <w:r w:rsidR="0096269D" w:rsidRPr="001A05F4">
        <w:rPr>
          <w:iCs/>
        </w:rPr>
        <w:t xml:space="preserve"> as</w:t>
      </w:r>
      <w:r w:rsidR="00C66BE6" w:rsidRPr="001A05F4">
        <w:rPr>
          <w:iCs/>
        </w:rPr>
        <w:t xml:space="preserve"> no adjustment for multiple testing was considered</w:t>
      </w:r>
      <w:r w:rsidR="0096269D" w:rsidRPr="001A05F4">
        <w:rPr>
          <w:iCs/>
        </w:rPr>
        <w:t xml:space="preserve">, </w:t>
      </w:r>
      <w:r w:rsidR="00C66BE6" w:rsidRPr="001A05F4">
        <w:rPr>
          <w:iCs/>
        </w:rPr>
        <w:t>the significance of each of the response rates at each time point was uncertain.</w:t>
      </w:r>
      <w:bookmarkEnd w:id="28"/>
      <w:r w:rsidR="00C66BE6" w:rsidRPr="001A05F4">
        <w:rPr>
          <w:iCs/>
        </w:rPr>
        <w:t xml:space="preserve"> </w:t>
      </w:r>
    </w:p>
    <w:p w:rsidR="00141E75" w:rsidRPr="001A05F4" w:rsidRDefault="00141E75" w:rsidP="00F9436F">
      <w:pPr>
        <w:pStyle w:val="3-BodyText"/>
        <w:numPr>
          <w:ilvl w:val="1"/>
          <w:numId w:val="2"/>
        </w:numPr>
      </w:pPr>
      <w:r w:rsidRPr="001A05F4">
        <w:rPr>
          <w:iCs/>
        </w:rPr>
        <w:t xml:space="preserve">Responder rates for all outcomes in Hagenacker 2020 (presented in the previous resubmission) were reasonably consistent with Maggi 2020. Both Maggi 2020 and Hagenacker 2020 reported that patients with less advanced disease and better motor function at baseline showed greater improvement. The responder rate from Maggi 2020 was the only clinical evidence which was used in the economic evaluation, and was used to inform the proposed utility benefits of treatment with nusinersen. </w:t>
      </w:r>
    </w:p>
    <w:p w:rsidR="00141E75" w:rsidRPr="001A05F4" w:rsidRDefault="00141E75" w:rsidP="00F9436F">
      <w:pPr>
        <w:pStyle w:val="3-BodyText"/>
        <w:numPr>
          <w:ilvl w:val="1"/>
          <w:numId w:val="2"/>
        </w:numPr>
      </w:pPr>
      <w:r w:rsidRPr="001A05F4">
        <w:t xml:space="preserve">Respiratory outcomes were reported in several nusinersen studies (Maggi 2020, Duong 2021, Walter 2019, De Wel 2020 and Jochmann 2020). </w:t>
      </w:r>
      <w:r w:rsidRPr="001A05F4">
        <w:rPr>
          <w:iCs/>
        </w:rPr>
        <w:t>No naïve comparison with natural history was presented by the resubmission. Overall, there was limited evidence to suggest that respiratory function changed from baseline after initiation of nusinersen treatment in the included studies.</w:t>
      </w:r>
    </w:p>
    <w:p w:rsidR="00E146EE" w:rsidRPr="001A05F4" w:rsidRDefault="00F03050" w:rsidP="00F9436F">
      <w:pPr>
        <w:pStyle w:val="3-BodyText"/>
        <w:numPr>
          <w:ilvl w:val="1"/>
          <w:numId w:val="2"/>
        </w:numPr>
      </w:pPr>
      <w:bookmarkStart w:id="29" w:name="_Ref74644718"/>
      <w:r w:rsidRPr="001A05F4">
        <w:t xml:space="preserve">The ESC noted that </w:t>
      </w:r>
      <w:r w:rsidR="009416A0" w:rsidRPr="001A05F4">
        <w:t xml:space="preserve">additional </w:t>
      </w:r>
      <w:r w:rsidRPr="001A05F4">
        <w:t>recent publication</w:t>
      </w:r>
      <w:r w:rsidR="0030285F" w:rsidRPr="001A05F4">
        <w:t xml:space="preserve">s </w:t>
      </w:r>
      <w:r w:rsidR="00E146EE" w:rsidRPr="001A05F4">
        <w:t xml:space="preserve">of nusinersen </w:t>
      </w:r>
      <w:r w:rsidR="009416A0" w:rsidRPr="001A05F4">
        <w:t xml:space="preserve">were available, </w:t>
      </w:r>
      <w:r w:rsidR="00E146EE" w:rsidRPr="001A05F4">
        <w:t xml:space="preserve">and along with those identified in the submission, these publications focussed on more sensitive measures of </w:t>
      </w:r>
      <w:r w:rsidR="00FF3FB2" w:rsidRPr="001A05F4">
        <w:t>benefit</w:t>
      </w:r>
      <w:r w:rsidR="00E146EE" w:rsidRPr="001A05F4">
        <w:t xml:space="preserve"> for adult patients with SMA. These studies suggest that commonly used SMA outcomes such as the HFMSA and RULM are not </w:t>
      </w:r>
      <w:r w:rsidR="00EE32AB" w:rsidRPr="001A05F4">
        <w:t>meaningful</w:t>
      </w:r>
      <w:r w:rsidR="00E146EE" w:rsidRPr="001A05F4">
        <w:t xml:space="preserve"> for more severely affected individuals</w:t>
      </w:r>
      <w:r w:rsidR="00B53A2E" w:rsidRPr="001A05F4">
        <w:t>. For example</w:t>
      </w:r>
      <w:r w:rsidR="00E146EE" w:rsidRPr="001A05F4">
        <w:t>:</w:t>
      </w:r>
      <w:bookmarkEnd w:id="29"/>
      <w:r w:rsidR="00E146EE" w:rsidRPr="001A05F4">
        <w:t xml:space="preserve"> </w:t>
      </w:r>
      <w:r w:rsidR="00607B79" w:rsidRPr="001A05F4">
        <w:t xml:space="preserve">  </w:t>
      </w:r>
    </w:p>
    <w:p w:rsidR="00E146EE" w:rsidRPr="001A05F4" w:rsidRDefault="0030285F" w:rsidP="00F9436F">
      <w:pPr>
        <w:pStyle w:val="3-BodyText"/>
        <w:numPr>
          <w:ilvl w:val="2"/>
          <w:numId w:val="2"/>
        </w:numPr>
        <w:ind w:left="993" w:hanging="284"/>
      </w:pPr>
      <w:r w:rsidRPr="001A05F4">
        <w:t>De Wel (2021)</w:t>
      </w:r>
      <w:r w:rsidR="00F03050" w:rsidRPr="001A05F4">
        <w:rPr>
          <w:rStyle w:val="FootnoteReference"/>
        </w:rPr>
        <w:footnoteReference w:id="1"/>
      </w:r>
      <w:r w:rsidR="00F03050" w:rsidRPr="001A05F4">
        <w:t xml:space="preserve"> reported nusinersen treatment outcomes in terms of changes in hand grip strength and hand motor function scores in adult patients with SMA, which may have greater relevance to patient independence</w:t>
      </w:r>
      <w:r w:rsidR="00913280" w:rsidRPr="001A05F4">
        <w:t xml:space="preserve"> and therefore quality of life</w:t>
      </w:r>
      <w:r w:rsidR="00F03050" w:rsidRPr="001A05F4">
        <w:t xml:space="preserve">. </w:t>
      </w:r>
    </w:p>
    <w:p w:rsidR="00E146EE" w:rsidRPr="001A05F4" w:rsidRDefault="009416A0" w:rsidP="00F9436F">
      <w:pPr>
        <w:pStyle w:val="3-BodyText"/>
        <w:numPr>
          <w:ilvl w:val="2"/>
          <w:numId w:val="2"/>
        </w:numPr>
        <w:ind w:left="993" w:hanging="284"/>
      </w:pPr>
      <w:r w:rsidRPr="001A05F4">
        <w:t xml:space="preserve">In </w:t>
      </w:r>
      <w:r w:rsidR="0030285F" w:rsidRPr="001A05F4">
        <w:t>Veerapandiyan (2020)</w:t>
      </w:r>
      <w:r w:rsidR="00AD0B5A" w:rsidRPr="001A05F4">
        <w:rPr>
          <w:rStyle w:val="FootnoteReference"/>
        </w:rPr>
        <w:footnoteReference w:id="2"/>
      </w:r>
      <w:r w:rsidRPr="001A05F4">
        <w:t xml:space="preserve"> 12 patients aged 12-52 years were treated with nusinersen, with subjective improvements in endurance, hand strength and bulbar functioning critical for activities in daily living reported in 8/12 patients after 17.4 months mean follow up.</w:t>
      </w:r>
    </w:p>
    <w:p w:rsidR="00F03050" w:rsidRPr="001A05F4" w:rsidRDefault="00E146EE" w:rsidP="00F9436F">
      <w:pPr>
        <w:pStyle w:val="3-BodyText"/>
        <w:numPr>
          <w:ilvl w:val="2"/>
          <w:numId w:val="2"/>
        </w:numPr>
        <w:ind w:left="993" w:hanging="284"/>
      </w:pPr>
      <w:r w:rsidRPr="001A05F4">
        <w:t>In Eisheikh (2021)</w:t>
      </w:r>
      <w:r w:rsidR="00AD0B5A" w:rsidRPr="001A05F4">
        <w:rPr>
          <w:rStyle w:val="FootnoteReference"/>
        </w:rPr>
        <w:footnoteReference w:id="3"/>
      </w:r>
      <w:r w:rsidRPr="001A05F4">
        <w:t xml:space="preserve"> 19 severely affect</w:t>
      </w:r>
      <w:r w:rsidR="00AD0B5A" w:rsidRPr="001A05F4">
        <w:t>ed</w:t>
      </w:r>
      <w:r w:rsidRPr="001A05F4">
        <w:t xml:space="preserve">, non-ambulatory adults with SMA </w:t>
      </w:r>
      <w:r w:rsidR="00AD0B5A" w:rsidRPr="001A05F4">
        <w:t xml:space="preserve">were treated with nusinersen, with stability of outcome measures of ventilator muscle function, muscle strength and function reported (although the primary outcome forced vital capacity did not demonstrate improvement the authors </w:t>
      </w:r>
      <w:r w:rsidR="00FF3FB2" w:rsidRPr="001A05F4">
        <w:t>noted the lack of decline may su</w:t>
      </w:r>
      <w:r w:rsidR="00AD0B5A" w:rsidRPr="001A05F4">
        <w:t>ggest a mil</w:t>
      </w:r>
      <w:r w:rsidR="00B53A2E" w:rsidRPr="001A05F4">
        <w:t>d</w:t>
      </w:r>
      <w:r w:rsidR="00AD0B5A" w:rsidRPr="001A05F4">
        <w:t xml:space="preserve"> positive effect). HFMSE and RULM were not feasible in the majority of patients.</w:t>
      </w:r>
    </w:p>
    <w:p w:rsidR="00B70735" w:rsidRPr="001A05F4" w:rsidRDefault="004D618A" w:rsidP="00F9436F">
      <w:pPr>
        <w:pStyle w:val="3-BodyText"/>
        <w:numPr>
          <w:ilvl w:val="1"/>
          <w:numId w:val="2"/>
        </w:numPr>
        <w:rPr>
          <w:iCs/>
        </w:rPr>
      </w:pPr>
      <w:r w:rsidRPr="001A05F4">
        <w:rPr>
          <w:iCs/>
        </w:rPr>
        <w:t>The ESC also noted that natural history of lung function in SMA as reported in Wijngaarde (2020b)</w:t>
      </w:r>
      <w:r w:rsidRPr="001A05F4">
        <w:rPr>
          <w:rStyle w:val="FootnoteReference"/>
          <w:iCs/>
        </w:rPr>
        <w:footnoteReference w:id="4"/>
      </w:r>
      <w:r w:rsidRPr="001A05F4">
        <w:rPr>
          <w:iCs/>
        </w:rPr>
        <w:t xml:space="preserve"> indicated that </w:t>
      </w:r>
      <w:r w:rsidR="00F30379" w:rsidRPr="001A05F4">
        <w:rPr>
          <w:iCs/>
        </w:rPr>
        <w:t>i</w:t>
      </w:r>
      <w:r w:rsidRPr="001A05F4">
        <w:rPr>
          <w:iCs/>
        </w:rPr>
        <w:t>n early-onset SMA types (1c-3a), there was progressive decline of lung function at younger ages with relative</w:t>
      </w:r>
      <w:r w:rsidR="00F30379" w:rsidRPr="001A05F4">
        <w:rPr>
          <w:iCs/>
        </w:rPr>
        <w:t xml:space="preserve"> stabilisation during adulthood whereas normal values </w:t>
      </w:r>
      <w:r w:rsidR="003D7D56" w:rsidRPr="001A05F4">
        <w:rPr>
          <w:iCs/>
        </w:rPr>
        <w:t>were maintained</w:t>
      </w:r>
      <w:r w:rsidR="00F30379" w:rsidRPr="001A05F4">
        <w:rPr>
          <w:iCs/>
        </w:rPr>
        <w:t xml:space="preserve"> in later-onset SMA types 3b and 4 throughout life, indicating that </w:t>
      </w:r>
      <w:r w:rsidRPr="001A05F4">
        <w:rPr>
          <w:iCs/>
        </w:rPr>
        <w:t xml:space="preserve">lung function may be more stable than skeletal muscle strength. </w:t>
      </w:r>
      <w:r w:rsidR="00FF3FB2" w:rsidRPr="001A05F4">
        <w:rPr>
          <w:iCs/>
        </w:rPr>
        <w:t>The ESC considered that, though an important outcome, there was variability across patients with SMA in terms of impact on lung function and therefore this outcome may not capture treatment benefit for all SMA patients.</w:t>
      </w:r>
    </w:p>
    <w:p w:rsidR="00C66BE6" w:rsidRPr="001A05F4" w:rsidRDefault="00C66BE6" w:rsidP="00F9436F">
      <w:pPr>
        <w:pStyle w:val="3-BodyText"/>
        <w:numPr>
          <w:ilvl w:val="1"/>
          <w:numId w:val="2"/>
        </w:numPr>
      </w:pPr>
      <w:r w:rsidRPr="001A05F4">
        <w:t>Jochmann 2020 was the only nusinersen study to report quality of life (Q</w:t>
      </w:r>
      <w:r w:rsidR="00141E75" w:rsidRPr="001A05F4">
        <w:t>o</w:t>
      </w:r>
      <w:r w:rsidRPr="001A05F4">
        <w:t xml:space="preserve">L) data. The study by Jochmann incorporated the EQ-5D-5L Index that was self-evaluated by each patient. </w:t>
      </w:r>
      <w:r w:rsidR="00BC2D8D" w:rsidRPr="001A05F4">
        <w:t>Table 13</w:t>
      </w:r>
      <w:r w:rsidR="00141E75" w:rsidRPr="001A05F4">
        <w:t xml:space="preserve"> </w:t>
      </w:r>
      <w:r w:rsidRPr="001A05F4">
        <w:t xml:space="preserve">shows the patient level data from Jochmann 2020. </w:t>
      </w:r>
      <w:r w:rsidRPr="001A05F4">
        <w:rPr>
          <w:iCs/>
        </w:rPr>
        <w:t>Q</w:t>
      </w:r>
      <w:r w:rsidR="00141E75" w:rsidRPr="001A05F4">
        <w:rPr>
          <w:iCs/>
        </w:rPr>
        <w:t>o</w:t>
      </w:r>
      <w:r w:rsidRPr="001A05F4">
        <w:rPr>
          <w:iCs/>
        </w:rPr>
        <w:t>L data from Jochmann 2020 was not used in the economic model.</w:t>
      </w:r>
      <w:r w:rsidRPr="001A05F4">
        <w:t xml:space="preserve"> </w:t>
      </w:r>
    </w:p>
    <w:p w:rsidR="00C66BE6" w:rsidRPr="001A05F4" w:rsidRDefault="00141E75" w:rsidP="00141E75">
      <w:pPr>
        <w:pStyle w:val="BodyText"/>
        <w:keepNext/>
        <w:keepLines/>
        <w:jc w:val="both"/>
        <w:rPr>
          <w:rFonts w:ascii="Arial Narrow" w:hAnsi="Arial Narrow"/>
          <w:b/>
          <w:bCs/>
          <w:sz w:val="20"/>
          <w:szCs w:val="20"/>
        </w:rPr>
      </w:pPr>
      <w:bookmarkStart w:id="30" w:name="_Ref71586465"/>
      <w:r w:rsidRPr="001A05F4">
        <w:rPr>
          <w:rFonts w:ascii="Arial Narrow" w:hAnsi="Arial Narrow"/>
          <w:b/>
          <w:bCs/>
          <w:sz w:val="20"/>
          <w:szCs w:val="20"/>
        </w:rPr>
        <w:t xml:space="preserve">Table </w:t>
      </w:r>
      <w:r w:rsidR="00BC2D8D" w:rsidRPr="001A05F4">
        <w:rPr>
          <w:rFonts w:ascii="Arial Narrow" w:hAnsi="Arial Narrow"/>
          <w:b/>
          <w:bCs/>
          <w:sz w:val="20"/>
          <w:szCs w:val="20"/>
        </w:rPr>
        <w:t>13</w:t>
      </w:r>
      <w:bookmarkEnd w:id="30"/>
      <w:r w:rsidR="00C66BE6" w:rsidRPr="001A05F4">
        <w:rPr>
          <w:rFonts w:ascii="Arial Narrow" w:hAnsi="Arial Narrow"/>
          <w:b/>
          <w:bCs/>
          <w:sz w:val="20"/>
          <w:szCs w:val="20"/>
        </w:rPr>
        <w:t>:</w:t>
      </w:r>
      <w:r w:rsidR="00683E90" w:rsidRPr="001A05F4">
        <w:rPr>
          <w:rFonts w:ascii="Arial Narrow" w:hAnsi="Arial Narrow"/>
          <w:b/>
          <w:bCs/>
          <w:sz w:val="20"/>
          <w:szCs w:val="20"/>
        </w:rPr>
        <w:t xml:space="preserve"> </w:t>
      </w:r>
      <w:r w:rsidR="00C66BE6" w:rsidRPr="001A05F4">
        <w:rPr>
          <w:rFonts w:ascii="Arial Narrow" w:hAnsi="Arial Narrow"/>
          <w:b/>
          <w:bCs/>
          <w:sz w:val="20"/>
          <w:szCs w:val="20"/>
        </w:rPr>
        <w:t>Patient level data from Jochmann 2020</w:t>
      </w:r>
    </w:p>
    <w:tbl>
      <w:tblPr>
        <w:tblStyle w:val="TableGrid"/>
        <w:tblW w:w="0" w:type="auto"/>
        <w:tblLook w:val="04A0" w:firstRow="1" w:lastRow="0" w:firstColumn="1" w:lastColumn="0" w:noHBand="0" w:noVBand="1"/>
        <w:tblCaption w:val="Table 13: Patient level data from Jochmann 2020"/>
      </w:tblPr>
      <w:tblGrid>
        <w:gridCol w:w="763"/>
        <w:gridCol w:w="543"/>
        <w:gridCol w:w="599"/>
        <w:gridCol w:w="1536"/>
        <w:gridCol w:w="1829"/>
        <w:gridCol w:w="1829"/>
        <w:gridCol w:w="1918"/>
      </w:tblGrid>
      <w:tr w:rsidR="00C66BE6" w:rsidRPr="001A05F4" w:rsidTr="00466FA7">
        <w:trPr>
          <w:tblHeader/>
        </w:trPr>
        <w:tc>
          <w:tcPr>
            <w:tcW w:w="763" w:type="dxa"/>
          </w:tcPr>
          <w:p w:rsidR="00C66BE6" w:rsidRPr="001A05F4" w:rsidRDefault="00C66BE6" w:rsidP="00927040">
            <w:pPr>
              <w:keepNext/>
              <w:keepLines/>
              <w:rPr>
                <w:rFonts w:ascii="Arial Narrow" w:hAnsi="Arial Narrow"/>
                <w:b/>
                <w:bCs/>
                <w:sz w:val="20"/>
                <w:szCs w:val="20"/>
              </w:rPr>
            </w:pPr>
            <w:r w:rsidRPr="001A05F4">
              <w:rPr>
                <w:rFonts w:ascii="Arial Narrow" w:hAnsi="Arial Narrow"/>
                <w:b/>
                <w:bCs/>
                <w:sz w:val="20"/>
                <w:szCs w:val="20"/>
              </w:rPr>
              <w:t>Patient</w:t>
            </w:r>
          </w:p>
        </w:tc>
        <w:tc>
          <w:tcPr>
            <w:tcW w:w="543" w:type="dxa"/>
            <w:vAlign w:val="center"/>
          </w:tcPr>
          <w:p w:rsidR="00C66BE6" w:rsidRPr="001A05F4" w:rsidRDefault="00C66BE6" w:rsidP="00927040">
            <w:pPr>
              <w:keepNext/>
              <w:keepLines/>
              <w:jc w:val="center"/>
              <w:rPr>
                <w:rFonts w:ascii="Arial Narrow" w:hAnsi="Arial Narrow"/>
                <w:b/>
                <w:bCs/>
                <w:sz w:val="20"/>
                <w:szCs w:val="20"/>
              </w:rPr>
            </w:pPr>
            <w:r w:rsidRPr="001A05F4">
              <w:rPr>
                <w:rFonts w:ascii="Arial Narrow" w:hAnsi="Arial Narrow"/>
                <w:b/>
                <w:bCs/>
                <w:sz w:val="20"/>
                <w:szCs w:val="20"/>
              </w:rPr>
              <w:t>Age</w:t>
            </w:r>
          </w:p>
        </w:tc>
        <w:tc>
          <w:tcPr>
            <w:tcW w:w="599" w:type="dxa"/>
            <w:vAlign w:val="center"/>
          </w:tcPr>
          <w:p w:rsidR="00C66BE6" w:rsidRPr="001A05F4" w:rsidRDefault="00C66BE6" w:rsidP="00927040">
            <w:pPr>
              <w:keepNext/>
              <w:keepLines/>
              <w:jc w:val="center"/>
              <w:rPr>
                <w:rFonts w:ascii="Arial Narrow" w:hAnsi="Arial Narrow"/>
                <w:b/>
                <w:bCs/>
                <w:sz w:val="20"/>
                <w:szCs w:val="20"/>
              </w:rPr>
            </w:pPr>
            <w:r w:rsidRPr="001A05F4">
              <w:rPr>
                <w:rFonts w:ascii="Arial Narrow" w:hAnsi="Arial Narrow"/>
                <w:b/>
                <w:bCs/>
                <w:sz w:val="20"/>
                <w:szCs w:val="20"/>
              </w:rPr>
              <w:t>SMA Type</w:t>
            </w:r>
          </w:p>
        </w:tc>
        <w:tc>
          <w:tcPr>
            <w:tcW w:w="1536" w:type="dxa"/>
            <w:vAlign w:val="center"/>
          </w:tcPr>
          <w:p w:rsidR="00C66BE6" w:rsidRPr="001A05F4" w:rsidRDefault="00C66BE6" w:rsidP="00927040">
            <w:pPr>
              <w:keepNext/>
              <w:keepLines/>
              <w:jc w:val="center"/>
              <w:rPr>
                <w:rFonts w:ascii="Arial Narrow" w:hAnsi="Arial Narrow"/>
                <w:b/>
                <w:bCs/>
                <w:sz w:val="20"/>
                <w:szCs w:val="20"/>
              </w:rPr>
            </w:pPr>
            <w:r w:rsidRPr="001A05F4">
              <w:rPr>
                <w:rFonts w:ascii="Arial Narrow" w:hAnsi="Arial Narrow"/>
                <w:b/>
                <w:bCs/>
                <w:sz w:val="20"/>
                <w:szCs w:val="20"/>
              </w:rPr>
              <w:t>Change in RULM (baseline, 10 months)</w:t>
            </w:r>
          </w:p>
        </w:tc>
        <w:tc>
          <w:tcPr>
            <w:tcW w:w="1829" w:type="dxa"/>
            <w:vAlign w:val="center"/>
          </w:tcPr>
          <w:p w:rsidR="00C66BE6" w:rsidRPr="001A05F4" w:rsidRDefault="00C66BE6" w:rsidP="00927040">
            <w:pPr>
              <w:keepNext/>
              <w:keepLines/>
              <w:jc w:val="center"/>
              <w:rPr>
                <w:rFonts w:ascii="Arial Narrow" w:hAnsi="Arial Narrow"/>
                <w:b/>
                <w:bCs/>
                <w:sz w:val="20"/>
                <w:szCs w:val="20"/>
              </w:rPr>
            </w:pPr>
            <w:r w:rsidRPr="001A05F4">
              <w:rPr>
                <w:rFonts w:ascii="Arial Narrow" w:hAnsi="Arial Narrow"/>
                <w:b/>
                <w:bCs/>
                <w:sz w:val="20"/>
                <w:szCs w:val="20"/>
              </w:rPr>
              <w:t>Change in HFMSE (baseline, 10 months)</w:t>
            </w:r>
          </w:p>
        </w:tc>
        <w:tc>
          <w:tcPr>
            <w:tcW w:w="1829" w:type="dxa"/>
            <w:vAlign w:val="center"/>
          </w:tcPr>
          <w:p w:rsidR="00C66BE6" w:rsidRPr="001A05F4" w:rsidRDefault="00C66BE6" w:rsidP="00927040">
            <w:pPr>
              <w:keepNext/>
              <w:keepLines/>
              <w:jc w:val="center"/>
              <w:rPr>
                <w:rFonts w:ascii="Arial Narrow" w:hAnsi="Arial Narrow"/>
                <w:b/>
                <w:bCs/>
                <w:sz w:val="20"/>
                <w:szCs w:val="20"/>
              </w:rPr>
            </w:pPr>
            <w:r w:rsidRPr="001A05F4">
              <w:rPr>
                <w:rFonts w:ascii="Arial Narrow" w:hAnsi="Arial Narrow"/>
                <w:b/>
                <w:bCs/>
                <w:sz w:val="20"/>
                <w:szCs w:val="20"/>
              </w:rPr>
              <w:t>Change in 6MWT (baseline, 10 months)</w:t>
            </w:r>
          </w:p>
        </w:tc>
        <w:tc>
          <w:tcPr>
            <w:tcW w:w="1918" w:type="dxa"/>
            <w:vAlign w:val="center"/>
          </w:tcPr>
          <w:p w:rsidR="00C66BE6" w:rsidRPr="001A05F4" w:rsidRDefault="00C66BE6" w:rsidP="00927040">
            <w:pPr>
              <w:keepNext/>
              <w:keepLines/>
              <w:jc w:val="center"/>
              <w:rPr>
                <w:rFonts w:ascii="Arial Narrow" w:hAnsi="Arial Narrow"/>
                <w:b/>
                <w:bCs/>
                <w:sz w:val="20"/>
                <w:szCs w:val="20"/>
              </w:rPr>
            </w:pPr>
            <w:r w:rsidRPr="001A05F4">
              <w:rPr>
                <w:rFonts w:ascii="Arial Narrow" w:hAnsi="Arial Narrow"/>
                <w:b/>
                <w:bCs/>
                <w:sz w:val="20"/>
                <w:szCs w:val="20"/>
              </w:rPr>
              <w:t>Change in EQ-5D-5L utility (baseline, end of study)</w:t>
            </w:r>
          </w:p>
        </w:tc>
      </w:tr>
      <w:tr w:rsidR="00C66BE6" w:rsidRPr="001A05F4" w:rsidTr="00141E75">
        <w:tc>
          <w:tcPr>
            <w:tcW w:w="763" w:type="dxa"/>
          </w:tcPr>
          <w:p w:rsidR="00C66BE6" w:rsidRPr="001A05F4" w:rsidRDefault="00C66BE6" w:rsidP="00927040">
            <w:pPr>
              <w:keepNext/>
              <w:keepLines/>
              <w:rPr>
                <w:rFonts w:ascii="Arial Narrow" w:hAnsi="Arial Narrow"/>
                <w:sz w:val="20"/>
                <w:szCs w:val="20"/>
              </w:rPr>
            </w:pPr>
            <w:r w:rsidRPr="001A05F4">
              <w:rPr>
                <w:rFonts w:ascii="Arial Narrow" w:hAnsi="Arial Narrow"/>
                <w:sz w:val="20"/>
                <w:szCs w:val="20"/>
              </w:rPr>
              <w:t>1</w:t>
            </w:r>
          </w:p>
        </w:tc>
        <w:tc>
          <w:tcPr>
            <w:tcW w:w="543"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45</w:t>
            </w:r>
          </w:p>
        </w:tc>
        <w:tc>
          <w:tcPr>
            <w:tcW w:w="59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3</w:t>
            </w:r>
          </w:p>
        </w:tc>
        <w:tc>
          <w:tcPr>
            <w:tcW w:w="1536"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0 (15, 15)</w:t>
            </w:r>
          </w:p>
        </w:tc>
        <w:tc>
          <w:tcPr>
            <w:tcW w:w="182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-1 (29, 28)</w:t>
            </w:r>
          </w:p>
        </w:tc>
        <w:tc>
          <w:tcPr>
            <w:tcW w:w="182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NA</w:t>
            </w:r>
          </w:p>
        </w:tc>
        <w:tc>
          <w:tcPr>
            <w:tcW w:w="1918"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+0.38 (0.39, 0.77)</w:t>
            </w:r>
          </w:p>
        </w:tc>
      </w:tr>
      <w:tr w:rsidR="00C66BE6" w:rsidRPr="001A05F4" w:rsidTr="00141E75">
        <w:tc>
          <w:tcPr>
            <w:tcW w:w="763" w:type="dxa"/>
          </w:tcPr>
          <w:p w:rsidR="00C66BE6" w:rsidRPr="001A05F4" w:rsidRDefault="00C66BE6" w:rsidP="00927040">
            <w:pPr>
              <w:keepNext/>
              <w:keepLines/>
              <w:rPr>
                <w:rFonts w:ascii="Arial Narrow" w:hAnsi="Arial Narrow"/>
                <w:sz w:val="20"/>
                <w:szCs w:val="20"/>
              </w:rPr>
            </w:pPr>
            <w:r w:rsidRPr="001A05F4">
              <w:rPr>
                <w:rFonts w:ascii="Arial Narrow" w:hAnsi="Arial Narrow"/>
                <w:sz w:val="20"/>
                <w:szCs w:val="20"/>
              </w:rPr>
              <w:t>2</w:t>
            </w:r>
          </w:p>
        </w:tc>
        <w:tc>
          <w:tcPr>
            <w:tcW w:w="543"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50</w:t>
            </w:r>
          </w:p>
        </w:tc>
        <w:tc>
          <w:tcPr>
            <w:tcW w:w="59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2</w:t>
            </w:r>
          </w:p>
        </w:tc>
        <w:tc>
          <w:tcPr>
            <w:tcW w:w="1536"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+1 (4, 5)</w:t>
            </w:r>
          </w:p>
        </w:tc>
        <w:tc>
          <w:tcPr>
            <w:tcW w:w="182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0 (0, 0)</w:t>
            </w:r>
          </w:p>
        </w:tc>
        <w:tc>
          <w:tcPr>
            <w:tcW w:w="182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NA</w:t>
            </w:r>
          </w:p>
        </w:tc>
        <w:tc>
          <w:tcPr>
            <w:tcW w:w="1918"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+0.11 (-0.02, 0.09)</w:t>
            </w:r>
          </w:p>
        </w:tc>
      </w:tr>
      <w:tr w:rsidR="00C66BE6" w:rsidRPr="001A05F4" w:rsidTr="00141E75">
        <w:tc>
          <w:tcPr>
            <w:tcW w:w="763" w:type="dxa"/>
          </w:tcPr>
          <w:p w:rsidR="00C66BE6" w:rsidRPr="001A05F4" w:rsidRDefault="00C66BE6" w:rsidP="00927040">
            <w:pPr>
              <w:keepNext/>
              <w:keepLines/>
              <w:rPr>
                <w:rFonts w:ascii="Arial Narrow" w:hAnsi="Arial Narrow"/>
                <w:sz w:val="20"/>
                <w:szCs w:val="20"/>
              </w:rPr>
            </w:pPr>
            <w:r w:rsidRPr="001A05F4">
              <w:rPr>
                <w:rFonts w:ascii="Arial Narrow" w:hAnsi="Arial Narrow"/>
                <w:sz w:val="20"/>
                <w:szCs w:val="20"/>
              </w:rPr>
              <w:t>3</w:t>
            </w:r>
          </w:p>
        </w:tc>
        <w:tc>
          <w:tcPr>
            <w:tcW w:w="543"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20</w:t>
            </w:r>
          </w:p>
        </w:tc>
        <w:tc>
          <w:tcPr>
            <w:tcW w:w="59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3</w:t>
            </w:r>
          </w:p>
        </w:tc>
        <w:tc>
          <w:tcPr>
            <w:tcW w:w="1536"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-2 (37, 35)</w:t>
            </w:r>
          </w:p>
        </w:tc>
        <w:tc>
          <w:tcPr>
            <w:tcW w:w="182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+3 (60, 63)</w:t>
            </w:r>
          </w:p>
        </w:tc>
        <w:tc>
          <w:tcPr>
            <w:tcW w:w="182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+68 (275, 343)</w:t>
            </w:r>
          </w:p>
        </w:tc>
        <w:tc>
          <w:tcPr>
            <w:tcW w:w="1918"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+0.21 (0.60, 0.81)</w:t>
            </w:r>
          </w:p>
        </w:tc>
      </w:tr>
      <w:tr w:rsidR="00C66BE6" w:rsidRPr="001A05F4" w:rsidTr="00141E75">
        <w:tc>
          <w:tcPr>
            <w:tcW w:w="763" w:type="dxa"/>
          </w:tcPr>
          <w:p w:rsidR="00C66BE6" w:rsidRPr="001A05F4" w:rsidRDefault="00C66BE6" w:rsidP="00927040">
            <w:pPr>
              <w:keepNext/>
              <w:keepLines/>
              <w:rPr>
                <w:rFonts w:ascii="Arial Narrow" w:hAnsi="Arial Narrow"/>
                <w:sz w:val="20"/>
                <w:szCs w:val="20"/>
              </w:rPr>
            </w:pPr>
            <w:r w:rsidRPr="001A05F4">
              <w:rPr>
                <w:rFonts w:ascii="Arial Narrow" w:hAnsi="Arial Narrow"/>
                <w:sz w:val="20"/>
                <w:szCs w:val="20"/>
              </w:rPr>
              <w:t>4</w:t>
            </w:r>
          </w:p>
        </w:tc>
        <w:tc>
          <w:tcPr>
            <w:tcW w:w="543"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57</w:t>
            </w:r>
          </w:p>
        </w:tc>
        <w:tc>
          <w:tcPr>
            <w:tcW w:w="59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2</w:t>
            </w:r>
          </w:p>
        </w:tc>
        <w:tc>
          <w:tcPr>
            <w:tcW w:w="1536"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NA (1, NA)</w:t>
            </w:r>
          </w:p>
        </w:tc>
        <w:tc>
          <w:tcPr>
            <w:tcW w:w="182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NA (0, NA)</w:t>
            </w:r>
          </w:p>
        </w:tc>
        <w:tc>
          <w:tcPr>
            <w:tcW w:w="182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NA</w:t>
            </w:r>
          </w:p>
        </w:tc>
        <w:tc>
          <w:tcPr>
            <w:tcW w:w="1918" w:type="dxa"/>
            <w:vAlign w:val="center"/>
          </w:tcPr>
          <w:p w:rsidR="00C66BE6" w:rsidRPr="001A05F4" w:rsidRDefault="00C66BE6" w:rsidP="00927040">
            <w:pPr>
              <w:keepNext/>
              <w:keepLines/>
              <w:jc w:val="center"/>
              <w:rPr>
                <w:rFonts w:ascii="Arial Narrow" w:hAnsi="Arial Narrow"/>
                <w:sz w:val="20"/>
                <w:szCs w:val="20"/>
                <w:vertAlign w:val="superscript"/>
              </w:rPr>
            </w:pPr>
            <w:r w:rsidRPr="001A05F4">
              <w:rPr>
                <w:rFonts w:ascii="Arial Narrow" w:hAnsi="Arial Narrow"/>
                <w:sz w:val="20"/>
                <w:szCs w:val="20"/>
              </w:rPr>
              <w:t xml:space="preserve">+0.12 (0.06, 0.18) </w:t>
            </w:r>
            <w:r w:rsidRPr="001A05F4">
              <w:rPr>
                <w:rFonts w:ascii="Arial Narrow" w:hAnsi="Arial Narrow"/>
                <w:sz w:val="20"/>
                <w:szCs w:val="20"/>
                <w:vertAlign w:val="superscript"/>
              </w:rPr>
              <w:t>a</w:t>
            </w:r>
          </w:p>
        </w:tc>
      </w:tr>
      <w:tr w:rsidR="00C66BE6" w:rsidRPr="001A05F4" w:rsidTr="00141E75">
        <w:tc>
          <w:tcPr>
            <w:tcW w:w="763" w:type="dxa"/>
          </w:tcPr>
          <w:p w:rsidR="00C66BE6" w:rsidRPr="001A05F4" w:rsidRDefault="00C66BE6" w:rsidP="00927040">
            <w:pPr>
              <w:keepNext/>
              <w:keepLines/>
              <w:rPr>
                <w:rFonts w:ascii="Arial Narrow" w:hAnsi="Arial Narrow"/>
                <w:sz w:val="20"/>
                <w:szCs w:val="20"/>
              </w:rPr>
            </w:pPr>
            <w:r w:rsidRPr="001A05F4">
              <w:rPr>
                <w:rFonts w:ascii="Arial Narrow" w:hAnsi="Arial Narrow"/>
                <w:sz w:val="20"/>
                <w:szCs w:val="20"/>
              </w:rPr>
              <w:t>5</w:t>
            </w:r>
          </w:p>
        </w:tc>
        <w:tc>
          <w:tcPr>
            <w:tcW w:w="543"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68</w:t>
            </w:r>
          </w:p>
        </w:tc>
        <w:tc>
          <w:tcPr>
            <w:tcW w:w="59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3</w:t>
            </w:r>
          </w:p>
        </w:tc>
        <w:tc>
          <w:tcPr>
            <w:tcW w:w="1536"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+20 (17, 37)</w:t>
            </w:r>
          </w:p>
        </w:tc>
        <w:tc>
          <w:tcPr>
            <w:tcW w:w="182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+17 (6, 23)</w:t>
            </w:r>
          </w:p>
        </w:tc>
        <w:tc>
          <w:tcPr>
            <w:tcW w:w="182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NA</w:t>
            </w:r>
          </w:p>
        </w:tc>
        <w:tc>
          <w:tcPr>
            <w:tcW w:w="1918"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+0.07 (0.06, 0.13)</w:t>
            </w:r>
          </w:p>
        </w:tc>
      </w:tr>
      <w:tr w:rsidR="00C66BE6" w:rsidRPr="001A05F4" w:rsidTr="00141E75">
        <w:tc>
          <w:tcPr>
            <w:tcW w:w="763" w:type="dxa"/>
          </w:tcPr>
          <w:p w:rsidR="00C66BE6" w:rsidRPr="001A05F4" w:rsidRDefault="00C66BE6" w:rsidP="00927040">
            <w:pPr>
              <w:keepNext/>
              <w:keepLines/>
              <w:rPr>
                <w:rFonts w:ascii="Arial Narrow" w:hAnsi="Arial Narrow"/>
                <w:sz w:val="20"/>
                <w:szCs w:val="20"/>
              </w:rPr>
            </w:pPr>
            <w:r w:rsidRPr="001A05F4">
              <w:rPr>
                <w:rFonts w:ascii="Arial Narrow" w:hAnsi="Arial Narrow"/>
                <w:sz w:val="20"/>
                <w:szCs w:val="20"/>
              </w:rPr>
              <w:t>6</w:t>
            </w:r>
          </w:p>
        </w:tc>
        <w:tc>
          <w:tcPr>
            <w:tcW w:w="543"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31</w:t>
            </w:r>
          </w:p>
        </w:tc>
        <w:tc>
          <w:tcPr>
            <w:tcW w:w="59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2</w:t>
            </w:r>
          </w:p>
        </w:tc>
        <w:tc>
          <w:tcPr>
            <w:tcW w:w="1536"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+11 (5, 16)</w:t>
            </w:r>
          </w:p>
        </w:tc>
        <w:tc>
          <w:tcPr>
            <w:tcW w:w="182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+5 (2, 7)</w:t>
            </w:r>
          </w:p>
        </w:tc>
        <w:tc>
          <w:tcPr>
            <w:tcW w:w="182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NA</w:t>
            </w:r>
          </w:p>
        </w:tc>
        <w:tc>
          <w:tcPr>
            <w:tcW w:w="1918" w:type="dxa"/>
            <w:vAlign w:val="center"/>
          </w:tcPr>
          <w:p w:rsidR="00C66BE6" w:rsidRPr="001A05F4" w:rsidRDefault="00C66BE6" w:rsidP="00927040">
            <w:pPr>
              <w:keepNext/>
              <w:keepLines/>
              <w:jc w:val="center"/>
              <w:rPr>
                <w:rFonts w:ascii="Arial Narrow" w:hAnsi="Arial Narrow"/>
                <w:sz w:val="20"/>
                <w:szCs w:val="20"/>
                <w:vertAlign w:val="superscript"/>
              </w:rPr>
            </w:pPr>
            <w:r w:rsidRPr="001A05F4">
              <w:rPr>
                <w:rFonts w:ascii="Arial Narrow" w:hAnsi="Arial Narrow"/>
                <w:sz w:val="20"/>
                <w:szCs w:val="20"/>
              </w:rPr>
              <w:t xml:space="preserve">-0.12 (0.18, 0.06) </w:t>
            </w:r>
            <w:r w:rsidRPr="001A05F4">
              <w:rPr>
                <w:rFonts w:ascii="Arial Narrow" w:hAnsi="Arial Narrow"/>
                <w:sz w:val="20"/>
                <w:szCs w:val="20"/>
                <w:vertAlign w:val="superscript"/>
              </w:rPr>
              <w:t>b</w:t>
            </w:r>
          </w:p>
        </w:tc>
      </w:tr>
      <w:tr w:rsidR="00C66BE6" w:rsidRPr="001A05F4" w:rsidTr="00141E75">
        <w:tc>
          <w:tcPr>
            <w:tcW w:w="763" w:type="dxa"/>
          </w:tcPr>
          <w:p w:rsidR="00C66BE6" w:rsidRPr="001A05F4" w:rsidRDefault="00C66BE6" w:rsidP="00927040">
            <w:pPr>
              <w:keepNext/>
              <w:keepLines/>
              <w:rPr>
                <w:rFonts w:ascii="Arial Narrow" w:hAnsi="Arial Narrow"/>
                <w:sz w:val="20"/>
                <w:szCs w:val="20"/>
              </w:rPr>
            </w:pPr>
            <w:r w:rsidRPr="001A05F4">
              <w:rPr>
                <w:rFonts w:ascii="Arial Narrow" w:hAnsi="Arial Narrow"/>
                <w:sz w:val="20"/>
                <w:szCs w:val="20"/>
              </w:rPr>
              <w:t>7</w:t>
            </w:r>
          </w:p>
        </w:tc>
        <w:tc>
          <w:tcPr>
            <w:tcW w:w="543"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22</w:t>
            </w:r>
          </w:p>
        </w:tc>
        <w:tc>
          <w:tcPr>
            <w:tcW w:w="59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2</w:t>
            </w:r>
          </w:p>
        </w:tc>
        <w:tc>
          <w:tcPr>
            <w:tcW w:w="1536"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+16, (3, 19)</w:t>
            </w:r>
          </w:p>
        </w:tc>
        <w:tc>
          <w:tcPr>
            <w:tcW w:w="182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+6 (0, 6)</w:t>
            </w:r>
          </w:p>
        </w:tc>
        <w:tc>
          <w:tcPr>
            <w:tcW w:w="1829"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NA</w:t>
            </w:r>
          </w:p>
        </w:tc>
        <w:tc>
          <w:tcPr>
            <w:tcW w:w="1918" w:type="dxa"/>
            <w:vAlign w:val="center"/>
          </w:tcPr>
          <w:p w:rsidR="00C66BE6" w:rsidRPr="001A05F4" w:rsidRDefault="00C66BE6" w:rsidP="00927040">
            <w:pPr>
              <w:keepNext/>
              <w:keepLines/>
              <w:jc w:val="center"/>
              <w:rPr>
                <w:rFonts w:ascii="Arial Narrow" w:hAnsi="Arial Narrow"/>
                <w:sz w:val="20"/>
                <w:szCs w:val="20"/>
              </w:rPr>
            </w:pPr>
            <w:r w:rsidRPr="001A05F4">
              <w:rPr>
                <w:rFonts w:ascii="Arial Narrow" w:hAnsi="Arial Narrow"/>
                <w:sz w:val="20"/>
                <w:szCs w:val="20"/>
              </w:rPr>
              <w:t>0 (0.18, 0.18)</w:t>
            </w:r>
          </w:p>
        </w:tc>
      </w:tr>
    </w:tbl>
    <w:p w:rsidR="00C66BE6" w:rsidRPr="001A05F4" w:rsidRDefault="00C66BE6" w:rsidP="00C66BE6">
      <w:pPr>
        <w:keepNext/>
        <w:keepLines/>
        <w:rPr>
          <w:rFonts w:ascii="Arial Narrow" w:hAnsi="Arial Narrow"/>
          <w:sz w:val="20"/>
          <w:szCs w:val="20"/>
        </w:rPr>
      </w:pPr>
      <w:r w:rsidRPr="001A05F4">
        <w:rPr>
          <w:rFonts w:ascii="Arial Narrow" w:hAnsi="Arial Narrow"/>
          <w:sz w:val="20"/>
          <w:szCs w:val="20"/>
          <w:vertAlign w:val="superscript"/>
        </w:rPr>
        <w:t>a</w:t>
      </w:r>
      <w:r w:rsidRPr="001A05F4">
        <w:rPr>
          <w:rFonts w:ascii="Arial Narrow" w:hAnsi="Arial Narrow"/>
          <w:sz w:val="20"/>
          <w:szCs w:val="20"/>
          <w:vertAlign w:val="subscript"/>
        </w:rPr>
        <w:t xml:space="preserve"> </w:t>
      </w:r>
      <w:r w:rsidRPr="001A05F4">
        <w:rPr>
          <w:rFonts w:ascii="Arial Narrow" w:hAnsi="Arial Narrow"/>
          <w:sz w:val="20"/>
          <w:szCs w:val="20"/>
        </w:rPr>
        <w:t>last assessment at 2 months</w:t>
      </w:r>
    </w:p>
    <w:p w:rsidR="00C66BE6" w:rsidRPr="001A05F4" w:rsidRDefault="00C66BE6" w:rsidP="00C66BE6">
      <w:pPr>
        <w:keepNext/>
        <w:keepLines/>
        <w:rPr>
          <w:rFonts w:ascii="Arial Narrow" w:hAnsi="Arial Narrow"/>
          <w:sz w:val="20"/>
          <w:szCs w:val="20"/>
        </w:rPr>
      </w:pPr>
      <w:r w:rsidRPr="001A05F4">
        <w:rPr>
          <w:rFonts w:ascii="Arial Narrow" w:hAnsi="Arial Narrow"/>
          <w:sz w:val="20"/>
          <w:szCs w:val="20"/>
          <w:vertAlign w:val="superscript"/>
        </w:rPr>
        <w:t>b</w:t>
      </w:r>
      <w:r w:rsidRPr="001A05F4">
        <w:rPr>
          <w:rFonts w:ascii="Arial Narrow" w:hAnsi="Arial Narrow"/>
          <w:sz w:val="20"/>
          <w:szCs w:val="20"/>
        </w:rPr>
        <w:t xml:space="preserve"> last assessment at 6 months</w:t>
      </w:r>
    </w:p>
    <w:p w:rsidR="00C66BE6" w:rsidRPr="001A05F4" w:rsidRDefault="00C66BE6" w:rsidP="00C66BE6">
      <w:pPr>
        <w:keepNext/>
        <w:keepLines/>
        <w:rPr>
          <w:rFonts w:ascii="Arial Narrow" w:hAnsi="Arial Narrow"/>
          <w:sz w:val="20"/>
          <w:szCs w:val="20"/>
        </w:rPr>
      </w:pPr>
      <w:r w:rsidRPr="001A05F4">
        <w:rPr>
          <w:rFonts w:ascii="Arial Narrow" w:hAnsi="Arial Narrow"/>
          <w:sz w:val="20"/>
          <w:szCs w:val="20"/>
        </w:rPr>
        <w:t xml:space="preserve">NA = not applicable </w:t>
      </w:r>
    </w:p>
    <w:p w:rsidR="00C66BE6" w:rsidRPr="001A05F4" w:rsidRDefault="00C66BE6" w:rsidP="00C66BE6">
      <w:pPr>
        <w:keepNext/>
        <w:keepLines/>
        <w:rPr>
          <w:rFonts w:ascii="Arial Narrow" w:hAnsi="Arial Narrow"/>
          <w:sz w:val="20"/>
          <w:szCs w:val="20"/>
        </w:rPr>
      </w:pPr>
      <w:r w:rsidRPr="001A05F4">
        <w:rPr>
          <w:rFonts w:ascii="Arial Narrow" w:hAnsi="Arial Narrow"/>
          <w:sz w:val="20"/>
          <w:szCs w:val="20"/>
        </w:rPr>
        <w:t>Source: Table 1, Jochmann 2020</w:t>
      </w:r>
    </w:p>
    <w:p w:rsidR="00C66BE6" w:rsidRPr="001A05F4" w:rsidRDefault="00C66BE6" w:rsidP="00C66BE6">
      <w:pPr>
        <w:rPr>
          <w:rFonts w:ascii="Arial Narrow" w:hAnsi="Arial Narrow"/>
          <w:sz w:val="20"/>
          <w:szCs w:val="20"/>
        </w:rPr>
      </w:pPr>
    </w:p>
    <w:p w:rsidR="003D7D56" w:rsidRPr="001A05F4" w:rsidRDefault="00036871" w:rsidP="00F9436F">
      <w:pPr>
        <w:pStyle w:val="3-BodyText"/>
        <w:numPr>
          <w:ilvl w:val="1"/>
          <w:numId w:val="2"/>
        </w:numPr>
      </w:pPr>
      <w:bookmarkStart w:id="31" w:name="_Ref71591745"/>
      <w:r w:rsidRPr="001A05F4">
        <w:t>While patients in Jochmann 2020 reported an increase in EQ-5D-5L, patient numbers were very low therefore applicability was limited. However, Jochmann 2020 demonstrated that quality of life may not be correlated with improvements in RULM or HFMSE. The greatest improvements in RULM and HFMSE were seen in patients 5, 6 and 7, but paradoxically they had the lowest quality of life gain from baseline. Patients 1 and 3, who experienced almost no change in either RULM or HFMSE, reported the highest quality of life gains which were multiples greater than in patient 5, who reported the best improvements in both HFMSE and RULM. As only one 6MWT result was available, no inferences regarding the correlation to quality of life could be made. As such, there may be reason to question whether changes in HFMSE and RULM were relevant outcomes to adult patients in SMA, or if QoL in this patient population were driven by other measures. The PSCR argued that it is highly unlikely any meaningful conclusions can be drawn from the correlation between motor function assessments and quality of life given the small number of patients in this study.</w:t>
      </w:r>
    </w:p>
    <w:p w:rsidR="00C66BE6" w:rsidRPr="001A05F4" w:rsidRDefault="003D7D56" w:rsidP="00F9436F">
      <w:pPr>
        <w:pStyle w:val="3-BodyText"/>
        <w:numPr>
          <w:ilvl w:val="1"/>
          <w:numId w:val="2"/>
        </w:numPr>
        <w:rPr>
          <w:iCs/>
        </w:rPr>
      </w:pPr>
      <w:r w:rsidRPr="001A05F4">
        <w:rPr>
          <w:iCs/>
        </w:rPr>
        <w:t xml:space="preserve">The PSCR stated that the benefits of nusinersen extend beyond motor function, reducing clinical decline over the long term in respiratory function and activities of daily living. The ESC considered that </w:t>
      </w:r>
      <w:r w:rsidR="009D43E8" w:rsidRPr="001A05F4">
        <w:rPr>
          <w:iCs/>
        </w:rPr>
        <w:t xml:space="preserve">alternative, </w:t>
      </w:r>
      <w:r w:rsidRPr="001A05F4">
        <w:rPr>
          <w:iCs/>
        </w:rPr>
        <w:t xml:space="preserve">more sensitive </w:t>
      </w:r>
      <w:r w:rsidR="009D43E8" w:rsidRPr="001A05F4">
        <w:rPr>
          <w:iCs/>
        </w:rPr>
        <w:t>measures of quality of lif</w:t>
      </w:r>
      <w:r w:rsidRPr="001A05F4">
        <w:rPr>
          <w:iCs/>
        </w:rPr>
        <w:t xml:space="preserve">e, fatigue, exercise </w:t>
      </w:r>
      <w:r w:rsidR="00992BA7" w:rsidRPr="001A05F4">
        <w:rPr>
          <w:iCs/>
        </w:rPr>
        <w:t xml:space="preserve">tolerance, stability and </w:t>
      </w:r>
      <w:r w:rsidR="009D43E8" w:rsidRPr="001A05F4">
        <w:rPr>
          <w:iCs/>
        </w:rPr>
        <w:t xml:space="preserve">activities of daily living </w:t>
      </w:r>
      <w:r w:rsidR="00992BA7" w:rsidRPr="001A05F4">
        <w:rPr>
          <w:iCs/>
        </w:rPr>
        <w:t xml:space="preserve">are clearly needed </w:t>
      </w:r>
      <w:r w:rsidR="009D43E8" w:rsidRPr="001A05F4">
        <w:rPr>
          <w:iCs/>
        </w:rPr>
        <w:t xml:space="preserve">to capture treatment benefit </w:t>
      </w:r>
      <w:r w:rsidR="00992BA7" w:rsidRPr="001A05F4">
        <w:rPr>
          <w:iCs/>
        </w:rPr>
        <w:t>for adults with SMA, as suggested by Yeo et al (2020).</w:t>
      </w:r>
      <w:bookmarkEnd w:id="31"/>
    </w:p>
    <w:p w:rsidR="00C66BE6" w:rsidRPr="001A05F4" w:rsidRDefault="00C66BE6" w:rsidP="00C66BE6">
      <w:pPr>
        <w:pStyle w:val="4-SubsectionHeading"/>
      </w:pPr>
      <w:bookmarkStart w:id="32" w:name="_Toc72327830"/>
      <w:r w:rsidRPr="001A05F4">
        <w:t>Comparative harms</w:t>
      </w:r>
      <w:bookmarkEnd w:id="32"/>
    </w:p>
    <w:p w:rsidR="00C66BE6" w:rsidRPr="001A05F4" w:rsidRDefault="00C66BE6" w:rsidP="00F9436F">
      <w:pPr>
        <w:pStyle w:val="ListParagraph"/>
        <w:widowControl/>
        <w:numPr>
          <w:ilvl w:val="1"/>
          <w:numId w:val="2"/>
        </w:numPr>
      </w:pPr>
      <w:r w:rsidRPr="001A05F4">
        <w:t>The resubmission presented an overview of the safety reported for each of the nusinersen studies but did not provide a naive comparison with respect to safety</w:t>
      </w:r>
      <w:r w:rsidRPr="001A05F4">
        <w:rPr>
          <w:i/>
          <w:iCs/>
        </w:rPr>
        <w:t xml:space="preserve">. </w:t>
      </w:r>
      <w:r w:rsidRPr="001A05F4">
        <w:rPr>
          <w:iCs/>
        </w:rPr>
        <w:t>As a claim of non-inferior safety was made by the resubmission, the lack of a comparative safety assessment was inappropriate.</w:t>
      </w:r>
      <w:r w:rsidRPr="001A05F4">
        <w:rPr>
          <w:i/>
          <w:iCs/>
        </w:rPr>
        <w:t xml:space="preserve"> </w:t>
      </w:r>
    </w:p>
    <w:p w:rsidR="00C66BE6" w:rsidRPr="001A05F4" w:rsidRDefault="00C66BE6" w:rsidP="00F9436F">
      <w:pPr>
        <w:pStyle w:val="ListParagraph"/>
        <w:widowControl/>
        <w:numPr>
          <w:ilvl w:val="1"/>
          <w:numId w:val="2"/>
        </w:numPr>
      </w:pPr>
      <w:r w:rsidRPr="001A05F4">
        <w:t xml:space="preserve">Adverse events (AEs) were reported in 41.4% of patients in the Maggi 2020 study and in 47% of patients in the Hagenacker 2020 study. AEs relating to lumbar puncture were frequently observed with post-procedure headaches most commonly reported (Maggi 2020 37.1%; Hagenacker 2020 20%; Duong 2021 14.3%; Walter 2019 21%; De Wel 25%). Other administration-related adverse events such as lumbar puncture pain (Maggi 2020 8.6%) and back pain (Hagenacker 2020 9%, De Wel 64.3%) were also reported. </w:t>
      </w:r>
      <w:r w:rsidR="00183573" w:rsidRPr="001A05F4">
        <w:t>It was noted that two patients in Maggi 2020 discontinued treatment after six months due to lack of subjective benefit and poor tolerability of repeated lumbar puncture and two patients in Hagenacker 2020 withdrew from treatment due to drug related AEs.</w:t>
      </w:r>
    </w:p>
    <w:p w:rsidR="00C66BE6" w:rsidRPr="001A05F4" w:rsidRDefault="00C66BE6" w:rsidP="00F9436F">
      <w:pPr>
        <w:pStyle w:val="ListParagraph"/>
        <w:widowControl/>
        <w:numPr>
          <w:ilvl w:val="1"/>
          <w:numId w:val="2"/>
        </w:numPr>
      </w:pPr>
      <w:r w:rsidRPr="001A05F4">
        <w:t>The SMA registr</w:t>
      </w:r>
      <w:r w:rsidR="009028DA" w:rsidRPr="001A05F4">
        <w:t>y</w:t>
      </w:r>
      <w:r w:rsidRPr="001A05F4">
        <w:t xml:space="preserve"> reported that no new types of AEs, serious AEs, nusinersen-related AEs or other safety issues have been reported in the post-marketing setting. The analysis of safety data from the European SMA registr</w:t>
      </w:r>
      <w:r w:rsidR="008A209E" w:rsidRPr="001A05F4">
        <w:t>y</w:t>
      </w:r>
      <w:r w:rsidRPr="001A05F4">
        <w:t xml:space="preserve"> shows that the incidence of AEs and SAEs was not statistically significantly different in the nusinersen treated patient population, compared with the untreated patient population.</w:t>
      </w:r>
    </w:p>
    <w:p w:rsidR="00C66BE6" w:rsidRPr="001A05F4" w:rsidRDefault="00C66BE6" w:rsidP="00F9436F">
      <w:pPr>
        <w:pStyle w:val="ListParagraph"/>
        <w:widowControl/>
        <w:numPr>
          <w:ilvl w:val="1"/>
          <w:numId w:val="2"/>
        </w:numPr>
      </w:pPr>
      <w:r w:rsidRPr="001A05F4">
        <w:t xml:space="preserve">The AEs experienced by adult patients </w:t>
      </w:r>
      <w:r w:rsidR="00497D2D" w:rsidRPr="001A05F4">
        <w:t xml:space="preserve">treated with </w:t>
      </w:r>
      <w:r w:rsidRPr="001A05F4">
        <w:t>nusinersen were similar to those experienced by children in whom AEs were also commonly related to lumbar puncture administration (headache, vomiting, back pain).</w:t>
      </w:r>
    </w:p>
    <w:p w:rsidR="00C66BE6" w:rsidRPr="001A05F4" w:rsidRDefault="00C66BE6" w:rsidP="00F9436F">
      <w:pPr>
        <w:pStyle w:val="ListParagraph"/>
        <w:widowControl/>
        <w:numPr>
          <w:ilvl w:val="1"/>
          <w:numId w:val="2"/>
        </w:numPr>
      </w:pPr>
      <w:r w:rsidRPr="001A05F4">
        <w:t xml:space="preserve">In November 2020 the PBAC detailed that there may be long term implications from repeated lumbar puncture administrations, particularly in patients who may not have had nusinersen otherwise (i.e. Type IIIb and Type IV patients). The PBAC considered that the claim of non-inferior comparative safety was not adequately supported by the data (paragraphs 6.47 and 7.11, p19 and 34, nusinersen PSD, November 2020). No data was provided in the current resubmission to demonstrate the long-term safety of repeated nusinersen administration or to support </w:t>
      </w:r>
      <w:r w:rsidR="006A628A" w:rsidRPr="001A05F4">
        <w:t xml:space="preserve">the claim </w:t>
      </w:r>
      <w:r w:rsidRPr="001A05F4">
        <w:t>that nusinersen is non-inferior to standard of care with respect to safety for the requested patient population.</w:t>
      </w:r>
    </w:p>
    <w:p w:rsidR="007967E3" w:rsidRPr="001A05F4" w:rsidRDefault="007967E3" w:rsidP="00F9436F">
      <w:pPr>
        <w:pStyle w:val="ListParagraph"/>
        <w:widowControl/>
        <w:numPr>
          <w:ilvl w:val="1"/>
          <w:numId w:val="2"/>
        </w:numPr>
        <w:rPr>
          <w:iCs/>
        </w:rPr>
      </w:pPr>
      <w:r w:rsidRPr="001A05F4">
        <w:rPr>
          <w:iCs/>
        </w:rPr>
        <w:t xml:space="preserve">The PSCR argued that evidence from the </w:t>
      </w:r>
      <w:r w:rsidR="00EE32AB" w:rsidRPr="001A05F4">
        <w:rPr>
          <w:iCs/>
        </w:rPr>
        <w:t>periodic safety update report (</w:t>
      </w:r>
      <w:r w:rsidRPr="001A05F4">
        <w:rPr>
          <w:iCs/>
        </w:rPr>
        <w:t>PSUR</w:t>
      </w:r>
      <w:r w:rsidR="00EE32AB" w:rsidRPr="001A05F4">
        <w:rPr>
          <w:iCs/>
        </w:rPr>
        <w:t>)</w:t>
      </w:r>
      <w:r w:rsidRPr="001A05F4">
        <w:rPr>
          <w:iCs/>
        </w:rPr>
        <w:t xml:space="preserve"> indicated no long-term adverse implications from repeated lumbar puncture and all adverse events were aligned with the safety profile for nusinersen. </w:t>
      </w:r>
    </w:p>
    <w:p w:rsidR="00C66BE6" w:rsidRPr="001A05F4" w:rsidRDefault="00C66BE6" w:rsidP="00C66BE6">
      <w:pPr>
        <w:pStyle w:val="4-SubsectionHeading"/>
      </w:pPr>
      <w:bookmarkStart w:id="33" w:name="_Toc72327831"/>
      <w:r w:rsidRPr="001A05F4">
        <w:t>Benefits/harms</w:t>
      </w:r>
      <w:bookmarkEnd w:id="33"/>
    </w:p>
    <w:p w:rsidR="00C66BE6" w:rsidRPr="001A05F4" w:rsidRDefault="00C66BE6" w:rsidP="00F9436F">
      <w:pPr>
        <w:pStyle w:val="3-BodyText"/>
        <w:numPr>
          <w:ilvl w:val="1"/>
          <w:numId w:val="2"/>
        </w:numPr>
      </w:pPr>
      <w:r w:rsidRPr="001A05F4">
        <w:rPr>
          <w:snapToGrid/>
        </w:rPr>
        <w:t>The naïve indirect comparison presented in the resubmission did not allow for a quantitative comparison of the benefits and harms of treatment with nusinersen and standard of care in the requested patient populations. A benefits/harms table was consequently not presented.</w:t>
      </w:r>
    </w:p>
    <w:p w:rsidR="00C66BE6" w:rsidRPr="001A05F4" w:rsidRDefault="00C66BE6" w:rsidP="00C66BE6">
      <w:pPr>
        <w:pStyle w:val="4-SubsectionHeading"/>
      </w:pPr>
      <w:bookmarkStart w:id="34" w:name="_Toc72327832"/>
      <w:r w:rsidRPr="001A05F4">
        <w:t>Clinical claim</w:t>
      </w:r>
      <w:bookmarkEnd w:id="34"/>
    </w:p>
    <w:p w:rsidR="00C66BE6" w:rsidRPr="001A05F4" w:rsidRDefault="00C66BE6" w:rsidP="00F9436F">
      <w:pPr>
        <w:pStyle w:val="ListParagraph"/>
        <w:widowControl/>
        <w:numPr>
          <w:ilvl w:val="1"/>
          <w:numId w:val="2"/>
        </w:numPr>
      </w:pPr>
      <w:r w:rsidRPr="001A05F4">
        <w:t xml:space="preserve">The resubmission described nusinersen for the treatment of adult patients diagnosed with SMA as superior in terms of effectiveness and non-inferior in terms of safety compared with standard of care. </w:t>
      </w:r>
      <w:r w:rsidRPr="001A05F4">
        <w:rPr>
          <w:iCs/>
        </w:rPr>
        <w:t xml:space="preserve">The therapeutic conclusion was </w:t>
      </w:r>
      <w:r w:rsidR="009F2453" w:rsidRPr="001A05F4">
        <w:rPr>
          <w:iCs/>
        </w:rPr>
        <w:t>only partially</w:t>
      </w:r>
      <w:r w:rsidR="003C18A7" w:rsidRPr="001A05F4">
        <w:rPr>
          <w:iCs/>
        </w:rPr>
        <w:t xml:space="preserve"> </w:t>
      </w:r>
      <w:r w:rsidRPr="001A05F4">
        <w:rPr>
          <w:iCs/>
        </w:rPr>
        <w:t>supported by the evidence presented in the resubmission because:</w:t>
      </w:r>
    </w:p>
    <w:p w:rsidR="00C66BE6" w:rsidRPr="001A05F4" w:rsidRDefault="009F2453" w:rsidP="00F9436F">
      <w:pPr>
        <w:pStyle w:val="ListParagraph"/>
        <w:widowControl/>
        <w:numPr>
          <w:ilvl w:val="2"/>
          <w:numId w:val="10"/>
        </w:numPr>
        <w:ind w:left="993" w:hanging="284"/>
        <w:rPr>
          <w:iCs/>
        </w:rPr>
      </w:pPr>
      <w:r w:rsidRPr="001A05F4">
        <w:rPr>
          <w:iCs/>
        </w:rPr>
        <w:t>The incremental benefit of nusinersen in adult SMA patients remain</w:t>
      </w:r>
      <w:r w:rsidR="00EC6F32" w:rsidRPr="001A05F4">
        <w:rPr>
          <w:iCs/>
        </w:rPr>
        <w:t>s</w:t>
      </w:r>
      <w:r w:rsidRPr="001A05F4">
        <w:rPr>
          <w:iCs/>
        </w:rPr>
        <w:t xml:space="preserve"> uncertain, as there w</w:t>
      </w:r>
      <w:r w:rsidR="00EC6F32" w:rsidRPr="001A05F4">
        <w:rPr>
          <w:iCs/>
        </w:rPr>
        <w:t>as</w:t>
      </w:r>
      <w:r w:rsidRPr="001A05F4">
        <w:rPr>
          <w:iCs/>
        </w:rPr>
        <w:t xml:space="preserve"> no high</w:t>
      </w:r>
      <w:r w:rsidR="003C18A7" w:rsidRPr="001A05F4">
        <w:rPr>
          <w:iCs/>
        </w:rPr>
        <w:t>er</w:t>
      </w:r>
      <w:r w:rsidRPr="001A05F4">
        <w:rPr>
          <w:iCs/>
        </w:rPr>
        <w:t xml:space="preserve"> quality comparative evidence presented. </w:t>
      </w:r>
      <w:r w:rsidR="00EC6F32" w:rsidRPr="001A05F4">
        <w:rPr>
          <w:iCs/>
        </w:rPr>
        <w:t>T</w:t>
      </w:r>
      <w:r w:rsidRPr="001A05F4">
        <w:rPr>
          <w:iCs/>
        </w:rPr>
        <w:t>he PBAC has previously noted that while a claim of superior comparative effectiveness of nusinersen to standard of care was reasonable, the magnitude and durability of benefit was not able to be quantified based on the data presented (paragraph 7.10, p34 nusinersen PSD November 2020). No new randomised studies were presented in the current resubmission to address this, and as in the November 2020 nusinersen submission, no statistical analysis or incremental benefit was calculated for the naïve indirect comparisons between patients treated with nusinersen and the natural history of patients with SMA;</w:t>
      </w:r>
    </w:p>
    <w:p w:rsidR="00C66BE6" w:rsidRPr="001A05F4" w:rsidRDefault="003C18A7" w:rsidP="00F9436F">
      <w:pPr>
        <w:pStyle w:val="ListParagraph"/>
        <w:widowControl/>
        <w:numPr>
          <w:ilvl w:val="2"/>
          <w:numId w:val="10"/>
        </w:numPr>
        <w:ind w:left="993" w:hanging="284"/>
        <w:rPr>
          <w:iCs/>
        </w:rPr>
      </w:pPr>
      <w:r w:rsidRPr="001A05F4">
        <w:rPr>
          <w:iCs/>
        </w:rPr>
        <w:t>Limited d</w:t>
      </w:r>
      <w:r w:rsidR="00C66BE6" w:rsidRPr="001A05F4">
        <w:rPr>
          <w:iCs/>
        </w:rPr>
        <w:t>ata from the SMA registry</w:t>
      </w:r>
      <w:r w:rsidR="0072182D" w:rsidRPr="001A05F4">
        <w:rPr>
          <w:iCs/>
        </w:rPr>
        <w:t xml:space="preserve"> </w:t>
      </w:r>
      <w:r w:rsidR="00077502" w:rsidRPr="001A05F4">
        <w:rPr>
          <w:iCs/>
        </w:rPr>
        <w:t>for</w:t>
      </w:r>
      <w:r w:rsidR="00C66BE6" w:rsidRPr="001A05F4">
        <w:rPr>
          <w:iCs/>
        </w:rPr>
        <w:t xml:space="preserve"> adult patients with SMA Type III and IV who had motor score values from before and after nusinersen treatment initiation</w:t>
      </w:r>
      <w:r w:rsidR="00077502" w:rsidRPr="001A05F4">
        <w:rPr>
          <w:iCs/>
        </w:rPr>
        <w:t>,</w:t>
      </w:r>
      <w:r w:rsidR="00C66BE6" w:rsidRPr="001A05F4">
        <w:rPr>
          <w:iCs/>
        </w:rPr>
        <w:t xml:space="preserve"> reported an annualised increase of + 1.34 points for HFMSE and +0.52 points (+0.99 when excluding ceiling effect) for RULM, with both of these outcomes failing to meet the proposed clinically meaningful threshold of ≥3 points for HFMSE and ≥2 points for RULM</w:t>
      </w:r>
      <w:r w:rsidR="009F2453" w:rsidRPr="001A05F4">
        <w:rPr>
          <w:iCs/>
        </w:rPr>
        <w:t>;</w:t>
      </w:r>
    </w:p>
    <w:p w:rsidR="00C66BE6" w:rsidRPr="001A05F4" w:rsidRDefault="00B540DA" w:rsidP="00F9436F">
      <w:pPr>
        <w:pStyle w:val="ListParagraph"/>
        <w:widowControl/>
        <w:numPr>
          <w:ilvl w:val="2"/>
          <w:numId w:val="10"/>
        </w:numPr>
        <w:ind w:left="993" w:hanging="284"/>
        <w:rPr>
          <w:iCs/>
        </w:rPr>
      </w:pPr>
      <w:r w:rsidRPr="001A05F4">
        <w:rPr>
          <w:iCs/>
        </w:rPr>
        <w:t>I</w:t>
      </w:r>
      <w:r w:rsidR="00C66BE6" w:rsidRPr="001A05F4">
        <w:rPr>
          <w:iCs/>
        </w:rPr>
        <w:t xml:space="preserve">t was uncertain if HFMSE and RULM </w:t>
      </w:r>
      <w:r w:rsidR="003C18A7" w:rsidRPr="001A05F4">
        <w:rPr>
          <w:iCs/>
        </w:rPr>
        <w:t xml:space="preserve">were </w:t>
      </w:r>
      <w:r w:rsidR="00C66BE6" w:rsidRPr="001A05F4">
        <w:rPr>
          <w:iCs/>
        </w:rPr>
        <w:t>patient relevant outcomes</w:t>
      </w:r>
      <w:r w:rsidR="003C18A7" w:rsidRPr="001A05F4">
        <w:rPr>
          <w:iCs/>
        </w:rPr>
        <w:t xml:space="preserve"> in adult SMA patients</w:t>
      </w:r>
      <w:r w:rsidRPr="001A05F4">
        <w:rPr>
          <w:iCs/>
        </w:rPr>
        <w:t xml:space="preserve">, </w:t>
      </w:r>
      <w:r w:rsidRPr="001A05F4">
        <w:rPr>
          <w:rFonts w:cs="Calibri"/>
          <w:iCs/>
          <w:szCs w:val="24"/>
          <w:lang w:eastAsia="en-AU"/>
        </w:rPr>
        <w:t>given the differences between patients in terms of age, disease severity and baseline levels of function, there is no single outcome reported in the trials that can capture the most meaningful changes for these patients</w:t>
      </w:r>
      <w:r w:rsidR="003C18A7" w:rsidRPr="001A05F4">
        <w:rPr>
          <w:iCs/>
        </w:rPr>
        <w:t>; and</w:t>
      </w:r>
      <w:r w:rsidR="00C66BE6" w:rsidRPr="001A05F4">
        <w:rPr>
          <w:iCs/>
        </w:rPr>
        <w:t xml:space="preserve"> </w:t>
      </w:r>
    </w:p>
    <w:p w:rsidR="00C66BE6" w:rsidRPr="001A05F4" w:rsidRDefault="00C66BE6" w:rsidP="00F9436F">
      <w:pPr>
        <w:pStyle w:val="ListParagraph"/>
        <w:widowControl/>
        <w:numPr>
          <w:ilvl w:val="2"/>
          <w:numId w:val="10"/>
        </w:numPr>
        <w:ind w:left="993" w:hanging="284"/>
        <w:rPr>
          <w:iCs/>
        </w:rPr>
      </w:pPr>
      <w:r w:rsidRPr="001A05F4">
        <w:rPr>
          <w:iCs/>
        </w:rPr>
        <w:t>The PBAC had previously noted the short duration of follow-up in the included studies in the context of long-term treatment and considered that the durability of response with nusinersen in adults with SMA was unknown (paragraph 7.8, p33 nusinersen PSD, November 2020), with data up to 14 months of treatment being available. The additional studies included in this resubmission did not provide any longer term data</w:t>
      </w:r>
      <w:r w:rsidR="003C18A7" w:rsidRPr="001A05F4">
        <w:rPr>
          <w:iCs/>
        </w:rPr>
        <w:t xml:space="preserve"> to better inform the durability of benefit with nusinersen</w:t>
      </w:r>
      <w:r w:rsidRPr="001A05F4">
        <w:rPr>
          <w:iCs/>
        </w:rPr>
        <w:t>.</w:t>
      </w:r>
    </w:p>
    <w:p w:rsidR="00D01067" w:rsidRPr="001A05F4" w:rsidRDefault="00D01067" w:rsidP="00F9436F">
      <w:pPr>
        <w:pStyle w:val="ListParagraph"/>
        <w:widowControl/>
        <w:numPr>
          <w:ilvl w:val="1"/>
          <w:numId w:val="2"/>
        </w:numPr>
        <w:ind w:left="709"/>
      </w:pPr>
      <w:r w:rsidRPr="001A05F4">
        <w:t>The ESC noted that the PSCR claimed that the evidence presented “demonstrates that nusinersen enables all adult patients to maintain or improve their current functional state”. The ESC disagreed with this statement and considered that not all patients maintain or improve functional status in the same way and the evidence presented reflect variation in response to nusinersen treatment.</w:t>
      </w:r>
      <w:r w:rsidR="001012F7" w:rsidRPr="001A05F4">
        <w:t xml:space="preserve"> The PSCR also stated that the claimed clinical benefit aligned with the evidence in clinical trials and observational data in around 11,000 SMA patients treated for up to 6.5 years. The ESC noted that the vast majority of the evidence for nusinersen in terms of both the number of patients and the duration of treatment was in the paediatric population.</w:t>
      </w:r>
    </w:p>
    <w:p w:rsidR="003C18A7" w:rsidRPr="001A05F4" w:rsidRDefault="003C18A7" w:rsidP="00F9436F">
      <w:pPr>
        <w:pStyle w:val="ListParagraph"/>
        <w:widowControl/>
        <w:numPr>
          <w:ilvl w:val="1"/>
          <w:numId w:val="2"/>
        </w:numPr>
        <w:rPr>
          <w:iCs/>
        </w:rPr>
      </w:pPr>
      <w:r w:rsidRPr="001A05F4">
        <w:rPr>
          <w:iCs/>
        </w:rPr>
        <w:t>The PBAC had previously considered that the claim of non-inferior comparative safety was not adequately supported by the data and that there may be long term implications from repeated lumbar puncture administrations, particularly in patients who may not have had nusinersen otherwise (i.e. Type IIIb patients) (paragraphs 6.56 and 6.58, p20-21, nusinersen PSD November 2020). The resubmission did not provide a comparative safety assessment to support a claim of non-inferiority, and only provide</w:t>
      </w:r>
      <w:r w:rsidR="00EC6F32" w:rsidRPr="001A05F4">
        <w:rPr>
          <w:iCs/>
        </w:rPr>
        <w:t>d</w:t>
      </w:r>
      <w:r w:rsidRPr="001A05F4">
        <w:rPr>
          <w:iCs/>
        </w:rPr>
        <w:t xml:space="preserve"> limited information regarding potential safety concerns with repeated lumbar punctures</w:t>
      </w:r>
      <w:r w:rsidR="00077502" w:rsidRPr="001A05F4">
        <w:rPr>
          <w:iCs/>
        </w:rPr>
        <w:t>.</w:t>
      </w:r>
      <w:r w:rsidR="00497D2D" w:rsidRPr="001A05F4">
        <w:rPr>
          <w:iCs/>
        </w:rPr>
        <w:t xml:space="preserve"> </w:t>
      </w:r>
      <w:r w:rsidR="00077502" w:rsidRPr="001A05F4">
        <w:rPr>
          <w:iCs/>
        </w:rPr>
        <w:t>I</w:t>
      </w:r>
      <w:r w:rsidRPr="001A05F4">
        <w:rPr>
          <w:iCs/>
        </w:rPr>
        <w:t>t was noted that two patients in Maggi 2020 discontinued treatment after six months due to lack of subjective benefit and poor tolerability of repeated lumbar puncture</w:t>
      </w:r>
      <w:r w:rsidR="007F5AC0" w:rsidRPr="001A05F4">
        <w:rPr>
          <w:iCs/>
        </w:rPr>
        <w:t xml:space="preserve"> and two patients in Hag</w:t>
      </w:r>
      <w:r w:rsidR="003A04D1" w:rsidRPr="001A05F4">
        <w:rPr>
          <w:iCs/>
        </w:rPr>
        <w:t>e</w:t>
      </w:r>
      <w:r w:rsidR="007F5AC0" w:rsidRPr="001A05F4">
        <w:rPr>
          <w:iCs/>
        </w:rPr>
        <w:t>n</w:t>
      </w:r>
      <w:r w:rsidR="00FD5ACE" w:rsidRPr="001A05F4">
        <w:rPr>
          <w:iCs/>
        </w:rPr>
        <w:t>a</w:t>
      </w:r>
      <w:r w:rsidR="007F5AC0" w:rsidRPr="001A05F4">
        <w:rPr>
          <w:iCs/>
        </w:rPr>
        <w:t xml:space="preserve">cker 2020 also discontinued due to drug related adverse events. </w:t>
      </w:r>
    </w:p>
    <w:p w:rsidR="00517C13" w:rsidRPr="001A05F4" w:rsidRDefault="00517C13" w:rsidP="00F9436F">
      <w:pPr>
        <w:pStyle w:val="ListParagraph"/>
        <w:widowControl/>
        <w:numPr>
          <w:ilvl w:val="1"/>
          <w:numId w:val="2"/>
        </w:numPr>
        <w:rPr>
          <w:iCs/>
        </w:rPr>
      </w:pPr>
      <w:r w:rsidRPr="001A05F4">
        <w:rPr>
          <w:iCs/>
        </w:rPr>
        <w:t>The PBAC considered</w:t>
      </w:r>
      <w:r w:rsidR="003E4BB0" w:rsidRPr="001A05F4">
        <w:rPr>
          <w:iCs/>
        </w:rPr>
        <w:t xml:space="preserve"> that the claim of superior comparative effectiveness was reasonable however, the PBAC considered that the magnitude and durability of benefit remained uncertain</w:t>
      </w:r>
      <w:r w:rsidR="000A69A8" w:rsidRPr="001A05F4">
        <w:rPr>
          <w:iCs/>
        </w:rPr>
        <w:t>,</w:t>
      </w:r>
      <w:r w:rsidR="003E4BB0" w:rsidRPr="001A05F4">
        <w:rPr>
          <w:iCs/>
        </w:rPr>
        <w:t xml:space="preserve"> noting no new comparative data was presented in the resubmission.</w:t>
      </w:r>
    </w:p>
    <w:p w:rsidR="003E4BB0" w:rsidRPr="001A05F4" w:rsidRDefault="003E4BB0" w:rsidP="00F9436F">
      <w:pPr>
        <w:pStyle w:val="3-BodyText"/>
        <w:numPr>
          <w:ilvl w:val="1"/>
          <w:numId w:val="2"/>
        </w:numPr>
        <w:rPr>
          <w:rFonts w:eastAsia="Calibri"/>
        </w:rPr>
      </w:pPr>
      <w:r w:rsidRPr="001A05F4">
        <w:rPr>
          <w:rFonts w:eastAsia="Calibri"/>
        </w:rPr>
        <w:t>The PBAC considered that the claim of non-inferior comparative safety</w:t>
      </w:r>
      <w:r w:rsidR="000A69A8" w:rsidRPr="001A05F4">
        <w:rPr>
          <w:rFonts w:eastAsia="Calibri"/>
        </w:rPr>
        <w:t xml:space="preserve"> remained unreasonable </w:t>
      </w:r>
      <w:r w:rsidR="0081625F" w:rsidRPr="001A05F4">
        <w:rPr>
          <w:rFonts w:eastAsia="Calibri"/>
        </w:rPr>
        <w:t xml:space="preserve">and </w:t>
      </w:r>
      <w:r w:rsidRPr="001A05F4">
        <w:rPr>
          <w:rFonts w:eastAsia="Calibri"/>
        </w:rPr>
        <w:t>not adequately supported by the data.</w:t>
      </w:r>
    </w:p>
    <w:p w:rsidR="00C66BE6" w:rsidRPr="001A05F4" w:rsidRDefault="00C66BE6" w:rsidP="00C66BE6">
      <w:pPr>
        <w:pStyle w:val="4-SubsectionHeading"/>
      </w:pPr>
      <w:bookmarkStart w:id="35" w:name="_Toc72327833"/>
      <w:r w:rsidRPr="001A05F4">
        <w:t>Economic analysis</w:t>
      </w:r>
      <w:bookmarkEnd w:id="35"/>
      <w:r w:rsidRPr="001A05F4">
        <w:t xml:space="preserve"> </w:t>
      </w:r>
    </w:p>
    <w:p w:rsidR="00CC1192" w:rsidRPr="001A05F4" w:rsidRDefault="00CC1192" w:rsidP="00F9436F">
      <w:pPr>
        <w:pStyle w:val="ListParagraph"/>
        <w:widowControl/>
        <w:numPr>
          <w:ilvl w:val="1"/>
          <w:numId w:val="2"/>
        </w:numPr>
        <w:rPr>
          <w:iCs/>
        </w:rPr>
      </w:pPr>
      <w:r w:rsidRPr="001A05F4">
        <w:rPr>
          <w:iCs/>
        </w:rPr>
        <w:t xml:space="preserve">The PSCR stated that “an assessment of the cost-effectiveness of nusinersen in adults is only necessary because of a historical PBAC decision to introduce a PBS age restriction in June 2018 for which, based on age, this group of patients would otherwise be eligible for PBS funded nusinersen treatment.” </w:t>
      </w:r>
      <w:r w:rsidR="00EE32AB" w:rsidRPr="001A05F4">
        <w:rPr>
          <w:iCs/>
        </w:rPr>
        <w:t>The ESC noted that the cost effectiveness of treating patients with type II and IIIa SMA who have survived to adulthood without disease modifying treatments, and the cost-effectiveness of treating any patients with type IIIb SMA, has not been established in previous submissions to the PBAC. Without such an analysis the PBAC is unable to recommend listing on the PBS.</w:t>
      </w:r>
    </w:p>
    <w:p w:rsidR="006B1973" w:rsidRPr="001A05F4" w:rsidRDefault="006B1973" w:rsidP="00F9436F">
      <w:pPr>
        <w:pStyle w:val="ListParagraph"/>
        <w:widowControl/>
        <w:numPr>
          <w:ilvl w:val="1"/>
          <w:numId w:val="2"/>
        </w:numPr>
      </w:pPr>
      <w:r w:rsidRPr="001A05F4">
        <w:t>The only nusinersen study presented by the resubmission that was used to inform the economic evaluation</w:t>
      </w:r>
      <w:r w:rsidR="001B6D48" w:rsidRPr="001A05F4">
        <w:t>,</w:t>
      </w:r>
      <w:r w:rsidRPr="001A05F4">
        <w:t xml:space="preserve"> was Maggi 2020. The responder rates from Maggi 2020 w</w:t>
      </w:r>
      <w:r w:rsidR="00EC6F32" w:rsidRPr="001A05F4">
        <w:t>ere</w:t>
      </w:r>
      <w:r w:rsidRPr="001A05F4">
        <w:t xml:space="preserve"> used to calculate utility benefit of patients who were treated with nusinersen in the model. </w:t>
      </w:r>
      <w:r w:rsidR="0072182D" w:rsidRPr="001A05F4">
        <w:t xml:space="preserve">The resubmission </w:t>
      </w:r>
      <w:r w:rsidR="00A20CDB" w:rsidRPr="001A05F4">
        <w:t>stated that Maggi 2020 was used because,</w:t>
      </w:r>
      <w:r w:rsidR="0072182D" w:rsidRPr="001A05F4">
        <w:t xml:space="preserve"> </w:t>
      </w:r>
      <w:r w:rsidR="00A20CDB" w:rsidRPr="001A05F4">
        <w:t>u</w:t>
      </w:r>
      <w:r w:rsidR="0072182D" w:rsidRPr="001A05F4">
        <w:t>nlike Hagenacker 2020</w:t>
      </w:r>
      <w:r w:rsidR="00A20CDB" w:rsidRPr="001A05F4">
        <w:t xml:space="preserve"> </w:t>
      </w:r>
      <w:r w:rsidR="00781D50" w:rsidRPr="001A05F4">
        <w:t>(</w:t>
      </w:r>
      <w:r w:rsidR="00A20CDB" w:rsidRPr="001A05F4">
        <w:t xml:space="preserve">which was used in the </w:t>
      </w:r>
      <w:r w:rsidR="00781D50" w:rsidRPr="001A05F4">
        <w:t xml:space="preserve">economic evaluation in the </w:t>
      </w:r>
      <w:r w:rsidR="00A20CDB" w:rsidRPr="001A05F4">
        <w:t>November 2020 resubmission</w:t>
      </w:r>
      <w:r w:rsidR="00781D50" w:rsidRPr="001A05F4">
        <w:t>)</w:t>
      </w:r>
      <w:r w:rsidR="0072182D" w:rsidRPr="001A05F4">
        <w:t xml:space="preserve">, </w:t>
      </w:r>
      <w:r w:rsidR="00A20CDB" w:rsidRPr="001A05F4">
        <w:t xml:space="preserve">it </w:t>
      </w:r>
      <w:r w:rsidR="0072182D" w:rsidRPr="001A05F4">
        <w:t>provide</w:t>
      </w:r>
      <w:r w:rsidR="00781D50" w:rsidRPr="001A05F4">
        <w:t>d</w:t>
      </w:r>
      <w:r w:rsidR="0072182D" w:rsidRPr="001A05F4">
        <w:t xml:space="preserve"> response rates </w:t>
      </w:r>
      <w:r w:rsidR="00A20CDB" w:rsidRPr="001A05F4">
        <w:t xml:space="preserve">for 6MWT, HFMSE, RULM </w:t>
      </w:r>
      <w:r w:rsidR="0072182D" w:rsidRPr="001A05F4">
        <w:t>by motor function status</w:t>
      </w:r>
      <w:r w:rsidR="00A20CDB" w:rsidRPr="001A05F4">
        <w:t>.</w:t>
      </w:r>
      <w:r w:rsidR="00C4193E" w:rsidRPr="001A05F4">
        <w:t xml:space="preserve"> </w:t>
      </w:r>
    </w:p>
    <w:p w:rsidR="009D598E" w:rsidRPr="001A05F4" w:rsidRDefault="009D598E" w:rsidP="00F9436F">
      <w:pPr>
        <w:pStyle w:val="ListParagraph"/>
        <w:widowControl/>
        <w:numPr>
          <w:ilvl w:val="1"/>
          <w:numId w:val="2"/>
        </w:numPr>
      </w:pPr>
      <w:r w:rsidRPr="001A05F4">
        <w:t xml:space="preserve">The natural history studies used in the naïve comparison were not relied upon by the resubmission in the economic model. Instead, results from </w:t>
      </w:r>
      <w:r w:rsidR="001F3DDC" w:rsidRPr="001A05F4">
        <w:t xml:space="preserve">one natural history study, </w:t>
      </w:r>
      <w:r w:rsidRPr="001A05F4">
        <w:t>Wadman 2017</w:t>
      </w:r>
      <w:r w:rsidR="001F3DDC" w:rsidRPr="001A05F4">
        <w:t>,</w:t>
      </w:r>
      <w:r w:rsidRPr="001A05F4">
        <w:t xml:space="preserve"> w</w:t>
      </w:r>
      <w:r w:rsidR="00EC6F32" w:rsidRPr="001A05F4">
        <w:t>ere</w:t>
      </w:r>
      <w:r w:rsidRPr="001A05F4">
        <w:t xml:space="preserve"> used to inform the progression of disease in patients treated with standard of care. </w:t>
      </w:r>
    </w:p>
    <w:p w:rsidR="009D598E" w:rsidRPr="001A05F4" w:rsidRDefault="009D598E" w:rsidP="00F9436F">
      <w:pPr>
        <w:pStyle w:val="ListParagraph"/>
        <w:widowControl/>
        <w:numPr>
          <w:ilvl w:val="1"/>
          <w:numId w:val="2"/>
        </w:numPr>
      </w:pPr>
      <w:r w:rsidRPr="001A05F4">
        <w:t xml:space="preserve">Wadman 2017 was a study of 200 patients with genetically confirmed SMA Type I to IV, with </w:t>
      </w:r>
      <w:r w:rsidRPr="001A05F4">
        <w:rPr>
          <w:i/>
        </w:rPr>
        <w:t>SMN2</w:t>
      </w:r>
      <w:r w:rsidRPr="001A05F4">
        <w:t xml:space="preserve"> copy numbers varying from 1 to 5 copies. </w:t>
      </w:r>
      <w:r w:rsidR="00781D50" w:rsidRPr="001A05F4">
        <w:t>Wadman 2017 did not report on the treatments received by patients, but as p</w:t>
      </w:r>
      <w:r w:rsidRPr="001A05F4">
        <w:t>atients were recruited between September 2010 and August 2014, likely predating nusinersen availability therefore it was unlikely that patients were treated with nusinersen</w:t>
      </w:r>
      <w:r w:rsidR="002E3B49" w:rsidRPr="001A05F4">
        <w:t xml:space="preserve"> </w:t>
      </w:r>
      <w:r w:rsidRPr="001A05F4">
        <w:t xml:space="preserve">which was approved in 2016. The age at symptom onset, motor milestones (sitting, standing, walking), respiratory support and other key events were reported for these patients, providing information on the progression of disease in SMA patients. </w:t>
      </w:r>
      <w:r w:rsidRPr="001A05F4">
        <w:rPr>
          <w:iCs/>
        </w:rPr>
        <w:t>It was excluded from the clinical evidence as it did not report HFMSE, RULM or 6MWT results (though it is noted that results for some of these patients may have been reported by Wadman 2018).</w:t>
      </w:r>
    </w:p>
    <w:p w:rsidR="006B1973" w:rsidRPr="001A05F4" w:rsidRDefault="006B1973" w:rsidP="00F9436F">
      <w:pPr>
        <w:pStyle w:val="ListParagraph"/>
        <w:widowControl/>
        <w:numPr>
          <w:ilvl w:val="1"/>
          <w:numId w:val="2"/>
        </w:numPr>
      </w:pPr>
      <w:r w:rsidRPr="001A05F4">
        <w:t xml:space="preserve">The resubmission excluded patients with SMA Type II from the economic analysis, arguing that Type II SMA made up only a small proportion of adult SMA patients in Maggi 2020 (13/116, 11%) and that Type IIIa patients were a suitable proxy for Type II patients. </w:t>
      </w:r>
      <w:r w:rsidRPr="001A05F4">
        <w:rPr>
          <w:iCs/>
        </w:rPr>
        <w:t>This may not be appropriate</w:t>
      </w:r>
      <w:r w:rsidR="00497D2D" w:rsidRPr="001A05F4">
        <w:rPr>
          <w:iCs/>
        </w:rPr>
        <w:t>, particularly given that the requested restriction does not exclude patients with SMA Type II</w:t>
      </w:r>
      <w:r w:rsidRPr="001A05F4">
        <w:rPr>
          <w:iCs/>
        </w:rPr>
        <w:t xml:space="preserve">. While there may be some similarities between Type II and Type IIIa patients, there are numerous important differences such as life expectancy and degree of disability at any given age. As such, the progression and incremental benefit from treatment would differ. Further, both Hagenacker 2020 (45/124, 36%) and Duong 2021 (18/42, 42%) enrolled a much larger proportion of Type II patients compared to Maggi 2020. It was noted that Type II patients were included in the November 2020 resubmission. </w:t>
      </w:r>
    </w:p>
    <w:p w:rsidR="006B1973" w:rsidRPr="001A05F4" w:rsidRDefault="006B1973" w:rsidP="00F9436F">
      <w:pPr>
        <w:pStyle w:val="ListParagraph"/>
        <w:widowControl/>
        <w:numPr>
          <w:ilvl w:val="1"/>
          <w:numId w:val="2"/>
        </w:numPr>
      </w:pPr>
      <w:r w:rsidRPr="001A05F4">
        <w:rPr>
          <w:iCs/>
        </w:rPr>
        <w:t>The omission of Type II SMA patients likely favoured nusinersen and underestimates the true ICER across the whole cohort as patients with Type II SMA were likely to start treatment at a more disabled health state, which may limit the potential utility gain from treatment with nusinersen in the current model due to a floor effect</w:t>
      </w:r>
      <w:r w:rsidR="00A20F3A" w:rsidRPr="001A05F4">
        <w:rPr>
          <w:iCs/>
        </w:rPr>
        <w:t xml:space="preserve">. </w:t>
      </w:r>
      <w:r w:rsidRPr="001A05F4">
        <w:rPr>
          <w:iCs/>
        </w:rPr>
        <w:t>Maggi 2020 reported no significant differences (P &gt; 0.05) for change from baseline in HFMSE or RULM and as such</w:t>
      </w:r>
      <w:r w:rsidR="0035742A" w:rsidRPr="001A05F4">
        <w:rPr>
          <w:iCs/>
        </w:rPr>
        <w:t>,</w:t>
      </w:r>
      <w:r w:rsidRPr="001A05F4">
        <w:rPr>
          <w:iCs/>
        </w:rPr>
        <w:t xml:space="preserve"> it would have been unreasonable to have claimed any quality of life benefit based on HFMSE or RULM response rates in these patients</w:t>
      </w:r>
      <w:r w:rsidR="004D78EF" w:rsidRPr="001A05F4">
        <w:rPr>
          <w:iCs/>
        </w:rPr>
        <w:t xml:space="preserve"> based on the resubmission’s nominated approach</w:t>
      </w:r>
      <w:r w:rsidRPr="001A05F4">
        <w:rPr>
          <w:iCs/>
        </w:rPr>
        <w:t>.</w:t>
      </w:r>
    </w:p>
    <w:p w:rsidR="00926D1E" w:rsidRPr="001A05F4" w:rsidRDefault="00926D1E" w:rsidP="00F9436F">
      <w:pPr>
        <w:pStyle w:val="ListParagraph"/>
        <w:widowControl/>
        <w:numPr>
          <w:ilvl w:val="1"/>
          <w:numId w:val="2"/>
        </w:numPr>
        <w:rPr>
          <w:iCs/>
        </w:rPr>
      </w:pPr>
      <w:bookmarkStart w:id="36" w:name="_Ref72251023"/>
      <w:r w:rsidRPr="001A05F4">
        <w:rPr>
          <w:iCs/>
        </w:rPr>
        <w:t xml:space="preserve">The ESC considered that the changes in structure from the previous model were generally appropriate and reflected availability of additional clinical evidence, however the changes also introduced additional sources of uncertainty. </w:t>
      </w:r>
    </w:p>
    <w:p w:rsidR="004A0E79" w:rsidRPr="00C508D4" w:rsidRDefault="004A0E79" w:rsidP="00F9436F">
      <w:pPr>
        <w:pStyle w:val="ListParagraph"/>
        <w:widowControl/>
        <w:numPr>
          <w:ilvl w:val="1"/>
          <w:numId w:val="2"/>
        </w:numPr>
      </w:pPr>
      <w:r w:rsidRPr="00C508D4">
        <w:t xml:space="preserve">As the resubmission proposed that the cost of </w:t>
      </w:r>
      <w:r w:rsidR="006B0D96">
        <w:rPr>
          <w:noProof/>
          <w:color w:val="000000"/>
          <w:highlight w:val="black"/>
        </w:rPr>
        <w:t>''''''' '''' ''''''' ''''''''</w:t>
      </w:r>
      <w:r w:rsidRPr="00C508D4">
        <w:t xml:space="preserve"> loading doses of nusinersen will be rebated, the economic model included only the cost of </w:t>
      </w:r>
      <w:r w:rsidR="006B0D96">
        <w:rPr>
          <w:noProof/>
          <w:color w:val="000000"/>
          <w:highlight w:val="black"/>
        </w:rPr>
        <w:t>'''''''''''</w:t>
      </w:r>
      <w:r w:rsidRPr="00C508D4">
        <w:t xml:space="preserve"> loading doses of nusinersen.</w:t>
      </w:r>
      <w:bookmarkEnd w:id="36"/>
    </w:p>
    <w:p w:rsidR="00C66BE6" w:rsidRPr="001A05F4" w:rsidRDefault="00C66BE6" w:rsidP="00F9436F">
      <w:pPr>
        <w:pStyle w:val="ListParagraph"/>
        <w:widowControl/>
        <w:numPr>
          <w:ilvl w:val="1"/>
          <w:numId w:val="2"/>
        </w:numPr>
      </w:pPr>
      <w:r w:rsidRPr="001A05F4">
        <w:rPr>
          <w:color w:val="000000" w:themeColor="text1"/>
        </w:rPr>
        <w:t xml:space="preserve">The resubmission presented a cost-utility analysis. </w:t>
      </w:r>
      <w:r w:rsidR="00BC2D8D" w:rsidRPr="001A05F4">
        <w:rPr>
          <w:color w:val="000000" w:themeColor="text1"/>
        </w:rPr>
        <w:t>Table 14</w:t>
      </w:r>
      <w:r w:rsidR="007F5AC0" w:rsidRPr="001A05F4">
        <w:rPr>
          <w:color w:val="000000" w:themeColor="text1"/>
        </w:rPr>
        <w:t xml:space="preserve"> </w:t>
      </w:r>
      <w:r w:rsidRPr="001A05F4">
        <w:rPr>
          <w:color w:val="000000" w:themeColor="text1"/>
        </w:rPr>
        <w:t>provides a summary of the model structure and key inputs.</w:t>
      </w:r>
    </w:p>
    <w:p w:rsidR="00C66BE6" w:rsidRPr="001A05F4" w:rsidRDefault="007F5AC0" w:rsidP="00CB740B">
      <w:pPr>
        <w:keepNext/>
        <w:rPr>
          <w:rStyle w:val="CommentReference"/>
        </w:rPr>
      </w:pPr>
      <w:bookmarkStart w:id="37" w:name="_Ref71589261"/>
      <w:r w:rsidRPr="001A05F4">
        <w:rPr>
          <w:rStyle w:val="CommentReference"/>
        </w:rPr>
        <w:t xml:space="preserve">Table </w:t>
      </w:r>
      <w:r w:rsidR="00BC2D8D" w:rsidRPr="001A05F4">
        <w:rPr>
          <w:rStyle w:val="CommentReference"/>
        </w:rPr>
        <w:t>14</w:t>
      </w:r>
      <w:bookmarkEnd w:id="37"/>
      <w:r w:rsidRPr="001A05F4">
        <w:rPr>
          <w:rStyle w:val="CommentReference"/>
        </w:rPr>
        <w:t xml:space="preserve">: </w:t>
      </w:r>
      <w:r w:rsidR="00C66BE6" w:rsidRPr="001A05F4">
        <w:rPr>
          <w:rStyle w:val="CommentReference"/>
        </w:rPr>
        <w:t>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55"/>
        <w:gridCol w:w="7462"/>
      </w:tblGrid>
      <w:tr w:rsidR="00C66BE6" w:rsidRPr="001A05F4" w:rsidTr="006458E3">
        <w:trPr>
          <w:tblHeader/>
        </w:trPr>
        <w:tc>
          <w:tcPr>
            <w:tcW w:w="862" w:type="pct"/>
            <w:shd w:val="clear" w:color="auto" w:fill="auto"/>
            <w:vAlign w:val="center"/>
          </w:tcPr>
          <w:p w:rsidR="00C66BE6" w:rsidRPr="001A05F4" w:rsidRDefault="00C66BE6" w:rsidP="00CB740B">
            <w:pPr>
              <w:pStyle w:val="Tabletext"/>
              <w:keepNext/>
              <w:rPr>
                <w:b/>
              </w:rPr>
            </w:pPr>
            <w:r w:rsidRPr="001A05F4">
              <w:rPr>
                <w:b/>
              </w:rPr>
              <w:t>Component</w:t>
            </w:r>
          </w:p>
        </w:tc>
        <w:tc>
          <w:tcPr>
            <w:tcW w:w="4138" w:type="pct"/>
            <w:shd w:val="clear" w:color="auto" w:fill="auto"/>
            <w:vAlign w:val="center"/>
          </w:tcPr>
          <w:p w:rsidR="00C66BE6" w:rsidRPr="001A05F4" w:rsidRDefault="00C66BE6" w:rsidP="00CB740B">
            <w:pPr>
              <w:pStyle w:val="Tabletext"/>
              <w:keepNext/>
              <w:jc w:val="center"/>
              <w:rPr>
                <w:b/>
              </w:rPr>
            </w:pPr>
            <w:r w:rsidRPr="001A05F4">
              <w:rPr>
                <w:b/>
              </w:rPr>
              <w:t>Summary</w:t>
            </w:r>
          </w:p>
        </w:tc>
      </w:tr>
      <w:tr w:rsidR="00C66BE6" w:rsidRPr="001A05F4" w:rsidTr="006458E3">
        <w:tc>
          <w:tcPr>
            <w:tcW w:w="862" w:type="pct"/>
            <w:shd w:val="clear" w:color="auto" w:fill="auto"/>
            <w:vAlign w:val="center"/>
          </w:tcPr>
          <w:p w:rsidR="00C66BE6" w:rsidRPr="001A05F4" w:rsidRDefault="00C66BE6" w:rsidP="00CB740B">
            <w:pPr>
              <w:pStyle w:val="Tabletext"/>
              <w:keepNext/>
            </w:pPr>
            <w:r w:rsidRPr="001A05F4">
              <w:t>Time horizon</w:t>
            </w:r>
          </w:p>
        </w:tc>
        <w:tc>
          <w:tcPr>
            <w:tcW w:w="4138" w:type="pct"/>
            <w:shd w:val="clear" w:color="auto" w:fill="auto"/>
            <w:vAlign w:val="center"/>
          </w:tcPr>
          <w:p w:rsidR="00C66BE6" w:rsidRPr="001A05F4" w:rsidRDefault="00C66BE6" w:rsidP="00CB740B">
            <w:pPr>
              <w:pStyle w:val="Tabletext"/>
              <w:keepNext/>
            </w:pPr>
            <w:r w:rsidRPr="001A05F4">
              <w:t xml:space="preserve">A lifetime time horizon was used in the model base case compared to 14 months follow up for Maggi 2020. </w:t>
            </w:r>
            <w:r w:rsidRPr="001A05F4">
              <w:rPr>
                <w:iCs/>
              </w:rPr>
              <w:t>Given the short duration of the nusinersen studies, the lifetime time horizon used in the model increased uncertainty of the results.</w:t>
            </w:r>
          </w:p>
        </w:tc>
      </w:tr>
      <w:tr w:rsidR="00C66BE6" w:rsidRPr="001A05F4" w:rsidTr="006458E3">
        <w:tc>
          <w:tcPr>
            <w:tcW w:w="862" w:type="pct"/>
            <w:shd w:val="clear" w:color="auto" w:fill="auto"/>
            <w:vAlign w:val="center"/>
          </w:tcPr>
          <w:p w:rsidR="00C66BE6" w:rsidRPr="001A05F4" w:rsidRDefault="00C66BE6" w:rsidP="00CB740B">
            <w:pPr>
              <w:pStyle w:val="Tabletext"/>
              <w:keepNext/>
            </w:pPr>
            <w:r w:rsidRPr="001A05F4">
              <w:t>Outcomes</w:t>
            </w:r>
          </w:p>
        </w:tc>
        <w:tc>
          <w:tcPr>
            <w:tcW w:w="4138" w:type="pct"/>
            <w:shd w:val="clear" w:color="auto" w:fill="auto"/>
            <w:vAlign w:val="center"/>
          </w:tcPr>
          <w:p w:rsidR="00C66BE6" w:rsidRPr="001A05F4" w:rsidRDefault="00C66BE6" w:rsidP="00CB740B">
            <w:pPr>
              <w:pStyle w:val="Tabletext"/>
              <w:keepNext/>
            </w:pPr>
            <w:r w:rsidRPr="001A05F4">
              <w:t>QALYs</w:t>
            </w:r>
          </w:p>
        </w:tc>
      </w:tr>
      <w:tr w:rsidR="00C66BE6" w:rsidRPr="001A05F4" w:rsidTr="006458E3">
        <w:tc>
          <w:tcPr>
            <w:tcW w:w="862" w:type="pct"/>
            <w:shd w:val="clear" w:color="auto" w:fill="auto"/>
            <w:vAlign w:val="center"/>
          </w:tcPr>
          <w:p w:rsidR="00C66BE6" w:rsidRPr="001A05F4" w:rsidRDefault="00C66BE6" w:rsidP="00CB740B">
            <w:pPr>
              <w:pStyle w:val="Tabletext"/>
              <w:keepNext/>
            </w:pPr>
            <w:r w:rsidRPr="001A05F4">
              <w:t>Methods used to generate results</w:t>
            </w:r>
          </w:p>
        </w:tc>
        <w:tc>
          <w:tcPr>
            <w:tcW w:w="4138" w:type="pct"/>
            <w:shd w:val="clear" w:color="auto" w:fill="auto"/>
            <w:vAlign w:val="center"/>
          </w:tcPr>
          <w:p w:rsidR="00C66BE6" w:rsidRPr="001A05F4" w:rsidRDefault="00C66BE6" w:rsidP="00CB740B">
            <w:pPr>
              <w:pStyle w:val="Tabletext"/>
              <w:keepNext/>
            </w:pPr>
            <w:r w:rsidRPr="001A05F4">
              <w:t>Markov model</w:t>
            </w:r>
          </w:p>
        </w:tc>
      </w:tr>
      <w:tr w:rsidR="00C66BE6" w:rsidRPr="001A05F4" w:rsidTr="006458E3">
        <w:tc>
          <w:tcPr>
            <w:tcW w:w="862" w:type="pct"/>
            <w:shd w:val="clear" w:color="auto" w:fill="auto"/>
            <w:vAlign w:val="center"/>
          </w:tcPr>
          <w:p w:rsidR="00C66BE6" w:rsidRPr="001A05F4" w:rsidRDefault="00C66BE6" w:rsidP="00CB740B">
            <w:pPr>
              <w:pStyle w:val="Tabletext"/>
              <w:keepNext/>
            </w:pPr>
            <w:r w:rsidRPr="001A05F4">
              <w:rPr>
                <w:color w:val="000000" w:themeColor="text1"/>
              </w:rPr>
              <w:t>Treatments</w:t>
            </w:r>
          </w:p>
        </w:tc>
        <w:tc>
          <w:tcPr>
            <w:tcW w:w="4138" w:type="pct"/>
            <w:shd w:val="clear" w:color="auto" w:fill="auto"/>
            <w:vAlign w:val="center"/>
          </w:tcPr>
          <w:p w:rsidR="00C66BE6" w:rsidRPr="001A05F4" w:rsidRDefault="00C66BE6" w:rsidP="00CB740B">
            <w:pPr>
              <w:pStyle w:val="Tabletext"/>
              <w:keepNext/>
            </w:pPr>
            <w:r w:rsidRPr="001A05F4">
              <w:rPr>
                <w:color w:val="000000" w:themeColor="text1"/>
              </w:rPr>
              <w:t>Nusinersen and continuation of standard of care versus standard of care alone</w:t>
            </w:r>
          </w:p>
        </w:tc>
      </w:tr>
      <w:tr w:rsidR="00C66BE6" w:rsidRPr="001A05F4" w:rsidTr="006458E3">
        <w:tc>
          <w:tcPr>
            <w:tcW w:w="862" w:type="pct"/>
            <w:shd w:val="clear" w:color="auto" w:fill="auto"/>
            <w:vAlign w:val="center"/>
          </w:tcPr>
          <w:p w:rsidR="00C66BE6" w:rsidRPr="001A05F4" w:rsidRDefault="00C66BE6" w:rsidP="00CB740B">
            <w:pPr>
              <w:pStyle w:val="Tabletext"/>
              <w:keepNext/>
            </w:pPr>
            <w:r w:rsidRPr="001A05F4">
              <w:t>Medical condition of the population</w:t>
            </w:r>
          </w:p>
        </w:tc>
        <w:tc>
          <w:tcPr>
            <w:tcW w:w="4138" w:type="pct"/>
            <w:shd w:val="clear" w:color="auto" w:fill="auto"/>
            <w:vAlign w:val="center"/>
          </w:tcPr>
          <w:p w:rsidR="00C66BE6" w:rsidRPr="001A05F4" w:rsidRDefault="00C66BE6" w:rsidP="00654DE0">
            <w:pPr>
              <w:pStyle w:val="Tabletext"/>
              <w:keepNext/>
              <w:keepLines/>
            </w:pPr>
            <w:r w:rsidRPr="001A05F4">
              <w:t>100% SMA patients Type III</w:t>
            </w:r>
            <w:r w:rsidR="007F5AC0" w:rsidRPr="001A05F4">
              <w:t>.</w:t>
            </w:r>
            <w:r w:rsidRPr="001A05F4">
              <w:t xml:space="preserve"> </w:t>
            </w:r>
            <w:r w:rsidRPr="001A05F4">
              <w:rPr>
                <w:iCs/>
              </w:rPr>
              <w:t>This is in contrast to Maggi (SMA Type III 11%</w:t>
            </w:r>
            <w:r w:rsidR="0035742A" w:rsidRPr="001A05F4">
              <w:rPr>
                <w:iCs/>
              </w:rPr>
              <w:t xml:space="preserve"> (</w:t>
            </w:r>
            <w:r w:rsidR="00654DE0" w:rsidRPr="001A05F4">
              <w:rPr>
                <w:iCs/>
              </w:rPr>
              <w:t>other</w:t>
            </w:r>
            <w:r w:rsidR="0035742A" w:rsidRPr="001A05F4">
              <w:rPr>
                <w:iCs/>
              </w:rPr>
              <w:t>)</w:t>
            </w:r>
            <w:r w:rsidRPr="001A05F4">
              <w:rPr>
                <w:iCs/>
              </w:rPr>
              <w:t>, Type III sitters (44%), Type III walkers (45%)) and Wadman 2017 (SMA Type I (26%), Type II (30%), Type III (41%), Type IV (3%)).</w:t>
            </w:r>
          </w:p>
        </w:tc>
      </w:tr>
      <w:tr w:rsidR="00C66BE6" w:rsidRPr="001A05F4" w:rsidTr="006458E3">
        <w:tc>
          <w:tcPr>
            <w:tcW w:w="862" w:type="pct"/>
            <w:shd w:val="clear" w:color="auto" w:fill="auto"/>
            <w:vAlign w:val="center"/>
          </w:tcPr>
          <w:p w:rsidR="00C66BE6" w:rsidRPr="001A05F4" w:rsidRDefault="00C66BE6" w:rsidP="007F5AC0">
            <w:pPr>
              <w:pStyle w:val="Tabletext"/>
            </w:pPr>
            <w:r w:rsidRPr="001A05F4">
              <w:t>Health states</w:t>
            </w:r>
          </w:p>
        </w:tc>
        <w:tc>
          <w:tcPr>
            <w:tcW w:w="4138" w:type="pct"/>
            <w:shd w:val="clear" w:color="auto" w:fill="auto"/>
            <w:vAlign w:val="center"/>
          </w:tcPr>
          <w:p w:rsidR="007F5AC0" w:rsidRPr="001A05F4" w:rsidRDefault="007F5AC0" w:rsidP="007F5AC0">
            <w:pPr>
              <w:pStyle w:val="TableText0"/>
              <w:keepNext w:val="0"/>
              <w:widowControl w:val="0"/>
              <w:spacing w:before="0" w:after="0"/>
              <w:rPr>
                <w:color w:val="000000" w:themeColor="text1"/>
              </w:rPr>
            </w:pPr>
            <w:r w:rsidRPr="001A05F4">
              <w:rPr>
                <w:color w:val="000000" w:themeColor="text1"/>
              </w:rPr>
              <w:t>A total of nine unique health states:</w:t>
            </w:r>
          </w:p>
          <w:p w:rsidR="008514DF" w:rsidRPr="001A05F4" w:rsidRDefault="008514DF" w:rsidP="007F5AC0">
            <w:pPr>
              <w:pStyle w:val="TableText0"/>
              <w:keepNext w:val="0"/>
              <w:widowControl w:val="0"/>
              <w:spacing w:before="0" w:after="0"/>
              <w:rPr>
                <w:color w:val="000000" w:themeColor="text1"/>
              </w:rPr>
            </w:pPr>
          </w:p>
          <w:p w:rsidR="008514DF" w:rsidRPr="001A05F4" w:rsidRDefault="008514DF" w:rsidP="007F5AC0">
            <w:pPr>
              <w:pStyle w:val="TableText0"/>
              <w:keepNext w:val="0"/>
              <w:widowControl w:val="0"/>
              <w:spacing w:before="0" w:after="0"/>
              <w:rPr>
                <w:color w:val="000000" w:themeColor="text1"/>
              </w:rPr>
            </w:pPr>
            <w:r w:rsidRPr="001A05F4">
              <w:rPr>
                <w:color w:val="000000" w:themeColor="text1"/>
              </w:rPr>
              <w:t>A separate health state was created for on or off nusinersen treatment for the below health states (except for the Dead health state)</w:t>
            </w:r>
          </w:p>
          <w:p w:rsidR="008514DF" w:rsidRPr="001A05F4" w:rsidRDefault="008514DF" w:rsidP="007F5AC0">
            <w:pPr>
              <w:pStyle w:val="TableText0"/>
              <w:keepNext w:val="0"/>
              <w:widowControl w:val="0"/>
              <w:spacing w:before="0" w:after="0"/>
              <w:rPr>
                <w:color w:val="000000" w:themeColor="text1"/>
              </w:rPr>
            </w:pPr>
          </w:p>
          <w:p w:rsidR="00C66BE6" w:rsidRPr="001A05F4" w:rsidRDefault="00C66BE6" w:rsidP="00F9436F">
            <w:pPr>
              <w:pStyle w:val="TableText0"/>
              <w:keepNext w:val="0"/>
              <w:widowControl w:val="0"/>
              <w:numPr>
                <w:ilvl w:val="0"/>
                <w:numId w:val="13"/>
              </w:numPr>
              <w:spacing w:before="0" w:after="0"/>
              <w:rPr>
                <w:color w:val="000000" w:themeColor="text1"/>
              </w:rPr>
            </w:pPr>
            <w:r w:rsidRPr="001A05F4">
              <w:rPr>
                <w:color w:val="000000" w:themeColor="text1"/>
              </w:rPr>
              <w:t>Walking/standing: unaided –starting state assumed 34.3% of patients in this health state</w:t>
            </w:r>
          </w:p>
          <w:p w:rsidR="00C66BE6" w:rsidRPr="001A05F4" w:rsidRDefault="00C66BE6" w:rsidP="00F9436F">
            <w:pPr>
              <w:pStyle w:val="TableText0"/>
              <w:keepNext w:val="0"/>
              <w:widowControl w:val="0"/>
              <w:numPr>
                <w:ilvl w:val="0"/>
                <w:numId w:val="13"/>
              </w:numPr>
              <w:spacing w:before="0" w:after="0"/>
              <w:rPr>
                <w:color w:val="000000" w:themeColor="text1"/>
              </w:rPr>
            </w:pPr>
            <w:r w:rsidRPr="001A05F4">
              <w:rPr>
                <w:color w:val="000000" w:themeColor="text1"/>
              </w:rPr>
              <w:t>Walking/standing: aided – starting state assumed 24.5 % of patients in this health state</w:t>
            </w:r>
          </w:p>
          <w:p w:rsidR="00C66BE6" w:rsidRPr="001A05F4" w:rsidRDefault="00C66BE6" w:rsidP="00F9436F">
            <w:pPr>
              <w:pStyle w:val="TableText0"/>
              <w:keepNext w:val="0"/>
              <w:widowControl w:val="0"/>
              <w:numPr>
                <w:ilvl w:val="0"/>
                <w:numId w:val="13"/>
              </w:numPr>
              <w:spacing w:before="0" w:after="0"/>
              <w:rPr>
                <w:color w:val="000000" w:themeColor="text1"/>
              </w:rPr>
            </w:pPr>
            <w:r w:rsidRPr="001A05F4">
              <w:rPr>
                <w:color w:val="000000" w:themeColor="text1"/>
              </w:rPr>
              <w:t>Non-ambulatory: able to sit – starting state assumed 33.2% of patients in this health state</w:t>
            </w:r>
          </w:p>
          <w:p w:rsidR="00C66BE6" w:rsidRPr="001A05F4" w:rsidRDefault="00C66BE6" w:rsidP="00F9436F">
            <w:pPr>
              <w:pStyle w:val="TableText0"/>
              <w:keepNext w:val="0"/>
              <w:widowControl w:val="0"/>
              <w:numPr>
                <w:ilvl w:val="0"/>
                <w:numId w:val="13"/>
              </w:numPr>
              <w:spacing w:before="0" w:after="0"/>
              <w:rPr>
                <w:color w:val="000000" w:themeColor="text1"/>
              </w:rPr>
            </w:pPr>
            <w:r w:rsidRPr="001A05F4">
              <w:rPr>
                <w:color w:val="000000" w:themeColor="text1"/>
              </w:rPr>
              <w:t>Non-ambulatory: unable to sit – starting state assumed 8% of patients in this health state</w:t>
            </w:r>
          </w:p>
          <w:p w:rsidR="00C66BE6" w:rsidRPr="001A05F4" w:rsidRDefault="00C66BE6" w:rsidP="00F9436F">
            <w:pPr>
              <w:pStyle w:val="Tabletext"/>
              <w:numPr>
                <w:ilvl w:val="0"/>
                <w:numId w:val="14"/>
              </w:numPr>
            </w:pPr>
            <w:r w:rsidRPr="001A05F4">
              <w:rPr>
                <w:color w:val="000000" w:themeColor="text1"/>
              </w:rPr>
              <w:t>Dead – starting state assumed 0% of patients in this health state</w:t>
            </w:r>
          </w:p>
          <w:p w:rsidR="00B85B9C" w:rsidRPr="001A05F4" w:rsidRDefault="00B85B9C" w:rsidP="00B85B9C">
            <w:pPr>
              <w:pStyle w:val="Tabletext"/>
              <w:rPr>
                <w:color w:val="000000" w:themeColor="text1"/>
              </w:rPr>
            </w:pPr>
          </w:p>
          <w:p w:rsidR="00B85B9C" w:rsidRPr="001A05F4" w:rsidRDefault="00B85B9C" w:rsidP="00B85B9C">
            <w:pPr>
              <w:pStyle w:val="Tabletext"/>
            </w:pPr>
            <w:r w:rsidRPr="001A05F4">
              <w:rPr>
                <w:color w:val="000000" w:themeColor="text1"/>
              </w:rPr>
              <w:t xml:space="preserve">The proportion of patients starting in each health state was based on the </w:t>
            </w:r>
            <w:r w:rsidR="006458E3" w:rsidRPr="001A05F4">
              <w:rPr>
                <w:color w:val="000000" w:themeColor="text1"/>
              </w:rPr>
              <w:t xml:space="preserve">proportion of Type III SMA patients in each ambulatory state </w:t>
            </w:r>
            <w:r w:rsidRPr="001A05F4">
              <w:rPr>
                <w:color w:val="000000" w:themeColor="text1"/>
              </w:rPr>
              <w:t>from Wadman 2017.</w:t>
            </w:r>
          </w:p>
        </w:tc>
      </w:tr>
      <w:tr w:rsidR="00C66BE6" w:rsidRPr="001A05F4" w:rsidTr="006458E3">
        <w:tc>
          <w:tcPr>
            <w:tcW w:w="862" w:type="pct"/>
            <w:shd w:val="clear" w:color="auto" w:fill="auto"/>
            <w:vAlign w:val="center"/>
          </w:tcPr>
          <w:p w:rsidR="00C66BE6" w:rsidRPr="001A05F4" w:rsidRDefault="00C66BE6" w:rsidP="007F5AC0">
            <w:pPr>
              <w:pStyle w:val="Tabletext"/>
            </w:pPr>
            <w:r w:rsidRPr="001A05F4">
              <w:t>Cycle length</w:t>
            </w:r>
          </w:p>
        </w:tc>
        <w:tc>
          <w:tcPr>
            <w:tcW w:w="4138" w:type="pct"/>
            <w:shd w:val="clear" w:color="auto" w:fill="auto"/>
            <w:vAlign w:val="center"/>
          </w:tcPr>
          <w:p w:rsidR="00C66BE6" w:rsidRPr="001A05F4" w:rsidRDefault="00C66BE6" w:rsidP="007F5AC0">
            <w:pPr>
              <w:pStyle w:val="Tabletext"/>
            </w:pPr>
            <w:r w:rsidRPr="001A05F4">
              <w:t>1 year</w:t>
            </w:r>
          </w:p>
        </w:tc>
      </w:tr>
      <w:tr w:rsidR="00C66BE6" w:rsidRPr="001A05F4" w:rsidTr="006458E3">
        <w:tc>
          <w:tcPr>
            <w:tcW w:w="862" w:type="pct"/>
            <w:shd w:val="clear" w:color="auto" w:fill="auto"/>
            <w:vAlign w:val="center"/>
          </w:tcPr>
          <w:p w:rsidR="00C66BE6" w:rsidRPr="001A05F4" w:rsidRDefault="00C66BE6" w:rsidP="007F5AC0">
            <w:pPr>
              <w:pStyle w:val="Tabletext"/>
            </w:pPr>
            <w:r w:rsidRPr="001A05F4">
              <w:t>Transition probabilities</w:t>
            </w:r>
          </w:p>
        </w:tc>
        <w:tc>
          <w:tcPr>
            <w:tcW w:w="4138" w:type="pct"/>
            <w:shd w:val="clear" w:color="auto" w:fill="auto"/>
            <w:vAlign w:val="center"/>
          </w:tcPr>
          <w:p w:rsidR="00C66BE6" w:rsidRPr="001A05F4" w:rsidRDefault="00C66BE6" w:rsidP="007F5AC0">
            <w:pPr>
              <w:pStyle w:val="Tabletext"/>
            </w:pPr>
            <w:r w:rsidRPr="001A05F4">
              <w:t>The transition probabilities were dependent on age, SMA subtype and current health state, and treatment status. In the base case</w:t>
            </w:r>
            <w:r w:rsidR="0070604C" w:rsidRPr="001A05F4">
              <w:t>,</w:t>
            </w:r>
            <w:r w:rsidRPr="001A05F4">
              <w:t xml:space="preserve"> a weighted proportion of each SMA subtype was assumed </w:t>
            </w:r>
            <w:r w:rsidR="009D598E" w:rsidRPr="001A05F4">
              <w:t xml:space="preserve">(50% Type IIIa, 35% Type IIIb with onset &lt;12 years and 15% Type IIIb with onset &gt;12 years) </w:t>
            </w:r>
            <w:r w:rsidRPr="001A05F4">
              <w:t xml:space="preserve">and this weighting </w:t>
            </w:r>
            <w:r w:rsidR="009D598E" w:rsidRPr="001A05F4">
              <w:t xml:space="preserve">was used to create one single survival curve for all patients to inform </w:t>
            </w:r>
            <w:r w:rsidRPr="001A05F4">
              <w:t xml:space="preserve">transition probabilities. The transition probabilities were calculated for each of the possible health state transitions in the model using the </w:t>
            </w:r>
            <w:r w:rsidR="007F5AC0" w:rsidRPr="001A05F4">
              <w:t xml:space="preserve">health state </w:t>
            </w:r>
            <w:r w:rsidRPr="001A05F4">
              <w:t>survival curves from Wadman 2017. The Markov model is structured such that patients can only move down through a single health state at a time.</w:t>
            </w:r>
          </w:p>
          <w:p w:rsidR="00C66BE6" w:rsidRPr="001A05F4" w:rsidRDefault="00C66BE6" w:rsidP="007F5AC0">
            <w:pPr>
              <w:pStyle w:val="Tabletext"/>
            </w:pPr>
            <w:r w:rsidRPr="001A05F4">
              <w:t xml:space="preserve">An annual discontinuation rate of 3.7% was applied in the model to account for nusinersen patients ceasing treatment. </w:t>
            </w:r>
            <w:r w:rsidRPr="001A05F4">
              <w:rPr>
                <w:iCs/>
              </w:rPr>
              <w:t>This figure used is subject to considerable uncertainty.</w:t>
            </w:r>
          </w:p>
          <w:p w:rsidR="00C66BE6" w:rsidRPr="001A05F4" w:rsidRDefault="00C66BE6" w:rsidP="007F5AC0">
            <w:pPr>
              <w:pStyle w:val="TableText0"/>
              <w:keepNext w:val="0"/>
              <w:widowControl w:val="0"/>
              <w:spacing w:before="0" w:after="0"/>
              <w:rPr>
                <w:color w:val="000000" w:themeColor="text1"/>
              </w:rPr>
            </w:pPr>
            <w:r w:rsidRPr="001A05F4">
              <w:rPr>
                <w:iCs/>
                <w:color w:val="000000" w:themeColor="text1"/>
              </w:rPr>
              <w:t>Mortality was assumed to be the same for nusinersen and standard of care patients</w:t>
            </w:r>
            <w:r w:rsidRPr="001A05F4">
              <w:rPr>
                <w:color w:val="000000" w:themeColor="text1"/>
              </w:rPr>
              <w:t xml:space="preserve"> which was considered reasonable. </w:t>
            </w:r>
          </w:p>
          <w:p w:rsidR="00C66BE6" w:rsidRPr="001A05F4" w:rsidRDefault="00C66BE6" w:rsidP="00A20F3A">
            <w:pPr>
              <w:pStyle w:val="TableText0"/>
              <w:keepNext w:val="0"/>
              <w:widowControl w:val="0"/>
              <w:spacing w:before="0" w:after="0"/>
            </w:pPr>
            <w:r w:rsidRPr="001A05F4">
              <w:rPr>
                <w:color w:val="000000" w:themeColor="text1"/>
              </w:rPr>
              <w:t>The model assumed that</w:t>
            </w:r>
            <w:r w:rsidR="008C1B3A" w:rsidRPr="001A05F4">
              <w:rPr>
                <w:color w:val="000000" w:themeColor="text1"/>
              </w:rPr>
              <w:t>,</w:t>
            </w:r>
            <w:r w:rsidRPr="001A05F4">
              <w:rPr>
                <w:color w:val="000000" w:themeColor="text1"/>
              </w:rPr>
              <w:t xml:space="preserve"> </w:t>
            </w:r>
            <w:r w:rsidR="00A20F3A" w:rsidRPr="001A05F4">
              <w:rPr>
                <w:color w:val="000000" w:themeColor="text1"/>
              </w:rPr>
              <w:t xml:space="preserve">while treated with nusinersen, </w:t>
            </w:r>
            <w:r w:rsidRPr="001A05F4">
              <w:rPr>
                <w:color w:val="000000" w:themeColor="text1"/>
              </w:rPr>
              <w:t xml:space="preserve">patients would not decline into a less functional alive health state. While the resubmission claimed that this assumption was supported by the continuation rule proposed in this resubmission, this was </w:t>
            </w:r>
            <w:r w:rsidR="00270170" w:rsidRPr="001A05F4">
              <w:rPr>
                <w:color w:val="000000" w:themeColor="text1"/>
              </w:rPr>
              <w:t xml:space="preserve">previously </w:t>
            </w:r>
            <w:r w:rsidRPr="001A05F4">
              <w:rPr>
                <w:color w:val="000000" w:themeColor="text1"/>
              </w:rPr>
              <w:t xml:space="preserve">considered unreasonable </w:t>
            </w:r>
            <w:r w:rsidR="00270170" w:rsidRPr="001A05F4">
              <w:rPr>
                <w:color w:val="000000" w:themeColor="text1"/>
              </w:rPr>
              <w:t xml:space="preserve">by ESC </w:t>
            </w:r>
            <w:r w:rsidRPr="001A05F4">
              <w:rPr>
                <w:color w:val="000000" w:themeColor="text1"/>
              </w:rPr>
              <w:t>as data presented from Hagenacker 2020 and Walter 2019 indicated that some nusinersen treated patients experience a decline in motor function while receiving nusinersen treatment</w:t>
            </w:r>
            <w:r w:rsidR="00270170" w:rsidRPr="001A05F4">
              <w:rPr>
                <w:color w:val="000000" w:themeColor="text1"/>
              </w:rPr>
              <w:t xml:space="preserve"> (Table 9, nusinersen PSD, November 2020)</w:t>
            </w:r>
            <w:r w:rsidRPr="001A05F4">
              <w:rPr>
                <w:color w:val="000000" w:themeColor="text1"/>
              </w:rPr>
              <w:t>.</w:t>
            </w:r>
          </w:p>
        </w:tc>
      </w:tr>
      <w:tr w:rsidR="00C66BE6" w:rsidRPr="001A05F4" w:rsidTr="006458E3">
        <w:tc>
          <w:tcPr>
            <w:tcW w:w="862" w:type="pct"/>
            <w:shd w:val="clear" w:color="auto" w:fill="auto"/>
            <w:vAlign w:val="center"/>
          </w:tcPr>
          <w:p w:rsidR="00C66BE6" w:rsidRPr="001A05F4" w:rsidRDefault="00C66BE6" w:rsidP="007F5AC0">
            <w:pPr>
              <w:pStyle w:val="Tabletext"/>
            </w:pPr>
            <w:r w:rsidRPr="001A05F4">
              <w:rPr>
                <w:color w:val="000000" w:themeColor="text1"/>
              </w:rPr>
              <w:t>Extrapolation method</w:t>
            </w:r>
          </w:p>
        </w:tc>
        <w:tc>
          <w:tcPr>
            <w:tcW w:w="4138" w:type="pct"/>
            <w:shd w:val="clear" w:color="auto" w:fill="auto"/>
            <w:vAlign w:val="center"/>
          </w:tcPr>
          <w:p w:rsidR="00C66BE6" w:rsidRPr="001A05F4" w:rsidRDefault="00C66BE6" w:rsidP="007F5AC0">
            <w:pPr>
              <w:pStyle w:val="Tabletext"/>
            </w:pPr>
            <w:r w:rsidRPr="001A05F4">
              <w:t xml:space="preserve">The economic model extrapolated the survival curves from Wadman 2017 using the average annual probability of an event of the five years of the available data, resulting in zero or exceedingly small probabilities of progression through the health states after the end of the Wadman data (50 to 80 years depending on health state and type). </w:t>
            </w:r>
            <w:r w:rsidRPr="001A05F4">
              <w:rPr>
                <w:iCs/>
              </w:rPr>
              <w:t>This methodology was likely to be conservative but generally reflective of changes in the small patient numbers reported by Wadman 2017 and is unlikely to have substantial impact on the ICER.</w:t>
            </w:r>
          </w:p>
        </w:tc>
      </w:tr>
      <w:tr w:rsidR="00C66BE6" w:rsidRPr="001A05F4" w:rsidTr="006458E3">
        <w:tc>
          <w:tcPr>
            <w:tcW w:w="862" w:type="pct"/>
            <w:shd w:val="clear" w:color="auto" w:fill="auto"/>
            <w:vAlign w:val="center"/>
          </w:tcPr>
          <w:p w:rsidR="00C66BE6" w:rsidRPr="001A05F4" w:rsidRDefault="00C66BE6" w:rsidP="00CB740B">
            <w:pPr>
              <w:pStyle w:val="Tabletext"/>
              <w:keepNext/>
            </w:pPr>
            <w:r w:rsidRPr="001A05F4">
              <w:t>Utilities</w:t>
            </w:r>
          </w:p>
        </w:tc>
        <w:tc>
          <w:tcPr>
            <w:tcW w:w="4138" w:type="pct"/>
            <w:shd w:val="clear" w:color="auto" w:fill="auto"/>
            <w:vAlign w:val="center"/>
          </w:tcPr>
          <w:p w:rsidR="00B95C49" w:rsidRPr="001A05F4" w:rsidRDefault="007F5AC0" w:rsidP="00CB740B">
            <w:pPr>
              <w:pStyle w:val="TableText0"/>
              <w:widowControl w:val="0"/>
              <w:spacing w:before="0" w:after="0"/>
            </w:pPr>
            <w:r w:rsidRPr="001A05F4">
              <w:t xml:space="preserve">Two types of utilities were included. Firstly, the utility of a particular health state was informed by </w:t>
            </w:r>
            <w:r w:rsidR="00C66BE6" w:rsidRPr="001A05F4">
              <w:t xml:space="preserve">Belter 2020, </w:t>
            </w:r>
            <w:r w:rsidR="009D598E" w:rsidRPr="001A05F4">
              <w:t xml:space="preserve">and secondly, patients treated with nusinersen were assumed to have a utility benefit from being on treatment which was informed by </w:t>
            </w:r>
            <w:r w:rsidR="00C66BE6" w:rsidRPr="001A05F4">
              <w:t>the responder rates from Maggi 2020</w:t>
            </w:r>
            <w:r w:rsidR="009D598E" w:rsidRPr="001A05F4">
              <w:t xml:space="preserve"> (</w:t>
            </w:r>
            <w:r w:rsidR="00BC2D8D" w:rsidRPr="001A05F4">
              <w:t>Table 12</w:t>
            </w:r>
            <w:r w:rsidR="009D598E" w:rsidRPr="001A05F4">
              <w:t>)</w:t>
            </w:r>
            <w:r w:rsidR="00C66BE6" w:rsidRPr="001A05F4">
              <w:t xml:space="preserve">. </w:t>
            </w:r>
            <w:r w:rsidR="00B95C49" w:rsidRPr="001A05F4">
              <w:t>The resubmission considered Belter 2020 to be a more appropriate source of utility values than used in the November 2020 resubmission (Lloyd 2019), as they were collected directly from SMA Type III patients, in line with the patient population and were categorised by patient motor function, in line with the modelled health states.</w:t>
            </w:r>
            <w:r w:rsidR="00B02576" w:rsidRPr="001A05F4">
              <w:t xml:space="preserve"> </w:t>
            </w:r>
          </w:p>
          <w:p w:rsidR="00926D1E" w:rsidRPr="001A05F4" w:rsidRDefault="00C4193E" w:rsidP="00CB740B">
            <w:pPr>
              <w:pStyle w:val="TableText0"/>
              <w:widowControl w:val="0"/>
              <w:spacing w:before="0" w:after="0"/>
              <w:rPr>
                <w:iCs/>
              </w:rPr>
            </w:pPr>
            <w:r w:rsidRPr="001A05F4">
              <w:rPr>
                <w:iCs/>
              </w:rPr>
              <w:t xml:space="preserve">The ESC noted that the utility values used in the resubmission were more conservative that those in the November 2020 submission because </w:t>
            </w:r>
            <w:r w:rsidR="00BD255B" w:rsidRPr="001A05F4">
              <w:rPr>
                <w:iCs/>
              </w:rPr>
              <w:t>the increments</w:t>
            </w:r>
            <w:r w:rsidRPr="001A05F4">
              <w:rPr>
                <w:iCs/>
              </w:rPr>
              <w:t xml:space="preserve"> between health states</w:t>
            </w:r>
            <w:r w:rsidR="00BD255B" w:rsidRPr="001A05F4">
              <w:rPr>
                <w:iCs/>
              </w:rPr>
              <w:t xml:space="preserve"> were smaller</w:t>
            </w:r>
            <w:r w:rsidRPr="001A05F4">
              <w:rPr>
                <w:iCs/>
              </w:rPr>
              <w:t xml:space="preserve">, however the addition of the treatment specific </w:t>
            </w:r>
            <w:r w:rsidR="00926D1E" w:rsidRPr="001A05F4">
              <w:rPr>
                <w:iCs/>
              </w:rPr>
              <w:t xml:space="preserve">utility </w:t>
            </w:r>
            <w:r w:rsidRPr="001A05F4">
              <w:rPr>
                <w:iCs/>
              </w:rPr>
              <w:t xml:space="preserve">increment </w:t>
            </w:r>
            <w:r w:rsidR="00926D1E" w:rsidRPr="001A05F4">
              <w:rPr>
                <w:iCs/>
              </w:rPr>
              <w:t>was less conservative that the November 2020 submission.</w:t>
            </w:r>
          </w:p>
          <w:p w:rsidR="007F5AC0" w:rsidRPr="001A05F4" w:rsidRDefault="00926D1E" w:rsidP="00CB740B">
            <w:pPr>
              <w:pStyle w:val="TableText0"/>
              <w:widowControl w:val="0"/>
              <w:spacing w:before="0" w:after="0"/>
            </w:pPr>
            <w:r w:rsidRPr="001A05F4">
              <w:rPr>
                <w:i/>
              </w:rPr>
              <w:t xml:space="preserve"> </w:t>
            </w:r>
          </w:p>
          <w:tbl>
            <w:tblPr>
              <w:tblStyle w:val="TableGrid"/>
              <w:tblW w:w="0" w:type="auto"/>
              <w:tblLayout w:type="fixed"/>
              <w:tblLook w:val="04A0" w:firstRow="1" w:lastRow="0" w:firstColumn="1" w:lastColumn="0" w:noHBand="0" w:noVBand="1"/>
            </w:tblPr>
            <w:tblGrid>
              <w:gridCol w:w="1518"/>
              <w:gridCol w:w="715"/>
              <w:gridCol w:w="850"/>
              <w:gridCol w:w="1311"/>
              <w:gridCol w:w="674"/>
              <w:gridCol w:w="992"/>
              <w:gridCol w:w="1210"/>
            </w:tblGrid>
            <w:tr w:rsidR="006458E3" w:rsidRPr="001A05F4" w:rsidTr="00466FA7">
              <w:trPr>
                <w:tblHeader/>
              </w:trPr>
              <w:tc>
                <w:tcPr>
                  <w:tcW w:w="1518" w:type="dxa"/>
                  <w:vMerge w:val="restart"/>
                </w:tcPr>
                <w:p w:rsidR="006458E3" w:rsidRPr="001A05F4" w:rsidRDefault="006458E3" w:rsidP="00CB740B">
                  <w:pPr>
                    <w:pStyle w:val="TableText0"/>
                    <w:keepLines/>
                    <w:widowControl w:val="0"/>
                    <w:spacing w:before="0" w:after="0"/>
                  </w:pPr>
                  <w:r w:rsidRPr="001A05F4">
                    <w:rPr>
                      <w:b/>
                      <w:bCs/>
                    </w:rPr>
                    <w:t>Health state</w:t>
                  </w:r>
                </w:p>
              </w:tc>
              <w:tc>
                <w:tcPr>
                  <w:tcW w:w="2876" w:type="dxa"/>
                  <w:gridSpan w:val="3"/>
                </w:tcPr>
                <w:p w:rsidR="006458E3" w:rsidRPr="001A05F4" w:rsidRDefault="006458E3" w:rsidP="00CB740B">
                  <w:pPr>
                    <w:pStyle w:val="TableText0"/>
                    <w:keepLines/>
                    <w:widowControl w:val="0"/>
                    <w:spacing w:before="0" w:after="0"/>
                    <w:jc w:val="center"/>
                  </w:pPr>
                  <w:r w:rsidRPr="001A05F4">
                    <w:rPr>
                      <w:b/>
                      <w:bCs/>
                    </w:rPr>
                    <w:t>Utility application in current resubmission</w:t>
                  </w:r>
                </w:p>
              </w:tc>
              <w:tc>
                <w:tcPr>
                  <w:tcW w:w="2876" w:type="dxa"/>
                  <w:gridSpan w:val="3"/>
                </w:tcPr>
                <w:p w:rsidR="006458E3" w:rsidRPr="001A05F4" w:rsidRDefault="006458E3" w:rsidP="00CB740B">
                  <w:pPr>
                    <w:pStyle w:val="TableText0"/>
                    <w:keepLines/>
                    <w:widowControl w:val="0"/>
                    <w:spacing w:before="0" w:after="0"/>
                    <w:jc w:val="center"/>
                    <w:rPr>
                      <w:b/>
                      <w:bCs/>
                    </w:rPr>
                  </w:pPr>
                  <w:r w:rsidRPr="001A05F4">
                    <w:rPr>
                      <w:b/>
                      <w:bCs/>
                    </w:rPr>
                    <w:t>Utility application in previous resubmission (Nov 2020)</w:t>
                  </w:r>
                </w:p>
              </w:tc>
            </w:tr>
            <w:tr w:rsidR="006458E3" w:rsidRPr="001A05F4" w:rsidTr="00466FA7">
              <w:trPr>
                <w:tblHeader/>
              </w:trPr>
              <w:tc>
                <w:tcPr>
                  <w:tcW w:w="1518" w:type="dxa"/>
                  <w:vMerge/>
                  <w:vAlign w:val="center"/>
                </w:tcPr>
                <w:p w:rsidR="006458E3" w:rsidRPr="001A05F4" w:rsidRDefault="006458E3" w:rsidP="00CB740B">
                  <w:pPr>
                    <w:pStyle w:val="TableText0"/>
                    <w:keepLines/>
                    <w:widowControl w:val="0"/>
                    <w:spacing w:before="0" w:after="0"/>
                  </w:pPr>
                </w:p>
              </w:tc>
              <w:tc>
                <w:tcPr>
                  <w:tcW w:w="715" w:type="dxa"/>
                  <w:vAlign w:val="center"/>
                </w:tcPr>
                <w:p w:rsidR="006458E3" w:rsidRPr="001A05F4" w:rsidRDefault="006458E3" w:rsidP="00CB740B">
                  <w:pPr>
                    <w:pStyle w:val="TableText0"/>
                    <w:keepLines/>
                    <w:widowControl w:val="0"/>
                    <w:spacing w:before="0" w:after="0"/>
                    <w:jc w:val="center"/>
                    <w:rPr>
                      <w:b/>
                      <w:bCs/>
                    </w:rPr>
                  </w:pPr>
                  <w:r w:rsidRPr="001A05F4">
                    <w:rPr>
                      <w:b/>
                      <w:bCs/>
                    </w:rPr>
                    <w:t>SOC</w:t>
                  </w:r>
                </w:p>
              </w:tc>
              <w:tc>
                <w:tcPr>
                  <w:tcW w:w="850" w:type="dxa"/>
                  <w:vAlign w:val="center"/>
                </w:tcPr>
                <w:p w:rsidR="006458E3" w:rsidRPr="001A05F4" w:rsidRDefault="006458E3" w:rsidP="00CB740B">
                  <w:pPr>
                    <w:pStyle w:val="TableText0"/>
                    <w:keepLines/>
                    <w:widowControl w:val="0"/>
                    <w:spacing w:before="0" w:after="0"/>
                    <w:jc w:val="center"/>
                    <w:rPr>
                      <w:b/>
                      <w:bCs/>
                    </w:rPr>
                  </w:pPr>
                  <w:r w:rsidRPr="001A05F4">
                    <w:rPr>
                      <w:b/>
                      <w:bCs/>
                    </w:rPr>
                    <w:t>NUSI</w:t>
                  </w:r>
                </w:p>
              </w:tc>
              <w:tc>
                <w:tcPr>
                  <w:tcW w:w="1311" w:type="dxa"/>
                  <w:vAlign w:val="center"/>
                </w:tcPr>
                <w:p w:rsidR="006458E3" w:rsidRPr="001A05F4" w:rsidRDefault="006458E3" w:rsidP="00CB740B">
                  <w:pPr>
                    <w:pStyle w:val="TableText0"/>
                    <w:keepLines/>
                    <w:widowControl w:val="0"/>
                    <w:spacing w:before="0" w:after="0"/>
                    <w:jc w:val="center"/>
                    <w:rPr>
                      <w:b/>
                      <w:bCs/>
                    </w:rPr>
                  </w:pPr>
                  <w:r w:rsidRPr="001A05F4">
                    <w:rPr>
                      <w:b/>
                      <w:bCs/>
                    </w:rPr>
                    <w:t>Increment</w:t>
                  </w:r>
                </w:p>
              </w:tc>
              <w:tc>
                <w:tcPr>
                  <w:tcW w:w="674" w:type="dxa"/>
                  <w:vAlign w:val="center"/>
                </w:tcPr>
                <w:p w:rsidR="006458E3" w:rsidRPr="001A05F4" w:rsidRDefault="006458E3" w:rsidP="00CB740B">
                  <w:pPr>
                    <w:pStyle w:val="TableText0"/>
                    <w:keepLines/>
                    <w:widowControl w:val="0"/>
                    <w:spacing w:before="0" w:after="0"/>
                    <w:jc w:val="center"/>
                    <w:rPr>
                      <w:b/>
                      <w:bCs/>
                      <w:iCs/>
                    </w:rPr>
                  </w:pPr>
                  <w:r w:rsidRPr="001A05F4">
                    <w:rPr>
                      <w:b/>
                      <w:bCs/>
                    </w:rPr>
                    <w:t>SOC</w:t>
                  </w:r>
                </w:p>
              </w:tc>
              <w:tc>
                <w:tcPr>
                  <w:tcW w:w="992" w:type="dxa"/>
                  <w:vAlign w:val="center"/>
                </w:tcPr>
                <w:p w:rsidR="006458E3" w:rsidRPr="001A05F4" w:rsidRDefault="006458E3" w:rsidP="00CB740B">
                  <w:pPr>
                    <w:pStyle w:val="TableText0"/>
                    <w:keepLines/>
                    <w:widowControl w:val="0"/>
                    <w:spacing w:before="0" w:after="0"/>
                    <w:jc w:val="center"/>
                    <w:rPr>
                      <w:b/>
                      <w:bCs/>
                      <w:iCs/>
                    </w:rPr>
                  </w:pPr>
                  <w:r w:rsidRPr="001A05F4">
                    <w:rPr>
                      <w:b/>
                      <w:bCs/>
                    </w:rPr>
                    <w:t>NUSI</w:t>
                  </w:r>
                </w:p>
              </w:tc>
              <w:tc>
                <w:tcPr>
                  <w:tcW w:w="1210" w:type="dxa"/>
                  <w:vAlign w:val="center"/>
                </w:tcPr>
                <w:p w:rsidR="006458E3" w:rsidRPr="001A05F4" w:rsidRDefault="006458E3" w:rsidP="00CB740B">
                  <w:pPr>
                    <w:pStyle w:val="TableText0"/>
                    <w:keepLines/>
                    <w:widowControl w:val="0"/>
                    <w:spacing w:before="0" w:after="0"/>
                    <w:jc w:val="center"/>
                    <w:rPr>
                      <w:b/>
                      <w:bCs/>
                      <w:iCs/>
                    </w:rPr>
                  </w:pPr>
                  <w:r w:rsidRPr="001A05F4">
                    <w:rPr>
                      <w:b/>
                      <w:bCs/>
                    </w:rPr>
                    <w:t>Increment</w:t>
                  </w:r>
                </w:p>
              </w:tc>
            </w:tr>
            <w:tr w:rsidR="006458E3" w:rsidRPr="001A05F4" w:rsidTr="006458E3">
              <w:tc>
                <w:tcPr>
                  <w:tcW w:w="1518" w:type="dxa"/>
                </w:tcPr>
                <w:p w:rsidR="00B02576" w:rsidRPr="001A05F4" w:rsidRDefault="00B02576" w:rsidP="00CB740B">
                  <w:pPr>
                    <w:pStyle w:val="TableText0"/>
                    <w:keepLines/>
                    <w:widowControl w:val="0"/>
                    <w:spacing w:before="0" w:after="0"/>
                  </w:pPr>
                  <w:r w:rsidRPr="001A05F4">
                    <w:t>Walking/standing: unaided</w:t>
                  </w:r>
                </w:p>
              </w:tc>
              <w:tc>
                <w:tcPr>
                  <w:tcW w:w="715" w:type="dxa"/>
                  <w:vAlign w:val="center"/>
                </w:tcPr>
                <w:p w:rsidR="00B02576" w:rsidRPr="001A05F4" w:rsidRDefault="00B02576" w:rsidP="00CB740B">
                  <w:pPr>
                    <w:pStyle w:val="TableText0"/>
                    <w:keepLines/>
                    <w:widowControl w:val="0"/>
                    <w:spacing w:before="0" w:after="0"/>
                    <w:jc w:val="center"/>
                  </w:pPr>
                  <w:r w:rsidRPr="001A05F4">
                    <w:t>0.64</w:t>
                  </w:r>
                </w:p>
              </w:tc>
              <w:tc>
                <w:tcPr>
                  <w:tcW w:w="850" w:type="dxa"/>
                  <w:vAlign w:val="center"/>
                </w:tcPr>
                <w:p w:rsidR="00B02576" w:rsidRPr="001A05F4" w:rsidRDefault="00B02576" w:rsidP="00CB740B">
                  <w:pPr>
                    <w:pStyle w:val="TableText0"/>
                    <w:keepLines/>
                    <w:widowControl w:val="0"/>
                    <w:spacing w:before="0" w:after="0"/>
                    <w:jc w:val="center"/>
                  </w:pPr>
                  <w:r w:rsidRPr="001A05F4">
                    <w:t>0.6817</w:t>
                  </w:r>
                </w:p>
              </w:tc>
              <w:tc>
                <w:tcPr>
                  <w:tcW w:w="1311" w:type="dxa"/>
                  <w:vAlign w:val="center"/>
                </w:tcPr>
                <w:p w:rsidR="00B02576" w:rsidRPr="001A05F4" w:rsidRDefault="00B02576" w:rsidP="00CB740B">
                  <w:pPr>
                    <w:pStyle w:val="TableText0"/>
                    <w:keepLines/>
                    <w:widowControl w:val="0"/>
                    <w:spacing w:before="0" w:after="0"/>
                    <w:jc w:val="center"/>
                  </w:pPr>
                  <w:r w:rsidRPr="001A05F4">
                    <w:t>0.0417</w:t>
                  </w:r>
                </w:p>
              </w:tc>
              <w:tc>
                <w:tcPr>
                  <w:tcW w:w="674" w:type="dxa"/>
                  <w:vAlign w:val="center"/>
                </w:tcPr>
                <w:p w:rsidR="00B02576" w:rsidRPr="001A05F4" w:rsidRDefault="00B02576" w:rsidP="00CB740B">
                  <w:pPr>
                    <w:pStyle w:val="TableText0"/>
                    <w:keepLines/>
                    <w:widowControl w:val="0"/>
                    <w:spacing w:before="0" w:after="0"/>
                    <w:jc w:val="center"/>
                  </w:pPr>
                  <w:r w:rsidRPr="001A05F4">
                    <w:t>0.72</w:t>
                  </w:r>
                </w:p>
              </w:tc>
              <w:tc>
                <w:tcPr>
                  <w:tcW w:w="992" w:type="dxa"/>
                  <w:vAlign w:val="center"/>
                </w:tcPr>
                <w:p w:rsidR="00B02576" w:rsidRPr="001A05F4" w:rsidRDefault="006458E3" w:rsidP="00CB740B">
                  <w:pPr>
                    <w:pStyle w:val="TableText0"/>
                    <w:keepLines/>
                    <w:widowControl w:val="0"/>
                    <w:spacing w:before="0" w:after="0"/>
                    <w:jc w:val="center"/>
                  </w:pPr>
                  <w:r w:rsidRPr="001A05F4">
                    <w:t>0.7221</w:t>
                  </w:r>
                </w:p>
              </w:tc>
              <w:tc>
                <w:tcPr>
                  <w:tcW w:w="1210" w:type="dxa"/>
                  <w:vAlign w:val="center"/>
                </w:tcPr>
                <w:p w:rsidR="00B02576" w:rsidRPr="001A05F4" w:rsidRDefault="006458E3" w:rsidP="00CB740B">
                  <w:pPr>
                    <w:pStyle w:val="TableText0"/>
                    <w:keepLines/>
                    <w:widowControl w:val="0"/>
                    <w:spacing w:before="0" w:after="0"/>
                    <w:jc w:val="center"/>
                  </w:pPr>
                  <w:r w:rsidRPr="001A05F4">
                    <w:t>0.021</w:t>
                  </w:r>
                </w:p>
              </w:tc>
            </w:tr>
            <w:tr w:rsidR="006458E3" w:rsidRPr="001A05F4" w:rsidTr="006458E3">
              <w:tc>
                <w:tcPr>
                  <w:tcW w:w="1518" w:type="dxa"/>
                </w:tcPr>
                <w:p w:rsidR="00B02576" w:rsidRPr="001A05F4" w:rsidRDefault="00B02576" w:rsidP="00CB740B">
                  <w:pPr>
                    <w:pStyle w:val="TableText0"/>
                    <w:keepLines/>
                    <w:widowControl w:val="0"/>
                    <w:spacing w:before="0" w:after="0"/>
                  </w:pPr>
                  <w:r w:rsidRPr="001A05F4">
                    <w:t>Walking/standing: aided</w:t>
                  </w:r>
                </w:p>
              </w:tc>
              <w:tc>
                <w:tcPr>
                  <w:tcW w:w="715" w:type="dxa"/>
                  <w:vAlign w:val="center"/>
                </w:tcPr>
                <w:p w:rsidR="00B02576" w:rsidRPr="001A05F4" w:rsidRDefault="00B02576" w:rsidP="00CB740B">
                  <w:pPr>
                    <w:pStyle w:val="TableText0"/>
                    <w:keepLines/>
                    <w:widowControl w:val="0"/>
                    <w:spacing w:before="0" w:after="0"/>
                    <w:jc w:val="center"/>
                  </w:pPr>
                  <w:r w:rsidRPr="001A05F4">
                    <w:t>0.35</w:t>
                  </w:r>
                </w:p>
              </w:tc>
              <w:tc>
                <w:tcPr>
                  <w:tcW w:w="850" w:type="dxa"/>
                  <w:vAlign w:val="center"/>
                </w:tcPr>
                <w:p w:rsidR="00B02576" w:rsidRPr="001A05F4" w:rsidRDefault="00B02576" w:rsidP="00CB740B">
                  <w:pPr>
                    <w:pStyle w:val="TableText0"/>
                    <w:keepLines/>
                    <w:widowControl w:val="0"/>
                    <w:spacing w:before="0" w:after="0"/>
                    <w:jc w:val="center"/>
                  </w:pPr>
                  <w:r w:rsidRPr="001A05F4">
                    <w:t>0.4214</w:t>
                  </w:r>
                </w:p>
              </w:tc>
              <w:tc>
                <w:tcPr>
                  <w:tcW w:w="1311" w:type="dxa"/>
                  <w:vAlign w:val="center"/>
                </w:tcPr>
                <w:p w:rsidR="00B02576" w:rsidRPr="001A05F4" w:rsidRDefault="00B02576" w:rsidP="00CB740B">
                  <w:pPr>
                    <w:pStyle w:val="TableText0"/>
                    <w:keepLines/>
                    <w:widowControl w:val="0"/>
                    <w:spacing w:before="0" w:after="0"/>
                    <w:jc w:val="center"/>
                  </w:pPr>
                  <w:r w:rsidRPr="001A05F4">
                    <w:t>0.0714</w:t>
                  </w:r>
                </w:p>
              </w:tc>
              <w:tc>
                <w:tcPr>
                  <w:tcW w:w="674" w:type="dxa"/>
                  <w:vAlign w:val="center"/>
                </w:tcPr>
                <w:p w:rsidR="00B02576" w:rsidRPr="001A05F4" w:rsidRDefault="00B02576" w:rsidP="00CB740B">
                  <w:pPr>
                    <w:pStyle w:val="TableText0"/>
                    <w:keepLines/>
                    <w:widowControl w:val="0"/>
                    <w:spacing w:before="0" w:after="0"/>
                    <w:jc w:val="center"/>
                  </w:pPr>
                  <w:r w:rsidRPr="001A05F4">
                    <w:t>0.39</w:t>
                  </w:r>
                </w:p>
              </w:tc>
              <w:tc>
                <w:tcPr>
                  <w:tcW w:w="992" w:type="dxa"/>
                  <w:vAlign w:val="center"/>
                </w:tcPr>
                <w:p w:rsidR="00B02576" w:rsidRPr="001A05F4" w:rsidRDefault="006458E3" w:rsidP="00CB740B">
                  <w:pPr>
                    <w:pStyle w:val="TableText0"/>
                    <w:keepLines/>
                    <w:widowControl w:val="0"/>
                    <w:spacing w:before="0" w:after="0"/>
                    <w:jc w:val="center"/>
                  </w:pPr>
                  <w:r w:rsidRPr="001A05F4">
                    <w:t>0.411</w:t>
                  </w:r>
                </w:p>
              </w:tc>
              <w:tc>
                <w:tcPr>
                  <w:tcW w:w="1210" w:type="dxa"/>
                  <w:vAlign w:val="center"/>
                </w:tcPr>
                <w:p w:rsidR="00B02576" w:rsidRPr="001A05F4" w:rsidRDefault="006458E3" w:rsidP="00CB740B">
                  <w:pPr>
                    <w:pStyle w:val="TableText0"/>
                    <w:keepLines/>
                    <w:widowControl w:val="0"/>
                    <w:spacing w:before="0" w:after="0"/>
                    <w:jc w:val="center"/>
                  </w:pPr>
                  <w:r w:rsidRPr="001A05F4">
                    <w:t>0.021</w:t>
                  </w:r>
                </w:p>
              </w:tc>
            </w:tr>
            <w:tr w:rsidR="006458E3" w:rsidRPr="001A05F4" w:rsidTr="006458E3">
              <w:tc>
                <w:tcPr>
                  <w:tcW w:w="1518" w:type="dxa"/>
                </w:tcPr>
                <w:p w:rsidR="00B02576" w:rsidRPr="001A05F4" w:rsidRDefault="00B02576" w:rsidP="00CB740B">
                  <w:pPr>
                    <w:pStyle w:val="TableText0"/>
                    <w:keepLines/>
                    <w:widowControl w:val="0"/>
                    <w:spacing w:before="0" w:after="0"/>
                  </w:pPr>
                  <w:r w:rsidRPr="001A05F4">
                    <w:t>Non-ambulatory: able to sit</w:t>
                  </w:r>
                </w:p>
              </w:tc>
              <w:tc>
                <w:tcPr>
                  <w:tcW w:w="715" w:type="dxa"/>
                  <w:vAlign w:val="center"/>
                </w:tcPr>
                <w:p w:rsidR="00B02576" w:rsidRPr="001A05F4" w:rsidRDefault="00B02576" w:rsidP="00CB740B">
                  <w:pPr>
                    <w:pStyle w:val="TableText0"/>
                    <w:keepLines/>
                    <w:widowControl w:val="0"/>
                    <w:spacing w:before="0" w:after="0"/>
                    <w:jc w:val="center"/>
                  </w:pPr>
                  <w:r w:rsidRPr="001A05F4">
                    <w:t>0.23</w:t>
                  </w:r>
                </w:p>
              </w:tc>
              <w:tc>
                <w:tcPr>
                  <w:tcW w:w="850" w:type="dxa"/>
                  <w:vAlign w:val="center"/>
                </w:tcPr>
                <w:p w:rsidR="00B02576" w:rsidRPr="001A05F4" w:rsidRDefault="00B02576" w:rsidP="00CB740B">
                  <w:pPr>
                    <w:pStyle w:val="TableText0"/>
                    <w:keepLines/>
                    <w:widowControl w:val="0"/>
                    <w:spacing w:before="0" w:after="0"/>
                    <w:jc w:val="center"/>
                  </w:pPr>
                  <w:r w:rsidRPr="001A05F4">
                    <w:t>0.3014</w:t>
                  </w:r>
                </w:p>
              </w:tc>
              <w:tc>
                <w:tcPr>
                  <w:tcW w:w="1311" w:type="dxa"/>
                  <w:vAlign w:val="center"/>
                </w:tcPr>
                <w:p w:rsidR="00B02576" w:rsidRPr="001A05F4" w:rsidRDefault="00B02576" w:rsidP="00CB740B">
                  <w:pPr>
                    <w:pStyle w:val="TableText0"/>
                    <w:keepLines/>
                    <w:widowControl w:val="0"/>
                    <w:spacing w:before="0" w:after="0"/>
                    <w:jc w:val="center"/>
                  </w:pPr>
                  <w:r w:rsidRPr="001A05F4">
                    <w:t>0.0714</w:t>
                  </w:r>
                </w:p>
              </w:tc>
              <w:tc>
                <w:tcPr>
                  <w:tcW w:w="674" w:type="dxa"/>
                  <w:vAlign w:val="center"/>
                </w:tcPr>
                <w:p w:rsidR="00B02576" w:rsidRPr="001A05F4" w:rsidRDefault="00B02576" w:rsidP="00CB740B">
                  <w:pPr>
                    <w:pStyle w:val="TableText0"/>
                    <w:keepLines/>
                    <w:widowControl w:val="0"/>
                    <w:spacing w:before="0" w:after="0"/>
                    <w:jc w:val="center"/>
                  </w:pPr>
                  <w:r w:rsidRPr="001A05F4">
                    <w:t>-0.04</w:t>
                  </w:r>
                </w:p>
              </w:tc>
              <w:tc>
                <w:tcPr>
                  <w:tcW w:w="992" w:type="dxa"/>
                  <w:vAlign w:val="center"/>
                </w:tcPr>
                <w:p w:rsidR="00B02576" w:rsidRPr="001A05F4" w:rsidRDefault="006458E3" w:rsidP="00CB740B">
                  <w:pPr>
                    <w:pStyle w:val="TableText0"/>
                    <w:keepLines/>
                    <w:widowControl w:val="0"/>
                    <w:spacing w:before="0" w:after="0"/>
                    <w:jc w:val="center"/>
                  </w:pPr>
                  <w:r w:rsidRPr="001A05F4">
                    <w:t>-0.019</w:t>
                  </w:r>
                </w:p>
              </w:tc>
              <w:tc>
                <w:tcPr>
                  <w:tcW w:w="1210" w:type="dxa"/>
                  <w:vAlign w:val="center"/>
                </w:tcPr>
                <w:p w:rsidR="00B02576" w:rsidRPr="001A05F4" w:rsidRDefault="006458E3" w:rsidP="00CB740B">
                  <w:pPr>
                    <w:pStyle w:val="TableText0"/>
                    <w:keepLines/>
                    <w:widowControl w:val="0"/>
                    <w:spacing w:before="0" w:after="0"/>
                    <w:jc w:val="center"/>
                  </w:pPr>
                  <w:r w:rsidRPr="001A05F4">
                    <w:t>0.021</w:t>
                  </w:r>
                </w:p>
              </w:tc>
            </w:tr>
            <w:tr w:rsidR="006458E3" w:rsidRPr="001A05F4" w:rsidTr="006458E3">
              <w:tc>
                <w:tcPr>
                  <w:tcW w:w="1518" w:type="dxa"/>
                </w:tcPr>
                <w:p w:rsidR="00B02576" w:rsidRPr="001A05F4" w:rsidRDefault="00B02576" w:rsidP="00CB740B">
                  <w:pPr>
                    <w:pStyle w:val="TableText0"/>
                    <w:keepLines/>
                    <w:widowControl w:val="0"/>
                    <w:spacing w:before="0" w:after="0"/>
                  </w:pPr>
                  <w:r w:rsidRPr="001A05F4">
                    <w:t>Non-ambulatory: unable to sit</w:t>
                  </w:r>
                </w:p>
              </w:tc>
              <w:tc>
                <w:tcPr>
                  <w:tcW w:w="715" w:type="dxa"/>
                  <w:vAlign w:val="center"/>
                </w:tcPr>
                <w:p w:rsidR="00B02576" w:rsidRPr="001A05F4" w:rsidRDefault="00B02576" w:rsidP="00CB740B">
                  <w:pPr>
                    <w:pStyle w:val="TableText0"/>
                    <w:keepLines/>
                    <w:widowControl w:val="0"/>
                    <w:spacing w:before="0" w:after="0"/>
                    <w:jc w:val="center"/>
                  </w:pPr>
                  <w:r w:rsidRPr="001A05F4">
                    <w:t>0.14</w:t>
                  </w:r>
                </w:p>
              </w:tc>
              <w:tc>
                <w:tcPr>
                  <w:tcW w:w="850" w:type="dxa"/>
                  <w:vAlign w:val="center"/>
                </w:tcPr>
                <w:p w:rsidR="00B02576" w:rsidRPr="001A05F4" w:rsidRDefault="00B02576" w:rsidP="00CB740B">
                  <w:pPr>
                    <w:pStyle w:val="TableText0"/>
                    <w:keepLines/>
                    <w:widowControl w:val="0"/>
                    <w:spacing w:before="0" w:after="0"/>
                    <w:jc w:val="center"/>
                  </w:pPr>
                  <w:r w:rsidRPr="001A05F4">
                    <w:t>0.2114</w:t>
                  </w:r>
                </w:p>
              </w:tc>
              <w:tc>
                <w:tcPr>
                  <w:tcW w:w="1311" w:type="dxa"/>
                  <w:vAlign w:val="center"/>
                </w:tcPr>
                <w:p w:rsidR="00B02576" w:rsidRPr="001A05F4" w:rsidRDefault="00B02576" w:rsidP="00CB740B">
                  <w:pPr>
                    <w:pStyle w:val="TableText0"/>
                    <w:keepLines/>
                    <w:widowControl w:val="0"/>
                    <w:spacing w:before="0" w:after="0"/>
                    <w:jc w:val="center"/>
                  </w:pPr>
                  <w:r w:rsidRPr="001A05F4">
                    <w:t>0.0714</w:t>
                  </w:r>
                </w:p>
              </w:tc>
              <w:tc>
                <w:tcPr>
                  <w:tcW w:w="674" w:type="dxa"/>
                  <w:vAlign w:val="center"/>
                </w:tcPr>
                <w:p w:rsidR="00B02576" w:rsidRPr="001A05F4" w:rsidRDefault="00B02576" w:rsidP="00CB740B">
                  <w:pPr>
                    <w:pStyle w:val="TableText0"/>
                    <w:keepLines/>
                    <w:widowControl w:val="0"/>
                    <w:spacing w:before="0" w:after="0"/>
                    <w:jc w:val="center"/>
                  </w:pPr>
                  <w:r w:rsidRPr="001A05F4">
                    <w:t>-0.12</w:t>
                  </w:r>
                </w:p>
              </w:tc>
              <w:tc>
                <w:tcPr>
                  <w:tcW w:w="992" w:type="dxa"/>
                  <w:vAlign w:val="center"/>
                </w:tcPr>
                <w:p w:rsidR="00B02576" w:rsidRPr="001A05F4" w:rsidRDefault="006458E3" w:rsidP="00CB740B">
                  <w:pPr>
                    <w:pStyle w:val="TableText0"/>
                    <w:keepLines/>
                    <w:widowControl w:val="0"/>
                    <w:spacing w:before="0" w:after="0"/>
                    <w:jc w:val="center"/>
                  </w:pPr>
                  <w:r w:rsidRPr="001A05F4">
                    <w:t>-0.099</w:t>
                  </w:r>
                </w:p>
              </w:tc>
              <w:tc>
                <w:tcPr>
                  <w:tcW w:w="1210" w:type="dxa"/>
                  <w:vAlign w:val="center"/>
                </w:tcPr>
                <w:p w:rsidR="00B02576" w:rsidRPr="001A05F4" w:rsidRDefault="006458E3" w:rsidP="00CB740B">
                  <w:pPr>
                    <w:pStyle w:val="TableText0"/>
                    <w:keepLines/>
                    <w:widowControl w:val="0"/>
                    <w:spacing w:before="0" w:after="0"/>
                    <w:jc w:val="center"/>
                  </w:pPr>
                  <w:r w:rsidRPr="001A05F4">
                    <w:t>0.021</w:t>
                  </w:r>
                </w:p>
              </w:tc>
            </w:tr>
          </w:tbl>
          <w:p w:rsidR="006458E3" w:rsidRPr="001A05F4" w:rsidRDefault="006458E3" w:rsidP="00CB740B">
            <w:pPr>
              <w:pStyle w:val="TableFigureFooter"/>
              <w:keepNext/>
              <w:spacing w:after="0"/>
            </w:pPr>
            <w:r w:rsidRPr="001A05F4">
              <w:t>SOC = standard of care, NUSI = nusinersen</w:t>
            </w:r>
          </w:p>
          <w:p w:rsidR="006458E3" w:rsidRPr="001A05F4" w:rsidRDefault="00C66BE6" w:rsidP="00CB740B">
            <w:pPr>
              <w:pStyle w:val="TableFigureFooter"/>
              <w:keepNext/>
              <w:spacing w:after="0"/>
            </w:pPr>
            <w:r w:rsidRPr="001A05F4">
              <w:t>Source: Table 3.20, p354 of the resubmission</w:t>
            </w:r>
            <w:r w:rsidR="00CB740B" w:rsidRPr="001A05F4">
              <w:t xml:space="preserve">, table 9, p21-22 and </w:t>
            </w:r>
            <w:r w:rsidR="006458E3" w:rsidRPr="001A05F4">
              <w:t>paragraph 6.70, p25 nusinersen PSD November</w:t>
            </w:r>
            <w:r w:rsidR="00CB740B" w:rsidRPr="001A05F4">
              <w:t> </w:t>
            </w:r>
            <w:r w:rsidR="006458E3" w:rsidRPr="001A05F4">
              <w:t>2020</w:t>
            </w:r>
            <w:r w:rsidR="00CB740B" w:rsidRPr="001A05F4">
              <w:t>.</w:t>
            </w:r>
          </w:p>
          <w:p w:rsidR="00C66BE6" w:rsidRPr="001A05F4" w:rsidRDefault="009D598E" w:rsidP="00CB740B">
            <w:pPr>
              <w:pStyle w:val="TableText0"/>
              <w:widowControl w:val="0"/>
              <w:spacing w:before="0" w:after="0"/>
              <w:rPr>
                <w:iCs/>
              </w:rPr>
            </w:pPr>
            <w:r w:rsidRPr="001A05F4">
              <w:rPr>
                <w:iCs/>
              </w:rPr>
              <w:t>The use of response rates from Maggi 2020 to inform utility benefits with nusinersen</w:t>
            </w:r>
            <w:r w:rsidR="00270170" w:rsidRPr="001A05F4">
              <w:rPr>
                <w:iCs/>
              </w:rPr>
              <w:t>, as well as the derivation method,</w:t>
            </w:r>
            <w:r w:rsidRPr="001A05F4">
              <w:rPr>
                <w:iCs/>
              </w:rPr>
              <w:t xml:space="preserve"> may not be appropriate. </w:t>
            </w:r>
            <w:r w:rsidR="00926D1E" w:rsidRPr="001A05F4">
              <w:rPr>
                <w:iCs/>
              </w:rPr>
              <w:t>T</w:t>
            </w:r>
            <w:r w:rsidR="008C1B3A" w:rsidRPr="001A05F4">
              <w:rPr>
                <w:iCs/>
              </w:rPr>
              <w:t xml:space="preserve">he ESC considered that this </w:t>
            </w:r>
            <w:r w:rsidR="00C66BE6" w:rsidRPr="001A05F4">
              <w:rPr>
                <w:iCs/>
              </w:rPr>
              <w:t xml:space="preserve">methodology resulted in </w:t>
            </w:r>
            <w:r w:rsidR="008C1B3A" w:rsidRPr="001A05F4">
              <w:rPr>
                <w:iCs/>
              </w:rPr>
              <w:t xml:space="preserve">some level of </w:t>
            </w:r>
            <w:r w:rsidR="00C66BE6" w:rsidRPr="001A05F4">
              <w:rPr>
                <w:iCs/>
              </w:rPr>
              <w:t>double counting of utility gains for the nusinersen treatment arm as some of the assumed utility gain from being a responder would be captured by the individual health state utility.</w:t>
            </w:r>
          </w:p>
          <w:p w:rsidR="00C66BE6" w:rsidRPr="001A05F4" w:rsidRDefault="00C66BE6" w:rsidP="00CB740B">
            <w:pPr>
              <w:pStyle w:val="TableText0"/>
              <w:widowControl w:val="0"/>
              <w:spacing w:before="0" w:after="0"/>
              <w:rPr>
                <w:iCs/>
              </w:rPr>
            </w:pPr>
            <w:r w:rsidRPr="001A05F4">
              <w:rPr>
                <w:iCs/>
              </w:rPr>
              <w:t xml:space="preserve">There were no disutilities applied for adverse events in the model, though </w:t>
            </w:r>
            <w:r w:rsidRPr="001A05F4">
              <w:t>a disutility for adverse events associated with the lumbar puncture procedure may have been warranted.</w:t>
            </w:r>
          </w:p>
        </w:tc>
      </w:tr>
      <w:tr w:rsidR="00C66BE6" w:rsidRPr="001A05F4" w:rsidTr="006458E3">
        <w:tc>
          <w:tcPr>
            <w:tcW w:w="862" w:type="pct"/>
            <w:shd w:val="clear" w:color="auto" w:fill="auto"/>
            <w:vAlign w:val="center"/>
          </w:tcPr>
          <w:p w:rsidR="00C66BE6" w:rsidRPr="001A05F4" w:rsidRDefault="00C66BE6" w:rsidP="007F5AC0">
            <w:pPr>
              <w:pStyle w:val="Tabletext"/>
            </w:pPr>
            <w:r w:rsidRPr="001A05F4">
              <w:t>Disease state costs</w:t>
            </w:r>
          </w:p>
        </w:tc>
        <w:tc>
          <w:tcPr>
            <w:tcW w:w="4138" w:type="pct"/>
            <w:shd w:val="clear" w:color="auto" w:fill="auto"/>
            <w:vAlign w:val="center"/>
          </w:tcPr>
          <w:p w:rsidR="00C66BE6" w:rsidRPr="001A05F4" w:rsidRDefault="009D598E" w:rsidP="007F5AC0">
            <w:pPr>
              <w:pStyle w:val="Tabletext"/>
            </w:pPr>
            <w:r w:rsidRPr="001A05F4">
              <w:rPr>
                <w:iCs/>
              </w:rPr>
              <w:t xml:space="preserve">Based on Klug 2016, as for previous resubmission. </w:t>
            </w:r>
            <w:r w:rsidR="00C66BE6" w:rsidRPr="001A05F4">
              <w:t>It was not apparent that the resubmission’s application of disease state costs from Klug 2016 would be applicable to the nominated health states, particularly for the assumption that non-ambulatory: unable to sit patients would have the same health state costs as Type I SMA patients in Klug 2016.</w:t>
            </w:r>
            <w:r w:rsidRPr="001A05F4">
              <w:t xml:space="preserve"> </w:t>
            </w:r>
          </w:p>
        </w:tc>
      </w:tr>
      <w:tr w:rsidR="00C66BE6" w:rsidRPr="001A05F4" w:rsidTr="006458E3">
        <w:tc>
          <w:tcPr>
            <w:tcW w:w="862" w:type="pct"/>
            <w:shd w:val="clear" w:color="auto" w:fill="auto"/>
            <w:vAlign w:val="center"/>
          </w:tcPr>
          <w:p w:rsidR="00C66BE6" w:rsidRPr="001A05F4" w:rsidRDefault="00C66BE6" w:rsidP="007F5AC0">
            <w:pPr>
              <w:pStyle w:val="Tabletext"/>
            </w:pPr>
            <w:r w:rsidRPr="001A05F4">
              <w:t>Other nusinersen related costs</w:t>
            </w:r>
          </w:p>
        </w:tc>
        <w:tc>
          <w:tcPr>
            <w:tcW w:w="4138" w:type="pct"/>
            <w:shd w:val="clear" w:color="auto" w:fill="auto"/>
            <w:vAlign w:val="center"/>
          </w:tcPr>
          <w:p w:rsidR="00C66BE6" w:rsidRPr="001A05F4" w:rsidRDefault="00C66BE6" w:rsidP="007F5AC0">
            <w:pPr>
              <w:pStyle w:val="Tabletext"/>
            </w:pPr>
            <w:r w:rsidRPr="001A05F4">
              <w:rPr>
                <w:iCs/>
              </w:rPr>
              <w:t xml:space="preserve">Costs for administration and adverse events were </w:t>
            </w:r>
            <w:r w:rsidR="00270170" w:rsidRPr="001A05F4">
              <w:rPr>
                <w:iCs/>
              </w:rPr>
              <w:t xml:space="preserve">based on MBS item costs. </w:t>
            </w:r>
            <w:r w:rsidR="00270170" w:rsidRPr="001A05F4">
              <w:t xml:space="preserve">As with the November 2020 resubmission, </w:t>
            </w:r>
            <w:r w:rsidRPr="001A05F4">
              <w:t>there was no allowance made for monitoring for renal toxicity or thrombocytopenia and there was no allowance made for the cost of an SMN1 gene test, which may not have been appropriate.</w:t>
            </w:r>
          </w:p>
        </w:tc>
      </w:tr>
    </w:tbl>
    <w:p w:rsidR="00C66BE6" w:rsidRPr="001A05F4" w:rsidRDefault="00C66BE6" w:rsidP="00C66BE6">
      <w:pPr>
        <w:pStyle w:val="TableFooter"/>
      </w:pPr>
      <w:r w:rsidRPr="001A05F4">
        <w:t>Source: Compiled during the evaluation from Section 3 of the resubmission.</w:t>
      </w:r>
    </w:p>
    <w:p w:rsidR="00C66BE6" w:rsidRPr="001A05F4" w:rsidRDefault="00C66BE6" w:rsidP="00C66BE6">
      <w:pPr>
        <w:pStyle w:val="TableFooter"/>
      </w:pPr>
    </w:p>
    <w:p w:rsidR="00270170" w:rsidRPr="001A05F4" w:rsidRDefault="00C66BE6" w:rsidP="00F9436F">
      <w:pPr>
        <w:pStyle w:val="ListParagraph"/>
        <w:widowControl/>
        <w:numPr>
          <w:ilvl w:val="1"/>
          <w:numId w:val="2"/>
        </w:numPr>
      </w:pPr>
      <w:r w:rsidRPr="001A05F4">
        <w:t xml:space="preserve">The health state distributions for patients </w:t>
      </w:r>
      <w:r w:rsidR="00764C23" w:rsidRPr="001A05F4">
        <w:t xml:space="preserve">treated with </w:t>
      </w:r>
      <w:r w:rsidRPr="001A05F4">
        <w:t>nusinersen</w:t>
      </w:r>
      <w:r w:rsidR="009D598E" w:rsidRPr="001A05F4">
        <w:t xml:space="preserve"> </w:t>
      </w:r>
      <w:r w:rsidRPr="001A05F4">
        <w:t xml:space="preserve">and standard of care </w:t>
      </w:r>
      <w:r w:rsidR="009D598E" w:rsidRPr="001A05F4">
        <w:t xml:space="preserve">are presented in </w:t>
      </w:r>
      <w:r w:rsidR="00BC2D8D" w:rsidRPr="001A05F4">
        <w:t>Figure 1</w:t>
      </w:r>
      <w:r w:rsidR="009D598E" w:rsidRPr="001A05F4">
        <w:t xml:space="preserve"> and </w:t>
      </w:r>
      <w:r w:rsidR="00BC2D8D" w:rsidRPr="001A05F4">
        <w:t>Figure 2</w:t>
      </w:r>
      <w:r w:rsidR="009D598E" w:rsidRPr="001A05F4">
        <w:t>, respectively</w:t>
      </w:r>
      <w:r w:rsidRPr="001A05F4">
        <w:t>.</w:t>
      </w:r>
      <w:r w:rsidR="00270170" w:rsidRPr="001A05F4">
        <w:t xml:space="preserve"> Patients remaining on treatment with nusinersen were assumed to not progress. However a 3.7% discontinuation rate was applied in the economic model</w:t>
      </w:r>
      <w:r w:rsidR="00B95C49" w:rsidRPr="001A05F4">
        <w:t xml:space="preserve"> (derived from the proportion of patients who withdrew from nusinersen treatment in the study reported by Hagenacker 2020)</w:t>
      </w:r>
      <w:r w:rsidR="00270170" w:rsidRPr="001A05F4">
        <w:t>, and the patients who discontinue treatment were assumed to progress according to the standard of care probabilities</w:t>
      </w:r>
      <w:r w:rsidR="001A05F4">
        <w:t xml:space="preserve">. </w:t>
      </w:r>
    </w:p>
    <w:p w:rsidR="00C66BE6" w:rsidRPr="001A05F4" w:rsidRDefault="009D598E" w:rsidP="009D598E">
      <w:pPr>
        <w:pStyle w:val="TableFigureHeading"/>
        <w:keepLines/>
        <w:rPr>
          <w:rStyle w:val="TableFigureHeadingChar"/>
          <w:b/>
          <w:bCs/>
        </w:rPr>
      </w:pPr>
      <w:bookmarkStart w:id="38" w:name="_Ref71589918"/>
      <w:r w:rsidRPr="00C508D4">
        <w:rPr>
          <w:rStyle w:val="TableFigureHeadingChar"/>
          <w:b/>
          <w:bCs/>
        </w:rPr>
        <w:t xml:space="preserve">Figure </w:t>
      </w:r>
      <w:r w:rsidR="00BC2D8D" w:rsidRPr="00C508D4">
        <w:rPr>
          <w:rStyle w:val="TableFigureHeadingChar"/>
          <w:b/>
          <w:bCs/>
        </w:rPr>
        <w:t>1</w:t>
      </w:r>
      <w:bookmarkEnd w:id="38"/>
      <w:r w:rsidR="0096437E" w:rsidRPr="00C508D4">
        <w:rPr>
          <w:rStyle w:val="TableFigureHeadingChar"/>
          <w:b/>
          <w:bCs/>
        </w:rPr>
        <w:t xml:space="preserve">: </w:t>
      </w:r>
      <w:r w:rsidR="00C66BE6" w:rsidRPr="00C508D4">
        <w:rPr>
          <w:rStyle w:val="TableFigureHeadingChar"/>
          <w:b/>
          <w:bCs/>
        </w:rPr>
        <w:t>Health state distribution over time – nusinersen arm</w:t>
      </w:r>
    </w:p>
    <w:p w:rsidR="00C66BE6" w:rsidRPr="001A05F4" w:rsidRDefault="00C66BE6" w:rsidP="009D598E">
      <w:pPr>
        <w:keepNext/>
        <w:keepLines/>
        <w:widowControl/>
      </w:pPr>
      <w:r w:rsidRPr="001A05F4">
        <w:rPr>
          <w:noProof/>
          <w:lang w:eastAsia="en-AU"/>
        </w:rPr>
        <w:drawing>
          <wp:inline distT="0" distB="0" distL="0" distR="0" wp14:anchorId="641847C1" wp14:editId="1285A7CF">
            <wp:extent cx="4718685" cy="3019425"/>
            <wp:effectExtent l="0" t="0" r="0" b="9525"/>
            <wp:docPr id="32" name="Graphic 32" title="Figure 1: Health state distribution over time – nusinersen arm"/>
            <wp:cNvGraphicFramePr/>
            <a:graphic xmlns:a="http://schemas.openxmlformats.org/drawingml/2006/main">
              <a:graphicData uri="http://schemas.openxmlformats.org/drawingml/2006/picture">
                <pic:pic xmlns:pic="http://schemas.openxmlformats.org/drawingml/2006/picture">
                  <pic:nvPicPr>
                    <pic:cNvPr id="19" name="Graphic 19"/>
                    <pic:cNvPicPr/>
                  </pic:nvPicPr>
                  <pic:blipFill>
                    <a:blip r:embed="rId9">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12"/>
                        </a:ext>
                      </a:extLst>
                    </a:blip>
                    <a:stretch>
                      <a:fillRect/>
                    </a:stretch>
                  </pic:blipFill>
                  <pic:spPr>
                    <a:xfrm>
                      <a:off x="0" y="0"/>
                      <a:ext cx="4713605" cy="3018790"/>
                    </a:xfrm>
                    <a:prstGeom prst="rect">
                      <a:avLst/>
                    </a:prstGeom>
                  </pic:spPr>
                </pic:pic>
              </a:graphicData>
            </a:graphic>
          </wp:inline>
        </w:drawing>
      </w:r>
    </w:p>
    <w:p w:rsidR="00C66BE6" w:rsidRPr="001A05F4" w:rsidRDefault="00C66BE6" w:rsidP="009D598E">
      <w:pPr>
        <w:pStyle w:val="TableFooter"/>
        <w:keepNext/>
        <w:keepLines/>
      </w:pPr>
      <w:r w:rsidRPr="001A05F4">
        <w:t>Source: Figure 3.26, p369 of the resubmission</w:t>
      </w:r>
    </w:p>
    <w:p w:rsidR="00C66BE6" w:rsidRPr="001A05F4" w:rsidRDefault="00C66BE6" w:rsidP="00C66BE6">
      <w:pPr>
        <w:widowControl/>
      </w:pPr>
    </w:p>
    <w:p w:rsidR="00C66BE6" w:rsidRPr="001A05F4" w:rsidRDefault="009D598E" w:rsidP="009D598E">
      <w:pPr>
        <w:pStyle w:val="TableFigureHeading"/>
        <w:keepLines/>
        <w:rPr>
          <w:rStyle w:val="TableFigureHeadingChar"/>
          <w:b/>
          <w:bCs/>
        </w:rPr>
      </w:pPr>
      <w:bookmarkStart w:id="39" w:name="_Ref71589950"/>
      <w:r w:rsidRPr="001A05F4">
        <w:rPr>
          <w:rStyle w:val="TableFigureHeadingChar"/>
          <w:b/>
          <w:bCs/>
        </w:rPr>
        <w:t xml:space="preserve">Figure </w:t>
      </w:r>
      <w:r w:rsidR="00BC2D8D" w:rsidRPr="001A05F4">
        <w:rPr>
          <w:rStyle w:val="TableFigureHeadingChar"/>
          <w:b/>
          <w:bCs/>
        </w:rPr>
        <w:t>2</w:t>
      </w:r>
      <w:bookmarkEnd w:id="39"/>
      <w:r w:rsidR="0096437E" w:rsidRPr="001A05F4">
        <w:rPr>
          <w:rStyle w:val="TableFigureHeadingChar"/>
          <w:b/>
          <w:bCs/>
        </w:rPr>
        <w:t xml:space="preserve">: </w:t>
      </w:r>
      <w:r w:rsidR="00C66BE6" w:rsidRPr="001A05F4">
        <w:rPr>
          <w:rStyle w:val="TableFigureHeadingChar"/>
          <w:b/>
          <w:bCs/>
        </w:rPr>
        <w:t>Health state distribution – standard of care arm</w:t>
      </w:r>
    </w:p>
    <w:p w:rsidR="00C66BE6" w:rsidRPr="001A05F4" w:rsidRDefault="00C66BE6" w:rsidP="009D598E">
      <w:pPr>
        <w:keepNext/>
        <w:keepLines/>
        <w:widowControl/>
      </w:pPr>
      <w:r w:rsidRPr="001A05F4">
        <w:rPr>
          <w:noProof/>
          <w:lang w:eastAsia="en-AU"/>
        </w:rPr>
        <w:drawing>
          <wp:inline distT="0" distB="0" distL="0" distR="0" wp14:anchorId="2C836ADF" wp14:editId="48A7A91B">
            <wp:extent cx="4735830" cy="3036570"/>
            <wp:effectExtent l="0" t="0" r="0" b="0"/>
            <wp:docPr id="33" name="Graphic 33" title="Figure 2: Health state distribution – standard of care arm"/>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3">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14"/>
                        </a:ext>
                      </a:extLst>
                    </a:blip>
                    <a:stretch>
                      <a:fillRect/>
                    </a:stretch>
                  </pic:blipFill>
                  <pic:spPr>
                    <a:xfrm>
                      <a:off x="0" y="0"/>
                      <a:ext cx="4735830" cy="3038475"/>
                    </a:xfrm>
                    <a:prstGeom prst="rect">
                      <a:avLst/>
                    </a:prstGeom>
                  </pic:spPr>
                </pic:pic>
              </a:graphicData>
            </a:graphic>
          </wp:inline>
        </w:drawing>
      </w:r>
    </w:p>
    <w:p w:rsidR="00C66BE6" w:rsidRPr="001A05F4" w:rsidRDefault="00C66BE6" w:rsidP="009D598E">
      <w:pPr>
        <w:pStyle w:val="TableFooter"/>
        <w:keepNext/>
        <w:keepLines/>
      </w:pPr>
      <w:r w:rsidRPr="001A05F4">
        <w:t>Source: Figure 3.27, p369 of the resubmission</w:t>
      </w:r>
    </w:p>
    <w:p w:rsidR="00C66BE6" w:rsidRPr="001A05F4" w:rsidRDefault="00C66BE6" w:rsidP="00C66BE6">
      <w:pPr>
        <w:widowControl/>
      </w:pPr>
    </w:p>
    <w:p w:rsidR="00C66BE6" w:rsidRPr="001A05F4" w:rsidRDefault="00C66BE6" w:rsidP="00F9436F">
      <w:pPr>
        <w:pStyle w:val="ListParagraph"/>
        <w:widowControl/>
        <w:numPr>
          <w:ilvl w:val="1"/>
          <w:numId w:val="2"/>
        </w:numPr>
        <w:rPr>
          <w:i/>
        </w:rPr>
      </w:pPr>
      <w:r w:rsidRPr="001A05F4">
        <w:t>As the model applies the specific transitions from Wadman 2017 based on the age of the patient rather than an estimated annualised progression, some rapid changes were observed in the health state distributions</w:t>
      </w:r>
      <w:r w:rsidR="00FB151C" w:rsidRPr="001A05F4">
        <w:t>,</w:t>
      </w:r>
      <w:r w:rsidRPr="001A05F4">
        <w:t xml:space="preserve"> </w:t>
      </w:r>
      <w:r w:rsidR="00FB151C" w:rsidRPr="001A05F4">
        <w:t>f</w:t>
      </w:r>
      <w:r w:rsidRPr="001A05F4">
        <w:t>or example, at age 49 of the nusinersen population and at ages 40, 45 and 49 of the standard of care population. These sudden decreases in survival depict disease progression as observed by Wadman 2017.</w:t>
      </w:r>
      <w:r w:rsidRPr="001A05F4">
        <w:rPr>
          <w:i/>
          <w:iCs/>
        </w:rPr>
        <w:t xml:space="preserve"> </w:t>
      </w:r>
      <w:r w:rsidR="008171A6" w:rsidRPr="001A05F4">
        <w:rPr>
          <w:iCs/>
        </w:rPr>
        <w:t>This effect can be more clearly seen when the transition probabilities are graphed by age (</w:t>
      </w:r>
      <w:r w:rsidR="00BC2D8D" w:rsidRPr="001A05F4">
        <w:rPr>
          <w:iCs/>
        </w:rPr>
        <w:t>Figure 3</w:t>
      </w:r>
      <w:r w:rsidR="008171A6" w:rsidRPr="001A05F4">
        <w:rPr>
          <w:iCs/>
        </w:rPr>
        <w:t xml:space="preserve">) with significant spikes at certain ages that </w:t>
      </w:r>
      <w:r w:rsidR="00311A02" w:rsidRPr="001A05F4">
        <w:rPr>
          <w:iCs/>
        </w:rPr>
        <w:t xml:space="preserve">reflect the small number of patients in the trial and </w:t>
      </w:r>
      <w:r w:rsidR="008171A6" w:rsidRPr="001A05F4">
        <w:rPr>
          <w:iCs/>
        </w:rPr>
        <w:t>may not have biological plausibility. It would have been more reasonable to adjust these functions using an annualised rate of decline, or progression being dependent on time spent in a health state, rather than applying the observed results directly.</w:t>
      </w:r>
      <w:r w:rsidR="0055457D" w:rsidRPr="001A05F4">
        <w:rPr>
          <w:iCs/>
        </w:rPr>
        <w:t xml:space="preserve"> However, the </w:t>
      </w:r>
      <w:r w:rsidR="00142193" w:rsidRPr="001A05F4">
        <w:rPr>
          <w:iCs/>
        </w:rPr>
        <w:t xml:space="preserve">ESC considered that the </w:t>
      </w:r>
      <w:r w:rsidR="0055457D" w:rsidRPr="001A05F4">
        <w:rPr>
          <w:iCs/>
        </w:rPr>
        <w:t>impact on the ICER of doing so is likely to be modest.</w:t>
      </w:r>
    </w:p>
    <w:p w:rsidR="008171A6" w:rsidRPr="001A05F4" w:rsidRDefault="008171A6" w:rsidP="008171A6">
      <w:pPr>
        <w:pStyle w:val="TableFigureHeading"/>
        <w:rPr>
          <w:rStyle w:val="TableFigureHeadingChar"/>
          <w:b/>
          <w:bCs/>
        </w:rPr>
      </w:pPr>
      <w:bookmarkStart w:id="40" w:name="_Ref71590496"/>
      <w:r w:rsidRPr="001A05F4">
        <w:rPr>
          <w:rStyle w:val="TableFigureHeadingChar"/>
          <w:b/>
          <w:bCs/>
        </w:rPr>
        <w:t xml:space="preserve">Figure </w:t>
      </w:r>
      <w:r w:rsidR="00BC2D8D" w:rsidRPr="001A05F4">
        <w:rPr>
          <w:rStyle w:val="TableFigureHeadingChar"/>
          <w:b/>
          <w:bCs/>
        </w:rPr>
        <w:t>3</w:t>
      </w:r>
      <w:bookmarkEnd w:id="40"/>
      <w:r w:rsidRPr="001A05F4">
        <w:rPr>
          <w:rStyle w:val="TableFigureHeadingChar"/>
          <w:b/>
          <w:bCs/>
        </w:rPr>
        <w:t>: Transition probability by age applied in model to standard of care (from age 36)</w:t>
      </w:r>
    </w:p>
    <w:p w:rsidR="008171A6" w:rsidRPr="001A05F4" w:rsidRDefault="008171A6" w:rsidP="008171A6">
      <w:r w:rsidRPr="001A05F4">
        <w:rPr>
          <w:noProof/>
          <w:lang w:eastAsia="en-AU"/>
        </w:rPr>
        <w:drawing>
          <wp:inline distT="0" distB="0" distL="0" distR="0" wp14:anchorId="093A5125" wp14:editId="1D47ADF1">
            <wp:extent cx="4175125" cy="3260725"/>
            <wp:effectExtent l="0" t="0" r="0" b="0"/>
            <wp:docPr id="27" name="Graphic 27" title="Figure 3: Transition probability by age applied in model to standard of care (from age 36)"/>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15">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16"/>
                        </a:ext>
                      </a:extLst>
                    </a:blip>
                    <a:stretch>
                      <a:fillRect/>
                    </a:stretch>
                  </pic:blipFill>
                  <pic:spPr>
                    <a:xfrm>
                      <a:off x="0" y="0"/>
                      <a:ext cx="4166235" cy="3253740"/>
                    </a:xfrm>
                    <a:prstGeom prst="rect">
                      <a:avLst/>
                    </a:prstGeom>
                  </pic:spPr>
                </pic:pic>
              </a:graphicData>
            </a:graphic>
          </wp:inline>
        </w:drawing>
      </w:r>
    </w:p>
    <w:p w:rsidR="008171A6" w:rsidRPr="001A05F4" w:rsidRDefault="008171A6" w:rsidP="008171A6">
      <w:pPr>
        <w:pStyle w:val="TableFigureFooter"/>
        <w:keepLines/>
      </w:pPr>
      <w:r w:rsidRPr="001A05F4">
        <w:t>Source: Generated during commentary evaluation from model data</w:t>
      </w:r>
    </w:p>
    <w:p w:rsidR="00C66BE6" w:rsidRPr="001A05F4" w:rsidRDefault="00C66BE6" w:rsidP="00F9436F">
      <w:pPr>
        <w:pStyle w:val="3-BodyText"/>
        <w:numPr>
          <w:ilvl w:val="1"/>
          <w:numId w:val="2"/>
        </w:numPr>
      </w:pPr>
      <w:r w:rsidRPr="001A05F4">
        <w:t>Key drivers of the model are presented in</w:t>
      </w:r>
      <w:r w:rsidR="008171A6" w:rsidRPr="001A05F4">
        <w:t xml:space="preserve"> </w:t>
      </w:r>
      <w:r w:rsidR="00BC2D8D" w:rsidRPr="001A05F4">
        <w:t>Table 15</w:t>
      </w:r>
      <w:r w:rsidRPr="001A05F4">
        <w:t xml:space="preserve">. </w:t>
      </w:r>
    </w:p>
    <w:p w:rsidR="00C66BE6" w:rsidRPr="001A05F4" w:rsidRDefault="008171A6" w:rsidP="00270170">
      <w:pPr>
        <w:keepNext/>
        <w:keepLines/>
        <w:rPr>
          <w:rStyle w:val="CommentReference"/>
        </w:rPr>
      </w:pPr>
      <w:bookmarkStart w:id="41" w:name="_Ref71590561"/>
      <w:r w:rsidRPr="001A05F4">
        <w:rPr>
          <w:rStyle w:val="CommentReference"/>
        </w:rPr>
        <w:t xml:space="preserve">Table </w:t>
      </w:r>
      <w:r w:rsidR="00BC2D8D" w:rsidRPr="001A05F4">
        <w:rPr>
          <w:rStyle w:val="CommentReference"/>
        </w:rPr>
        <w:t>15</w:t>
      </w:r>
      <w:bookmarkEnd w:id="41"/>
      <w:r w:rsidRPr="001A05F4">
        <w:rPr>
          <w:rStyle w:val="CommentReference"/>
        </w:rPr>
        <w:t xml:space="preserve">: </w:t>
      </w:r>
      <w:r w:rsidR="00C66BE6" w:rsidRPr="001A05F4">
        <w:rPr>
          <w:rStyle w:val="CommentReference"/>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5"/>
        <w:gridCol w:w="4961"/>
        <w:gridCol w:w="2501"/>
      </w:tblGrid>
      <w:tr w:rsidR="00C66BE6" w:rsidRPr="001A05F4" w:rsidTr="00311A02">
        <w:trPr>
          <w:tblHeader/>
        </w:trPr>
        <w:tc>
          <w:tcPr>
            <w:tcW w:w="862" w:type="pct"/>
            <w:shd w:val="clear" w:color="auto" w:fill="auto"/>
            <w:vAlign w:val="center"/>
          </w:tcPr>
          <w:p w:rsidR="00C66BE6" w:rsidRPr="001A05F4" w:rsidRDefault="00C66BE6" w:rsidP="00270170">
            <w:pPr>
              <w:pStyle w:val="Tabletext"/>
              <w:keepNext/>
              <w:keepLines/>
              <w:rPr>
                <w:b/>
              </w:rPr>
            </w:pPr>
            <w:r w:rsidRPr="001A05F4">
              <w:rPr>
                <w:b/>
              </w:rPr>
              <w:t>Description</w:t>
            </w:r>
          </w:p>
        </w:tc>
        <w:tc>
          <w:tcPr>
            <w:tcW w:w="2751" w:type="pct"/>
            <w:shd w:val="clear" w:color="auto" w:fill="auto"/>
            <w:vAlign w:val="center"/>
          </w:tcPr>
          <w:p w:rsidR="00C66BE6" w:rsidRPr="001A05F4" w:rsidRDefault="00C66BE6" w:rsidP="00270170">
            <w:pPr>
              <w:pStyle w:val="Tabletext"/>
              <w:keepNext/>
              <w:keepLines/>
              <w:jc w:val="center"/>
              <w:rPr>
                <w:b/>
              </w:rPr>
            </w:pPr>
            <w:r w:rsidRPr="001A05F4">
              <w:rPr>
                <w:b/>
              </w:rPr>
              <w:t>Method/Value</w:t>
            </w:r>
          </w:p>
        </w:tc>
        <w:tc>
          <w:tcPr>
            <w:tcW w:w="1387" w:type="pct"/>
            <w:shd w:val="clear" w:color="auto" w:fill="auto"/>
            <w:vAlign w:val="center"/>
          </w:tcPr>
          <w:p w:rsidR="00C66BE6" w:rsidRPr="001A05F4" w:rsidRDefault="00C66BE6" w:rsidP="00270170">
            <w:pPr>
              <w:pStyle w:val="Tabletext"/>
              <w:keepNext/>
              <w:keepLines/>
              <w:jc w:val="center"/>
              <w:rPr>
                <w:b/>
              </w:rPr>
            </w:pPr>
            <w:r w:rsidRPr="001A05F4">
              <w:rPr>
                <w:b/>
              </w:rPr>
              <w:t>Impact</w:t>
            </w:r>
          </w:p>
        </w:tc>
      </w:tr>
      <w:tr w:rsidR="008171A6" w:rsidRPr="001A05F4" w:rsidTr="00311A02">
        <w:tc>
          <w:tcPr>
            <w:tcW w:w="862" w:type="pct"/>
            <w:shd w:val="clear" w:color="auto" w:fill="auto"/>
            <w:vAlign w:val="center"/>
          </w:tcPr>
          <w:p w:rsidR="008171A6" w:rsidRPr="001A05F4" w:rsidRDefault="008171A6" w:rsidP="00270170">
            <w:pPr>
              <w:pStyle w:val="Tabletext"/>
              <w:keepNext/>
              <w:keepLines/>
            </w:pPr>
            <w:r w:rsidRPr="001A05F4">
              <w:t xml:space="preserve">Utility benefit from nusinersen treatment </w:t>
            </w:r>
          </w:p>
        </w:tc>
        <w:tc>
          <w:tcPr>
            <w:tcW w:w="2751" w:type="pct"/>
            <w:shd w:val="clear" w:color="auto" w:fill="auto"/>
            <w:vAlign w:val="center"/>
          </w:tcPr>
          <w:p w:rsidR="008171A6" w:rsidRPr="001A05F4" w:rsidRDefault="008171A6" w:rsidP="00270170">
            <w:pPr>
              <w:pStyle w:val="Tabletext"/>
              <w:keepNext/>
              <w:keepLines/>
            </w:pPr>
            <w:r w:rsidRPr="001A05F4">
              <w:t xml:space="preserve">In addition to utilities applied due to the health state of a given patient, a utility benefit was also applied for patients who were classified as being responders to nusinersen. </w:t>
            </w:r>
            <w:r w:rsidRPr="001A05F4">
              <w:rPr>
                <w:iCs/>
              </w:rPr>
              <w:t xml:space="preserve">This </w:t>
            </w:r>
            <w:r w:rsidR="001A05F4" w:rsidRPr="001A05F4">
              <w:rPr>
                <w:iCs/>
              </w:rPr>
              <w:t>led</w:t>
            </w:r>
            <w:r w:rsidRPr="001A05F4">
              <w:rPr>
                <w:iCs/>
              </w:rPr>
              <w:t xml:space="preserve"> to a potential double counting of utility gains for the nusinersen treatment arm as some of the assumed utility gain from being a responder would have been captured by the individual health state utility.</w:t>
            </w:r>
            <w:r w:rsidR="00767E44" w:rsidRPr="001A05F4">
              <w:rPr>
                <w:iCs/>
              </w:rPr>
              <w:t xml:space="preserve"> It was also noted that the utility benefit from nusinersen treatment accounted for 63% of the total incremental QALY gain with nusinersen in the base case of the economic model.</w:t>
            </w:r>
          </w:p>
        </w:tc>
        <w:tc>
          <w:tcPr>
            <w:tcW w:w="1387" w:type="pct"/>
            <w:shd w:val="clear" w:color="auto" w:fill="auto"/>
            <w:vAlign w:val="center"/>
          </w:tcPr>
          <w:p w:rsidR="008171A6" w:rsidRPr="001A05F4" w:rsidRDefault="008171A6" w:rsidP="00270170">
            <w:pPr>
              <w:pStyle w:val="Tabletext"/>
              <w:keepNext/>
              <w:keepLines/>
              <w:rPr>
                <w:iCs/>
              </w:rPr>
            </w:pPr>
            <w:r w:rsidRPr="001A05F4">
              <w:rPr>
                <w:iCs/>
              </w:rPr>
              <w:t>High, favours nusine</w:t>
            </w:r>
            <w:r w:rsidR="00FD5ACE" w:rsidRPr="001A05F4">
              <w:rPr>
                <w:iCs/>
              </w:rPr>
              <w:t>r</w:t>
            </w:r>
            <w:r w:rsidRPr="001A05F4">
              <w:rPr>
                <w:iCs/>
              </w:rPr>
              <w:t>sen.</w:t>
            </w:r>
          </w:p>
          <w:p w:rsidR="008171A6" w:rsidRPr="001A05F4" w:rsidRDefault="008171A6" w:rsidP="00270170">
            <w:pPr>
              <w:pStyle w:val="Tabletext"/>
              <w:keepNext/>
              <w:keepLines/>
              <w:rPr>
                <w:iCs/>
              </w:rPr>
            </w:pPr>
            <w:r w:rsidRPr="001A05F4">
              <w:rPr>
                <w:iCs/>
              </w:rPr>
              <w:t xml:space="preserve">When the utility benefit attributed to nusinersen </w:t>
            </w:r>
            <w:r w:rsidR="00270170" w:rsidRPr="001A05F4">
              <w:rPr>
                <w:iCs/>
              </w:rPr>
              <w:t xml:space="preserve">treatment </w:t>
            </w:r>
            <w:r w:rsidRPr="001A05F4">
              <w:rPr>
                <w:iCs/>
              </w:rPr>
              <w:t>was removed, the ICER increased by 169%.</w:t>
            </w:r>
          </w:p>
        </w:tc>
      </w:tr>
      <w:tr w:rsidR="008171A6" w:rsidRPr="001A05F4" w:rsidTr="00311A02">
        <w:tc>
          <w:tcPr>
            <w:tcW w:w="862" w:type="pct"/>
            <w:shd w:val="clear" w:color="auto" w:fill="auto"/>
            <w:vAlign w:val="center"/>
          </w:tcPr>
          <w:p w:rsidR="008171A6" w:rsidRPr="001A05F4" w:rsidRDefault="008171A6" w:rsidP="00270170">
            <w:pPr>
              <w:pStyle w:val="Tabletext"/>
              <w:keepNext/>
              <w:keepLines/>
            </w:pPr>
            <w:r w:rsidRPr="001A05F4">
              <w:t>Time horizon</w:t>
            </w:r>
          </w:p>
        </w:tc>
        <w:tc>
          <w:tcPr>
            <w:tcW w:w="2751" w:type="pct"/>
            <w:shd w:val="clear" w:color="auto" w:fill="auto"/>
            <w:vAlign w:val="center"/>
          </w:tcPr>
          <w:p w:rsidR="008171A6" w:rsidRPr="001A05F4" w:rsidRDefault="008171A6" w:rsidP="00270170">
            <w:pPr>
              <w:pStyle w:val="Tabletext"/>
              <w:keepNext/>
              <w:keepLines/>
            </w:pPr>
            <w:r w:rsidRPr="001A05F4">
              <w:t xml:space="preserve">A base case of a lifetime time horizon was used. </w:t>
            </w:r>
            <w:r w:rsidR="00270170" w:rsidRPr="001A05F4">
              <w:rPr>
                <w:iCs/>
              </w:rPr>
              <w:t xml:space="preserve">While the time horizon was likely reasonable given the treatment and disease, the lifetime time horizon increased the uncertainty given the limited duration of available clinical data. Use of a shorter time horizons significantly increased the ICER, suggesting that any incremental benefit of nusinersen is dependent on continued use and the assumption of continued efficacy for patients remaining on treatment over the patient’s lifetime, as well as the resubmission’s assumed rate of progression for standard of care patients. </w:t>
            </w:r>
          </w:p>
        </w:tc>
        <w:tc>
          <w:tcPr>
            <w:tcW w:w="1387" w:type="pct"/>
            <w:shd w:val="clear" w:color="auto" w:fill="auto"/>
            <w:vAlign w:val="center"/>
          </w:tcPr>
          <w:p w:rsidR="008171A6" w:rsidRPr="001A05F4" w:rsidRDefault="008171A6" w:rsidP="00270170">
            <w:pPr>
              <w:pStyle w:val="Tabletext"/>
              <w:keepNext/>
              <w:keepLines/>
              <w:rPr>
                <w:iCs/>
              </w:rPr>
            </w:pPr>
            <w:r w:rsidRPr="001A05F4">
              <w:rPr>
                <w:iCs/>
              </w:rPr>
              <w:t>High, favours nusine</w:t>
            </w:r>
            <w:r w:rsidR="00FD5ACE" w:rsidRPr="001A05F4">
              <w:rPr>
                <w:iCs/>
              </w:rPr>
              <w:t>r</w:t>
            </w:r>
            <w:r w:rsidRPr="001A05F4">
              <w:rPr>
                <w:iCs/>
              </w:rPr>
              <w:t>sen.</w:t>
            </w:r>
          </w:p>
          <w:p w:rsidR="008171A6" w:rsidRPr="001A05F4" w:rsidRDefault="008171A6" w:rsidP="00270170">
            <w:pPr>
              <w:pStyle w:val="Tabletext"/>
              <w:keepNext/>
              <w:keepLines/>
            </w:pPr>
            <w:r w:rsidRPr="001A05F4">
              <w:rPr>
                <w:iCs/>
              </w:rPr>
              <w:t>When the time horizon was varied to 5, 10 and 20 years, the ICER increased by 71%, 50% and 23%, respectively</w:t>
            </w:r>
          </w:p>
        </w:tc>
      </w:tr>
      <w:tr w:rsidR="008171A6" w:rsidRPr="001A05F4" w:rsidTr="00311A02">
        <w:trPr>
          <w:trHeight w:val="519"/>
        </w:trPr>
        <w:tc>
          <w:tcPr>
            <w:tcW w:w="862" w:type="pct"/>
            <w:shd w:val="clear" w:color="auto" w:fill="auto"/>
            <w:vAlign w:val="center"/>
          </w:tcPr>
          <w:p w:rsidR="008171A6" w:rsidRPr="001A05F4" w:rsidRDefault="008171A6" w:rsidP="00270170">
            <w:pPr>
              <w:pStyle w:val="Tabletext"/>
              <w:keepNext/>
              <w:keepLines/>
            </w:pPr>
            <w:r w:rsidRPr="001A05F4">
              <w:t>Responder rates from Maggi 2020</w:t>
            </w:r>
          </w:p>
        </w:tc>
        <w:tc>
          <w:tcPr>
            <w:tcW w:w="2751" w:type="pct"/>
            <w:shd w:val="clear" w:color="auto" w:fill="auto"/>
            <w:vAlign w:val="center"/>
          </w:tcPr>
          <w:p w:rsidR="008171A6" w:rsidRPr="001A05F4" w:rsidRDefault="008171A6" w:rsidP="00302317">
            <w:pPr>
              <w:pStyle w:val="Tabletext"/>
              <w:keepNext/>
              <w:keepLines/>
            </w:pPr>
            <w:r w:rsidRPr="001A05F4">
              <w:t>The responder rates from Maggi 2020 were used to define responders to nusinersen in the resubmission</w:t>
            </w:r>
            <w:r w:rsidRPr="001A05F4">
              <w:rPr>
                <w:iCs/>
              </w:rPr>
              <w:t xml:space="preserve">. As discussed in paragraph </w:t>
            </w:r>
            <w:r w:rsidR="009E0720" w:rsidRPr="00AA4C6F">
              <w:rPr>
                <w:iCs/>
              </w:rPr>
              <w:t>6.39</w:t>
            </w:r>
            <w:r w:rsidRPr="00AA4C6F">
              <w:rPr>
                <w:iCs/>
              </w:rPr>
              <w:t>, t</w:t>
            </w:r>
            <w:r w:rsidRPr="001A05F4">
              <w:rPr>
                <w:iCs/>
              </w:rPr>
              <w:t>he</w:t>
            </w:r>
            <w:r w:rsidR="00270170" w:rsidRPr="001A05F4">
              <w:rPr>
                <w:iCs/>
              </w:rPr>
              <w:t xml:space="preserve"> method of calculation</w:t>
            </w:r>
            <w:r w:rsidRPr="001A05F4">
              <w:rPr>
                <w:iCs/>
              </w:rPr>
              <w:t xml:space="preserve"> </w:t>
            </w:r>
            <w:r w:rsidR="00270170" w:rsidRPr="001A05F4">
              <w:rPr>
                <w:iCs/>
              </w:rPr>
              <w:t>likely biased the results in favour of nusinersen.</w:t>
            </w:r>
            <w:r w:rsidRPr="001A05F4">
              <w:rPr>
                <w:iCs/>
              </w:rPr>
              <w:t xml:space="preserve"> An ITT approach </w:t>
            </w:r>
            <w:r w:rsidR="00270170" w:rsidRPr="001A05F4">
              <w:rPr>
                <w:iCs/>
              </w:rPr>
              <w:t>may have been more appropriate.</w:t>
            </w:r>
            <w:r w:rsidR="00302317" w:rsidRPr="001A05F4">
              <w:rPr>
                <w:iCs/>
              </w:rPr>
              <w:t xml:space="preserve"> The ESC noted that without application of utility benefit from nusinersen treatment, responder rates had no impact on the model. </w:t>
            </w:r>
          </w:p>
        </w:tc>
        <w:tc>
          <w:tcPr>
            <w:tcW w:w="1387" w:type="pct"/>
            <w:shd w:val="clear" w:color="auto" w:fill="auto"/>
            <w:vAlign w:val="center"/>
          </w:tcPr>
          <w:p w:rsidR="008171A6" w:rsidRPr="001A05F4" w:rsidRDefault="008171A6" w:rsidP="00270170">
            <w:pPr>
              <w:pStyle w:val="Tabletext"/>
              <w:keepNext/>
              <w:keepLines/>
              <w:rPr>
                <w:iCs/>
              </w:rPr>
            </w:pPr>
            <w:r w:rsidRPr="001A05F4">
              <w:rPr>
                <w:iCs/>
              </w:rPr>
              <w:t>High, favours nusine</w:t>
            </w:r>
            <w:r w:rsidR="00FD5ACE" w:rsidRPr="001A05F4">
              <w:rPr>
                <w:iCs/>
              </w:rPr>
              <w:t>r</w:t>
            </w:r>
            <w:r w:rsidRPr="001A05F4">
              <w:rPr>
                <w:iCs/>
              </w:rPr>
              <w:t>sen.</w:t>
            </w:r>
          </w:p>
          <w:p w:rsidR="008171A6" w:rsidRPr="001A05F4" w:rsidRDefault="008171A6" w:rsidP="00270170">
            <w:pPr>
              <w:pStyle w:val="Tabletext"/>
              <w:keepNext/>
              <w:keepLines/>
              <w:rPr>
                <w:iCs/>
              </w:rPr>
            </w:pPr>
            <w:r w:rsidRPr="001A05F4">
              <w:rPr>
                <w:iCs/>
              </w:rPr>
              <w:t xml:space="preserve">When </w:t>
            </w:r>
            <w:r w:rsidR="00270170" w:rsidRPr="001A05F4">
              <w:rPr>
                <w:iCs/>
              </w:rPr>
              <w:t xml:space="preserve">an ITT approach was used </w:t>
            </w:r>
            <w:r w:rsidRPr="001A05F4">
              <w:rPr>
                <w:iCs/>
              </w:rPr>
              <w:t>the ICER increased by 60%.</w:t>
            </w:r>
          </w:p>
        </w:tc>
      </w:tr>
      <w:tr w:rsidR="00270170" w:rsidRPr="001A05F4" w:rsidTr="00311A02">
        <w:trPr>
          <w:trHeight w:val="519"/>
        </w:trPr>
        <w:tc>
          <w:tcPr>
            <w:tcW w:w="862" w:type="pct"/>
            <w:shd w:val="clear" w:color="auto" w:fill="auto"/>
            <w:vAlign w:val="center"/>
          </w:tcPr>
          <w:p w:rsidR="00270170" w:rsidRPr="001A05F4" w:rsidRDefault="00270170" w:rsidP="00270170">
            <w:pPr>
              <w:pStyle w:val="Tabletext"/>
              <w:keepNext/>
              <w:keepLines/>
            </w:pPr>
            <w:r w:rsidRPr="001A05F4">
              <w:t>Assumption of nusinersen efficacy</w:t>
            </w:r>
          </w:p>
        </w:tc>
        <w:tc>
          <w:tcPr>
            <w:tcW w:w="2751" w:type="pct"/>
            <w:shd w:val="clear" w:color="auto" w:fill="auto"/>
            <w:vAlign w:val="center"/>
          </w:tcPr>
          <w:p w:rsidR="00270170" w:rsidRPr="001A05F4" w:rsidRDefault="00270170" w:rsidP="00270170">
            <w:pPr>
              <w:pStyle w:val="Tabletext"/>
              <w:keepNext/>
              <w:keepLines/>
            </w:pPr>
            <w:r w:rsidRPr="001A05F4">
              <w:t xml:space="preserve">In the base case, the relative risk of progression for nusinersen was assumed to be 0 (i.e. no progression). </w:t>
            </w:r>
            <w:r w:rsidRPr="001A05F4">
              <w:rPr>
                <w:iCs/>
              </w:rPr>
              <w:t>This was not supported by the clinical data.</w:t>
            </w:r>
            <w:r w:rsidRPr="001A05F4">
              <w:t xml:space="preserve"> </w:t>
            </w:r>
          </w:p>
        </w:tc>
        <w:tc>
          <w:tcPr>
            <w:tcW w:w="1387" w:type="pct"/>
            <w:shd w:val="clear" w:color="auto" w:fill="auto"/>
            <w:vAlign w:val="center"/>
          </w:tcPr>
          <w:p w:rsidR="00270170" w:rsidRPr="001A05F4" w:rsidRDefault="00270170" w:rsidP="00270170">
            <w:pPr>
              <w:pStyle w:val="Tabletext"/>
              <w:keepNext/>
              <w:keepLines/>
              <w:rPr>
                <w:iCs/>
              </w:rPr>
            </w:pPr>
            <w:r w:rsidRPr="001A05F4">
              <w:rPr>
                <w:iCs/>
              </w:rPr>
              <w:t xml:space="preserve">Moderate, favours nusinersen. Assuming a relative risk of 0.5 increases ICER by 26%. </w:t>
            </w:r>
          </w:p>
        </w:tc>
      </w:tr>
    </w:tbl>
    <w:p w:rsidR="00C66BE6" w:rsidRPr="001A05F4" w:rsidRDefault="00C66BE6" w:rsidP="00270170">
      <w:pPr>
        <w:pStyle w:val="TableFigureFooter"/>
        <w:keepNext/>
        <w:keepLines/>
      </w:pPr>
      <w:r w:rsidRPr="001A05F4">
        <w:t>Source: Compiled during the evaluation from Section 3 of the resubmission and calculations undertaken during the evaluation.</w:t>
      </w:r>
    </w:p>
    <w:p w:rsidR="000B5D68" w:rsidRPr="001A05F4" w:rsidRDefault="000B5D68" w:rsidP="00F9436F">
      <w:pPr>
        <w:pStyle w:val="ListParagraph"/>
        <w:widowControl/>
        <w:numPr>
          <w:ilvl w:val="1"/>
          <w:numId w:val="2"/>
        </w:numPr>
      </w:pPr>
      <w:bookmarkStart w:id="42" w:name="_Ref72250258"/>
      <w:r w:rsidRPr="001A05F4">
        <w:rPr>
          <w:iCs/>
        </w:rPr>
        <w:t>There were significant issues with the application of responder rates from Maggi 2020 to estimate utility benefits associated with nusinersen treatment:</w:t>
      </w:r>
      <w:bookmarkEnd w:id="42"/>
    </w:p>
    <w:p w:rsidR="000B5D68" w:rsidRPr="001A05F4" w:rsidRDefault="000B5D68" w:rsidP="00F9436F">
      <w:pPr>
        <w:pStyle w:val="ListParagraph"/>
        <w:numPr>
          <w:ilvl w:val="0"/>
          <w:numId w:val="9"/>
        </w:numPr>
        <w:snapToGrid w:val="0"/>
        <w:ind w:left="993" w:hanging="284"/>
      </w:pPr>
      <w:r w:rsidRPr="001A05F4">
        <w:rPr>
          <w:iCs/>
        </w:rPr>
        <w:t xml:space="preserve">As discussed in </w:t>
      </w:r>
      <w:r w:rsidRPr="00AA4C6F">
        <w:rPr>
          <w:iCs/>
        </w:rPr>
        <w:t xml:space="preserve">paragraph </w:t>
      </w:r>
      <w:r w:rsidR="009E0720" w:rsidRPr="00AA4C6F">
        <w:rPr>
          <w:iCs/>
        </w:rPr>
        <w:t>6.45</w:t>
      </w:r>
      <w:r w:rsidRPr="001A05F4">
        <w:rPr>
          <w:iCs/>
        </w:rPr>
        <w:t xml:space="preserve">, the resubmission’s basis for using RULM and HFMSE responder rates to estimate a utility benefit from treatment with nusinersen beyond the arrestment of disease progression may not be justified as there may not be a correlation between RULM and HFMSE and QoL;  </w:t>
      </w:r>
    </w:p>
    <w:p w:rsidR="00204552" w:rsidRPr="001A05F4" w:rsidRDefault="000B5D68" w:rsidP="00F9436F">
      <w:pPr>
        <w:pStyle w:val="ListParagraph"/>
        <w:numPr>
          <w:ilvl w:val="0"/>
          <w:numId w:val="9"/>
        </w:numPr>
        <w:snapToGrid w:val="0"/>
        <w:ind w:left="993" w:hanging="284"/>
      </w:pPr>
      <w:r w:rsidRPr="001A05F4">
        <w:rPr>
          <w:iCs/>
        </w:rPr>
        <w:t xml:space="preserve">As discussed in paragraph </w:t>
      </w:r>
      <w:r w:rsidR="009E0720" w:rsidRPr="00AA4C6F">
        <w:rPr>
          <w:iCs/>
        </w:rPr>
        <w:t>6.39</w:t>
      </w:r>
      <w:r w:rsidRPr="001A05F4">
        <w:rPr>
          <w:iCs/>
        </w:rPr>
        <w:t xml:space="preserve">, the calculation of HFMSE, RULM and 6MWT responder rates by Maggi 2020 was </w:t>
      </w:r>
      <w:r w:rsidR="00BD255B" w:rsidRPr="001A05F4">
        <w:rPr>
          <w:iCs/>
        </w:rPr>
        <w:t xml:space="preserve">inappropriate </w:t>
      </w:r>
      <w:r w:rsidRPr="001A05F4">
        <w:rPr>
          <w:iCs/>
        </w:rPr>
        <w:t>as the proportion of responders w</w:t>
      </w:r>
      <w:r w:rsidR="00693CB6" w:rsidRPr="001A05F4">
        <w:rPr>
          <w:iCs/>
        </w:rPr>
        <w:t>as</w:t>
      </w:r>
      <w:r w:rsidRPr="001A05F4">
        <w:rPr>
          <w:iCs/>
        </w:rPr>
        <w:t xml:space="preserve"> based on a patient population that was decreasing </w:t>
      </w:r>
      <w:r w:rsidR="00693CB6" w:rsidRPr="001A05F4">
        <w:rPr>
          <w:iCs/>
        </w:rPr>
        <w:t xml:space="preserve">in size </w:t>
      </w:r>
      <w:r w:rsidRPr="001A05F4">
        <w:rPr>
          <w:iCs/>
        </w:rPr>
        <w:t>over time. Using an ITT approach for responder calculations in Maggi 2020 (e.g. 13/116 [11%] response for HFMSE at 14 months instead of 13/27 [48%]) increased the ICER by 60%; and</w:t>
      </w:r>
    </w:p>
    <w:p w:rsidR="000B5D68" w:rsidRPr="001A05F4" w:rsidRDefault="000B5D68" w:rsidP="00F9436F">
      <w:pPr>
        <w:pStyle w:val="ListParagraph"/>
        <w:numPr>
          <w:ilvl w:val="0"/>
          <w:numId w:val="9"/>
        </w:numPr>
        <w:snapToGrid w:val="0"/>
        <w:ind w:left="993" w:hanging="284"/>
      </w:pPr>
      <w:r w:rsidRPr="001A05F4">
        <w:rPr>
          <w:iCs/>
        </w:rPr>
        <w:t>This hierarchical approach of applying utility</w:t>
      </w:r>
      <w:r w:rsidR="002F02B9" w:rsidRPr="001A05F4">
        <w:rPr>
          <w:iCs/>
        </w:rPr>
        <w:t>,</w:t>
      </w:r>
      <w:r w:rsidRPr="001A05F4">
        <w:rPr>
          <w:iCs/>
        </w:rPr>
        <w:t xml:space="preserve"> </w:t>
      </w:r>
      <w:r w:rsidR="002F02B9" w:rsidRPr="001A05F4">
        <w:rPr>
          <w:iCs/>
        </w:rPr>
        <w:t>where utility gains are first applied to patients responding to RULM, then to 6MWT and then to HFMSE (with no patient being awarded a utility gain for more than one measure)</w:t>
      </w:r>
      <w:r w:rsidRPr="001A05F4">
        <w:rPr>
          <w:iCs/>
        </w:rPr>
        <w:t xml:space="preserve"> likely favoured nusinersen, as the utility gain for a RULM responder was assumed to be 0.12 compared to just 0.03 for a HFMSE responder. If HFMSE response, which had the highest proportion of responders among all three outcomes in Maggi 2020, was given priority and accounted for first in the ‘sitters’ population, the ICER increased by 24%. </w:t>
      </w:r>
    </w:p>
    <w:p w:rsidR="00693CB6" w:rsidRPr="001A05F4" w:rsidRDefault="00693CB6" w:rsidP="00F9436F">
      <w:pPr>
        <w:pStyle w:val="ListParagraph"/>
        <w:numPr>
          <w:ilvl w:val="0"/>
          <w:numId w:val="9"/>
        </w:numPr>
        <w:snapToGrid w:val="0"/>
        <w:ind w:left="993" w:hanging="284"/>
        <w:rPr>
          <w:iCs/>
        </w:rPr>
      </w:pPr>
      <w:r w:rsidRPr="001A05F4">
        <w:rPr>
          <w:iCs/>
        </w:rPr>
        <w:t>It was also likely that there was some degree of double counting as both health state and treatment responder based utilities were included for the nusinersen treatment arm</w:t>
      </w:r>
      <w:r w:rsidR="001A05F4">
        <w:rPr>
          <w:iCs/>
        </w:rPr>
        <w:t xml:space="preserve">. </w:t>
      </w:r>
      <w:r w:rsidR="00930EB3" w:rsidRPr="001A05F4">
        <w:rPr>
          <w:iCs/>
        </w:rPr>
        <w:t xml:space="preserve">The ESC noted that </w:t>
      </w:r>
      <w:r w:rsidR="008D08DB" w:rsidRPr="001A05F4">
        <w:rPr>
          <w:iCs/>
        </w:rPr>
        <w:t xml:space="preserve">heath state </w:t>
      </w:r>
      <w:r w:rsidR="00930EB3" w:rsidRPr="001A05F4">
        <w:rPr>
          <w:iCs/>
        </w:rPr>
        <w:t xml:space="preserve">utility scores were based on the HUI3 instrument (from Belter et al 2020), which includes ambulation and dexterity dimensions </w:t>
      </w:r>
      <w:r w:rsidR="008D08DB" w:rsidRPr="001A05F4">
        <w:rPr>
          <w:iCs/>
        </w:rPr>
        <w:t>which</w:t>
      </w:r>
      <w:r w:rsidR="00930EB3" w:rsidRPr="001A05F4">
        <w:rPr>
          <w:iCs/>
        </w:rPr>
        <w:t xml:space="preserve"> would overlap with the HFMSE and 6M</w:t>
      </w:r>
      <w:r w:rsidR="008D08DB" w:rsidRPr="001A05F4">
        <w:rPr>
          <w:iCs/>
        </w:rPr>
        <w:t>WT</w:t>
      </w:r>
      <w:r w:rsidR="00C4193E" w:rsidRPr="001A05F4">
        <w:rPr>
          <w:iCs/>
        </w:rPr>
        <w:t xml:space="preserve"> measures</w:t>
      </w:r>
      <w:r w:rsidR="00930EB3" w:rsidRPr="001A05F4">
        <w:rPr>
          <w:iCs/>
        </w:rPr>
        <w:t xml:space="preserve">. </w:t>
      </w:r>
      <w:r w:rsidR="008D08DB" w:rsidRPr="001A05F4">
        <w:rPr>
          <w:iCs/>
        </w:rPr>
        <w:t>However</w:t>
      </w:r>
      <w:r w:rsidR="00376678" w:rsidRPr="001A05F4">
        <w:rPr>
          <w:iCs/>
        </w:rPr>
        <w:t>,</w:t>
      </w:r>
      <w:r w:rsidR="008D08DB" w:rsidRPr="001A05F4">
        <w:rPr>
          <w:iCs/>
        </w:rPr>
        <w:t xml:space="preserve"> t</w:t>
      </w:r>
      <w:r w:rsidRPr="001A05F4">
        <w:rPr>
          <w:iCs/>
        </w:rPr>
        <w:t>he ESC also noted that motor outcomes captured with the HFMSE and RULM measures do not necessarily capture QoL benefits for all patients, particularly for patients with more advanced disease at treatment initiation. The ESC and PBAC have previously noted the economic model does not capture changes in fine motor function, which can be important to patients with SMA</w:t>
      </w:r>
      <w:r w:rsidR="00F22DD5" w:rsidRPr="001A05F4">
        <w:rPr>
          <w:iCs/>
        </w:rPr>
        <w:t xml:space="preserve"> (paragraph 6.64, nusinersen PSD November 2020)</w:t>
      </w:r>
      <w:r w:rsidRPr="001A05F4">
        <w:rPr>
          <w:iCs/>
        </w:rPr>
        <w:t xml:space="preserve">. </w:t>
      </w:r>
      <w:r w:rsidR="00F22DD5" w:rsidRPr="001A05F4">
        <w:rPr>
          <w:iCs/>
        </w:rPr>
        <w:t xml:space="preserve">The ESC noted that 37% of QALY gains in the model resulted from health state differences in the model, with the remaining 63% based on the treatment-specific increment in utility. The ESC considered that </w:t>
      </w:r>
      <w:r w:rsidR="00F15502" w:rsidRPr="001A05F4">
        <w:rPr>
          <w:iCs/>
        </w:rPr>
        <w:t xml:space="preserve">even if </w:t>
      </w:r>
      <w:r w:rsidR="00F22DD5" w:rsidRPr="001A05F4">
        <w:rPr>
          <w:iCs/>
        </w:rPr>
        <w:t xml:space="preserve">some level of additional utility </w:t>
      </w:r>
      <w:r w:rsidR="00F15502" w:rsidRPr="001A05F4">
        <w:rPr>
          <w:iCs/>
        </w:rPr>
        <w:t xml:space="preserve">was </w:t>
      </w:r>
      <w:r w:rsidR="00F22DD5" w:rsidRPr="001A05F4">
        <w:rPr>
          <w:iCs/>
        </w:rPr>
        <w:t>not captured in the motor outcomes</w:t>
      </w:r>
      <w:r w:rsidR="00F15502" w:rsidRPr="001A05F4">
        <w:rPr>
          <w:iCs/>
        </w:rPr>
        <w:t>,</w:t>
      </w:r>
      <w:r w:rsidR="00F22DD5" w:rsidRPr="001A05F4">
        <w:rPr>
          <w:iCs/>
        </w:rPr>
        <w:t xml:space="preserve"> the </w:t>
      </w:r>
      <w:r w:rsidR="008D08DB" w:rsidRPr="001A05F4">
        <w:rPr>
          <w:iCs/>
        </w:rPr>
        <w:t>extent</w:t>
      </w:r>
      <w:r w:rsidR="00930EB3" w:rsidRPr="001A05F4">
        <w:rPr>
          <w:iCs/>
        </w:rPr>
        <w:t xml:space="preserve"> of this adjustment </w:t>
      </w:r>
      <w:r w:rsidR="00C4193E" w:rsidRPr="001A05F4">
        <w:rPr>
          <w:iCs/>
        </w:rPr>
        <w:t xml:space="preserve">in the resubmission model </w:t>
      </w:r>
      <w:r w:rsidR="008D08DB" w:rsidRPr="001A05F4">
        <w:rPr>
          <w:iCs/>
        </w:rPr>
        <w:t xml:space="preserve">appeared to be </w:t>
      </w:r>
      <w:r w:rsidR="00F15502" w:rsidRPr="001A05F4">
        <w:rPr>
          <w:iCs/>
        </w:rPr>
        <w:t xml:space="preserve">implausibly </w:t>
      </w:r>
      <w:r w:rsidR="008D08DB" w:rsidRPr="001A05F4">
        <w:rPr>
          <w:iCs/>
        </w:rPr>
        <w:t xml:space="preserve">high. </w:t>
      </w:r>
      <w:r w:rsidR="00F22DD5" w:rsidRPr="001A05F4">
        <w:rPr>
          <w:iCs/>
        </w:rPr>
        <w:t>The PSCR acknowledged that quantifying utility gains is difficult and they are subject to uncertainty</w:t>
      </w:r>
      <w:r w:rsidR="008D08DB" w:rsidRPr="001A05F4">
        <w:rPr>
          <w:iCs/>
        </w:rPr>
        <w:t>, but were based on reasonable evidence-based estimates where possible</w:t>
      </w:r>
      <w:r w:rsidR="00F22DD5" w:rsidRPr="001A05F4">
        <w:rPr>
          <w:iCs/>
        </w:rPr>
        <w:t>.</w:t>
      </w:r>
      <w:r w:rsidRPr="001A05F4">
        <w:rPr>
          <w:iCs/>
        </w:rPr>
        <w:t xml:space="preserve"> </w:t>
      </w:r>
      <w:r w:rsidR="00F724CB" w:rsidRPr="001A05F4">
        <w:rPr>
          <w:iCs/>
        </w:rPr>
        <w:t>The pre-PBAC response contended that the four-health state structure of the economic model is very broad and only captures changes in gross motor skills and as such, rather than double counting utility gains, the utility gain applied to nusinersen responders is a means of counting the utility gains the four-health state structure of the model otherwise did not capture. The pre-PBAC response considered the model is more likely to underestimate rather than overestimate the benefit of nusinersen to adult patients.</w:t>
      </w:r>
      <w:r w:rsidR="00F9436F" w:rsidRPr="001A05F4">
        <w:rPr>
          <w:iCs/>
        </w:rPr>
        <w:t xml:space="preserve"> The PBAC considered that the utility benefit associated with nusinersen treatment was a major source of uncertainty in the economic model. </w:t>
      </w:r>
    </w:p>
    <w:p w:rsidR="00C66BE6" w:rsidRPr="001A05F4" w:rsidRDefault="00BC2D8D" w:rsidP="00F9436F">
      <w:pPr>
        <w:pStyle w:val="ListParagraph"/>
        <w:widowControl/>
        <w:numPr>
          <w:ilvl w:val="1"/>
          <w:numId w:val="2"/>
        </w:numPr>
      </w:pPr>
      <w:r w:rsidRPr="001A05F4">
        <w:t>Table 16</w:t>
      </w:r>
      <w:r w:rsidR="00270170" w:rsidRPr="001A05F4">
        <w:t xml:space="preserve"> </w:t>
      </w:r>
      <w:r w:rsidR="00C66BE6" w:rsidRPr="001A05F4">
        <w:t>provides a summary of the results of the stepped economic evaluation.</w:t>
      </w:r>
    </w:p>
    <w:p w:rsidR="00C66BE6" w:rsidRPr="001A05F4" w:rsidRDefault="00270170" w:rsidP="00270170">
      <w:pPr>
        <w:keepNext/>
        <w:widowControl/>
        <w:rPr>
          <w:rStyle w:val="CommentReference"/>
        </w:rPr>
      </w:pPr>
      <w:bookmarkStart w:id="43" w:name="_Ref71591428"/>
      <w:r w:rsidRPr="001A05F4">
        <w:rPr>
          <w:rStyle w:val="CommentReference"/>
        </w:rPr>
        <w:t xml:space="preserve">Table </w:t>
      </w:r>
      <w:r w:rsidR="00BC2D8D" w:rsidRPr="001A05F4">
        <w:rPr>
          <w:rStyle w:val="CommentReference"/>
        </w:rPr>
        <w:t>16</w:t>
      </w:r>
      <w:bookmarkEnd w:id="43"/>
      <w:r w:rsidR="00C66BE6" w:rsidRPr="001A05F4">
        <w:rPr>
          <w:rStyle w:val="CommentReference"/>
        </w:rPr>
        <w:t>: Results of the stepped economic evaluation of nusinersen versus standard of care in adults with SMA</w:t>
      </w:r>
    </w:p>
    <w:tbl>
      <w:tblPr>
        <w:tblStyle w:val="TableGrid"/>
        <w:tblW w:w="0" w:type="auto"/>
        <w:tblLook w:val="04A0" w:firstRow="1" w:lastRow="0" w:firstColumn="1" w:lastColumn="0" w:noHBand="0" w:noVBand="1"/>
        <w:tblCaption w:val="Table 16: Results of the stepped economic evaluation of nusinersen versus standard of care in adults with SMA"/>
      </w:tblPr>
      <w:tblGrid>
        <w:gridCol w:w="2972"/>
        <w:gridCol w:w="1895"/>
        <w:gridCol w:w="1895"/>
        <w:gridCol w:w="2254"/>
      </w:tblGrid>
      <w:tr w:rsidR="00C66BE6" w:rsidRPr="001A05F4" w:rsidTr="00466FA7">
        <w:trPr>
          <w:tblHeader/>
        </w:trPr>
        <w:tc>
          <w:tcPr>
            <w:tcW w:w="2972" w:type="dxa"/>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b/>
              </w:rPr>
            </w:pPr>
            <w:r w:rsidRPr="001A05F4">
              <w:rPr>
                <w:b/>
              </w:rPr>
              <w:t>Treatment arm</w:t>
            </w:r>
          </w:p>
        </w:tc>
        <w:tc>
          <w:tcPr>
            <w:tcW w:w="1895" w:type="dxa"/>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b/>
              </w:rPr>
            </w:pPr>
            <w:r w:rsidRPr="001A05F4">
              <w:rPr>
                <w:b/>
              </w:rPr>
              <w:t>Nusinersen</w:t>
            </w:r>
          </w:p>
        </w:tc>
        <w:tc>
          <w:tcPr>
            <w:tcW w:w="1895" w:type="dxa"/>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b/>
              </w:rPr>
            </w:pPr>
            <w:r w:rsidRPr="001A05F4">
              <w:rPr>
                <w:b/>
              </w:rPr>
              <w:t>Standard of care</w:t>
            </w:r>
          </w:p>
        </w:tc>
        <w:tc>
          <w:tcPr>
            <w:tcW w:w="2254"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b/>
              </w:rPr>
            </w:pPr>
            <w:r w:rsidRPr="001A05F4">
              <w:rPr>
                <w:b/>
              </w:rPr>
              <w:t>Difference</w:t>
            </w:r>
          </w:p>
        </w:tc>
      </w:tr>
      <w:tr w:rsidR="00C66BE6" w:rsidRPr="001A05F4" w:rsidTr="00927040">
        <w:tc>
          <w:tcPr>
            <w:tcW w:w="9016" w:type="dxa"/>
            <w:gridSpan w:val="4"/>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rPr>
                <w:b/>
                <w:bCs/>
                <w:iCs/>
              </w:rPr>
            </w:pPr>
            <w:r w:rsidRPr="001A05F4">
              <w:rPr>
                <w:b/>
                <w:bCs/>
                <w:iCs/>
              </w:rPr>
              <w:t>Trial-based analysis, cost per patient responding to nusinersen on any measure of 6MWT, RULM or HFMSE</w:t>
            </w:r>
          </w:p>
        </w:tc>
      </w:tr>
      <w:tr w:rsidR="00C66BE6" w:rsidRPr="001A05F4" w:rsidTr="00927040">
        <w:tc>
          <w:tcPr>
            <w:tcW w:w="2972" w:type="dxa"/>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pPr>
            <w:r w:rsidRPr="001A05F4">
              <w:t>Cost</w:t>
            </w:r>
          </w:p>
        </w:tc>
        <w:tc>
          <w:tcPr>
            <w:tcW w:w="189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w:t>
            </w:r>
            <w:r w:rsidR="006B0D96">
              <w:rPr>
                <w:noProof/>
                <w:color w:val="000000"/>
                <w:highlight w:val="black"/>
              </w:rPr>
              <w:t>''''''''''''''''''</w:t>
            </w:r>
          </w:p>
        </w:tc>
        <w:tc>
          <w:tcPr>
            <w:tcW w:w="189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$0</w:t>
            </w:r>
          </w:p>
        </w:tc>
        <w:tc>
          <w:tcPr>
            <w:tcW w:w="2254"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w:t>
            </w:r>
            <w:r w:rsidR="006B0D96">
              <w:rPr>
                <w:noProof/>
                <w:color w:val="000000"/>
                <w:highlight w:val="black"/>
              </w:rPr>
              <w:t>'''''''''''''''''</w:t>
            </w:r>
          </w:p>
        </w:tc>
      </w:tr>
      <w:tr w:rsidR="00C66BE6" w:rsidRPr="001A05F4" w:rsidTr="00927040">
        <w:tc>
          <w:tcPr>
            <w:tcW w:w="2972" w:type="dxa"/>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pPr>
            <w:r w:rsidRPr="001A05F4">
              <w:t>Responders</w:t>
            </w:r>
          </w:p>
        </w:tc>
        <w:tc>
          <w:tcPr>
            <w:tcW w:w="189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69%</w:t>
            </w:r>
          </w:p>
        </w:tc>
        <w:tc>
          <w:tcPr>
            <w:tcW w:w="189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0%</w:t>
            </w:r>
          </w:p>
        </w:tc>
        <w:tc>
          <w:tcPr>
            <w:tcW w:w="2254"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69%</w:t>
            </w:r>
          </w:p>
        </w:tc>
      </w:tr>
      <w:tr w:rsidR="00C66BE6" w:rsidRPr="001A05F4" w:rsidTr="00927040">
        <w:tc>
          <w:tcPr>
            <w:tcW w:w="6762" w:type="dxa"/>
            <w:gridSpan w:val="3"/>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vertAlign w:val="superscript"/>
              </w:rPr>
            </w:pPr>
            <w:r w:rsidRPr="001A05F4">
              <w:t>Incremental cost per responder</w:t>
            </w:r>
            <w:r w:rsidRPr="001A05F4">
              <w:rPr>
                <w:vertAlign w:val="superscript"/>
              </w:rPr>
              <w:t>a</w:t>
            </w:r>
          </w:p>
        </w:tc>
        <w:tc>
          <w:tcPr>
            <w:tcW w:w="2254" w:type="dxa"/>
            <w:tcBorders>
              <w:top w:val="single" w:sz="4" w:space="0" w:color="auto"/>
              <w:left w:val="single" w:sz="4" w:space="0" w:color="auto"/>
              <w:bottom w:val="single" w:sz="4" w:space="0" w:color="auto"/>
              <w:right w:val="single" w:sz="4" w:space="0" w:color="auto"/>
            </w:tcBorders>
            <w:vAlign w:val="center"/>
            <w:hideMark/>
          </w:tcPr>
          <w:p w:rsidR="00C66BE6" w:rsidRPr="00D02C15" w:rsidRDefault="00C66BE6" w:rsidP="00927040">
            <w:pPr>
              <w:pStyle w:val="TableText0"/>
              <w:spacing w:before="0" w:after="0"/>
              <w:jc w:val="center"/>
              <w:rPr>
                <w:vertAlign w:val="superscript"/>
              </w:rPr>
            </w:pPr>
            <w:r w:rsidRPr="001A05F4">
              <w:t>$</w:t>
            </w:r>
            <w:r w:rsidR="006B0D96">
              <w:rPr>
                <w:noProof/>
                <w:color w:val="000000"/>
                <w:highlight w:val="black"/>
              </w:rPr>
              <w:t>'''''''''''''''''''''</w:t>
            </w:r>
            <w:r w:rsidR="00D02C15" w:rsidRPr="00D02C15">
              <w:rPr>
                <w:vertAlign w:val="superscript"/>
              </w:rPr>
              <w:t>1</w:t>
            </w:r>
          </w:p>
        </w:tc>
      </w:tr>
      <w:tr w:rsidR="00C66BE6" w:rsidRPr="001A05F4" w:rsidTr="00927040">
        <w:tc>
          <w:tcPr>
            <w:tcW w:w="9016" w:type="dxa"/>
            <w:gridSpan w:val="4"/>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rPr>
                <w:b/>
                <w:bCs/>
                <w:iCs/>
              </w:rPr>
            </w:pPr>
            <w:r w:rsidRPr="001A05F4">
              <w:rPr>
                <w:b/>
                <w:bCs/>
                <w:iCs/>
              </w:rPr>
              <w:t>Extrapolate over patient lifetime</w:t>
            </w:r>
          </w:p>
        </w:tc>
      </w:tr>
      <w:tr w:rsidR="00C66BE6" w:rsidRPr="001A05F4" w:rsidTr="00927040">
        <w:tc>
          <w:tcPr>
            <w:tcW w:w="2972" w:type="dxa"/>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pPr>
            <w:r w:rsidRPr="001A05F4">
              <w:t>Cost</w:t>
            </w:r>
          </w:p>
        </w:tc>
        <w:tc>
          <w:tcPr>
            <w:tcW w:w="189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w:t>
            </w:r>
            <w:r w:rsidR="006B0D96">
              <w:rPr>
                <w:noProof/>
                <w:color w:val="000000"/>
                <w:highlight w:val="black"/>
              </w:rPr>
              <w:t>''''''''''''''''''''''</w:t>
            </w:r>
          </w:p>
        </w:tc>
        <w:tc>
          <w:tcPr>
            <w:tcW w:w="189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$0</w:t>
            </w:r>
          </w:p>
        </w:tc>
        <w:tc>
          <w:tcPr>
            <w:tcW w:w="2254"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w:t>
            </w:r>
            <w:r w:rsidR="006B0D96">
              <w:rPr>
                <w:noProof/>
                <w:color w:val="000000"/>
                <w:highlight w:val="black"/>
              </w:rPr>
              <w:t>'''''''''''''''''''''</w:t>
            </w:r>
          </w:p>
        </w:tc>
      </w:tr>
      <w:tr w:rsidR="00C66BE6" w:rsidRPr="001A05F4" w:rsidTr="00927040">
        <w:tc>
          <w:tcPr>
            <w:tcW w:w="2972" w:type="dxa"/>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pPr>
            <w:r w:rsidRPr="001A05F4">
              <w:t>QALYs</w:t>
            </w:r>
          </w:p>
        </w:tc>
        <w:tc>
          <w:tcPr>
            <w:tcW w:w="189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7.0053</w:t>
            </w:r>
          </w:p>
        </w:tc>
        <w:tc>
          <w:tcPr>
            <w:tcW w:w="189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6.4349</w:t>
            </w:r>
          </w:p>
        </w:tc>
        <w:tc>
          <w:tcPr>
            <w:tcW w:w="2254"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0.5704</w:t>
            </w:r>
          </w:p>
        </w:tc>
      </w:tr>
      <w:tr w:rsidR="00C66BE6" w:rsidRPr="001A05F4" w:rsidTr="00927040">
        <w:tc>
          <w:tcPr>
            <w:tcW w:w="6762" w:type="dxa"/>
            <w:gridSpan w:val="3"/>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pPr>
            <w:r w:rsidRPr="001A05F4">
              <w:t>Incremental cost per QALY</w:t>
            </w:r>
          </w:p>
        </w:tc>
        <w:tc>
          <w:tcPr>
            <w:tcW w:w="2254"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w:t>
            </w:r>
            <w:r w:rsidR="006B0D96">
              <w:rPr>
                <w:noProof/>
                <w:color w:val="000000"/>
                <w:highlight w:val="black"/>
              </w:rPr>
              <w:t>'''''''''''''''''''''</w:t>
            </w:r>
            <w:r w:rsidR="00D02C15">
              <w:rPr>
                <w:vertAlign w:val="superscript"/>
              </w:rPr>
              <w:t>2</w:t>
            </w:r>
          </w:p>
        </w:tc>
      </w:tr>
      <w:tr w:rsidR="00C66BE6" w:rsidRPr="001A05F4" w:rsidTr="00927040">
        <w:tc>
          <w:tcPr>
            <w:tcW w:w="9016" w:type="dxa"/>
            <w:gridSpan w:val="4"/>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rPr>
                <w:b/>
                <w:bCs/>
                <w:iCs/>
              </w:rPr>
            </w:pPr>
            <w:r w:rsidRPr="001A05F4">
              <w:rPr>
                <w:b/>
                <w:bCs/>
                <w:iCs/>
              </w:rPr>
              <w:t>Apply a reduction in the rate of progression through the health states applicable to nusinersen treatment</w:t>
            </w:r>
          </w:p>
        </w:tc>
      </w:tr>
      <w:tr w:rsidR="00C66BE6" w:rsidRPr="001A05F4" w:rsidTr="00927040">
        <w:tc>
          <w:tcPr>
            <w:tcW w:w="2972" w:type="dxa"/>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pPr>
            <w:r w:rsidRPr="001A05F4">
              <w:t>Cost</w:t>
            </w:r>
          </w:p>
        </w:tc>
        <w:tc>
          <w:tcPr>
            <w:tcW w:w="189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w:t>
            </w:r>
            <w:r w:rsidR="006B0D96">
              <w:rPr>
                <w:noProof/>
                <w:color w:val="000000"/>
                <w:highlight w:val="black"/>
              </w:rPr>
              <w:t>''''''''''''''''''''''</w:t>
            </w:r>
          </w:p>
        </w:tc>
        <w:tc>
          <w:tcPr>
            <w:tcW w:w="189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$0</w:t>
            </w:r>
          </w:p>
        </w:tc>
        <w:tc>
          <w:tcPr>
            <w:tcW w:w="2254"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w:t>
            </w:r>
            <w:r w:rsidR="006B0D96">
              <w:rPr>
                <w:noProof/>
                <w:color w:val="000000"/>
                <w:highlight w:val="black"/>
              </w:rPr>
              <w:t>'''''''''''''''''''''</w:t>
            </w:r>
          </w:p>
        </w:tc>
      </w:tr>
      <w:tr w:rsidR="00C66BE6" w:rsidRPr="001A05F4" w:rsidTr="00927040">
        <w:tc>
          <w:tcPr>
            <w:tcW w:w="2972" w:type="dxa"/>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pPr>
            <w:r w:rsidRPr="001A05F4">
              <w:t>QALYs</w:t>
            </w:r>
          </w:p>
        </w:tc>
        <w:tc>
          <w:tcPr>
            <w:tcW w:w="189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7.5227</w:t>
            </w:r>
          </w:p>
        </w:tc>
        <w:tc>
          <w:tcPr>
            <w:tcW w:w="189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6.4349</w:t>
            </w:r>
          </w:p>
        </w:tc>
        <w:tc>
          <w:tcPr>
            <w:tcW w:w="2254"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1.0878</w:t>
            </w:r>
          </w:p>
        </w:tc>
      </w:tr>
      <w:tr w:rsidR="00C66BE6" w:rsidRPr="001A05F4" w:rsidTr="00927040">
        <w:tc>
          <w:tcPr>
            <w:tcW w:w="6762" w:type="dxa"/>
            <w:gridSpan w:val="3"/>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pPr>
            <w:r w:rsidRPr="001A05F4">
              <w:t>Incremental cost per QALY</w:t>
            </w:r>
          </w:p>
        </w:tc>
        <w:tc>
          <w:tcPr>
            <w:tcW w:w="2254"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w:t>
            </w:r>
            <w:r w:rsidR="006B0D96">
              <w:rPr>
                <w:noProof/>
                <w:color w:val="000000"/>
                <w:highlight w:val="black"/>
              </w:rPr>
              <w:t>'''''''''''''''''''''''</w:t>
            </w:r>
            <w:r w:rsidR="00D02C15">
              <w:rPr>
                <w:vertAlign w:val="superscript"/>
              </w:rPr>
              <w:t>2</w:t>
            </w:r>
          </w:p>
        </w:tc>
      </w:tr>
      <w:tr w:rsidR="00C66BE6" w:rsidRPr="001A05F4" w:rsidTr="00927040">
        <w:tc>
          <w:tcPr>
            <w:tcW w:w="9016" w:type="dxa"/>
            <w:gridSpan w:val="4"/>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b/>
                <w:bCs/>
                <w:iCs/>
              </w:rPr>
            </w:pPr>
            <w:r w:rsidRPr="001A05F4">
              <w:rPr>
                <w:b/>
                <w:bCs/>
                <w:iCs/>
              </w:rPr>
              <w:t>Incorporate SMA related healthcare (health state) cost</w:t>
            </w:r>
          </w:p>
        </w:tc>
      </w:tr>
      <w:tr w:rsidR="00C66BE6" w:rsidRPr="001A05F4" w:rsidTr="00927040">
        <w:tc>
          <w:tcPr>
            <w:tcW w:w="2972" w:type="dxa"/>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pPr>
            <w:r w:rsidRPr="001A05F4">
              <w:t>Cost</w:t>
            </w:r>
          </w:p>
        </w:tc>
        <w:tc>
          <w:tcPr>
            <w:tcW w:w="189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w:t>
            </w:r>
            <w:r w:rsidR="006B0D96">
              <w:rPr>
                <w:noProof/>
                <w:color w:val="000000"/>
                <w:highlight w:val="black"/>
              </w:rPr>
              <w:t>''''''''''''''''''''''''''</w:t>
            </w:r>
          </w:p>
        </w:tc>
        <w:tc>
          <w:tcPr>
            <w:tcW w:w="189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$186,283</w:t>
            </w:r>
          </w:p>
        </w:tc>
        <w:tc>
          <w:tcPr>
            <w:tcW w:w="2254"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w:t>
            </w:r>
            <w:r w:rsidR="006B0D96">
              <w:rPr>
                <w:noProof/>
                <w:color w:val="000000"/>
                <w:highlight w:val="black"/>
              </w:rPr>
              <w:t>''''''''''''''''''''''''</w:t>
            </w:r>
          </w:p>
        </w:tc>
      </w:tr>
      <w:tr w:rsidR="00C66BE6" w:rsidRPr="001A05F4" w:rsidTr="00927040">
        <w:tc>
          <w:tcPr>
            <w:tcW w:w="2972" w:type="dxa"/>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pPr>
            <w:r w:rsidRPr="001A05F4">
              <w:t>QALYs</w:t>
            </w:r>
          </w:p>
        </w:tc>
        <w:tc>
          <w:tcPr>
            <w:tcW w:w="189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7.5227</w:t>
            </w:r>
          </w:p>
        </w:tc>
        <w:tc>
          <w:tcPr>
            <w:tcW w:w="1895"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6.4349</w:t>
            </w:r>
          </w:p>
        </w:tc>
        <w:tc>
          <w:tcPr>
            <w:tcW w:w="2254"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1.0878</w:t>
            </w:r>
          </w:p>
        </w:tc>
      </w:tr>
      <w:tr w:rsidR="00C66BE6" w:rsidRPr="001A05F4" w:rsidTr="00927040">
        <w:tc>
          <w:tcPr>
            <w:tcW w:w="6762" w:type="dxa"/>
            <w:gridSpan w:val="3"/>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pPr>
            <w:r w:rsidRPr="001A05F4">
              <w:t>Incremental cost per QALY</w:t>
            </w:r>
          </w:p>
        </w:tc>
        <w:tc>
          <w:tcPr>
            <w:tcW w:w="2254" w:type="dxa"/>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pPr>
            <w:r w:rsidRPr="001A05F4">
              <w:t>$</w:t>
            </w:r>
            <w:r w:rsidR="006B0D96">
              <w:rPr>
                <w:noProof/>
                <w:color w:val="000000"/>
                <w:highlight w:val="black"/>
              </w:rPr>
              <w:t>''''''''''''''''''''''''''</w:t>
            </w:r>
            <w:r w:rsidR="00D02C15">
              <w:rPr>
                <w:vertAlign w:val="superscript"/>
              </w:rPr>
              <w:t>2</w:t>
            </w:r>
          </w:p>
        </w:tc>
      </w:tr>
    </w:tbl>
    <w:p w:rsidR="00C66BE6" w:rsidRPr="001A05F4" w:rsidRDefault="00C66BE6" w:rsidP="00C66BE6">
      <w:pPr>
        <w:pStyle w:val="TableFigureFooter"/>
        <w:keepNext/>
      </w:pPr>
      <w:r w:rsidRPr="001A05F4">
        <w:t xml:space="preserve">6MWT= six minute walking test; </w:t>
      </w:r>
      <w:r w:rsidR="001A05F4" w:rsidRPr="001A05F4">
        <w:t>HFMSE</w:t>
      </w:r>
      <w:r w:rsidRPr="001A05F4">
        <w:t>=Hammersmith Functional Motor Scale Extended; QALY=quality adjusted life year; RULM=revised upper limb module</w:t>
      </w:r>
    </w:p>
    <w:p w:rsidR="00C66BE6" w:rsidRPr="001A05F4" w:rsidRDefault="00C66BE6" w:rsidP="00C66BE6">
      <w:pPr>
        <w:pStyle w:val="TableFigureFooter"/>
        <w:keepNext/>
      </w:pPr>
      <w:r w:rsidRPr="001A05F4">
        <w:t>Source: Table 3.41, p375 of the resubmission</w:t>
      </w:r>
    </w:p>
    <w:p w:rsidR="00D02C15" w:rsidRDefault="00C66BE6" w:rsidP="00D02C15">
      <w:pPr>
        <w:pStyle w:val="TableFigureFooter"/>
        <w:keepNext/>
        <w:keepLines/>
        <w:spacing w:after="0"/>
        <w:contextualSpacing w:val="0"/>
        <w:rPr>
          <w:color w:val="000000" w:themeColor="text1"/>
        </w:rPr>
      </w:pPr>
      <w:r w:rsidRPr="001A05F4">
        <w:rPr>
          <w:color w:val="000000" w:themeColor="text1"/>
          <w:vertAlign w:val="superscript"/>
        </w:rPr>
        <w:t>a</w:t>
      </w:r>
      <w:r w:rsidRPr="001A05F4">
        <w:rPr>
          <w:color w:val="000000" w:themeColor="text1"/>
        </w:rPr>
        <w:t xml:space="preserve"> Responder defined as a patient who reported an improvement from baseline by one or more of: ≥3 points in HFMSE, ≥2 points in RULM and/or ≥30m in 6MWT.</w:t>
      </w:r>
    </w:p>
    <w:p w:rsidR="00D02C15" w:rsidRPr="009A6D58" w:rsidRDefault="00D02C15" w:rsidP="00D02C15">
      <w:pPr>
        <w:rPr>
          <w:rFonts w:ascii="Arial Narrow" w:hAnsi="Arial Narrow"/>
          <w:i/>
          <w:sz w:val="18"/>
          <w:szCs w:val="18"/>
          <w:lang w:eastAsia="en-AU"/>
        </w:rPr>
      </w:pPr>
      <w:r w:rsidRPr="009A6D58">
        <w:rPr>
          <w:rFonts w:ascii="Arial Narrow" w:hAnsi="Arial Narrow"/>
          <w:i/>
          <w:sz w:val="18"/>
          <w:szCs w:val="18"/>
          <w:lang w:eastAsia="en-AU"/>
        </w:rPr>
        <w:t xml:space="preserve">The redacted values correspond to the following ranges: </w:t>
      </w:r>
    </w:p>
    <w:p w:rsidR="00D02C15" w:rsidRPr="009A6D58" w:rsidRDefault="00D02C15" w:rsidP="00D02C15">
      <w:pPr>
        <w:rPr>
          <w:rFonts w:ascii="Arial Narrow" w:hAnsi="Arial Narrow"/>
          <w:i/>
          <w:sz w:val="18"/>
          <w:szCs w:val="18"/>
          <w:lang w:eastAsia="en-AU"/>
        </w:rPr>
      </w:pPr>
      <w:r w:rsidRPr="009A6D58">
        <w:rPr>
          <w:rFonts w:ascii="Arial Narrow" w:hAnsi="Arial Narrow"/>
          <w:i/>
          <w:sz w:val="18"/>
          <w:szCs w:val="18"/>
          <w:vertAlign w:val="superscript"/>
          <w:lang w:eastAsia="en-AU"/>
        </w:rPr>
        <w:t>1</w:t>
      </w:r>
      <w:r>
        <w:rPr>
          <w:rFonts w:ascii="Arial Narrow" w:hAnsi="Arial Narrow"/>
          <w:i/>
          <w:sz w:val="18"/>
          <w:szCs w:val="18"/>
          <w:lang w:eastAsia="en-AU"/>
        </w:rPr>
        <w:t xml:space="preserve"> </w:t>
      </w:r>
      <w:r w:rsidRPr="00D02C15">
        <w:rPr>
          <w:rFonts w:ascii="Arial Narrow" w:hAnsi="Arial Narrow"/>
          <w:i/>
          <w:sz w:val="18"/>
          <w:szCs w:val="18"/>
          <w:lang w:eastAsia="en-AU"/>
        </w:rPr>
        <w:t>$355,000 to &lt; $455,000</w:t>
      </w:r>
    </w:p>
    <w:p w:rsidR="00C66BE6" w:rsidRPr="00D02C15" w:rsidRDefault="00D02C15" w:rsidP="00D02C15">
      <w:pPr>
        <w:spacing w:after="240"/>
        <w:rPr>
          <w:rFonts w:ascii="Arial Narrow" w:hAnsi="Arial Narrow"/>
          <w:i/>
          <w:sz w:val="18"/>
          <w:szCs w:val="18"/>
          <w:lang w:eastAsia="en-AU"/>
        </w:rPr>
      </w:pPr>
      <w:r w:rsidRPr="009A6D58">
        <w:rPr>
          <w:rFonts w:ascii="Arial Narrow" w:hAnsi="Arial Narrow"/>
          <w:i/>
          <w:sz w:val="18"/>
          <w:szCs w:val="18"/>
          <w:vertAlign w:val="superscript"/>
          <w:lang w:eastAsia="en-AU"/>
        </w:rPr>
        <w:t>2</w:t>
      </w:r>
      <w:r>
        <w:rPr>
          <w:rFonts w:ascii="Arial Narrow" w:hAnsi="Arial Narrow"/>
          <w:i/>
          <w:sz w:val="18"/>
          <w:szCs w:val="18"/>
          <w:lang w:eastAsia="en-AU"/>
        </w:rPr>
        <w:t xml:space="preserve"> </w:t>
      </w:r>
      <w:r w:rsidRPr="00D02C15">
        <w:rPr>
          <w:rFonts w:ascii="Arial Narrow" w:hAnsi="Arial Narrow"/>
          <w:i/>
          <w:sz w:val="18"/>
          <w:szCs w:val="18"/>
          <w:lang w:eastAsia="en-AU"/>
        </w:rPr>
        <w:t>&gt; $1,055,000</w:t>
      </w:r>
    </w:p>
    <w:p w:rsidR="00C66BE6" w:rsidRPr="001A05F4" w:rsidRDefault="00C66BE6" w:rsidP="00691A75">
      <w:pPr>
        <w:pStyle w:val="ListParagraph"/>
        <w:widowControl/>
        <w:numPr>
          <w:ilvl w:val="1"/>
          <w:numId w:val="2"/>
        </w:numPr>
      </w:pPr>
      <w:r w:rsidRPr="001A05F4">
        <w:t xml:space="preserve">The base case ICER was estimated by the model to be </w:t>
      </w:r>
      <w:r w:rsidR="00691A75" w:rsidRPr="00691A75">
        <w:t xml:space="preserve">&gt; $1,055,000 </w:t>
      </w:r>
      <w:r w:rsidRPr="001A05F4">
        <w:t>per QALY. This was likely underestimated as:</w:t>
      </w:r>
    </w:p>
    <w:p w:rsidR="00C66BE6" w:rsidRPr="001A05F4" w:rsidRDefault="00C66BE6" w:rsidP="00F9436F">
      <w:pPr>
        <w:pStyle w:val="ListParagraph"/>
        <w:widowControl/>
        <w:numPr>
          <w:ilvl w:val="2"/>
          <w:numId w:val="10"/>
        </w:numPr>
        <w:ind w:left="993" w:hanging="284"/>
        <w:rPr>
          <w:iCs/>
        </w:rPr>
      </w:pPr>
      <w:r w:rsidRPr="001A05F4">
        <w:rPr>
          <w:iCs/>
        </w:rPr>
        <w:t xml:space="preserve">The utility benefit for nusinersen, based on the proportion of responders to the </w:t>
      </w:r>
      <w:r w:rsidR="001A05F4" w:rsidRPr="001A05F4">
        <w:rPr>
          <w:iCs/>
        </w:rPr>
        <w:t>HFMSE</w:t>
      </w:r>
      <w:r w:rsidRPr="001A05F4">
        <w:rPr>
          <w:iCs/>
        </w:rPr>
        <w:t>, RULM and 6MWT were as reported by Maggi may be inappropriate and likely overestimated</w:t>
      </w:r>
      <w:r w:rsidR="002F02B9" w:rsidRPr="001A05F4">
        <w:rPr>
          <w:iCs/>
        </w:rPr>
        <w:t xml:space="preserve"> (as discussed in paragraph </w:t>
      </w:r>
      <w:r w:rsidR="009E0720" w:rsidRPr="001A05F4">
        <w:rPr>
          <w:iCs/>
        </w:rPr>
        <w:t>6.71</w:t>
      </w:r>
      <w:r w:rsidR="002F02B9" w:rsidRPr="001A05F4">
        <w:rPr>
          <w:iCs/>
        </w:rPr>
        <w:t>)</w:t>
      </w:r>
      <w:r w:rsidRPr="001A05F4">
        <w:rPr>
          <w:iCs/>
        </w:rPr>
        <w:t>; and</w:t>
      </w:r>
    </w:p>
    <w:p w:rsidR="00C66BE6" w:rsidRPr="001A05F4" w:rsidRDefault="00C66BE6" w:rsidP="00F9436F">
      <w:pPr>
        <w:pStyle w:val="ListParagraph"/>
        <w:widowControl/>
        <w:numPr>
          <w:ilvl w:val="2"/>
          <w:numId w:val="10"/>
        </w:numPr>
        <w:ind w:left="993" w:hanging="284"/>
        <w:rPr>
          <w:iCs/>
        </w:rPr>
      </w:pPr>
      <w:r w:rsidRPr="001A05F4">
        <w:rPr>
          <w:iCs/>
        </w:rPr>
        <w:t>The transition probabilities were based on numerous assumptions which favoured nusinersen. This includes the assumption that patients on nusinersen cannot progress to lower health states and the extrapolation of the assumed clinical benefit over a patient’s lifetime, while only short-term (up to 14 months) non-comparative data was available.</w:t>
      </w:r>
      <w:r w:rsidR="00337A95" w:rsidRPr="001A05F4">
        <w:rPr>
          <w:iCs/>
        </w:rPr>
        <w:t xml:space="preserve"> The PSCR argued that the economic model does allow for patients not responding to treatment with nusinersen to discontinue (at a rate of 3.7% per year), at which point they may progress to lower health states. </w:t>
      </w:r>
      <w:r w:rsidR="001A05F4" w:rsidRPr="001A05F4">
        <w:rPr>
          <w:iCs/>
        </w:rPr>
        <w:t>However,</w:t>
      </w:r>
      <w:r w:rsidR="00337A95" w:rsidRPr="001A05F4">
        <w:rPr>
          <w:iCs/>
        </w:rPr>
        <w:t xml:space="preserve"> the ESC </w:t>
      </w:r>
      <w:r w:rsidR="00F15502" w:rsidRPr="001A05F4">
        <w:rPr>
          <w:iCs/>
        </w:rPr>
        <w:t xml:space="preserve">reiterated its previous view </w:t>
      </w:r>
      <w:r w:rsidR="00337A95" w:rsidRPr="001A05F4">
        <w:rPr>
          <w:iCs/>
        </w:rPr>
        <w:t>that it may not be appropriate to assume no patients would progress to lower health states while receiving ongoing treatment with nusiners</w:t>
      </w:r>
      <w:r w:rsidR="00683E90" w:rsidRPr="001A05F4">
        <w:rPr>
          <w:iCs/>
        </w:rPr>
        <w:t>e</w:t>
      </w:r>
      <w:r w:rsidR="00337A95" w:rsidRPr="001A05F4">
        <w:rPr>
          <w:iCs/>
        </w:rPr>
        <w:t>n.</w:t>
      </w:r>
    </w:p>
    <w:p w:rsidR="00C66BE6" w:rsidRPr="001A05F4" w:rsidRDefault="00C66BE6" w:rsidP="00AE5E09">
      <w:pPr>
        <w:pStyle w:val="ListParagraph"/>
        <w:widowControl/>
        <w:numPr>
          <w:ilvl w:val="1"/>
          <w:numId w:val="2"/>
        </w:numPr>
      </w:pPr>
      <w:r w:rsidRPr="001A05F4">
        <w:t>Even if all the favourable assumptions proposed by the resubmission were included, the base case ICER was unlikely to be cost effective, even when compared to the paediatric population. A substantial</w:t>
      </w:r>
      <w:r w:rsidR="0064125F" w:rsidRPr="001A05F4">
        <w:t xml:space="preserve"> further</w:t>
      </w:r>
      <w:r w:rsidRPr="001A05F4">
        <w:t xml:space="preserve"> price reduction for nusinersen in adult SMA patients will be required </w:t>
      </w:r>
      <w:r w:rsidR="00F2027B" w:rsidRPr="001A05F4">
        <w:t xml:space="preserve">in order </w:t>
      </w:r>
      <w:r w:rsidRPr="001A05F4">
        <w:t xml:space="preserve">to </w:t>
      </w:r>
      <w:r w:rsidR="00F2027B" w:rsidRPr="001A05F4">
        <w:t>achieve an ICER similar to that accepted for the paediatric SMA population</w:t>
      </w:r>
      <w:r w:rsidRPr="001A05F4">
        <w:t xml:space="preserve">. For context, in March 2018, the PBAC noted that the cost per QALY gained for paediatric patients with Type II/IIIa SMA was </w:t>
      </w:r>
      <w:r w:rsidR="00AE5E09" w:rsidRPr="00AE5E09">
        <w:t>$355,000 to &lt; $455,000</w:t>
      </w:r>
      <w:r w:rsidR="006B1973" w:rsidRPr="001A05F4">
        <w:t xml:space="preserve">/QALY </w:t>
      </w:r>
      <w:r w:rsidRPr="001A05F4">
        <w:t>based on a health care perspective</w:t>
      </w:r>
      <w:r w:rsidR="00A72293" w:rsidRPr="001A05F4">
        <w:t>, though at that time the PBAC advised that further negotiations with the sponsor were required to address these uncertainties through a combination of mechanisms including a reduction in price, increased rebates or lower financial caps (Para 6.1 nusiners</w:t>
      </w:r>
      <w:r w:rsidR="00683E90" w:rsidRPr="001A05F4">
        <w:t>e</w:t>
      </w:r>
      <w:r w:rsidR="00A72293" w:rsidRPr="001A05F4">
        <w:t>n PSD, November 2018 PBAC meeting)</w:t>
      </w:r>
      <w:r w:rsidR="006B1973" w:rsidRPr="001A05F4">
        <w:t>.</w:t>
      </w:r>
      <w:r w:rsidRPr="001A05F4">
        <w:t xml:space="preserve"> </w:t>
      </w:r>
      <w:r w:rsidR="00A72293" w:rsidRPr="001A05F4">
        <w:t>The PSCR considered that this comparison was fraught because the proposed population (adults with SMA) are in large part a direct subgroup of the original population, and t</w:t>
      </w:r>
      <w:bookmarkStart w:id="44" w:name="_GoBack"/>
      <w:bookmarkEnd w:id="44"/>
      <w:r w:rsidR="00A72293" w:rsidRPr="001A05F4">
        <w:t xml:space="preserve">he ICER of </w:t>
      </w:r>
      <w:r w:rsidR="00B030F0" w:rsidRPr="00B030F0">
        <w:t>$355,000 to &lt; $455,000</w:t>
      </w:r>
      <w:r w:rsidR="00A72293" w:rsidRPr="001A05F4">
        <w:t xml:space="preserve"> already implicitly incorporates the high ICER (</w:t>
      </w:r>
      <w:r w:rsidR="00B030F0" w:rsidRPr="00B030F0">
        <w:t>&gt; $1,055,000</w:t>
      </w:r>
      <w:r w:rsidR="00A72293" w:rsidRPr="001A05F4">
        <w:t>) into the long-term of treatment</w:t>
      </w:r>
      <w:r w:rsidR="001A05F4">
        <w:t xml:space="preserve">. </w:t>
      </w:r>
      <w:r w:rsidR="000C19A4" w:rsidRPr="001A05F4">
        <w:t xml:space="preserve">The ESC noted there is no overlap in the patients currently eligible for nusinersen (type I, II and IIIa patients who commence treatment prior to 19 years of age) and the proposed patient population in the current submission (type II, IIIa and IIIb patients who commence treatment after 19 years of age). </w:t>
      </w:r>
      <w:r w:rsidR="001A05F4" w:rsidRPr="001A05F4">
        <w:t>Thus,</w:t>
      </w:r>
      <w:r w:rsidR="000C19A4" w:rsidRPr="001A05F4">
        <w:t xml:space="preserve"> the proposed population is not a subgroup of the population for which the PBAC previously considered nusinersen would be cost-effective.</w:t>
      </w:r>
      <w:r w:rsidR="00A72293" w:rsidRPr="001A05F4">
        <w:t xml:space="preserve"> </w:t>
      </w:r>
    </w:p>
    <w:p w:rsidR="00C66BE6" w:rsidRPr="001A05F4" w:rsidRDefault="00C66BE6" w:rsidP="00F9436F">
      <w:pPr>
        <w:pStyle w:val="ListParagraph"/>
        <w:widowControl/>
        <w:numPr>
          <w:ilvl w:val="1"/>
          <w:numId w:val="2"/>
        </w:numPr>
      </w:pPr>
      <w:r w:rsidRPr="001A05F4">
        <w:t>The results of the univariate sensitivity analyses</w:t>
      </w:r>
      <w:r w:rsidR="006B1973" w:rsidRPr="001A05F4">
        <w:t xml:space="preserve"> conducted by the resubmission and during the evaluation of the economic model</w:t>
      </w:r>
      <w:r w:rsidRPr="001A05F4">
        <w:t xml:space="preserve"> are shown in </w:t>
      </w:r>
      <w:r w:rsidR="00BC2D8D" w:rsidRPr="001A05F4">
        <w:t>Table 17</w:t>
      </w:r>
      <w:r w:rsidRPr="001A05F4">
        <w:t>.</w:t>
      </w:r>
    </w:p>
    <w:p w:rsidR="00C66BE6" w:rsidRPr="001A05F4" w:rsidRDefault="006B1973" w:rsidP="006B1973">
      <w:pPr>
        <w:pStyle w:val="TableFigureHeading"/>
        <w:rPr>
          <w:rStyle w:val="CommentReference"/>
          <w:b/>
        </w:rPr>
      </w:pPr>
      <w:bookmarkStart w:id="45" w:name="_Ref71592258"/>
      <w:r w:rsidRPr="001A05F4">
        <w:rPr>
          <w:rStyle w:val="CommentReference"/>
          <w:b/>
        </w:rPr>
        <w:t xml:space="preserve">Table </w:t>
      </w:r>
      <w:r w:rsidR="00BC2D8D" w:rsidRPr="001A05F4">
        <w:rPr>
          <w:rStyle w:val="CommentReference"/>
          <w:b/>
        </w:rPr>
        <w:t>17</w:t>
      </w:r>
      <w:bookmarkEnd w:id="45"/>
      <w:r w:rsidR="00C66BE6" w:rsidRPr="001A05F4">
        <w:rPr>
          <w:rStyle w:val="CommentReference"/>
          <w:b/>
        </w:rPr>
        <w:t>: Key univariate sensitivity analyses</w:t>
      </w:r>
    </w:p>
    <w:tbl>
      <w:tblPr>
        <w:tblStyle w:val="TableGrid"/>
        <w:tblW w:w="5000" w:type="pct"/>
        <w:tblLook w:val="04A0" w:firstRow="1" w:lastRow="0" w:firstColumn="1" w:lastColumn="0" w:noHBand="0" w:noVBand="1"/>
        <w:tblCaption w:val="Table 17: Key univariate sensitivity analyses"/>
      </w:tblPr>
      <w:tblGrid>
        <w:gridCol w:w="4089"/>
        <w:gridCol w:w="1256"/>
        <w:gridCol w:w="1137"/>
        <w:gridCol w:w="1185"/>
        <w:gridCol w:w="1350"/>
      </w:tblGrid>
      <w:tr w:rsidR="00C66BE6" w:rsidRPr="001A05F4" w:rsidTr="00466FA7">
        <w:trPr>
          <w:tblHeader/>
        </w:trPr>
        <w:tc>
          <w:tcPr>
            <w:tcW w:w="2277"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b/>
                <w:szCs w:val="20"/>
              </w:rPr>
            </w:pPr>
            <w:r w:rsidRPr="001A05F4">
              <w:rPr>
                <w:b/>
                <w:bCs/>
                <w:szCs w:val="20"/>
              </w:rPr>
              <w:t>Scenario</w:t>
            </w:r>
          </w:p>
        </w:tc>
        <w:tc>
          <w:tcPr>
            <w:tcW w:w="706"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b/>
                <w:bCs/>
                <w:szCs w:val="20"/>
              </w:rPr>
            </w:pPr>
            <w:r w:rsidRPr="001A05F4">
              <w:rPr>
                <w:b/>
                <w:bCs/>
                <w:szCs w:val="20"/>
              </w:rPr>
              <w:t>Incremental costs</w:t>
            </w:r>
          </w:p>
        </w:tc>
        <w:tc>
          <w:tcPr>
            <w:tcW w:w="630"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b/>
                <w:bCs/>
                <w:szCs w:val="20"/>
              </w:rPr>
            </w:pPr>
            <w:r w:rsidRPr="001A05F4">
              <w:rPr>
                <w:b/>
                <w:bCs/>
                <w:szCs w:val="20"/>
              </w:rPr>
              <w:t>Incremental QALYs</w:t>
            </w:r>
          </w:p>
        </w:tc>
        <w:tc>
          <w:tcPr>
            <w:tcW w:w="629"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b/>
                <w:bCs/>
                <w:szCs w:val="20"/>
              </w:rPr>
            </w:pPr>
            <w:r w:rsidRPr="001A05F4">
              <w:rPr>
                <w:b/>
                <w:bCs/>
                <w:szCs w:val="20"/>
              </w:rPr>
              <w:t>ICER</w:t>
            </w:r>
          </w:p>
        </w:tc>
        <w:tc>
          <w:tcPr>
            <w:tcW w:w="758"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b/>
                <w:bCs/>
                <w:szCs w:val="20"/>
              </w:rPr>
            </w:pPr>
            <w:r w:rsidRPr="001A05F4">
              <w:rPr>
                <w:b/>
                <w:bCs/>
                <w:szCs w:val="20"/>
              </w:rPr>
              <w:t>Change from base case</w:t>
            </w:r>
          </w:p>
        </w:tc>
      </w:tr>
      <w:tr w:rsidR="00C66BE6" w:rsidRPr="001A05F4" w:rsidTr="00927040">
        <w:tc>
          <w:tcPr>
            <w:tcW w:w="2277"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b/>
                <w:bCs/>
                <w:szCs w:val="20"/>
              </w:rPr>
            </w:pPr>
            <w:r w:rsidRPr="001A05F4">
              <w:rPr>
                <w:b/>
                <w:bCs/>
                <w:szCs w:val="20"/>
              </w:rPr>
              <w:t>Base case</w:t>
            </w:r>
          </w:p>
        </w:tc>
        <w:tc>
          <w:tcPr>
            <w:tcW w:w="706"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b/>
                <w:bCs/>
                <w:szCs w:val="20"/>
              </w:rPr>
            </w:pPr>
            <w:r w:rsidRPr="001A05F4">
              <w:rPr>
                <w:b/>
                <w:bCs/>
                <w:szCs w:val="20"/>
              </w:rPr>
              <w:t>$</w:t>
            </w:r>
            <w:r w:rsidR="006B0D96">
              <w:rPr>
                <w:b/>
                <w:bCs/>
                <w:noProof/>
                <w:color w:val="000000"/>
                <w:szCs w:val="20"/>
                <w:highlight w:val="black"/>
              </w:rPr>
              <w:t>'''''''''''''''''''''</w:t>
            </w:r>
          </w:p>
        </w:tc>
        <w:tc>
          <w:tcPr>
            <w:tcW w:w="630"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b/>
                <w:bCs/>
                <w:szCs w:val="20"/>
              </w:rPr>
            </w:pPr>
            <w:r w:rsidRPr="001A05F4">
              <w:rPr>
                <w:b/>
                <w:bCs/>
                <w:szCs w:val="20"/>
              </w:rPr>
              <w:t>1.0878</w:t>
            </w:r>
          </w:p>
        </w:tc>
        <w:tc>
          <w:tcPr>
            <w:tcW w:w="629" w:type="pct"/>
            <w:tcBorders>
              <w:top w:val="single" w:sz="4" w:space="0" w:color="auto"/>
              <w:left w:val="single" w:sz="4" w:space="0" w:color="auto"/>
              <w:bottom w:val="single" w:sz="4" w:space="0" w:color="auto"/>
              <w:right w:val="single" w:sz="4" w:space="0" w:color="auto"/>
            </w:tcBorders>
            <w:hideMark/>
          </w:tcPr>
          <w:p w:rsidR="00C66BE6" w:rsidRPr="00B030F0" w:rsidRDefault="00C66BE6" w:rsidP="00927040">
            <w:pPr>
              <w:pStyle w:val="TableText0"/>
              <w:spacing w:before="0" w:after="0"/>
              <w:rPr>
                <w:b/>
                <w:bCs/>
                <w:szCs w:val="20"/>
                <w:vertAlign w:val="superscript"/>
              </w:rPr>
            </w:pPr>
            <w:r w:rsidRPr="001A05F4">
              <w:rPr>
                <w:b/>
                <w:bCs/>
                <w:szCs w:val="20"/>
              </w:rPr>
              <w:t>$</w:t>
            </w:r>
            <w:r w:rsidR="006B0D96">
              <w:rPr>
                <w:b/>
                <w:bCs/>
                <w:noProof/>
                <w:color w:val="000000"/>
                <w:szCs w:val="20"/>
                <w:highlight w:val="black"/>
              </w:rPr>
              <w:t>'''''''''''''''''''</w:t>
            </w:r>
            <w:r w:rsidR="00B030F0" w:rsidRPr="00B030F0">
              <w:rPr>
                <w:bCs/>
                <w:szCs w:val="20"/>
                <w:vertAlign w:val="superscript"/>
              </w:rPr>
              <w:t>1</w:t>
            </w:r>
          </w:p>
        </w:tc>
        <w:tc>
          <w:tcPr>
            <w:tcW w:w="758"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b/>
                <w:bCs/>
                <w:szCs w:val="20"/>
              </w:rPr>
            </w:pPr>
            <w:r w:rsidRPr="001A05F4">
              <w:rPr>
                <w:b/>
                <w:bCs/>
                <w:szCs w:val="20"/>
              </w:rPr>
              <w:t>-</w:t>
            </w:r>
          </w:p>
        </w:tc>
      </w:tr>
      <w:tr w:rsidR="00C66BE6" w:rsidRPr="001A05F4" w:rsidTr="00927040">
        <w:tc>
          <w:tcPr>
            <w:tcW w:w="5000" w:type="pct"/>
            <w:gridSpan w:val="5"/>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szCs w:val="20"/>
              </w:rPr>
            </w:pPr>
            <w:r w:rsidRPr="001A05F4">
              <w:rPr>
                <w:szCs w:val="20"/>
              </w:rPr>
              <w:t>Time horizon (base case: lifetime)</w:t>
            </w:r>
          </w:p>
        </w:tc>
      </w:tr>
      <w:tr w:rsidR="00C66BE6" w:rsidRPr="001A05F4" w:rsidTr="00927040">
        <w:tc>
          <w:tcPr>
            <w:tcW w:w="2277"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szCs w:val="20"/>
              </w:rPr>
            </w:pPr>
            <w:r w:rsidRPr="001A05F4">
              <w:rPr>
                <w:szCs w:val="20"/>
              </w:rPr>
              <w:t>5</w:t>
            </w:r>
          </w:p>
        </w:tc>
        <w:tc>
          <w:tcPr>
            <w:tcW w:w="706"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0.2562</w:t>
            </w:r>
          </w:p>
        </w:tc>
        <w:tc>
          <w:tcPr>
            <w:tcW w:w="629"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r w:rsidR="00B030F0" w:rsidRPr="00B030F0">
              <w:rPr>
                <w:bCs/>
                <w:szCs w:val="20"/>
                <w:vertAlign w:val="superscript"/>
              </w:rPr>
              <w:t>1</w:t>
            </w:r>
          </w:p>
        </w:tc>
        <w:tc>
          <w:tcPr>
            <w:tcW w:w="758"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+71%</w:t>
            </w:r>
          </w:p>
        </w:tc>
      </w:tr>
      <w:tr w:rsidR="00C66BE6" w:rsidRPr="001A05F4" w:rsidTr="00927040">
        <w:tc>
          <w:tcPr>
            <w:tcW w:w="2277"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szCs w:val="20"/>
              </w:rPr>
            </w:pPr>
            <w:r w:rsidRPr="001A05F4">
              <w:rPr>
                <w:szCs w:val="20"/>
              </w:rPr>
              <w:t>10</w:t>
            </w:r>
          </w:p>
        </w:tc>
        <w:tc>
          <w:tcPr>
            <w:tcW w:w="706"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0.4537</w:t>
            </w:r>
          </w:p>
        </w:tc>
        <w:tc>
          <w:tcPr>
            <w:tcW w:w="629"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r w:rsidR="00B030F0" w:rsidRPr="00B030F0">
              <w:rPr>
                <w:bCs/>
                <w:szCs w:val="20"/>
                <w:vertAlign w:val="superscript"/>
              </w:rPr>
              <w:t>1</w:t>
            </w:r>
          </w:p>
        </w:tc>
        <w:tc>
          <w:tcPr>
            <w:tcW w:w="758"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+50%</w:t>
            </w:r>
          </w:p>
        </w:tc>
      </w:tr>
      <w:tr w:rsidR="00C66BE6" w:rsidRPr="001A05F4" w:rsidTr="00927040">
        <w:tc>
          <w:tcPr>
            <w:tcW w:w="2277"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szCs w:val="20"/>
              </w:rPr>
            </w:pPr>
            <w:r w:rsidRPr="001A05F4">
              <w:rPr>
                <w:szCs w:val="20"/>
              </w:rPr>
              <w:t>20</w:t>
            </w:r>
          </w:p>
        </w:tc>
        <w:tc>
          <w:tcPr>
            <w:tcW w:w="706"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0.7555</w:t>
            </w:r>
          </w:p>
        </w:tc>
        <w:tc>
          <w:tcPr>
            <w:tcW w:w="629"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r w:rsidR="00B030F0" w:rsidRPr="00B030F0">
              <w:rPr>
                <w:bCs/>
                <w:szCs w:val="20"/>
                <w:vertAlign w:val="superscript"/>
              </w:rPr>
              <w:t>1</w:t>
            </w:r>
          </w:p>
        </w:tc>
        <w:tc>
          <w:tcPr>
            <w:tcW w:w="758"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+23%</w:t>
            </w:r>
          </w:p>
        </w:tc>
      </w:tr>
      <w:tr w:rsidR="00C66BE6" w:rsidRPr="001A05F4" w:rsidTr="00927040">
        <w:tc>
          <w:tcPr>
            <w:tcW w:w="2277"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szCs w:val="20"/>
              </w:rPr>
            </w:pPr>
            <w:r w:rsidRPr="001A05F4">
              <w:rPr>
                <w:szCs w:val="20"/>
              </w:rPr>
              <w:t>30</w:t>
            </w:r>
          </w:p>
        </w:tc>
        <w:tc>
          <w:tcPr>
            <w:tcW w:w="706"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0.9397</w:t>
            </w:r>
          </w:p>
        </w:tc>
        <w:tc>
          <w:tcPr>
            <w:tcW w:w="629"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r w:rsidR="00B030F0" w:rsidRPr="00B030F0">
              <w:rPr>
                <w:bCs/>
                <w:szCs w:val="20"/>
                <w:vertAlign w:val="superscript"/>
              </w:rPr>
              <w:t>1</w:t>
            </w:r>
          </w:p>
        </w:tc>
        <w:tc>
          <w:tcPr>
            <w:tcW w:w="758"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+10%</w:t>
            </w:r>
          </w:p>
        </w:tc>
      </w:tr>
      <w:tr w:rsidR="00C66BE6" w:rsidRPr="001A05F4" w:rsidTr="00927040">
        <w:tc>
          <w:tcPr>
            <w:tcW w:w="5000" w:type="pct"/>
            <w:gridSpan w:val="5"/>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szCs w:val="20"/>
              </w:rPr>
            </w:pPr>
            <w:r w:rsidRPr="001A05F4">
              <w:rPr>
                <w:szCs w:val="20"/>
              </w:rPr>
              <w:t>Progression relative ratio, Nusinersen versus SoC (base case: RR=0, i.e., no progression on treatment)</w:t>
            </w:r>
          </w:p>
        </w:tc>
      </w:tr>
      <w:tr w:rsidR="00C66BE6" w:rsidRPr="001A05F4" w:rsidTr="00927040">
        <w:tc>
          <w:tcPr>
            <w:tcW w:w="2277"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szCs w:val="20"/>
              </w:rPr>
            </w:pPr>
            <w:r w:rsidRPr="001A05F4">
              <w:rPr>
                <w:szCs w:val="20"/>
              </w:rPr>
              <w:t>RR=0.1</w:t>
            </w:r>
          </w:p>
        </w:tc>
        <w:tc>
          <w:tcPr>
            <w:tcW w:w="706"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1.0203</w:t>
            </w:r>
          </w:p>
        </w:tc>
        <w:tc>
          <w:tcPr>
            <w:tcW w:w="629"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r w:rsidR="00B030F0" w:rsidRPr="00B030F0">
              <w:rPr>
                <w:bCs/>
                <w:szCs w:val="20"/>
                <w:vertAlign w:val="superscript"/>
              </w:rPr>
              <w:t>1</w:t>
            </w:r>
          </w:p>
        </w:tc>
        <w:tc>
          <w:tcPr>
            <w:tcW w:w="758"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+5%</w:t>
            </w:r>
          </w:p>
        </w:tc>
      </w:tr>
      <w:tr w:rsidR="00C66BE6" w:rsidRPr="001A05F4" w:rsidTr="00927040">
        <w:tc>
          <w:tcPr>
            <w:tcW w:w="2277"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szCs w:val="20"/>
              </w:rPr>
            </w:pPr>
            <w:r w:rsidRPr="001A05F4">
              <w:rPr>
                <w:szCs w:val="20"/>
              </w:rPr>
              <w:t>RR=0.25</w:t>
            </w:r>
          </w:p>
        </w:tc>
        <w:tc>
          <w:tcPr>
            <w:tcW w:w="706"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0.9273</w:t>
            </w:r>
          </w:p>
        </w:tc>
        <w:tc>
          <w:tcPr>
            <w:tcW w:w="629"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r w:rsidR="00B030F0" w:rsidRPr="00B030F0">
              <w:rPr>
                <w:bCs/>
                <w:szCs w:val="20"/>
                <w:vertAlign w:val="superscript"/>
              </w:rPr>
              <w:t>1</w:t>
            </w:r>
          </w:p>
        </w:tc>
        <w:tc>
          <w:tcPr>
            <w:tcW w:w="758"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+12%</w:t>
            </w:r>
          </w:p>
        </w:tc>
      </w:tr>
      <w:tr w:rsidR="00C66BE6" w:rsidRPr="001A05F4" w:rsidTr="00927040">
        <w:tc>
          <w:tcPr>
            <w:tcW w:w="2277"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szCs w:val="20"/>
              </w:rPr>
            </w:pPr>
            <w:r w:rsidRPr="001A05F4">
              <w:rPr>
                <w:szCs w:val="20"/>
              </w:rPr>
              <w:t>RR=0.5</w:t>
            </w:r>
          </w:p>
        </w:tc>
        <w:tc>
          <w:tcPr>
            <w:tcW w:w="706"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0.7908</w:t>
            </w:r>
          </w:p>
        </w:tc>
        <w:tc>
          <w:tcPr>
            <w:tcW w:w="629"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r w:rsidR="00B030F0" w:rsidRPr="00B030F0">
              <w:rPr>
                <w:bCs/>
                <w:szCs w:val="20"/>
                <w:vertAlign w:val="superscript"/>
              </w:rPr>
              <w:t>1</w:t>
            </w:r>
          </w:p>
        </w:tc>
        <w:tc>
          <w:tcPr>
            <w:tcW w:w="758"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+26%</w:t>
            </w:r>
          </w:p>
        </w:tc>
      </w:tr>
      <w:tr w:rsidR="00C66BE6" w:rsidRPr="001A05F4" w:rsidTr="00927040">
        <w:tc>
          <w:tcPr>
            <w:tcW w:w="2277"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iCs/>
                <w:szCs w:val="20"/>
              </w:rPr>
            </w:pPr>
            <w:r w:rsidRPr="001A05F4">
              <w:rPr>
                <w:iCs/>
                <w:szCs w:val="20"/>
              </w:rPr>
              <w:t>RR=1.0</w:t>
            </w:r>
          </w:p>
        </w:tc>
        <w:tc>
          <w:tcPr>
            <w:tcW w:w="706"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iCs/>
                <w:szCs w:val="20"/>
              </w:rPr>
            </w:pPr>
            <w:r w:rsidRPr="001A05F4">
              <w:rPr>
                <w:iCs/>
                <w:szCs w:val="20"/>
              </w:rPr>
              <w:t>$</w:t>
            </w:r>
            <w:r w:rsidR="006B0D96">
              <w:rPr>
                <w:iCs/>
                <w:noProof/>
                <w:color w:val="00000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iCs/>
                <w:szCs w:val="20"/>
              </w:rPr>
            </w:pPr>
            <w:r w:rsidRPr="001A05F4">
              <w:rPr>
                <w:iCs/>
                <w:szCs w:val="20"/>
              </w:rPr>
              <w:t>0.5704</w:t>
            </w:r>
          </w:p>
        </w:tc>
        <w:tc>
          <w:tcPr>
            <w:tcW w:w="629"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iCs/>
                <w:szCs w:val="20"/>
              </w:rPr>
            </w:pPr>
            <w:r w:rsidRPr="001A05F4">
              <w:rPr>
                <w:iCs/>
                <w:szCs w:val="20"/>
              </w:rPr>
              <w:t>$</w:t>
            </w:r>
            <w:r w:rsidR="006B0D96">
              <w:rPr>
                <w:iCs/>
                <w:noProof/>
                <w:color w:val="000000"/>
                <w:szCs w:val="20"/>
                <w:highlight w:val="black"/>
              </w:rPr>
              <w:t>'''''''''''''''''''''''</w:t>
            </w:r>
            <w:r w:rsidR="00B030F0" w:rsidRPr="00B030F0">
              <w:rPr>
                <w:bCs/>
                <w:szCs w:val="20"/>
                <w:vertAlign w:val="superscript"/>
              </w:rPr>
              <w:t>1</w:t>
            </w:r>
          </w:p>
        </w:tc>
        <w:tc>
          <w:tcPr>
            <w:tcW w:w="758"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iCs/>
                <w:szCs w:val="20"/>
              </w:rPr>
            </w:pPr>
            <w:r w:rsidRPr="001A05F4">
              <w:rPr>
                <w:iCs/>
                <w:szCs w:val="20"/>
              </w:rPr>
              <w:t>+64%</w:t>
            </w:r>
          </w:p>
        </w:tc>
      </w:tr>
      <w:tr w:rsidR="00C66BE6" w:rsidRPr="001A05F4" w:rsidTr="00927040">
        <w:tc>
          <w:tcPr>
            <w:tcW w:w="5000" w:type="pct"/>
            <w:gridSpan w:val="5"/>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szCs w:val="20"/>
              </w:rPr>
            </w:pPr>
            <w:r w:rsidRPr="001A05F4">
              <w:rPr>
                <w:szCs w:val="20"/>
              </w:rPr>
              <w:t>Treatment utility benefit (base case: walkers=0.0417, others=0.0714)</w:t>
            </w:r>
          </w:p>
        </w:tc>
      </w:tr>
      <w:tr w:rsidR="00C66BE6" w:rsidRPr="001A05F4" w:rsidTr="00927040">
        <w:tc>
          <w:tcPr>
            <w:tcW w:w="2277"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szCs w:val="20"/>
              </w:rPr>
            </w:pPr>
            <w:r w:rsidRPr="001A05F4">
              <w:rPr>
                <w:szCs w:val="20"/>
              </w:rPr>
              <w:t>Walkers=0.0834, others=0.1428</w:t>
            </w:r>
          </w:p>
        </w:tc>
        <w:tc>
          <w:tcPr>
            <w:tcW w:w="706"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1.7711</w:t>
            </w:r>
          </w:p>
        </w:tc>
        <w:tc>
          <w:tcPr>
            <w:tcW w:w="629"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r w:rsidR="00B030F0" w:rsidRPr="00B030F0">
              <w:rPr>
                <w:bCs/>
                <w:szCs w:val="20"/>
                <w:vertAlign w:val="superscript"/>
              </w:rPr>
              <w:t>1</w:t>
            </w:r>
          </w:p>
        </w:tc>
        <w:tc>
          <w:tcPr>
            <w:tcW w:w="758"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-39%</w:t>
            </w:r>
          </w:p>
        </w:tc>
      </w:tr>
      <w:tr w:rsidR="00C66BE6" w:rsidRPr="001A05F4" w:rsidTr="00927040">
        <w:tc>
          <w:tcPr>
            <w:tcW w:w="2277"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szCs w:val="20"/>
              </w:rPr>
            </w:pPr>
            <w:r w:rsidRPr="001A05F4">
              <w:rPr>
                <w:szCs w:val="20"/>
              </w:rPr>
              <w:t>Walkers=0.0209, others=0.0357</w:t>
            </w:r>
          </w:p>
        </w:tc>
        <w:tc>
          <w:tcPr>
            <w:tcW w:w="706"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0.7462</w:t>
            </w:r>
          </w:p>
        </w:tc>
        <w:tc>
          <w:tcPr>
            <w:tcW w:w="629"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r w:rsidR="00B030F0" w:rsidRPr="00B030F0">
              <w:rPr>
                <w:bCs/>
                <w:szCs w:val="20"/>
                <w:vertAlign w:val="superscript"/>
              </w:rPr>
              <w:t>1</w:t>
            </w:r>
          </w:p>
        </w:tc>
        <w:tc>
          <w:tcPr>
            <w:tcW w:w="758"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+46%</w:t>
            </w:r>
          </w:p>
        </w:tc>
      </w:tr>
      <w:tr w:rsidR="00C66BE6" w:rsidRPr="001A05F4" w:rsidTr="00927040">
        <w:tc>
          <w:tcPr>
            <w:tcW w:w="2277"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szCs w:val="20"/>
              </w:rPr>
            </w:pPr>
            <w:r w:rsidRPr="001A05F4">
              <w:rPr>
                <w:szCs w:val="20"/>
              </w:rPr>
              <w:t>Zero</w:t>
            </w:r>
          </w:p>
        </w:tc>
        <w:tc>
          <w:tcPr>
            <w:tcW w:w="706"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0.4045</w:t>
            </w:r>
          </w:p>
        </w:tc>
        <w:tc>
          <w:tcPr>
            <w:tcW w:w="629"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r w:rsidR="00B030F0" w:rsidRPr="00B030F0">
              <w:rPr>
                <w:bCs/>
                <w:szCs w:val="20"/>
                <w:vertAlign w:val="superscript"/>
              </w:rPr>
              <w:t>1</w:t>
            </w:r>
          </w:p>
        </w:tc>
        <w:tc>
          <w:tcPr>
            <w:tcW w:w="758"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+169%</w:t>
            </w:r>
          </w:p>
        </w:tc>
      </w:tr>
      <w:tr w:rsidR="00C66BE6" w:rsidRPr="001A05F4" w:rsidTr="00927040">
        <w:tc>
          <w:tcPr>
            <w:tcW w:w="2277"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iCs/>
                <w:szCs w:val="20"/>
              </w:rPr>
            </w:pPr>
            <w:r w:rsidRPr="001A05F4">
              <w:rPr>
                <w:iCs/>
                <w:szCs w:val="20"/>
              </w:rPr>
              <w:t>Walkers = 0.0417, others = 0.0426</w:t>
            </w:r>
            <w:r w:rsidRPr="001A05F4">
              <w:rPr>
                <w:iCs/>
                <w:szCs w:val="20"/>
                <w:vertAlign w:val="superscript"/>
              </w:rPr>
              <w:t>a</w:t>
            </w:r>
            <w:r w:rsidRPr="001A05F4">
              <w:rPr>
                <w:iCs/>
                <w:szCs w:val="20"/>
              </w:rPr>
              <w:t xml:space="preserve"> </w:t>
            </w:r>
          </w:p>
        </w:tc>
        <w:tc>
          <w:tcPr>
            <w:tcW w:w="706"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0.08767</w:t>
            </w:r>
          </w:p>
        </w:tc>
        <w:tc>
          <w:tcPr>
            <w:tcW w:w="629"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r w:rsidR="00B030F0" w:rsidRPr="00B030F0">
              <w:rPr>
                <w:bCs/>
                <w:szCs w:val="20"/>
                <w:vertAlign w:val="superscript"/>
              </w:rPr>
              <w:t>1</w:t>
            </w:r>
          </w:p>
        </w:tc>
        <w:tc>
          <w:tcPr>
            <w:tcW w:w="758"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+24%</w:t>
            </w:r>
          </w:p>
        </w:tc>
      </w:tr>
      <w:tr w:rsidR="00C66BE6" w:rsidRPr="001A05F4" w:rsidTr="00927040">
        <w:tc>
          <w:tcPr>
            <w:tcW w:w="5000" w:type="pct"/>
            <w:gridSpan w:val="5"/>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iCs/>
                <w:szCs w:val="20"/>
              </w:rPr>
            </w:pPr>
            <w:r w:rsidRPr="001A05F4">
              <w:rPr>
                <w:iCs/>
                <w:szCs w:val="20"/>
              </w:rPr>
              <w:t>Response rates for HSFME, RULM and 6MWT (base case: percentages as reported by Maggi 2020)</w:t>
            </w:r>
          </w:p>
        </w:tc>
      </w:tr>
      <w:tr w:rsidR="00C66BE6" w:rsidRPr="001A05F4" w:rsidTr="00927040">
        <w:trPr>
          <w:trHeight w:val="64"/>
        </w:trPr>
        <w:tc>
          <w:tcPr>
            <w:tcW w:w="2277"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iCs/>
                <w:szCs w:val="20"/>
              </w:rPr>
            </w:pPr>
            <w:r w:rsidRPr="001A05F4">
              <w:rPr>
                <w:iCs/>
                <w:szCs w:val="20"/>
              </w:rPr>
              <w:t>Responder rates using figures from Maggi 2020 using total number of patients as denominator</w:t>
            </w:r>
          </w:p>
        </w:tc>
        <w:tc>
          <w:tcPr>
            <w:tcW w:w="706"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iCs/>
                <w:szCs w:val="20"/>
              </w:rPr>
            </w:pPr>
            <w:r w:rsidRPr="001A05F4">
              <w:rPr>
                <w:iCs/>
                <w:szCs w:val="20"/>
              </w:rPr>
              <w:t>$</w:t>
            </w:r>
            <w:r w:rsidR="006B0D96">
              <w:rPr>
                <w:iCs/>
                <w:noProof/>
                <w:color w:val="00000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iCs/>
                <w:szCs w:val="20"/>
              </w:rPr>
            </w:pPr>
            <w:r w:rsidRPr="001A05F4">
              <w:rPr>
                <w:iCs/>
                <w:szCs w:val="20"/>
              </w:rPr>
              <w:t>0.6792</w:t>
            </w:r>
          </w:p>
        </w:tc>
        <w:tc>
          <w:tcPr>
            <w:tcW w:w="629"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iCs/>
                <w:szCs w:val="20"/>
              </w:rPr>
            </w:pPr>
            <w:r w:rsidRPr="001A05F4">
              <w:rPr>
                <w:iCs/>
                <w:szCs w:val="20"/>
              </w:rPr>
              <w:t>$</w:t>
            </w:r>
            <w:r w:rsidR="006B0D96">
              <w:rPr>
                <w:iCs/>
                <w:noProof/>
                <w:color w:val="000000"/>
                <w:szCs w:val="20"/>
                <w:highlight w:val="black"/>
              </w:rPr>
              <w:t>''''''''''''''''''''''''</w:t>
            </w:r>
            <w:r w:rsidR="00B030F0" w:rsidRPr="00B030F0">
              <w:rPr>
                <w:bCs/>
                <w:szCs w:val="20"/>
                <w:vertAlign w:val="superscript"/>
              </w:rPr>
              <w:t>1</w:t>
            </w:r>
          </w:p>
        </w:tc>
        <w:tc>
          <w:tcPr>
            <w:tcW w:w="758"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iCs/>
                <w:szCs w:val="20"/>
              </w:rPr>
            </w:pPr>
            <w:r w:rsidRPr="001A05F4">
              <w:rPr>
                <w:iCs/>
                <w:szCs w:val="20"/>
              </w:rPr>
              <w:t>+60%</w:t>
            </w:r>
          </w:p>
        </w:tc>
      </w:tr>
      <w:tr w:rsidR="00C66BE6" w:rsidRPr="001A05F4" w:rsidTr="00927040">
        <w:tc>
          <w:tcPr>
            <w:tcW w:w="5000" w:type="pct"/>
            <w:gridSpan w:val="5"/>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iCs/>
                <w:szCs w:val="20"/>
              </w:rPr>
            </w:pPr>
            <w:r w:rsidRPr="001A05F4">
              <w:rPr>
                <w:iCs/>
                <w:szCs w:val="20"/>
              </w:rPr>
              <w:t>Price reduction required to achieve target ICER (base case nusinersen per dose $</w:t>
            </w:r>
            <w:r w:rsidR="006B0D96">
              <w:rPr>
                <w:iCs/>
                <w:noProof/>
                <w:color w:val="000000"/>
                <w:szCs w:val="20"/>
                <w:highlight w:val="black"/>
              </w:rPr>
              <w:t>'''''''''''''''''</w:t>
            </w:r>
            <w:r w:rsidRPr="001A05F4">
              <w:rPr>
                <w:iCs/>
                <w:szCs w:val="20"/>
              </w:rPr>
              <w:t>)</w:t>
            </w:r>
          </w:p>
        </w:tc>
      </w:tr>
      <w:tr w:rsidR="00C66BE6" w:rsidRPr="001A05F4" w:rsidTr="00927040">
        <w:tc>
          <w:tcPr>
            <w:tcW w:w="2277" w:type="pct"/>
            <w:tcBorders>
              <w:top w:val="single" w:sz="4" w:space="0" w:color="auto"/>
              <w:left w:val="single" w:sz="4" w:space="0" w:color="auto"/>
              <w:bottom w:val="single" w:sz="4" w:space="0" w:color="auto"/>
              <w:right w:val="single" w:sz="4" w:space="0" w:color="auto"/>
            </w:tcBorders>
            <w:hideMark/>
          </w:tcPr>
          <w:p w:rsidR="00C66BE6" w:rsidRPr="001A05F4" w:rsidRDefault="00C66BE6" w:rsidP="00927040">
            <w:pPr>
              <w:pStyle w:val="TableText0"/>
              <w:spacing w:before="0" w:after="0"/>
              <w:rPr>
                <w:iCs/>
                <w:szCs w:val="20"/>
              </w:rPr>
            </w:pPr>
            <w:r w:rsidRPr="001A05F4">
              <w:rPr>
                <w:iCs/>
                <w:szCs w:val="20"/>
              </w:rPr>
              <w:t>ICER $</w:t>
            </w:r>
            <w:r w:rsidR="006B0D96">
              <w:rPr>
                <w:iCs/>
                <w:noProof/>
                <w:color w:val="000000"/>
                <w:szCs w:val="20"/>
                <w:highlight w:val="black"/>
              </w:rPr>
              <w:t>''''''''''''''''''''</w:t>
            </w:r>
            <w:r w:rsidR="00B030F0">
              <w:rPr>
                <w:bCs/>
                <w:szCs w:val="20"/>
                <w:vertAlign w:val="superscript"/>
              </w:rPr>
              <w:t>2</w:t>
            </w:r>
            <w:r w:rsidRPr="001A05F4">
              <w:rPr>
                <w:iCs/>
                <w:szCs w:val="20"/>
              </w:rPr>
              <w:t>/QALY (same as paediatric Type II/IIIa)</w:t>
            </w:r>
            <w:r w:rsidR="00B50A09" w:rsidRPr="001A05F4">
              <w:rPr>
                <w:iCs/>
                <w:szCs w:val="20"/>
                <w:vertAlign w:val="superscript"/>
              </w:rPr>
              <w:t xml:space="preserve"> b</w:t>
            </w:r>
            <w:r w:rsidRPr="001A05F4">
              <w:rPr>
                <w:iCs/>
                <w:szCs w:val="20"/>
              </w:rPr>
              <w:t xml:space="preserve"> – Cost per nusinersen dose $</w:t>
            </w:r>
            <w:r w:rsidR="006B0D96">
              <w:rPr>
                <w:iCs/>
                <w:noProof/>
                <w:color w:val="000000"/>
                <w:szCs w:val="20"/>
                <w:highlight w:val="black"/>
              </w:rPr>
              <w:t>'''''''''''''''''''''''</w:t>
            </w:r>
            <w:r w:rsidRPr="001A05F4">
              <w:rPr>
                <w:iCs/>
                <w:szCs w:val="20"/>
              </w:rPr>
              <w:t xml:space="preserve"> </w:t>
            </w:r>
          </w:p>
        </w:tc>
        <w:tc>
          <w:tcPr>
            <w:tcW w:w="706"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w:t>
            </w:r>
            <w:r w:rsidR="006B0D96">
              <w:rPr>
                <w:noProof/>
                <w:color w:val="00000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szCs w:val="20"/>
              </w:rPr>
            </w:pPr>
            <w:r w:rsidRPr="001A05F4">
              <w:rPr>
                <w:szCs w:val="20"/>
              </w:rPr>
              <w:t>1.0878</w:t>
            </w:r>
          </w:p>
        </w:tc>
        <w:tc>
          <w:tcPr>
            <w:tcW w:w="629"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iCs/>
                <w:szCs w:val="20"/>
              </w:rPr>
            </w:pPr>
            <w:r w:rsidRPr="001A05F4">
              <w:rPr>
                <w:iCs/>
                <w:szCs w:val="20"/>
              </w:rPr>
              <w:t>$</w:t>
            </w:r>
            <w:r w:rsidR="006B0D96">
              <w:rPr>
                <w:iCs/>
                <w:noProof/>
                <w:color w:val="000000"/>
                <w:szCs w:val="20"/>
                <w:highlight w:val="black"/>
              </w:rPr>
              <w:t>''''''''''''''''''</w:t>
            </w:r>
            <w:r w:rsidR="00B030F0">
              <w:rPr>
                <w:bCs/>
                <w:szCs w:val="20"/>
                <w:vertAlign w:val="superscript"/>
              </w:rPr>
              <w:t>2</w:t>
            </w:r>
          </w:p>
        </w:tc>
        <w:tc>
          <w:tcPr>
            <w:tcW w:w="758" w:type="pct"/>
            <w:tcBorders>
              <w:top w:val="single" w:sz="4" w:space="0" w:color="auto"/>
              <w:left w:val="single" w:sz="4" w:space="0" w:color="auto"/>
              <w:bottom w:val="single" w:sz="4" w:space="0" w:color="auto"/>
              <w:right w:val="single" w:sz="4" w:space="0" w:color="auto"/>
            </w:tcBorders>
            <w:vAlign w:val="center"/>
            <w:hideMark/>
          </w:tcPr>
          <w:p w:rsidR="00C66BE6" w:rsidRPr="001A05F4" w:rsidRDefault="00C66BE6" w:rsidP="00927040">
            <w:pPr>
              <w:pStyle w:val="TableText0"/>
              <w:spacing w:before="0" w:after="0"/>
              <w:jc w:val="center"/>
              <w:rPr>
                <w:iCs/>
                <w:szCs w:val="20"/>
              </w:rPr>
            </w:pPr>
            <w:r w:rsidRPr="001A05F4">
              <w:rPr>
                <w:iCs/>
                <w:szCs w:val="20"/>
              </w:rPr>
              <w:t>-80%</w:t>
            </w:r>
          </w:p>
        </w:tc>
      </w:tr>
    </w:tbl>
    <w:p w:rsidR="00C66BE6" w:rsidRPr="001A05F4" w:rsidRDefault="00C66BE6" w:rsidP="00C66BE6">
      <w:pPr>
        <w:pStyle w:val="TableFigureFooter"/>
        <w:keepNext/>
      </w:pPr>
      <w:r w:rsidRPr="001A05F4">
        <w:t>6MWT = six minute walk test HFMSE = Hammersmith Functional Motor Scale-Expanded; ICER=incremental cost-effectiveness ratio; QALYs=quality adjusted life years; RR=relative risk, RULM = revised upper limb module</w:t>
      </w:r>
    </w:p>
    <w:p w:rsidR="00C66BE6" w:rsidRPr="001A05F4" w:rsidRDefault="00C66BE6" w:rsidP="00C66BE6">
      <w:pPr>
        <w:pStyle w:val="TableFigureFooter"/>
        <w:keepNext/>
      </w:pPr>
      <w:r w:rsidRPr="001A05F4">
        <w:t xml:space="preserve">Values in italics were additional analyses conducted during the evaluation. </w:t>
      </w:r>
    </w:p>
    <w:p w:rsidR="00C66BE6" w:rsidRPr="001A05F4" w:rsidRDefault="00C66BE6" w:rsidP="00C66BE6">
      <w:pPr>
        <w:pStyle w:val="TableFigureFooter"/>
        <w:keepNext/>
      </w:pPr>
      <w:r w:rsidRPr="001A05F4">
        <w:rPr>
          <w:vertAlign w:val="superscript"/>
        </w:rPr>
        <w:t>a</w:t>
      </w:r>
      <w:r w:rsidRPr="001A05F4">
        <w:t xml:space="preserve"> estimated by calculating responder from HFMSE (58%) first, then assuming remaining 21% of responder were RULM responder rather than the reverse</w:t>
      </w:r>
    </w:p>
    <w:p w:rsidR="00B95B28" w:rsidRPr="001A05F4" w:rsidRDefault="00B95B28" w:rsidP="00C66BE6">
      <w:pPr>
        <w:pStyle w:val="TableFigureFooter"/>
        <w:keepNext/>
      </w:pPr>
      <w:r w:rsidRPr="001A05F4">
        <w:rPr>
          <w:vertAlign w:val="superscript"/>
        </w:rPr>
        <w:t>b</w:t>
      </w:r>
      <w:r w:rsidRPr="001A05F4">
        <w:t xml:space="preserve"> It should be noted that while the nusinersen submission for paediatric patients with Type II/IIIa SMA was previously recommended by the PBAC and presented an ICER of $</w:t>
      </w:r>
      <w:r w:rsidR="006B0D96">
        <w:rPr>
          <w:noProof/>
          <w:color w:val="000000"/>
          <w:highlight w:val="black"/>
        </w:rPr>
        <w:t>'''''''''''''''''</w:t>
      </w:r>
      <w:r w:rsidR="00B030F0">
        <w:rPr>
          <w:bCs/>
          <w:szCs w:val="20"/>
          <w:vertAlign w:val="superscript"/>
        </w:rPr>
        <w:t>2</w:t>
      </w:r>
      <w:r w:rsidRPr="001A05F4">
        <w:t>/QALY, the PBAC did not accept that this ICER alone demonstrated acceptable cost-effectiveness of nusinersen for this patient population. “</w:t>
      </w:r>
      <w:r w:rsidR="00A000AD" w:rsidRPr="001A05F4">
        <w:t>…</w:t>
      </w:r>
      <w:r w:rsidRPr="001A05F4">
        <w:t xml:space="preserve"> the PBAC did not accept the proposed price for all SMA types and advised that a price reduction accounting for utilisation in Type II/IIIa patients would be appropriate. The PBAC advised that a combination of reduction in price, increased rebates or lower financial caps, is necessary to achieve a cost-effective listing.” (paragraph 6.11, p26 nusinersen PSD, March 2018).</w:t>
      </w:r>
    </w:p>
    <w:p w:rsidR="00C66BE6" w:rsidRDefault="00C66BE6" w:rsidP="00B030F0">
      <w:pPr>
        <w:pStyle w:val="TableFigureFooter"/>
        <w:keepNext/>
        <w:spacing w:after="0"/>
        <w:contextualSpacing w:val="0"/>
      </w:pPr>
      <w:r w:rsidRPr="001A05F4">
        <w:t>Source: Table 3.53, p385 of the resubmission</w:t>
      </w:r>
    </w:p>
    <w:p w:rsidR="00B030F0" w:rsidRPr="009A6D58" w:rsidRDefault="00B030F0" w:rsidP="00B030F0">
      <w:pPr>
        <w:rPr>
          <w:rFonts w:ascii="Arial Narrow" w:hAnsi="Arial Narrow"/>
          <w:i/>
          <w:sz w:val="18"/>
          <w:szCs w:val="18"/>
          <w:lang w:eastAsia="en-AU"/>
        </w:rPr>
      </w:pPr>
      <w:r w:rsidRPr="009A6D58">
        <w:rPr>
          <w:rFonts w:ascii="Arial Narrow" w:hAnsi="Arial Narrow"/>
          <w:i/>
          <w:sz w:val="18"/>
          <w:szCs w:val="18"/>
          <w:lang w:eastAsia="en-AU"/>
        </w:rPr>
        <w:t xml:space="preserve">The redacted values correspond to the following ranges: </w:t>
      </w:r>
    </w:p>
    <w:p w:rsidR="00B030F0" w:rsidRPr="009A6D58" w:rsidRDefault="00B030F0" w:rsidP="00B030F0">
      <w:pPr>
        <w:rPr>
          <w:rFonts w:ascii="Arial Narrow" w:hAnsi="Arial Narrow"/>
          <w:i/>
          <w:sz w:val="18"/>
          <w:szCs w:val="18"/>
          <w:lang w:eastAsia="en-AU"/>
        </w:rPr>
      </w:pPr>
      <w:r w:rsidRPr="009A6D58">
        <w:rPr>
          <w:rFonts w:ascii="Arial Narrow" w:hAnsi="Arial Narrow"/>
          <w:i/>
          <w:sz w:val="18"/>
          <w:szCs w:val="18"/>
          <w:vertAlign w:val="superscript"/>
          <w:lang w:eastAsia="en-AU"/>
        </w:rPr>
        <w:t>1</w:t>
      </w:r>
      <w:r>
        <w:rPr>
          <w:rFonts w:ascii="Arial Narrow" w:hAnsi="Arial Narrow"/>
          <w:i/>
          <w:sz w:val="18"/>
          <w:szCs w:val="18"/>
          <w:lang w:eastAsia="en-AU"/>
        </w:rPr>
        <w:t xml:space="preserve"> </w:t>
      </w:r>
      <w:r w:rsidRPr="00B030F0">
        <w:rPr>
          <w:rFonts w:ascii="Arial Narrow" w:hAnsi="Arial Narrow"/>
          <w:i/>
          <w:sz w:val="18"/>
          <w:szCs w:val="18"/>
          <w:lang w:eastAsia="en-AU"/>
        </w:rPr>
        <w:t>&gt; $1,055,000</w:t>
      </w:r>
    </w:p>
    <w:p w:rsidR="00B50A09" w:rsidRPr="001A05F4" w:rsidRDefault="00B030F0" w:rsidP="00B030F0">
      <w:pPr>
        <w:spacing w:after="240"/>
        <w:rPr>
          <w:i/>
          <w:iCs/>
        </w:rPr>
      </w:pPr>
      <w:r w:rsidRPr="009A6D58">
        <w:rPr>
          <w:rFonts w:ascii="Arial Narrow" w:hAnsi="Arial Narrow"/>
          <w:i/>
          <w:sz w:val="18"/>
          <w:szCs w:val="18"/>
          <w:vertAlign w:val="superscript"/>
          <w:lang w:eastAsia="en-AU"/>
        </w:rPr>
        <w:t>2</w:t>
      </w:r>
      <w:r>
        <w:rPr>
          <w:rFonts w:ascii="Arial Narrow" w:hAnsi="Arial Narrow"/>
          <w:i/>
          <w:sz w:val="18"/>
          <w:szCs w:val="18"/>
          <w:lang w:eastAsia="en-AU"/>
        </w:rPr>
        <w:t xml:space="preserve"> </w:t>
      </w:r>
      <w:r w:rsidRPr="00B030F0">
        <w:rPr>
          <w:rFonts w:ascii="Arial Narrow" w:hAnsi="Arial Narrow"/>
          <w:i/>
          <w:sz w:val="18"/>
          <w:szCs w:val="18"/>
          <w:lang w:eastAsia="en-AU"/>
        </w:rPr>
        <w:t>$355,000 to &lt; $455,000</w:t>
      </w:r>
    </w:p>
    <w:p w:rsidR="007A2FE4" w:rsidRPr="001A05F4" w:rsidRDefault="007A2FE4" w:rsidP="00B030F0">
      <w:pPr>
        <w:pStyle w:val="ListParagraph"/>
        <w:widowControl/>
        <w:numPr>
          <w:ilvl w:val="1"/>
          <w:numId w:val="2"/>
        </w:numPr>
        <w:rPr>
          <w:iCs/>
        </w:rPr>
      </w:pPr>
      <w:r w:rsidRPr="001A05F4">
        <w:rPr>
          <w:iCs/>
        </w:rPr>
        <w:t>A scenario in which the price of nusinersen was reduced to $</w:t>
      </w:r>
      <w:r w:rsidR="006B0D96">
        <w:rPr>
          <w:iCs/>
          <w:noProof/>
          <w:color w:val="000000"/>
          <w:highlight w:val="black"/>
        </w:rPr>
        <w:t>''''''''''''''''''''</w:t>
      </w:r>
      <w:r w:rsidRPr="001A05F4">
        <w:rPr>
          <w:iCs/>
        </w:rPr>
        <w:t xml:space="preserve"> (a further 79.5% reduction from the proposed price of $</w:t>
      </w:r>
      <w:r w:rsidR="006B0D96">
        <w:rPr>
          <w:iCs/>
          <w:noProof/>
          <w:color w:val="000000"/>
          <w:highlight w:val="black"/>
        </w:rPr>
        <w:t>''''''''''''''</w:t>
      </w:r>
      <w:r w:rsidRPr="001A05F4">
        <w:rPr>
          <w:iCs/>
        </w:rPr>
        <w:t xml:space="preserve">) brought the ICER down to </w:t>
      </w:r>
      <w:r w:rsidR="00B030F0" w:rsidRPr="00B030F0">
        <w:rPr>
          <w:iCs/>
        </w:rPr>
        <w:t>$355,000 to &lt; $455,000</w:t>
      </w:r>
      <w:r w:rsidRPr="001A05F4">
        <w:rPr>
          <w:iCs/>
        </w:rPr>
        <w:t>/QALY, which was consistent with the ICER accepted by the PBAC for the treatment of paediatric patients with Type II and IIIa SMA with nusinersen (Table 6, p18 nusinersen PSD March 2018)</w:t>
      </w:r>
      <w:r w:rsidR="001A05F4">
        <w:rPr>
          <w:iCs/>
        </w:rPr>
        <w:t xml:space="preserve">. </w:t>
      </w:r>
      <w:r w:rsidR="00376678" w:rsidRPr="001A05F4">
        <w:t>The ESC noted</w:t>
      </w:r>
      <w:r w:rsidRPr="001A05F4">
        <w:t xml:space="preserve"> that this was a</w:t>
      </w:r>
      <w:r w:rsidRPr="001A05F4">
        <w:rPr>
          <w:iCs/>
        </w:rPr>
        <w:t xml:space="preserve"> univariate sensitivity analysis and that the assumptions and inputs which lead to an underestimated ICER in the base case would apply, and </w:t>
      </w:r>
      <w:r w:rsidR="00376678" w:rsidRPr="001A05F4">
        <w:rPr>
          <w:iCs/>
        </w:rPr>
        <w:t>therefore</w:t>
      </w:r>
      <w:r w:rsidRPr="001A05F4">
        <w:rPr>
          <w:iCs/>
        </w:rPr>
        <w:t xml:space="preserve"> even at </w:t>
      </w:r>
      <w:r w:rsidR="00376678" w:rsidRPr="001A05F4">
        <w:rPr>
          <w:iCs/>
        </w:rPr>
        <w:t xml:space="preserve">that </w:t>
      </w:r>
      <w:r w:rsidRPr="001A05F4">
        <w:rPr>
          <w:iCs/>
        </w:rPr>
        <w:t>reduced price, the true ICER would likely exceed that of paediatric Type II and IIIa patients by a sizeable amount (e.g. removal of additional utility from nusinersen treatment based on Maggi 2020 would increase the ICER by 169%).</w:t>
      </w:r>
    </w:p>
    <w:p w:rsidR="00C66BE6" w:rsidRPr="001A05F4" w:rsidRDefault="00C66BE6" w:rsidP="00C66BE6">
      <w:pPr>
        <w:pStyle w:val="4-SubsectionHeading"/>
      </w:pPr>
      <w:bookmarkStart w:id="46" w:name="_Toc72327834"/>
      <w:r w:rsidRPr="001A05F4">
        <w:t>Drug cost/patient</w:t>
      </w:r>
      <w:r w:rsidR="007A2FE4" w:rsidRPr="001A05F4">
        <w:t>/</w:t>
      </w:r>
      <w:r w:rsidRPr="001A05F4">
        <w:t>year</w:t>
      </w:r>
      <w:bookmarkEnd w:id="46"/>
    </w:p>
    <w:p w:rsidR="00C66BE6" w:rsidRPr="00C508D4" w:rsidRDefault="007A2FE4" w:rsidP="00F9436F">
      <w:pPr>
        <w:pStyle w:val="ListParagraph"/>
        <w:widowControl/>
        <w:numPr>
          <w:ilvl w:val="1"/>
          <w:numId w:val="2"/>
        </w:numPr>
      </w:pPr>
      <w:bookmarkStart w:id="47" w:name="_Ref72251036"/>
      <w:r w:rsidRPr="00C508D4">
        <w:rPr>
          <w:iCs/>
        </w:rPr>
        <w:t>The drug cost per patient for the first year of treatment, including four loading doses (</w:t>
      </w:r>
      <w:r w:rsidR="006B0D96">
        <w:rPr>
          <w:iCs/>
          <w:noProof/>
          <w:color w:val="000000"/>
          <w:highlight w:val="black"/>
        </w:rPr>
        <w:t>''''''' '''' '''''''''''' ''''''''</w:t>
      </w:r>
      <w:r w:rsidRPr="00C508D4">
        <w:rPr>
          <w:iCs/>
        </w:rPr>
        <w:t xml:space="preserve"> rebated by the sponsor) and two maintenance doses, was $</w:t>
      </w:r>
      <w:r w:rsidR="006B0D96">
        <w:rPr>
          <w:iCs/>
          <w:noProof/>
          <w:color w:val="000000"/>
          <w:highlight w:val="black"/>
        </w:rPr>
        <w:t>'''''''''''''''''</w:t>
      </w:r>
      <w:r w:rsidRPr="00C508D4">
        <w:rPr>
          <w:iCs/>
        </w:rPr>
        <w:t>. The cost per year for nusinersen maintenance was $</w:t>
      </w:r>
      <w:r w:rsidR="006B0D96">
        <w:rPr>
          <w:iCs/>
          <w:noProof/>
          <w:color w:val="000000"/>
          <w:highlight w:val="black"/>
        </w:rPr>
        <w:t>''''''''''''''''</w:t>
      </w:r>
      <w:r w:rsidRPr="00C508D4">
        <w:rPr>
          <w:iCs/>
        </w:rPr>
        <w:t>, based on $</w:t>
      </w:r>
      <w:r w:rsidR="006B0D96">
        <w:rPr>
          <w:iCs/>
          <w:noProof/>
          <w:color w:val="000000"/>
          <w:highlight w:val="black"/>
        </w:rPr>
        <w:t>'''''''''''''</w:t>
      </w:r>
      <w:r w:rsidRPr="00C508D4">
        <w:rPr>
          <w:iCs/>
        </w:rPr>
        <w:t xml:space="preserve"> per dose and three maintenance doses per year. </w:t>
      </w:r>
      <w:r w:rsidR="00CC2DD6" w:rsidRPr="00C508D4">
        <w:rPr>
          <w:iCs/>
        </w:rPr>
        <w:t xml:space="preserve">The rebate for </w:t>
      </w:r>
      <w:r w:rsidR="006B0D96">
        <w:rPr>
          <w:iCs/>
          <w:noProof/>
          <w:color w:val="000000"/>
          <w:highlight w:val="black"/>
        </w:rPr>
        <w:t>'''''''</w:t>
      </w:r>
      <w:r w:rsidR="00CC2DD6" w:rsidRPr="00C508D4">
        <w:rPr>
          <w:iCs/>
        </w:rPr>
        <w:t xml:space="preserve"> of the four loading doses were included in both the economic evaluation and the financial estimates.</w:t>
      </w:r>
      <w:bookmarkEnd w:id="47"/>
    </w:p>
    <w:p w:rsidR="00C66BE6" w:rsidRPr="001A05F4" w:rsidRDefault="00C66BE6" w:rsidP="00C66BE6">
      <w:pPr>
        <w:pStyle w:val="TableFooter"/>
        <w:widowControl/>
      </w:pPr>
    </w:p>
    <w:p w:rsidR="00C66BE6" w:rsidRPr="001A05F4" w:rsidRDefault="00357604" w:rsidP="00357604">
      <w:pPr>
        <w:keepNext/>
        <w:widowControl/>
        <w:rPr>
          <w:rStyle w:val="CommentReference"/>
        </w:rPr>
      </w:pPr>
      <w:r w:rsidRPr="001A05F4">
        <w:rPr>
          <w:rStyle w:val="CommentReference"/>
        </w:rPr>
        <w:t xml:space="preserve">Table </w:t>
      </w:r>
      <w:r w:rsidR="00BC2D8D" w:rsidRPr="001A05F4">
        <w:rPr>
          <w:rStyle w:val="CommentReference"/>
        </w:rPr>
        <w:t>18</w:t>
      </w:r>
      <w:r w:rsidR="00C66BE6" w:rsidRPr="001A05F4">
        <w:rPr>
          <w:rStyle w:val="CommentReference"/>
        </w:rPr>
        <w:t>: Drug cost per patient for proposed drug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95"/>
        <w:gridCol w:w="2274"/>
        <w:gridCol w:w="2274"/>
        <w:gridCol w:w="2274"/>
      </w:tblGrid>
      <w:tr w:rsidR="000F1AA9" w:rsidRPr="001A05F4" w:rsidTr="00CB740B">
        <w:trPr>
          <w:jc w:val="center"/>
        </w:trPr>
        <w:tc>
          <w:tcPr>
            <w:tcW w:w="1217" w:type="pct"/>
            <w:shd w:val="clear" w:color="auto" w:fill="auto"/>
            <w:vAlign w:val="center"/>
          </w:tcPr>
          <w:p w:rsidR="00357604" w:rsidRPr="001A05F4" w:rsidRDefault="00357604" w:rsidP="00357604">
            <w:pPr>
              <w:rPr>
                <w:rFonts w:ascii="Arial Narrow" w:hAnsi="Arial Narrow"/>
                <w:sz w:val="20"/>
                <w:szCs w:val="20"/>
              </w:rPr>
            </w:pPr>
          </w:p>
        </w:tc>
        <w:tc>
          <w:tcPr>
            <w:tcW w:w="1261" w:type="pct"/>
            <w:shd w:val="clear" w:color="auto" w:fill="auto"/>
            <w:vAlign w:val="center"/>
          </w:tcPr>
          <w:p w:rsidR="00357604" w:rsidRPr="001A05F4" w:rsidRDefault="00357604" w:rsidP="00357604">
            <w:pPr>
              <w:jc w:val="center"/>
              <w:rPr>
                <w:rFonts w:ascii="Arial Narrow" w:hAnsi="Arial Narrow"/>
                <w:b/>
                <w:bCs/>
                <w:sz w:val="20"/>
                <w:szCs w:val="20"/>
              </w:rPr>
            </w:pPr>
            <w:r w:rsidRPr="001A05F4">
              <w:rPr>
                <w:rFonts w:ascii="Arial Narrow" w:hAnsi="Arial Narrow"/>
                <w:b/>
                <w:bCs/>
                <w:sz w:val="20"/>
                <w:szCs w:val="20"/>
              </w:rPr>
              <w:t>Study dose and duration</w:t>
            </w:r>
          </w:p>
        </w:tc>
        <w:tc>
          <w:tcPr>
            <w:tcW w:w="1261" w:type="pct"/>
            <w:shd w:val="clear" w:color="auto" w:fill="auto"/>
            <w:vAlign w:val="center"/>
          </w:tcPr>
          <w:p w:rsidR="00357604" w:rsidRPr="001A05F4" w:rsidRDefault="00CC2DD6" w:rsidP="00357604">
            <w:pPr>
              <w:jc w:val="center"/>
              <w:rPr>
                <w:rFonts w:ascii="Arial Narrow" w:hAnsi="Arial Narrow"/>
                <w:b/>
                <w:bCs/>
                <w:sz w:val="20"/>
                <w:szCs w:val="20"/>
              </w:rPr>
            </w:pPr>
            <w:r w:rsidRPr="001A05F4">
              <w:rPr>
                <w:rFonts w:ascii="Arial Narrow" w:hAnsi="Arial Narrow"/>
                <w:b/>
                <w:bCs/>
                <w:sz w:val="20"/>
                <w:szCs w:val="20"/>
              </w:rPr>
              <w:t xml:space="preserve">Economic </w:t>
            </w:r>
            <w:r w:rsidR="00357604" w:rsidRPr="001A05F4">
              <w:rPr>
                <w:rFonts w:ascii="Arial Narrow" w:hAnsi="Arial Narrow"/>
                <w:b/>
                <w:bCs/>
                <w:sz w:val="20"/>
                <w:szCs w:val="20"/>
              </w:rPr>
              <w:t>Model</w:t>
            </w:r>
          </w:p>
        </w:tc>
        <w:tc>
          <w:tcPr>
            <w:tcW w:w="1261" w:type="pct"/>
            <w:shd w:val="clear" w:color="auto" w:fill="auto"/>
            <w:vAlign w:val="center"/>
          </w:tcPr>
          <w:p w:rsidR="00357604" w:rsidRPr="001A05F4" w:rsidRDefault="00357604" w:rsidP="00357604">
            <w:pPr>
              <w:jc w:val="center"/>
              <w:rPr>
                <w:rFonts w:ascii="Arial Narrow" w:hAnsi="Arial Narrow"/>
                <w:b/>
                <w:bCs/>
                <w:sz w:val="20"/>
                <w:szCs w:val="20"/>
              </w:rPr>
            </w:pPr>
            <w:r w:rsidRPr="001A05F4">
              <w:rPr>
                <w:rFonts w:ascii="Arial Narrow" w:hAnsi="Arial Narrow"/>
                <w:b/>
                <w:bCs/>
                <w:sz w:val="20"/>
                <w:szCs w:val="20"/>
              </w:rPr>
              <w:t>Financial estimates</w:t>
            </w:r>
          </w:p>
        </w:tc>
      </w:tr>
      <w:tr w:rsidR="000F1AA9" w:rsidRPr="001A05F4" w:rsidTr="00CB740B">
        <w:trPr>
          <w:jc w:val="center"/>
        </w:trPr>
        <w:tc>
          <w:tcPr>
            <w:tcW w:w="1217" w:type="pct"/>
            <w:shd w:val="clear" w:color="auto" w:fill="auto"/>
            <w:vAlign w:val="center"/>
          </w:tcPr>
          <w:p w:rsidR="00357604" w:rsidRPr="001A05F4" w:rsidRDefault="00357604" w:rsidP="00357604">
            <w:pPr>
              <w:rPr>
                <w:rFonts w:ascii="Arial Narrow" w:hAnsi="Arial Narrow"/>
                <w:sz w:val="20"/>
                <w:szCs w:val="20"/>
              </w:rPr>
            </w:pPr>
            <w:r w:rsidRPr="001A05F4">
              <w:rPr>
                <w:rFonts w:ascii="Arial Narrow" w:hAnsi="Arial Narrow"/>
                <w:sz w:val="20"/>
                <w:szCs w:val="20"/>
              </w:rPr>
              <w:t>Mean dose</w:t>
            </w:r>
          </w:p>
        </w:tc>
        <w:tc>
          <w:tcPr>
            <w:tcW w:w="1261" w:type="pct"/>
            <w:shd w:val="clear" w:color="auto" w:fill="auto"/>
            <w:vAlign w:val="center"/>
          </w:tcPr>
          <w:p w:rsidR="00357604" w:rsidRPr="001A05F4" w:rsidRDefault="00357604" w:rsidP="00357604">
            <w:pPr>
              <w:jc w:val="center"/>
              <w:rPr>
                <w:rFonts w:ascii="Arial Narrow" w:hAnsi="Arial Narrow"/>
                <w:sz w:val="20"/>
                <w:szCs w:val="20"/>
              </w:rPr>
            </w:pPr>
            <w:r w:rsidRPr="001A05F4">
              <w:rPr>
                <w:rFonts w:ascii="Arial Narrow" w:hAnsi="Arial Narrow"/>
                <w:sz w:val="20"/>
                <w:szCs w:val="20"/>
              </w:rPr>
              <w:t>12</w:t>
            </w:r>
            <w:r w:rsidR="001A05F4">
              <w:rPr>
                <w:rFonts w:ascii="Arial Narrow" w:hAnsi="Arial Narrow"/>
                <w:sz w:val="20"/>
                <w:szCs w:val="20"/>
              </w:rPr>
              <w:t xml:space="preserve"> </w:t>
            </w:r>
            <w:r w:rsidRPr="001A05F4">
              <w:rPr>
                <w:rFonts w:ascii="Arial Narrow" w:hAnsi="Arial Narrow"/>
                <w:sz w:val="20"/>
                <w:szCs w:val="20"/>
              </w:rPr>
              <w:t>mg</w:t>
            </w:r>
          </w:p>
        </w:tc>
        <w:tc>
          <w:tcPr>
            <w:tcW w:w="1261" w:type="pct"/>
            <w:shd w:val="clear" w:color="auto" w:fill="auto"/>
            <w:vAlign w:val="center"/>
          </w:tcPr>
          <w:p w:rsidR="00357604" w:rsidRPr="001A05F4" w:rsidRDefault="00357604" w:rsidP="00357604">
            <w:pPr>
              <w:jc w:val="center"/>
              <w:rPr>
                <w:rFonts w:ascii="Arial Narrow" w:hAnsi="Arial Narrow"/>
                <w:sz w:val="20"/>
                <w:szCs w:val="20"/>
              </w:rPr>
            </w:pPr>
            <w:r w:rsidRPr="001A05F4">
              <w:rPr>
                <w:rFonts w:ascii="Arial Narrow" w:hAnsi="Arial Narrow"/>
                <w:sz w:val="20"/>
                <w:szCs w:val="20"/>
              </w:rPr>
              <w:t>12</w:t>
            </w:r>
            <w:r w:rsidR="001A05F4">
              <w:rPr>
                <w:rFonts w:ascii="Arial Narrow" w:hAnsi="Arial Narrow"/>
                <w:sz w:val="20"/>
                <w:szCs w:val="20"/>
              </w:rPr>
              <w:t xml:space="preserve"> </w:t>
            </w:r>
            <w:r w:rsidRPr="001A05F4">
              <w:rPr>
                <w:rFonts w:ascii="Arial Narrow" w:hAnsi="Arial Narrow"/>
                <w:sz w:val="20"/>
                <w:szCs w:val="20"/>
              </w:rPr>
              <w:t>mg</w:t>
            </w:r>
          </w:p>
        </w:tc>
        <w:tc>
          <w:tcPr>
            <w:tcW w:w="1261" w:type="pct"/>
            <w:shd w:val="clear" w:color="auto" w:fill="auto"/>
            <w:vAlign w:val="center"/>
          </w:tcPr>
          <w:p w:rsidR="00357604" w:rsidRPr="001A05F4" w:rsidRDefault="00357604" w:rsidP="00357604">
            <w:pPr>
              <w:jc w:val="center"/>
              <w:rPr>
                <w:rFonts w:ascii="Arial Narrow" w:hAnsi="Arial Narrow"/>
                <w:sz w:val="20"/>
                <w:szCs w:val="20"/>
              </w:rPr>
            </w:pPr>
            <w:r w:rsidRPr="001A05F4">
              <w:rPr>
                <w:rFonts w:ascii="Arial Narrow" w:hAnsi="Arial Narrow"/>
                <w:sz w:val="20"/>
                <w:szCs w:val="20"/>
              </w:rPr>
              <w:t>12</w:t>
            </w:r>
            <w:r w:rsidR="001A05F4">
              <w:rPr>
                <w:rFonts w:ascii="Arial Narrow" w:hAnsi="Arial Narrow"/>
                <w:sz w:val="20"/>
                <w:szCs w:val="20"/>
              </w:rPr>
              <w:t xml:space="preserve"> </w:t>
            </w:r>
            <w:r w:rsidRPr="001A05F4">
              <w:rPr>
                <w:rFonts w:ascii="Arial Narrow" w:hAnsi="Arial Narrow"/>
                <w:sz w:val="20"/>
                <w:szCs w:val="20"/>
              </w:rPr>
              <w:t>mg</w:t>
            </w:r>
          </w:p>
        </w:tc>
      </w:tr>
      <w:tr w:rsidR="000D259E" w:rsidRPr="001A05F4" w:rsidTr="000D259E">
        <w:trPr>
          <w:jc w:val="center"/>
        </w:trPr>
        <w:tc>
          <w:tcPr>
            <w:tcW w:w="1217" w:type="pct"/>
            <w:shd w:val="clear" w:color="auto" w:fill="auto"/>
            <w:vAlign w:val="center"/>
          </w:tcPr>
          <w:p w:rsidR="000D259E" w:rsidRPr="001A05F4" w:rsidRDefault="000D259E" w:rsidP="000D259E">
            <w:pPr>
              <w:rPr>
                <w:rFonts w:ascii="Arial Narrow" w:hAnsi="Arial Narrow"/>
                <w:sz w:val="20"/>
                <w:szCs w:val="20"/>
              </w:rPr>
            </w:pPr>
            <w:r w:rsidRPr="001A05F4">
              <w:rPr>
                <w:rFonts w:ascii="Arial Narrow" w:hAnsi="Arial Narrow"/>
                <w:sz w:val="20"/>
                <w:szCs w:val="20"/>
              </w:rPr>
              <w:t>Cost/patient/dose</w:t>
            </w:r>
          </w:p>
        </w:tc>
        <w:tc>
          <w:tcPr>
            <w:tcW w:w="1261" w:type="pct"/>
            <w:shd w:val="clear" w:color="auto" w:fill="auto"/>
            <w:vAlign w:val="center"/>
          </w:tcPr>
          <w:p w:rsidR="000D259E" w:rsidRPr="001A05F4" w:rsidRDefault="000D259E" w:rsidP="000D259E">
            <w:pPr>
              <w:jc w:val="center"/>
              <w:rPr>
                <w:rFonts w:ascii="Arial Narrow" w:hAnsi="Arial Narrow"/>
                <w:sz w:val="20"/>
                <w:szCs w:val="20"/>
              </w:rPr>
            </w:pPr>
            <w:r w:rsidRPr="001A05F4">
              <w:rPr>
                <w:rFonts w:ascii="Arial Narrow" w:hAnsi="Arial Narrow"/>
                <w:sz w:val="20"/>
                <w:szCs w:val="20"/>
              </w:rPr>
              <w:t>$</w:t>
            </w:r>
            <w:r w:rsidR="006B0D96">
              <w:rPr>
                <w:rFonts w:ascii="Arial Narrow" w:hAnsi="Arial Narrow"/>
                <w:noProof/>
                <w:color w:val="000000"/>
                <w:sz w:val="20"/>
                <w:szCs w:val="20"/>
                <w:highlight w:val="black"/>
              </w:rPr>
              <w:t>'''''''''''''''</w:t>
            </w:r>
          </w:p>
        </w:tc>
        <w:tc>
          <w:tcPr>
            <w:tcW w:w="1261" w:type="pct"/>
            <w:shd w:val="clear" w:color="auto" w:fill="auto"/>
            <w:vAlign w:val="center"/>
          </w:tcPr>
          <w:p w:rsidR="000D259E" w:rsidRPr="001A05F4" w:rsidRDefault="000D259E" w:rsidP="000D259E">
            <w:pPr>
              <w:jc w:val="center"/>
              <w:rPr>
                <w:rFonts w:ascii="Arial Narrow" w:hAnsi="Arial Narrow"/>
                <w:sz w:val="20"/>
                <w:szCs w:val="20"/>
              </w:rPr>
            </w:pPr>
            <w:r w:rsidRPr="001A05F4">
              <w:rPr>
                <w:rFonts w:ascii="Arial Narrow" w:hAnsi="Arial Narrow"/>
                <w:sz w:val="20"/>
                <w:szCs w:val="20"/>
              </w:rPr>
              <w:t>$</w:t>
            </w:r>
            <w:r w:rsidR="006B0D96">
              <w:rPr>
                <w:rFonts w:ascii="Arial Narrow" w:hAnsi="Arial Narrow"/>
                <w:noProof/>
                <w:color w:val="000000"/>
                <w:sz w:val="20"/>
                <w:szCs w:val="20"/>
                <w:highlight w:val="black"/>
              </w:rPr>
              <w:t>'''''''''''''''''</w:t>
            </w:r>
          </w:p>
        </w:tc>
        <w:tc>
          <w:tcPr>
            <w:tcW w:w="1261" w:type="pct"/>
            <w:shd w:val="clear" w:color="auto" w:fill="auto"/>
            <w:vAlign w:val="center"/>
          </w:tcPr>
          <w:p w:rsidR="000D259E" w:rsidRPr="001A05F4" w:rsidRDefault="000D259E" w:rsidP="000D259E">
            <w:pPr>
              <w:jc w:val="center"/>
              <w:rPr>
                <w:rFonts w:ascii="Arial Narrow" w:hAnsi="Arial Narrow"/>
                <w:sz w:val="20"/>
                <w:szCs w:val="20"/>
              </w:rPr>
            </w:pPr>
            <w:r w:rsidRPr="001A05F4">
              <w:rPr>
                <w:rFonts w:ascii="Arial Narrow" w:hAnsi="Arial Narrow"/>
                <w:sz w:val="20"/>
                <w:szCs w:val="20"/>
              </w:rPr>
              <w:t>$</w:t>
            </w:r>
            <w:r w:rsidR="006B0D96">
              <w:rPr>
                <w:rFonts w:ascii="Arial Narrow" w:hAnsi="Arial Narrow"/>
                <w:noProof/>
                <w:color w:val="000000"/>
                <w:sz w:val="20"/>
                <w:szCs w:val="20"/>
                <w:highlight w:val="black"/>
              </w:rPr>
              <w:t>'''''''''''''''''</w:t>
            </w:r>
          </w:p>
        </w:tc>
      </w:tr>
      <w:tr w:rsidR="000F1AA9" w:rsidRPr="001A05F4" w:rsidTr="00CB740B">
        <w:trPr>
          <w:jc w:val="center"/>
        </w:trPr>
        <w:tc>
          <w:tcPr>
            <w:tcW w:w="1217" w:type="pct"/>
            <w:shd w:val="clear" w:color="auto" w:fill="auto"/>
            <w:vAlign w:val="center"/>
          </w:tcPr>
          <w:p w:rsidR="00357604" w:rsidRPr="001A05F4" w:rsidRDefault="00357604" w:rsidP="00357604">
            <w:pPr>
              <w:rPr>
                <w:rFonts w:ascii="Arial Narrow" w:hAnsi="Arial Narrow"/>
                <w:sz w:val="20"/>
                <w:szCs w:val="20"/>
              </w:rPr>
            </w:pPr>
            <w:r w:rsidRPr="001A05F4">
              <w:rPr>
                <w:rFonts w:ascii="Arial Narrow" w:hAnsi="Arial Narrow"/>
                <w:sz w:val="20"/>
                <w:szCs w:val="20"/>
              </w:rPr>
              <w:t>Mean duration</w:t>
            </w:r>
          </w:p>
        </w:tc>
        <w:tc>
          <w:tcPr>
            <w:tcW w:w="1261" w:type="pct"/>
            <w:shd w:val="clear" w:color="auto" w:fill="auto"/>
            <w:vAlign w:val="center"/>
          </w:tcPr>
          <w:p w:rsidR="00357604" w:rsidRPr="001A05F4" w:rsidRDefault="00357604" w:rsidP="00357604">
            <w:pPr>
              <w:jc w:val="center"/>
              <w:rPr>
                <w:rFonts w:ascii="Arial Narrow" w:hAnsi="Arial Narrow"/>
                <w:sz w:val="20"/>
                <w:szCs w:val="20"/>
              </w:rPr>
            </w:pPr>
            <w:r w:rsidRPr="001A05F4">
              <w:rPr>
                <w:rFonts w:ascii="Arial Narrow" w:hAnsi="Arial Narrow"/>
                <w:sz w:val="20"/>
                <w:szCs w:val="20"/>
              </w:rPr>
              <w:t>~14 months</w:t>
            </w:r>
          </w:p>
        </w:tc>
        <w:tc>
          <w:tcPr>
            <w:tcW w:w="1261" w:type="pct"/>
            <w:shd w:val="clear" w:color="auto" w:fill="auto"/>
            <w:vAlign w:val="center"/>
          </w:tcPr>
          <w:p w:rsidR="00357604" w:rsidRPr="001A05F4" w:rsidRDefault="00357604" w:rsidP="00357604">
            <w:pPr>
              <w:jc w:val="center"/>
              <w:rPr>
                <w:rFonts w:ascii="Arial Narrow" w:hAnsi="Arial Narrow"/>
                <w:sz w:val="20"/>
                <w:szCs w:val="20"/>
              </w:rPr>
            </w:pPr>
            <w:r w:rsidRPr="001A05F4">
              <w:rPr>
                <w:rFonts w:ascii="Arial Narrow" w:hAnsi="Arial Narrow"/>
                <w:sz w:val="20"/>
                <w:szCs w:val="20"/>
              </w:rPr>
              <w:t>Lifetime</w:t>
            </w:r>
          </w:p>
        </w:tc>
        <w:tc>
          <w:tcPr>
            <w:tcW w:w="1261" w:type="pct"/>
            <w:shd w:val="clear" w:color="auto" w:fill="auto"/>
            <w:vAlign w:val="center"/>
          </w:tcPr>
          <w:p w:rsidR="00357604" w:rsidRPr="001A05F4" w:rsidRDefault="00357604" w:rsidP="00357604">
            <w:pPr>
              <w:jc w:val="center"/>
              <w:rPr>
                <w:rFonts w:ascii="Arial Narrow" w:hAnsi="Arial Narrow"/>
                <w:sz w:val="20"/>
                <w:szCs w:val="20"/>
              </w:rPr>
            </w:pPr>
            <w:r w:rsidRPr="001A05F4">
              <w:rPr>
                <w:rFonts w:ascii="Arial Narrow" w:hAnsi="Arial Narrow"/>
                <w:sz w:val="20"/>
                <w:szCs w:val="20"/>
              </w:rPr>
              <w:t>Lifetime</w:t>
            </w:r>
          </w:p>
        </w:tc>
      </w:tr>
    </w:tbl>
    <w:p w:rsidR="00C66BE6" w:rsidRPr="001A05F4" w:rsidRDefault="00C66BE6" w:rsidP="00C66BE6">
      <w:pPr>
        <w:pStyle w:val="TableFooter"/>
        <w:widowControl/>
      </w:pPr>
    </w:p>
    <w:p w:rsidR="00C66BE6" w:rsidRPr="001A05F4" w:rsidRDefault="00C66BE6" w:rsidP="00C66BE6">
      <w:pPr>
        <w:pStyle w:val="Heading2"/>
      </w:pPr>
      <w:bookmarkStart w:id="48" w:name="_Toc72327835"/>
      <w:r w:rsidRPr="001A05F4">
        <w:t>Estimated PBS usage &amp; financial implications</w:t>
      </w:r>
      <w:bookmarkEnd w:id="48"/>
    </w:p>
    <w:p w:rsidR="00C66BE6" w:rsidRPr="001A05F4" w:rsidRDefault="00C66BE6" w:rsidP="00C66BE6">
      <w:pPr>
        <w:ind w:left="720" w:hanging="720"/>
        <w:rPr>
          <w:b/>
          <w:i/>
        </w:rPr>
      </w:pPr>
    </w:p>
    <w:p w:rsidR="00C66BE6" w:rsidRPr="001A05F4" w:rsidRDefault="001A05F4" w:rsidP="00F9436F">
      <w:pPr>
        <w:pStyle w:val="ListParagraph"/>
        <w:widowControl/>
        <w:numPr>
          <w:ilvl w:val="1"/>
          <w:numId w:val="2"/>
        </w:numPr>
      </w:pPr>
      <w:r>
        <w:t>DUSC did not consider t</w:t>
      </w:r>
      <w:r w:rsidRPr="001A05F4">
        <w:t xml:space="preserve">his </w:t>
      </w:r>
      <w:r w:rsidR="00C66BE6" w:rsidRPr="001A05F4">
        <w:t>resubmission. This resubmission used an epidemiological approach based on the same international estimates of prevalence of SMA in patients aged over 18 years that were used for this patient population in the November 2020 and November 2017 PBAC submission for nusinersen.</w:t>
      </w:r>
    </w:p>
    <w:p w:rsidR="00C66BE6" w:rsidRPr="001A05F4" w:rsidRDefault="00C66BE6" w:rsidP="00F9436F">
      <w:pPr>
        <w:pStyle w:val="ListParagraph"/>
        <w:widowControl/>
        <w:numPr>
          <w:ilvl w:val="1"/>
          <w:numId w:val="2"/>
        </w:numPr>
      </w:pPr>
      <w:r w:rsidRPr="001A05F4">
        <w:t xml:space="preserve">The estimated financial impact of listing nusinersen on the PBS for the treatment of adult SMA patients with symptom onset before 19 years of age is summarised in </w:t>
      </w:r>
      <w:r w:rsidR="00BC2D8D" w:rsidRPr="001A05F4">
        <w:t>Table 19</w:t>
      </w:r>
      <w:r w:rsidR="001A05F4">
        <w:t xml:space="preserve">. </w:t>
      </w:r>
    </w:p>
    <w:p w:rsidR="00C66BE6" w:rsidRPr="001A05F4" w:rsidRDefault="00357604" w:rsidP="00B259C9">
      <w:pPr>
        <w:keepNext/>
        <w:keepLines/>
        <w:rPr>
          <w:rStyle w:val="CommentReference"/>
        </w:rPr>
      </w:pPr>
      <w:bookmarkStart w:id="49" w:name="_Ref71593459"/>
      <w:r w:rsidRPr="001A05F4">
        <w:rPr>
          <w:rStyle w:val="CommentReference"/>
        </w:rPr>
        <w:t xml:space="preserve">Table </w:t>
      </w:r>
      <w:r w:rsidR="00BC2D8D" w:rsidRPr="001A05F4">
        <w:rPr>
          <w:rStyle w:val="CommentReference"/>
        </w:rPr>
        <w:t>19</w:t>
      </w:r>
      <w:bookmarkEnd w:id="49"/>
      <w:r w:rsidR="00C66BE6" w:rsidRPr="001A05F4">
        <w:rPr>
          <w:rStyle w:val="CommentReference"/>
        </w:rPr>
        <w:t>: Estimated use and financial implications</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1276"/>
        <w:gridCol w:w="1182"/>
        <w:gridCol w:w="1134"/>
        <w:gridCol w:w="1133"/>
        <w:gridCol w:w="1133"/>
        <w:gridCol w:w="1136"/>
      </w:tblGrid>
      <w:tr w:rsidR="00C66BE6" w:rsidRPr="001A05F4" w:rsidTr="006F31D8">
        <w:trPr>
          <w:trHeight w:val="229"/>
          <w:tblHeader/>
        </w:trPr>
        <w:tc>
          <w:tcPr>
            <w:tcW w:w="2263" w:type="dxa"/>
            <w:tcBorders>
              <w:bottom w:val="single" w:sz="4" w:space="0" w:color="auto"/>
            </w:tcBorders>
            <w:shd w:val="clear" w:color="auto" w:fill="auto"/>
            <w:vAlign w:val="center"/>
          </w:tcPr>
          <w:p w:rsidR="00C66BE6" w:rsidRPr="001A05F4" w:rsidRDefault="00C66BE6" w:rsidP="00B259C9">
            <w:pPr>
              <w:pStyle w:val="In-tableHeading"/>
              <w:keepLines/>
              <w:rPr>
                <w:szCs w:val="20"/>
                <w:lang w:val="en-AU"/>
              </w:rPr>
            </w:pPr>
          </w:p>
        </w:tc>
        <w:tc>
          <w:tcPr>
            <w:tcW w:w="1276" w:type="dxa"/>
            <w:tcBorders>
              <w:bottom w:val="single" w:sz="4" w:space="0" w:color="auto"/>
            </w:tcBorders>
            <w:shd w:val="clear" w:color="auto" w:fill="auto"/>
            <w:vAlign w:val="center"/>
          </w:tcPr>
          <w:p w:rsidR="00C66BE6" w:rsidRPr="001A05F4" w:rsidRDefault="00C66BE6" w:rsidP="00B259C9">
            <w:pPr>
              <w:pStyle w:val="In-tableHeading"/>
              <w:keepLines/>
              <w:jc w:val="center"/>
              <w:rPr>
                <w:szCs w:val="20"/>
                <w:lang w:val="en-AU"/>
              </w:rPr>
            </w:pPr>
            <w:r w:rsidRPr="001A05F4">
              <w:rPr>
                <w:szCs w:val="20"/>
                <w:lang w:val="en-AU"/>
              </w:rPr>
              <w:t>Year 1</w:t>
            </w:r>
          </w:p>
        </w:tc>
        <w:tc>
          <w:tcPr>
            <w:tcW w:w="1182" w:type="dxa"/>
            <w:tcBorders>
              <w:bottom w:val="single" w:sz="4" w:space="0" w:color="auto"/>
            </w:tcBorders>
            <w:shd w:val="clear" w:color="auto" w:fill="auto"/>
            <w:vAlign w:val="center"/>
          </w:tcPr>
          <w:p w:rsidR="00C66BE6" w:rsidRPr="001A05F4" w:rsidRDefault="00C66BE6" w:rsidP="00B259C9">
            <w:pPr>
              <w:pStyle w:val="In-tableHeading"/>
              <w:keepLines/>
              <w:jc w:val="center"/>
              <w:rPr>
                <w:szCs w:val="20"/>
                <w:lang w:val="en-AU"/>
              </w:rPr>
            </w:pPr>
            <w:r w:rsidRPr="001A05F4">
              <w:rPr>
                <w:szCs w:val="20"/>
                <w:lang w:val="en-AU"/>
              </w:rPr>
              <w:t>Year 2</w:t>
            </w:r>
          </w:p>
        </w:tc>
        <w:tc>
          <w:tcPr>
            <w:tcW w:w="1134" w:type="dxa"/>
            <w:tcBorders>
              <w:bottom w:val="single" w:sz="4" w:space="0" w:color="auto"/>
            </w:tcBorders>
            <w:shd w:val="clear" w:color="auto" w:fill="auto"/>
            <w:vAlign w:val="center"/>
          </w:tcPr>
          <w:p w:rsidR="00C66BE6" w:rsidRPr="001A05F4" w:rsidRDefault="00C66BE6" w:rsidP="00B259C9">
            <w:pPr>
              <w:pStyle w:val="In-tableHeading"/>
              <w:keepLines/>
              <w:jc w:val="center"/>
              <w:rPr>
                <w:szCs w:val="20"/>
                <w:lang w:val="en-AU"/>
              </w:rPr>
            </w:pPr>
            <w:r w:rsidRPr="001A05F4">
              <w:rPr>
                <w:szCs w:val="20"/>
                <w:lang w:val="en-AU"/>
              </w:rPr>
              <w:t>Year 3</w:t>
            </w:r>
          </w:p>
        </w:tc>
        <w:tc>
          <w:tcPr>
            <w:tcW w:w="1133" w:type="dxa"/>
            <w:tcBorders>
              <w:bottom w:val="single" w:sz="4" w:space="0" w:color="auto"/>
            </w:tcBorders>
            <w:shd w:val="clear" w:color="auto" w:fill="auto"/>
            <w:vAlign w:val="center"/>
          </w:tcPr>
          <w:p w:rsidR="00C66BE6" w:rsidRPr="001A05F4" w:rsidRDefault="00C66BE6" w:rsidP="00B259C9">
            <w:pPr>
              <w:pStyle w:val="In-tableHeading"/>
              <w:keepLines/>
              <w:jc w:val="center"/>
              <w:rPr>
                <w:szCs w:val="20"/>
                <w:lang w:val="en-AU"/>
              </w:rPr>
            </w:pPr>
            <w:r w:rsidRPr="001A05F4">
              <w:rPr>
                <w:szCs w:val="20"/>
                <w:lang w:val="en-AU"/>
              </w:rPr>
              <w:t>Year 4</w:t>
            </w:r>
          </w:p>
        </w:tc>
        <w:tc>
          <w:tcPr>
            <w:tcW w:w="1133" w:type="dxa"/>
            <w:tcBorders>
              <w:bottom w:val="single" w:sz="4" w:space="0" w:color="auto"/>
            </w:tcBorders>
            <w:shd w:val="clear" w:color="auto" w:fill="auto"/>
            <w:vAlign w:val="center"/>
          </w:tcPr>
          <w:p w:rsidR="00C66BE6" w:rsidRPr="001A05F4" w:rsidRDefault="00C66BE6" w:rsidP="00B259C9">
            <w:pPr>
              <w:pStyle w:val="In-tableHeading"/>
              <w:keepLines/>
              <w:jc w:val="center"/>
              <w:rPr>
                <w:szCs w:val="20"/>
                <w:lang w:val="en-AU"/>
              </w:rPr>
            </w:pPr>
            <w:r w:rsidRPr="001A05F4">
              <w:rPr>
                <w:szCs w:val="20"/>
                <w:lang w:val="en-AU"/>
              </w:rPr>
              <w:t>Year 5</w:t>
            </w:r>
          </w:p>
        </w:tc>
        <w:tc>
          <w:tcPr>
            <w:tcW w:w="1136" w:type="dxa"/>
            <w:tcBorders>
              <w:bottom w:val="single" w:sz="4" w:space="0" w:color="auto"/>
            </w:tcBorders>
            <w:shd w:val="clear" w:color="auto" w:fill="auto"/>
            <w:vAlign w:val="center"/>
          </w:tcPr>
          <w:p w:rsidR="00C66BE6" w:rsidRPr="001A05F4" w:rsidRDefault="00C66BE6" w:rsidP="00B259C9">
            <w:pPr>
              <w:pStyle w:val="In-tableHeading"/>
              <w:keepLines/>
              <w:jc w:val="center"/>
              <w:rPr>
                <w:szCs w:val="20"/>
                <w:lang w:val="en-AU"/>
              </w:rPr>
            </w:pPr>
            <w:r w:rsidRPr="001A05F4">
              <w:rPr>
                <w:szCs w:val="20"/>
                <w:lang w:val="en-AU"/>
              </w:rPr>
              <w:t>Year 6</w:t>
            </w:r>
          </w:p>
        </w:tc>
      </w:tr>
      <w:tr w:rsidR="00C66BE6" w:rsidRPr="001A05F4" w:rsidTr="006F31D8">
        <w:trPr>
          <w:trHeight w:val="229"/>
        </w:trPr>
        <w:tc>
          <w:tcPr>
            <w:tcW w:w="9257" w:type="dxa"/>
            <w:gridSpan w:val="7"/>
            <w:shd w:val="clear" w:color="auto" w:fill="auto"/>
            <w:vAlign w:val="center"/>
          </w:tcPr>
          <w:p w:rsidR="00C66BE6" w:rsidRPr="001A05F4" w:rsidRDefault="00C66BE6" w:rsidP="00B259C9">
            <w:pPr>
              <w:pStyle w:val="Tabletext"/>
              <w:keepNext/>
              <w:keepLines/>
              <w:rPr>
                <w:b/>
                <w:szCs w:val="20"/>
              </w:rPr>
            </w:pPr>
            <w:r w:rsidRPr="001A05F4">
              <w:rPr>
                <w:b/>
                <w:szCs w:val="20"/>
              </w:rPr>
              <w:t>Estimation of use and financial impact of the proposed medicine (PBS and RPBS)</w:t>
            </w:r>
          </w:p>
        </w:tc>
      </w:tr>
      <w:tr w:rsidR="00C66BE6" w:rsidRPr="001A05F4" w:rsidTr="006F31D8">
        <w:trPr>
          <w:trHeight w:val="229"/>
        </w:trPr>
        <w:tc>
          <w:tcPr>
            <w:tcW w:w="9257" w:type="dxa"/>
            <w:gridSpan w:val="7"/>
            <w:shd w:val="clear" w:color="auto" w:fill="auto"/>
            <w:vAlign w:val="center"/>
          </w:tcPr>
          <w:p w:rsidR="00C66BE6" w:rsidRPr="001A05F4" w:rsidRDefault="00C66BE6" w:rsidP="00927040">
            <w:pPr>
              <w:pStyle w:val="Tabletext"/>
              <w:keepNext/>
              <w:keepLines/>
              <w:rPr>
                <w:szCs w:val="20"/>
              </w:rPr>
            </w:pPr>
            <w:r w:rsidRPr="001A05F4">
              <w:rPr>
                <w:szCs w:val="20"/>
              </w:rPr>
              <w:t>Prevalent patient population</w:t>
            </w:r>
          </w:p>
        </w:tc>
      </w:tr>
      <w:tr w:rsidR="00C66BE6" w:rsidRPr="001A05F4" w:rsidTr="006F31D8">
        <w:trPr>
          <w:trHeight w:val="229"/>
        </w:trPr>
        <w:tc>
          <w:tcPr>
            <w:tcW w:w="2263" w:type="dxa"/>
            <w:shd w:val="clear" w:color="auto" w:fill="auto"/>
            <w:vAlign w:val="center"/>
          </w:tcPr>
          <w:p w:rsidR="00C66BE6" w:rsidRPr="001A05F4" w:rsidRDefault="00C66BE6" w:rsidP="00927040">
            <w:pPr>
              <w:pStyle w:val="Tabletext"/>
              <w:keepNext/>
              <w:keepLines/>
              <w:ind w:left="104"/>
              <w:rPr>
                <w:szCs w:val="20"/>
              </w:rPr>
            </w:pPr>
            <w:r w:rsidRPr="001A05F4">
              <w:rPr>
                <w:szCs w:val="20"/>
              </w:rPr>
              <w:t>Type I</w:t>
            </w:r>
          </w:p>
        </w:tc>
        <w:tc>
          <w:tcPr>
            <w:tcW w:w="1276" w:type="dxa"/>
            <w:vAlign w:val="center"/>
          </w:tcPr>
          <w:p w:rsidR="00C66BE6" w:rsidRPr="006B0D96" w:rsidRDefault="006B0D96" w:rsidP="00927040">
            <w:pPr>
              <w:pStyle w:val="Tabletext"/>
              <w:keepNext/>
              <w:keepLines/>
              <w:jc w:val="center"/>
              <w:rPr>
                <w:szCs w:val="20"/>
                <w:vertAlign w:val="superscript"/>
              </w:rPr>
            </w:pPr>
            <w:r>
              <w:rPr>
                <w:noProof/>
                <w:color w:val="000000"/>
                <w:szCs w:val="20"/>
                <w:highlight w:val="black"/>
              </w:rPr>
              <w:t>'''</w:t>
            </w:r>
            <w:r w:rsidR="00F12289" w:rsidRPr="00F12289">
              <w:rPr>
                <w:szCs w:val="20"/>
                <w:vertAlign w:val="superscript"/>
              </w:rPr>
              <w:t>1</w:t>
            </w:r>
          </w:p>
        </w:tc>
        <w:tc>
          <w:tcPr>
            <w:tcW w:w="5718" w:type="dxa"/>
            <w:gridSpan w:val="5"/>
            <w:vMerge w:val="restart"/>
            <w:vAlign w:val="center"/>
          </w:tcPr>
          <w:p w:rsidR="00C66BE6" w:rsidRPr="001A05F4" w:rsidRDefault="00C66BE6" w:rsidP="00927040">
            <w:pPr>
              <w:pStyle w:val="Tabletext"/>
              <w:keepNext/>
              <w:keepLines/>
              <w:jc w:val="center"/>
              <w:rPr>
                <w:szCs w:val="20"/>
              </w:rPr>
            </w:pPr>
          </w:p>
        </w:tc>
      </w:tr>
      <w:tr w:rsidR="00C66BE6" w:rsidRPr="001A05F4" w:rsidTr="006F31D8">
        <w:trPr>
          <w:trHeight w:val="229"/>
        </w:trPr>
        <w:tc>
          <w:tcPr>
            <w:tcW w:w="2263" w:type="dxa"/>
            <w:shd w:val="clear" w:color="auto" w:fill="auto"/>
            <w:vAlign w:val="center"/>
          </w:tcPr>
          <w:p w:rsidR="00C66BE6" w:rsidRPr="001A05F4" w:rsidRDefault="00C66BE6" w:rsidP="00927040">
            <w:pPr>
              <w:pStyle w:val="Tabletext"/>
              <w:keepNext/>
              <w:keepLines/>
              <w:ind w:left="104"/>
              <w:rPr>
                <w:szCs w:val="20"/>
              </w:rPr>
            </w:pPr>
            <w:r w:rsidRPr="001A05F4">
              <w:rPr>
                <w:szCs w:val="20"/>
              </w:rPr>
              <w:t>Type II</w:t>
            </w:r>
          </w:p>
        </w:tc>
        <w:tc>
          <w:tcPr>
            <w:tcW w:w="1276" w:type="dxa"/>
            <w:vAlign w:val="center"/>
          </w:tcPr>
          <w:p w:rsidR="00C66BE6" w:rsidRPr="006B0D96" w:rsidRDefault="006B0D96" w:rsidP="00927040">
            <w:pPr>
              <w:pStyle w:val="Tabletext"/>
              <w:keepNext/>
              <w:keepLines/>
              <w:jc w:val="center"/>
              <w:rPr>
                <w:szCs w:val="20"/>
              </w:rPr>
            </w:pPr>
            <w:r>
              <w:rPr>
                <w:noProof/>
                <w:color w:val="000000"/>
                <w:szCs w:val="20"/>
                <w:highlight w:val="black"/>
              </w:rPr>
              <w:t>'''''''</w:t>
            </w:r>
            <w:r w:rsidR="00F12289" w:rsidRPr="00F12289">
              <w:rPr>
                <w:szCs w:val="20"/>
                <w:vertAlign w:val="superscript"/>
              </w:rPr>
              <w:t>1</w:t>
            </w:r>
          </w:p>
        </w:tc>
        <w:tc>
          <w:tcPr>
            <w:tcW w:w="5718" w:type="dxa"/>
            <w:gridSpan w:val="5"/>
            <w:vMerge/>
            <w:vAlign w:val="center"/>
          </w:tcPr>
          <w:p w:rsidR="00C66BE6" w:rsidRPr="001A05F4" w:rsidRDefault="00C66BE6" w:rsidP="00927040">
            <w:pPr>
              <w:pStyle w:val="Tabletext"/>
              <w:keepNext/>
              <w:keepLines/>
              <w:jc w:val="center"/>
              <w:rPr>
                <w:szCs w:val="20"/>
              </w:rPr>
            </w:pPr>
          </w:p>
        </w:tc>
      </w:tr>
      <w:tr w:rsidR="00C66BE6" w:rsidRPr="001A05F4" w:rsidTr="006F31D8">
        <w:trPr>
          <w:trHeight w:val="229"/>
        </w:trPr>
        <w:tc>
          <w:tcPr>
            <w:tcW w:w="2263" w:type="dxa"/>
            <w:shd w:val="clear" w:color="auto" w:fill="auto"/>
            <w:vAlign w:val="center"/>
          </w:tcPr>
          <w:p w:rsidR="00C66BE6" w:rsidRPr="001A05F4" w:rsidRDefault="00C66BE6" w:rsidP="00927040">
            <w:pPr>
              <w:pStyle w:val="Tabletext"/>
              <w:keepNext/>
              <w:keepLines/>
              <w:ind w:left="104"/>
              <w:rPr>
                <w:szCs w:val="20"/>
              </w:rPr>
            </w:pPr>
            <w:r w:rsidRPr="001A05F4">
              <w:rPr>
                <w:szCs w:val="20"/>
              </w:rPr>
              <w:t>Type III</w:t>
            </w:r>
          </w:p>
        </w:tc>
        <w:tc>
          <w:tcPr>
            <w:tcW w:w="1276" w:type="dxa"/>
            <w:vAlign w:val="center"/>
          </w:tcPr>
          <w:p w:rsidR="00C66BE6" w:rsidRPr="006B0D96" w:rsidRDefault="006B0D96" w:rsidP="00927040">
            <w:pPr>
              <w:pStyle w:val="Tabletext"/>
              <w:keepNext/>
              <w:keepLines/>
              <w:jc w:val="center"/>
              <w:rPr>
                <w:szCs w:val="20"/>
              </w:rPr>
            </w:pPr>
            <w:r>
              <w:rPr>
                <w:noProof/>
                <w:color w:val="000000"/>
                <w:szCs w:val="20"/>
                <w:highlight w:val="black"/>
              </w:rPr>
              <w:t>''''''''''</w:t>
            </w:r>
            <w:r w:rsidR="00F12289" w:rsidRPr="00F12289">
              <w:rPr>
                <w:szCs w:val="20"/>
                <w:vertAlign w:val="superscript"/>
              </w:rPr>
              <w:t>1</w:t>
            </w:r>
          </w:p>
        </w:tc>
        <w:tc>
          <w:tcPr>
            <w:tcW w:w="5718" w:type="dxa"/>
            <w:gridSpan w:val="5"/>
            <w:vMerge/>
            <w:vAlign w:val="center"/>
          </w:tcPr>
          <w:p w:rsidR="00C66BE6" w:rsidRPr="001A05F4" w:rsidRDefault="00C66BE6" w:rsidP="00927040">
            <w:pPr>
              <w:pStyle w:val="Tabletext"/>
              <w:keepNext/>
              <w:keepLines/>
              <w:jc w:val="center"/>
              <w:rPr>
                <w:szCs w:val="20"/>
              </w:rPr>
            </w:pPr>
          </w:p>
        </w:tc>
      </w:tr>
      <w:tr w:rsidR="00C66BE6" w:rsidRPr="001A05F4" w:rsidTr="006F31D8">
        <w:trPr>
          <w:trHeight w:val="229"/>
        </w:trPr>
        <w:tc>
          <w:tcPr>
            <w:tcW w:w="2263" w:type="dxa"/>
            <w:shd w:val="clear" w:color="auto" w:fill="auto"/>
            <w:vAlign w:val="center"/>
          </w:tcPr>
          <w:p w:rsidR="00C66BE6" w:rsidRPr="001A05F4" w:rsidRDefault="00C66BE6" w:rsidP="00927040">
            <w:pPr>
              <w:pStyle w:val="Tabletext"/>
              <w:keepNext/>
              <w:keepLines/>
              <w:rPr>
                <w:szCs w:val="20"/>
              </w:rPr>
            </w:pPr>
            <w:r w:rsidRPr="001A05F4">
              <w:rPr>
                <w:szCs w:val="20"/>
              </w:rPr>
              <w:t>Total</w:t>
            </w:r>
          </w:p>
        </w:tc>
        <w:tc>
          <w:tcPr>
            <w:tcW w:w="1276" w:type="dxa"/>
            <w:vAlign w:val="center"/>
          </w:tcPr>
          <w:p w:rsidR="00C66BE6" w:rsidRPr="006B0D96" w:rsidRDefault="006B0D96" w:rsidP="00927040">
            <w:pPr>
              <w:pStyle w:val="Tabletext"/>
              <w:keepNext/>
              <w:keepLines/>
              <w:jc w:val="center"/>
              <w:rPr>
                <w:szCs w:val="20"/>
              </w:rPr>
            </w:pPr>
            <w:r>
              <w:rPr>
                <w:noProof/>
                <w:color w:val="000000"/>
                <w:szCs w:val="20"/>
                <w:highlight w:val="black"/>
              </w:rPr>
              <w:t>'''''''''</w:t>
            </w:r>
            <w:r w:rsidR="00F12289" w:rsidRPr="00F12289">
              <w:rPr>
                <w:szCs w:val="20"/>
                <w:vertAlign w:val="superscript"/>
              </w:rPr>
              <w:t>1</w:t>
            </w:r>
          </w:p>
        </w:tc>
        <w:tc>
          <w:tcPr>
            <w:tcW w:w="5718" w:type="dxa"/>
            <w:gridSpan w:val="5"/>
            <w:vMerge/>
            <w:vAlign w:val="center"/>
          </w:tcPr>
          <w:p w:rsidR="00C66BE6" w:rsidRPr="001A05F4" w:rsidRDefault="00C66BE6" w:rsidP="00927040">
            <w:pPr>
              <w:pStyle w:val="Tabletext"/>
              <w:keepNext/>
              <w:keepLines/>
              <w:jc w:val="center"/>
              <w:rPr>
                <w:szCs w:val="20"/>
              </w:rPr>
            </w:pPr>
          </w:p>
        </w:tc>
      </w:tr>
      <w:tr w:rsidR="00C66BE6" w:rsidRPr="001A05F4" w:rsidTr="006F31D8">
        <w:trPr>
          <w:trHeight w:val="229"/>
        </w:trPr>
        <w:tc>
          <w:tcPr>
            <w:tcW w:w="9257" w:type="dxa"/>
            <w:gridSpan w:val="7"/>
            <w:shd w:val="clear" w:color="auto" w:fill="auto"/>
            <w:vAlign w:val="center"/>
          </w:tcPr>
          <w:p w:rsidR="00C66BE6" w:rsidRPr="001A05F4" w:rsidRDefault="00C66BE6" w:rsidP="00927040">
            <w:pPr>
              <w:pStyle w:val="Tabletext"/>
              <w:keepNext/>
              <w:keepLines/>
              <w:rPr>
                <w:szCs w:val="20"/>
              </w:rPr>
            </w:pPr>
            <w:r w:rsidRPr="001A05F4">
              <w:rPr>
                <w:szCs w:val="20"/>
              </w:rPr>
              <w:t xml:space="preserve">Initiators per year </w:t>
            </w:r>
            <w:r w:rsidR="00F2027B" w:rsidRPr="001A05F4">
              <w:rPr>
                <w:szCs w:val="20"/>
                <w:vertAlign w:val="superscript"/>
              </w:rPr>
              <w:t>a</w:t>
            </w:r>
          </w:p>
        </w:tc>
      </w:tr>
      <w:tr w:rsidR="00F2027B" w:rsidRPr="001A05F4" w:rsidTr="006F31D8">
        <w:trPr>
          <w:trHeight w:val="229"/>
        </w:trPr>
        <w:tc>
          <w:tcPr>
            <w:tcW w:w="2263" w:type="dxa"/>
            <w:shd w:val="clear" w:color="auto" w:fill="auto"/>
            <w:vAlign w:val="center"/>
          </w:tcPr>
          <w:p w:rsidR="00F2027B" w:rsidRPr="001A05F4" w:rsidRDefault="00F2027B" w:rsidP="00F2027B">
            <w:pPr>
              <w:pStyle w:val="Tabletext"/>
              <w:keepNext/>
              <w:keepLines/>
              <w:ind w:left="104"/>
              <w:rPr>
                <w:szCs w:val="20"/>
              </w:rPr>
            </w:pPr>
            <w:r w:rsidRPr="001A05F4">
              <w:rPr>
                <w:szCs w:val="20"/>
              </w:rPr>
              <w:t>Type II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82"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6"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r>
      <w:tr w:rsidR="00F2027B" w:rsidRPr="001A05F4" w:rsidTr="006F31D8">
        <w:trPr>
          <w:trHeight w:val="219"/>
        </w:trPr>
        <w:tc>
          <w:tcPr>
            <w:tcW w:w="2263" w:type="dxa"/>
            <w:shd w:val="clear" w:color="auto" w:fill="auto"/>
            <w:vAlign w:val="center"/>
          </w:tcPr>
          <w:p w:rsidR="00F2027B" w:rsidRPr="001A05F4" w:rsidRDefault="00F2027B" w:rsidP="00F2027B">
            <w:pPr>
              <w:pStyle w:val="Tabletext"/>
              <w:keepNext/>
              <w:keepLines/>
              <w:ind w:left="104"/>
              <w:rPr>
                <w:szCs w:val="20"/>
              </w:rPr>
            </w:pPr>
            <w:r w:rsidRPr="001A05F4">
              <w:rPr>
                <w:szCs w:val="20"/>
              </w:rPr>
              <w:t>Type III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82"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6"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r>
      <w:tr w:rsidR="00F2027B" w:rsidRPr="001A05F4" w:rsidTr="006F31D8">
        <w:trPr>
          <w:trHeight w:val="229"/>
        </w:trPr>
        <w:tc>
          <w:tcPr>
            <w:tcW w:w="2263" w:type="dxa"/>
            <w:shd w:val="clear" w:color="auto" w:fill="auto"/>
            <w:vAlign w:val="center"/>
          </w:tcPr>
          <w:p w:rsidR="00F2027B" w:rsidRPr="001A05F4" w:rsidRDefault="00F2027B" w:rsidP="00F2027B">
            <w:pPr>
              <w:pStyle w:val="Tabletext"/>
              <w:keepNext/>
              <w:keepLines/>
              <w:rPr>
                <w:szCs w:val="20"/>
              </w:rPr>
            </w:pPr>
            <w:r w:rsidRPr="001A05F4">
              <w:rPr>
                <w:szCs w:val="20"/>
              </w:rPr>
              <w:t>Total</w:t>
            </w:r>
          </w:p>
        </w:tc>
        <w:tc>
          <w:tcPr>
            <w:tcW w:w="1276"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r>
      <w:tr w:rsidR="00F2027B" w:rsidRPr="001A05F4" w:rsidTr="006F31D8">
        <w:trPr>
          <w:trHeight w:val="229"/>
        </w:trPr>
        <w:tc>
          <w:tcPr>
            <w:tcW w:w="9257" w:type="dxa"/>
            <w:gridSpan w:val="7"/>
            <w:shd w:val="clear" w:color="auto" w:fill="auto"/>
            <w:vAlign w:val="center"/>
          </w:tcPr>
          <w:p w:rsidR="00F2027B" w:rsidRPr="001A05F4" w:rsidRDefault="00F2027B" w:rsidP="00F2027B">
            <w:pPr>
              <w:pStyle w:val="Tabletext"/>
            </w:pPr>
            <w:r w:rsidRPr="001A05F4">
              <w:t xml:space="preserve">Total patients </w:t>
            </w:r>
            <w:r w:rsidRPr="001A05F4">
              <w:rPr>
                <w:szCs w:val="20"/>
                <w:vertAlign w:val="superscript"/>
              </w:rPr>
              <w:t>a</w:t>
            </w:r>
          </w:p>
        </w:tc>
      </w:tr>
      <w:tr w:rsidR="00F2027B" w:rsidRPr="001A05F4" w:rsidTr="006F31D8">
        <w:trPr>
          <w:trHeight w:val="229"/>
        </w:trPr>
        <w:tc>
          <w:tcPr>
            <w:tcW w:w="2263" w:type="dxa"/>
            <w:shd w:val="clear" w:color="auto" w:fill="auto"/>
            <w:vAlign w:val="center"/>
          </w:tcPr>
          <w:p w:rsidR="00F2027B" w:rsidRPr="001A05F4" w:rsidRDefault="00F2027B" w:rsidP="00F2027B">
            <w:pPr>
              <w:pStyle w:val="Tabletext"/>
              <w:keepNext/>
              <w:keepLines/>
              <w:ind w:left="104"/>
              <w:rPr>
                <w:szCs w:val="20"/>
              </w:rPr>
            </w:pPr>
            <w:r w:rsidRPr="001A05F4">
              <w:rPr>
                <w:szCs w:val="20"/>
              </w:rPr>
              <w:t>Type II</w:t>
            </w:r>
          </w:p>
        </w:tc>
        <w:tc>
          <w:tcPr>
            <w:tcW w:w="1276"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r>
      <w:tr w:rsidR="00F2027B" w:rsidRPr="001A05F4" w:rsidTr="006F31D8">
        <w:trPr>
          <w:trHeight w:val="229"/>
        </w:trPr>
        <w:tc>
          <w:tcPr>
            <w:tcW w:w="2263" w:type="dxa"/>
            <w:shd w:val="clear" w:color="auto" w:fill="auto"/>
            <w:vAlign w:val="center"/>
          </w:tcPr>
          <w:p w:rsidR="00F2027B" w:rsidRPr="001A05F4" w:rsidRDefault="00F2027B" w:rsidP="00F2027B">
            <w:pPr>
              <w:pStyle w:val="Tabletext"/>
              <w:keepNext/>
              <w:keepLines/>
              <w:ind w:left="104"/>
              <w:rPr>
                <w:szCs w:val="20"/>
              </w:rPr>
            </w:pPr>
            <w:r w:rsidRPr="001A05F4">
              <w:rPr>
                <w:szCs w:val="20"/>
              </w:rPr>
              <w:t>Type III</w:t>
            </w:r>
          </w:p>
        </w:tc>
        <w:tc>
          <w:tcPr>
            <w:tcW w:w="1276"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r>
      <w:tr w:rsidR="00F2027B" w:rsidRPr="001A05F4" w:rsidTr="006F31D8">
        <w:trPr>
          <w:trHeight w:val="229"/>
        </w:trPr>
        <w:tc>
          <w:tcPr>
            <w:tcW w:w="2263" w:type="dxa"/>
            <w:shd w:val="clear" w:color="auto" w:fill="auto"/>
            <w:vAlign w:val="center"/>
          </w:tcPr>
          <w:p w:rsidR="00F2027B" w:rsidRPr="001A05F4" w:rsidRDefault="00F2027B" w:rsidP="00F2027B">
            <w:pPr>
              <w:pStyle w:val="Tabletext"/>
              <w:keepNext/>
              <w:keepLines/>
              <w:rPr>
                <w:szCs w:val="20"/>
              </w:rPr>
            </w:pPr>
            <w:r w:rsidRPr="001A05F4">
              <w:rPr>
                <w:szCs w:val="20"/>
              </w:rPr>
              <w:t>Total</w:t>
            </w:r>
          </w:p>
        </w:tc>
        <w:tc>
          <w:tcPr>
            <w:tcW w:w="1276"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r>
      <w:tr w:rsidR="00F2027B" w:rsidRPr="001A05F4" w:rsidTr="006F31D8">
        <w:trPr>
          <w:trHeight w:val="229"/>
        </w:trPr>
        <w:tc>
          <w:tcPr>
            <w:tcW w:w="9257" w:type="dxa"/>
            <w:gridSpan w:val="7"/>
            <w:shd w:val="clear" w:color="auto" w:fill="auto"/>
            <w:vAlign w:val="center"/>
          </w:tcPr>
          <w:p w:rsidR="00F2027B" w:rsidRPr="001A05F4" w:rsidRDefault="00F2027B" w:rsidP="00F2027B">
            <w:pPr>
              <w:pStyle w:val="Tabletext"/>
            </w:pPr>
            <w:r w:rsidRPr="001A05F4">
              <w:t xml:space="preserve">Vials/administrations of nusinersen (excluding one free initiation dose received) </w:t>
            </w:r>
            <w:r w:rsidRPr="001A05F4">
              <w:rPr>
                <w:szCs w:val="20"/>
                <w:vertAlign w:val="superscript"/>
              </w:rPr>
              <w:t>a</w:t>
            </w:r>
          </w:p>
        </w:tc>
      </w:tr>
      <w:tr w:rsidR="00F2027B" w:rsidRPr="001A05F4" w:rsidTr="006F31D8">
        <w:trPr>
          <w:trHeight w:val="229"/>
        </w:trPr>
        <w:tc>
          <w:tcPr>
            <w:tcW w:w="2263" w:type="dxa"/>
            <w:shd w:val="clear" w:color="auto" w:fill="auto"/>
            <w:vAlign w:val="center"/>
          </w:tcPr>
          <w:p w:rsidR="00F2027B" w:rsidRPr="001A05F4" w:rsidRDefault="00F2027B" w:rsidP="00F2027B">
            <w:pPr>
              <w:pStyle w:val="Tabletext"/>
              <w:keepNext/>
              <w:keepLines/>
              <w:ind w:left="104"/>
              <w:rPr>
                <w:szCs w:val="20"/>
              </w:rPr>
            </w:pPr>
            <w:r w:rsidRPr="001A05F4">
              <w:rPr>
                <w:szCs w:val="20"/>
              </w:rPr>
              <w:t>Type II</w:t>
            </w:r>
          </w:p>
        </w:tc>
        <w:tc>
          <w:tcPr>
            <w:tcW w:w="1276"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r>
      <w:tr w:rsidR="00F2027B" w:rsidRPr="001A05F4" w:rsidTr="006F31D8">
        <w:trPr>
          <w:trHeight w:val="229"/>
        </w:trPr>
        <w:tc>
          <w:tcPr>
            <w:tcW w:w="2263" w:type="dxa"/>
            <w:shd w:val="clear" w:color="auto" w:fill="auto"/>
            <w:vAlign w:val="center"/>
          </w:tcPr>
          <w:p w:rsidR="00F2027B" w:rsidRPr="001A05F4" w:rsidRDefault="00F2027B" w:rsidP="00F2027B">
            <w:pPr>
              <w:pStyle w:val="Tabletext"/>
              <w:keepNext/>
              <w:keepLines/>
              <w:ind w:left="104"/>
              <w:rPr>
                <w:szCs w:val="20"/>
              </w:rPr>
            </w:pPr>
            <w:r w:rsidRPr="001A05F4">
              <w:rPr>
                <w:szCs w:val="20"/>
              </w:rPr>
              <w:t>Type III</w:t>
            </w:r>
          </w:p>
        </w:tc>
        <w:tc>
          <w:tcPr>
            <w:tcW w:w="1276"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r>
      <w:tr w:rsidR="00F2027B" w:rsidRPr="001A05F4" w:rsidTr="006F31D8">
        <w:trPr>
          <w:trHeight w:val="229"/>
        </w:trPr>
        <w:tc>
          <w:tcPr>
            <w:tcW w:w="2263" w:type="dxa"/>
            <w:shd w:val="clear" w:color="auto" w:fill="auto"/>
            <w:vAlign w:val="center"/>
          </w:tcPr>
          <w:p w:rsidR="00F2027B" w:rsidRPr="001A05F4" w:rsidRDefault="00F2027B" w:rsidP="00F2027B">
            <w:pPr>
              <w:pStyle w:val="Tabletext"/>
              <w:keepNext/>
              <w:keepLines/>
              <w:rPr>
                <w:szCs w:val="20"/>
              </w:rPr>
            </w:pPr>
            <w:r w:rsidRPr="001A05F4">
              <w:rPr>
                <w:szCs w:val="20"/>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82"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6"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r>
      <w:tr w:rsidR="00F2027B" w:rsidRPr="001A05F4" w:rsidTr="006F31D8">
        <w:trPr>
          <w:trHeight w:val="229"/>
        </w:trPr>
        <w:tc>
          <w:tcPr>
            <w:tcW w:w="9257" w:type="dxa"/>
            <w:gridSpan w:val="7"/>
            <w:tcBorders>
              <w:right w:val="single" w:sz="4" w:space="0" w:color="auto"/>
            </w:tcBorders>
            <w:shd w:val="clear" w:color="auto" w:fill="auto"/>
            <w:vAlign w:val="center"/>
          </w:tcPr>
          <w:p w:rsidR="00F2027B" w:rsidRPr="001A05F4" w:rsidRDefault="00F2027B" w:rsidP="00F2027B">
            <w:pPr>
              <w:pStyle w:val="Tabletext"/>
            </w:pPr>
            <w:r w:rsidRPr="001A05F4">
              <w:t xml:space="preserve">Vials/administrations of nusinersen (all doses, including one free initiation dose received) </w:t>
            </w:r>
            <w:r w:rsidRPr="001A05F4">
              <w:rPr>
                <w:szCs w:val="20"/>
                <w:vertAlign w:val="superscript"/>
              </w:rPr>
              <w:t>a</w:t>
            </w:r>
          </w:p>
        </w:tc>
      </w:tr>
      <w:tr w:rsidR="00F2027B" w:rsidRPr="001A05F4" w:rsidTr="006F31D8">
        <w:trPr>
          <w:trHeight w:val="229"/>
        </w:trPr>
        <w:tc>
          <w:tcPr>
            <w:tcW w:w="2263" w:type="dxa"/>
            <w:shd w:val="clear" w:color="auto" w:fill="auto"/>
            <w:vAlign w:val="center"/>
          </w:tcPr>
          <w:p w:rsidR="00F2027B" w:rsidRPr="001A05F4" w:rsidRDefault="00F2027B" w:rsidP="00F2027B">
            <w:pPr>
              <w:pStyle w:val="Tabletext"/>
              <w:keepNext/>
              <w:keepLines/>
              <w:ind w:left="104"/>
              <w:rPr>
                <w:szCs w:val="20"/>
              </w:rPr>
            </w:pPr>
            <w:r w:rsidRPr="001A05F4">
              <w:rPr>
                <w:szCs w:val="20"/>
              </w:rPr>
              <w:t>Type II</w:t>
            </w:r>
          </w:p>
        </w:tc>
        <w:tc>
          <w:tcPr>
            <w:tcW w:w="1276"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r>
      <w:tr w:rsidR="00F2027B" w:rsidRPr="001A05F4" w:rsidTr="006F31D8">
        <w:trPr>
          <w:trHeight w:val="229"/>
        </w:trPr>
        <w:tc>
          <w:tcPr>
            <w:tcW w:w="2263" w:type="dxa"/>
            <w:shd w:val="clear" w:color="auto" w:fill="auto"/>
            <w:vAlign w:val="center"/>
          </w:tcPr>
          <w:p w:rsidR="00F2027B" w:rsidRPr="001A05F4" w:rsidRDefault="00F2027B" w:rsidP="00F2027B">
            <w:pPr>
              <w:pStyle w:val="Tabletext"/>
              <w:keepNext/>
              <w:keepLines/>
              <w:ind w:left="104"/>
              <w:rPr>
                <w:szCs w:val="20"/>
              </w:rPr>
            </w:pPr>
            <w:r w:rsidRPr="001A05F4">
              <w:rPr>
                <w:szCs w:val="20"/>
              </w:rPr>
              <w:t>Type III</w:t>
            </w:r>
          </w:p>
        </w:tc>
        <w:tc>
          <w:tcPr>
            <w:tcW w:w="1276"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r>
      <w:tr w:rsidR="00F2027B" w:rsidRPr="001A05F4" w:rsidTr="006F31D8">
        <w:trPr>
          <w:trHeight w:val="229"/>
        </w:trPr>
        <w:tc>
          <w:tcPr>
            <w:tcW w:w="2263" w:type="dxa"/>
            <w:shd w:val="clear" w:color="auto" w:fill="auto"/>
            <w:vAlign w:val="center"/>
          </w:tcPr>
          <w:p w:rsidR="00F2027B" w:rsidRPr="001A05F4" w:rsidRDefault="00F2027B" w:rsidP="00F2027B">
            <w:pPr>
              <w:pStyle w:val="Tabletext"/>
              <w:keepNext/>
              <w:keepLines/>
              <w:rPr>
                <w:szCs w:val="20"/>
              </w:rPr>
            </w:pPr>
            <w:r w:rsidRPr="001A05F4">
              <w:rPr>
                <w:szCs w:val="20"/>
              </w:rPr>
              <w:t>Total</w:t>
            </w:r>
          </w:p>
        </w:tc>
        <w:tc>
          <w:tcPr>
            <w:tcW w:w="1276" w:type="dxa"/>
            <w:tcBorders>
              <w:top w:val="single" w:sz="4" w:space="0" w:color="auto"/>
              <w:left w:val="nil"/>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2027B" w:rsidRPr="006B0D96" w:rsidRDefault="006B0D96" w:rsidP="00F2027B">
            <w:pPr>
              <w:pStyle w:val="Tabletext"/>
              <w:jc w:val="center"/>
            </w:pPr>
            <w:r>
              <w:rPr>
                <w:noProof/>
                <w:color w:val="000000"/>
                <w:highlight w:val="black"/>
              </w:rPr>
              <w:t>''''''''''</w:t>
            </w:r>
            <w:r w:rsidR="00F12289" w:rsidRPr="00F12289">
              <w:rPr>
                <w:szCs w:val="20"/>
                <w:vertAlign w:val="superscript"/>
              </w:rPr>
              <w:t>1</w:t>
            </w:r>
          </w:p>
        </w:tc>
      </w:tr>
      <w:tr w:rsidR="00C66BE6" w:rsidRPr="001A05F4" w:rsidTr="006F31D8">
        <w:trPr>
          <w:trHeight w:val="229"/>
        </w:trPr>
        <w:tc>
          <w:tcPr>
            <w:tcW w:w="9257" w:type="dxa"/>
            <w:gridSpan w:val="7"/>
            <w:tcBorders>
              <w:right w:val="single" w:sz="4" w:space="0" w:color="auto"/>
            </w:tcBorders>
            <w:shd w:val="clear" w:color="auto" w:fill="auto"/>
            <w:vAlign w:val="center"/>
          </w:tcPr>
          <w:p w:rsidR="00C66BE6" w:rsidRPr="001A05F4" w:rsidRDefault="00C66BE6" w:rsidP="00927040">
            <w:pPr>
              <w:pStyle w:val="Tabletext"/>
            </w:pPr>
            <w:r w:rsidRPr="001A05F4">
              <w:t>PBS/RPBS cost less co-pay (eff)</w:t>
            </w:r>
          </w:p>
        </w:tc>
      </w:tr>
      <w:tr w:rsidR="00C66BE6" w:rsidRPr="001A05F4" w:rsidTr="006F31D8">
        <w:trPr>
          <w:trHeight w:val="229"/>
        </w:trPr>
        <w:tc>
          <w:tcPr>
            <w:tcW w:w="2263" w:type="dxa"/>
            <w:shd w:val="clear" w:color="auto" w:fill="auto"/>
            <w:vAlign w:val="center"/>
          </w:tcPr>
          <w:p w:rsidR="00C66BE6" w:rsidRPr="001A05F4" w:rsidRDefault="00C66BE6" w:rsidP="00927040">
            <w:pPr>
              <w:pStyle w:val="Tabletext"/>
              <w:keepNext/>
              <w:keepLines/>
              <w:ind w:left="104"/>
              <w:rPr>
                <w:szCs w:val="20"/>
              </w:rPr>
            </w:pPr>
            <w:r w:rsidRPr="001A05F4">
              <w:rPr>
                <w:szCs w:val="20"/>
              </w:rPr>
              <w:t>Type II</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r>
      <w:tr w:rsidR="00C66BE6" w:rsidRPr="001A05F4" w:rsidTr="006F31D8">
        <w:trPr>
          <w:trHeight w:val="459"/>
        </w:trPr>
        <w:tc>
          <w:tcPr>
            <w:tcW w:w="2263" w:type="dxa"/>
            <w:shd w:val="clear" w:color="auto" w:fill="auto"/>
            <w:vAlign w:val="center"/>
          </w:tcPr>
          <w:p w:rsidR="00C66BE6" w:rsidRPr="001A05F4" w:rsidRDefault="00C66BE6" w:rsidP="00927040">
            <w:pPr>
              <w:pStyle w:val="Tabletext"/>
              <w:keepNext/>
              <w:keepLines/>
              <w:ind w:left="104"/>
              <w:rPr>
                <w:szCs w:val="20"/>
              </w:rPr>
            </w:pPr>
            <w:r w:rsidRPr="001A05F4">
              <w:rPr>
                <w:szCs w:val="20"/>
              </w:rPr>
              <w:t>Type III</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3</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3</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3</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3</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3</w:t>
            </w:r>
          </w:p>
        </w:tc>
      </w:tr>
      <w:tr w:rsidR="00C66BE6" w:rsidRPr="001A05F4" w:rsidTr="006F31D8">
        <w:trPr>
          <w:trHeight w:val="229"/>
        </w:trPr>
        <w:tc>
          <w:tcPr>
            <w:tcW w:w="2263" w:type="dxa"/>
            <w:tcBorders>
              <w:top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
              <w:keepNext/>
              <w:keepLines/>
              <w:rPr>
                <w:szCs w:val="20"/>
              </w:rPr>
            </w:pPr>
            <w:r w:rsidRPr="001A05F4">
              <w:rPr>
                <w:szCs w:val="20"/>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3</w:t>
            </w:r>
          </w:p>
        </w:tc>
        <w:tc>
          <w:tcPr>
            <w:tcW w:w="1182" w:type="dxa"/>
            <w:tcBorders>
              <w:top w:val="single" w:sz="4" w:space="0" w:color="auto"/>
              <w:left w:val="nil"/>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3</w:t>
            </w:r>
          </w:p>
        </w:tc>
        <w:tc>
          <w:tcPr>
            <w:tcW w:w="1133" w:type="dxa"/>
            <w:tcBorders>
              <w:top w:val="single" w:sz="4" w:space="0" w:color="auto"/>
              <w:left w:val="nil"/>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3</w:t>
            </w:r>
          </w:p>
        </w:tc>
        <w:tc>
          <w:tcPr>
            <w:tcW w:w="1133" w:type="dxa"/>
            <w:tcBorders>
              <w:top w:val="single" w:sz="4" w:space="0" w:color="auto"/>
              <w:left w:val="nil"/>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4</w:t>
            </w:r>
          </w:p>
        </w:tc>
        <w:tc>
          <w:tcPr>
            <w:tcW w:w="1136" w:type="dxa"/>
            <w:tcBorders>
              <w:top w:val="single" w:sz="4" w:space="0" w:color="auto"/>
              <w:left w:val="nil"/>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4</w:t>
            </w:r>
          </w:p>
        </w:tc>
      </w:tr>
      <w:tr w:rsidR="00C66BE6" w:rsidRPr="001A05F4" w:rsidTr="006F31D8">
        <w:trPr>
          <w:trHeight w:val="229"/>
        </w:trPr>
        <w:tc>
          <w:tcPr>
            <w:tcW w:w="9257" w:type="dxa"/>
            <w:gridSpan w:val="7"/>
            <w:tcBorders>
              <w:top w:val="single" w:sz="4" w:space="0" w:color="auto"/>
              <w:bottom w:val="single" w:sz="4" w:space="0" w:color="auto"/>
            </w:tcBorders>
            <w:shd w:val="clear" w:color="auto" w:fill="auto"/>
            <w:vAlign w:val="center"/>
          </w:tcPr>
          <w:p w:rsidR="00C66BE6" w:rsidRPr="001A05F4" w:rsidRDefault="00C66BE6" w:rsidP="00927040">
            <w:pPr>
              <w:pStyle w:val="TableText0"/>
              <w:keepLines/>
              <w:spacing w:before="0" w:after="0"/>
              <w:rPr>
                <w:rFonts w:cs="Arial"/>
                <w:b/>
                <w:szCs w:val="20"/>
              </w:rPr>
            </w:pPr>
            <w:r w:rsidRPr="001A05F4">
              <w:rPr>
                <w:rFonts w:cs="Arial"/>
                <w:b/>
                <w:szCs w:val="20"/>
              </w:rPr>
              <w:t>Estimation of changes in use and financial impact of other medicines (PBS and RPBS)</w:t>
            </w:r>
          </w:p>
        </w:tc>
      </w:tr>
      <w:tr w:rsidR="00C66BE6" w:rsidRPr="001A05F4" w:rsidTr="006F31D8">
        <w:trPr>
          <w:trHeight w:val="449"/>
        </w:trPr>
        <w:tc>
          <w:tcPr>
            <w:tcW w:w="9257" w:type="dxa"/>
            <w:gridSpan w:val="7"/>
            <w:tcBorders>
              <w:top w:val="single" w:sz="4" w:space="0" w:color="auto"/>
              <w:bottom w:val="single" w:sz="4" w:space="0" w:color="auto"/>
            </w:tcBorders>
            <w:shd w:val="clear" w:color="auto" w:fill="auto"/>
            <w:vAlign w:val="center"/>
          </w:tcPr>
          <w:p w:rsidR="00C66BE6" w:rsidRPr="001A05F4" w:rsidRDefault="00C66BE6" w:rsidP="00927040">
            <w:pPr>
              <w:pStyle w:val="Tabletext"/>
              <w:keepNext/>
              <w:keepLines/>
              <w:rPr>
                <w:szCs w:val="20"/>
                <w:highlight w:val="yellow"/>
              </w:rPr>
            </w:pPr>
            <w:r w:rsidRPr="001A05F4">
              <w:rPr>
                <w:szCs w:val="20"/>
              </w:rPr>
              <w:t>The resubmission</w:t>
            </w:r>
            <w:r w:rsidRPr="001A05F4">
              <w:rPr>
                <w:i/>
                <w:szCs w:val="20"/>
              </w:rPr>
              <w:t xml:space="preserve"> appropriately</w:t>
            </w:r>
            <w:r w:rsidRPr="001A05F4">
              <w:rPr>
                <w:szCs w:val="20"/>
              </w:rPr>
              <w:t xml:space="preserve"> assumed no therapies were expected to be substituted. This was consistent with the previous November 2020 submission. </w:t>
            </w:r>
          </w:p>
        </w:tc>
      </w:tr>
      <w:tr w:rsidR="00C66BE6" w:rsidRPr="001A05F4" w:rsidTr="006F31D8">
        <w:trPr>
          <w:trHeight w:val="229"/>
        </w:trPr>
        <w:tc>
          <w:tcPr>
            <w:tcW w:w="9257" w:type="dxa"/>
            <w:gridSpan w:val="7"/>
            <w:shd w:val="clear" w:color="auto" w:fill="auto"/>
            <w:vAlign w:val="center"/>
          </w:tcPr>
          <w:p w:rsidR="00C66BE6" w:rsidRPr="001A05F4" w:rsidRDefault="00C66BE6" w:rsidP="00927040">
            <w:pPr>
              <w:pStyle w:val="Tabletext"/>
              <w:keepNext/>
              <w:keepLines/>
              <w:rPr>
                <w:b/>
                <w:szCs w:val="20"/>
              </w:rPr>
            </w:pPr>
            <w:r w:rsidRPr="001A05F4">
              <w:rPr>
                <w:b/>
                <w:szCs w:val="20"/>
              </w:rPr>
              <w:t>Estimated financial implications for the PBS/RPBS</w:t>
            </w:r>
          </w:p>
        </w:tc>
      </w:tr>
      <w:tr w:rsidR="00C66BE6" w:rsidRPr="001A05F4" w:rsidTr="006F31D8">
        <w:trPr>
          <w:trHeight w:val="229"/>
        </w:trPr>
        <w:tc>
          <w:tcPr>
            <w:tcW w:w="2263" w:type="dxa"/>
            <w:shd w:val="clear" w:color="auto" w:fill="auto"/>
            <w:vAlign w:val="center"/>
          </w:tcPr>
          <w:p w:rsidR="00C66BE6" w:rsidRPr="001A05F4" w:rsidRDefault="00C66BE6" w:rsidP="00927040">
            <w:pPr>
              <w:pStyle w:val="Tabletext"/>
              <w:keepNext/>
              <w:keepLines/>
              <w:rPr>
                <w:szCs w:val="20"/>
              </w:rPr>
            </w:pPr>
            <w:r w:rsidRPr="001A05F4">
              <w:rPr>
                <w:szCs w:val="20"/>
              </w:rPr>
              <w:t>Net cost to PBS/RPBS (pub)</w:t>
            </w:r>
          </w:p>
        </w:tc>
        <w:tc>
          <w:tcPr>
            <w:tcW w:w="1276" w:type="dxa"/>
            <w:tcBorders>
              <w:top w:val="single" w:sz="4" w:space="0" w:color="auto"/>
              <w:left w:val="nil"/>
              <w:bottom w:val="single" w:sz="4" w:space="0" w:color="auto"/>
              <w:right w:val="single" w:sz="4" w:space="0" w:color="auto"/>
            </w:tcBorders>
            <w:shd w:val="clear" w:color="auto" w:fill="auto"/>
            <w:vAlign w:val="center"/>
          </w:tcPr>
          <w:p w:rsidR="00C66BE6" w:rsidRPr="001A05F4" w:rsidRDefault="00C66BE6" w:rsidP="001A05F4">
            <w:pPr>
              <w:pStyle w:val="Tabletext"/>
              <w:keepNext/>
              <w:keepLines/>
              <w:jc w:val="right"/>
              <w:rPr>
                <w:i/>
                <w:szCs w:val="20"/>
              </w:rPr>
            </w:pPr>
            <w:r w:rsidRPr="001A05F4">
              <w:t>$</w:t>
            </w:r>
            <w:r w:rsidR="006B0D96">
              <w:rPr>
                <w:noProof/>
                <w:color w:val="000000"/>
                <w:highlight w:val="black"/>
              </w:rPr>
              <w:t>'''''''''''''''''''''''''''</w:t>
            </w:r>
            <w:r w:rsidR="00616137">
              <w:rPr>
                <w:szCs w:val="20"/>
                <w:vertAlign w:val="superscript"/>
              </w:rPr>
              <w:t>5</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1A05F4">
            <w:pPr>
              <w:pStyle w:val="Tabletext"/>
              <w:keepNext/>
              <w:keepLines/>
              <w:jc w:val="right"/>
              <w:rPr>
                <w:i/>
                <w:szCs w:val="20"/>
              </w:rPr>
            </w:pPr>
            <w:r w:rsidRPr="001A05F4">
              <w:t>$</w:t>
            </w:r>
            <w:r w:rsidR="006B0D96">
              <w:rPr>
                <w:noProof/>
                <w:color w:val="000000"/>
                <w:highlight w:val="black"/>
              </w:rPr>
              <w:t>''''''''''''''''''''''''''''</w:t>
            </w:r>
            <w:r w:rsidR="00F12289">
              <w:rPr>
                <w:szCs w:val="20"/>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1A05F4">
            <w:pPr>
              <w:pStyle w:val="Tabletext"/>
              <w:keepNext/>
              <w:keepLines/>
              <w:jc w:val="right"/>
              <w:rPr>
                <w:i/>
                <w:szCs w:val="20"/>
              </w:rPr>
            </w:pPr>
            <w:r w:rsidRPr="001A05F4">
              <w:t>$</w:t>
            </w:r>
            <w:r w:rsidR="006B0D96">
              <w:rPr>
                <w:noProof/>
                <w:color w:val="000000"/>
                <w:highlight w:val="black"/>
              </w:rPr>
              <w:t>'''''''''''''''''''''''''</w:t>
            </w:r>
            <w:r w:rsidR="00F12289">
              <w:rPr>
                <w:szCs w:val="20"/>
                <w:vertAlign w:val="superscript"/>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1A05F4">
            <w:pPr>
              <w:pStyle w:val="Tabletext"/>
              <w:keepNext/>
              <w:keepLines/>
              <w:jc w:val="right"/>
              <w:rPr>
                <w:i/>
                <w:szCs w:val="20"/>
              </w:rPr>
            </w:pPr>
            <w:r w:rsidRPr="001A05F4">
              <w:t>$</w:t>
            </w:r>
            <w:r w:rsidR="006B0D96">
              <w:rPr>
                <w:noProof/>
                <w:color w:val="000000"/>
                <w:highlight w:val="black"/>
              </w:rPr>
              <w:t>'''''''''''''''''''''''''''</w:t>
            </w:r>
            <w:r w:rsidR="00F12289">
              <w:rPr>
                <w:szCs w:val="20"/>
                <w:vertAlign w:val="superscript"/>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1A05F4">
            <w:pPr>
              <w:pStyle w:val="Tabletext"/>
              <w:keepNext/>
              <w:keepLines/>
              <w:jc w:val="right"/>
              <w:rPr>
                <w:i/>
                <w:szCs w:val="20"/>
              </w:rPr>
            </w:pPr>
            <w:r w:rsidRPr="001A05F4">
              <w:t>$</w:t>
            </w:r>
            <w:r w:rsidR="006B0D96">
              <w:rPr>
                <w:noProof/>
                <w:color w:val="000000"/>
                <w:highlight w:val="black"/>
              </w:rPr>
              <w:t>''''''''''''''''''''''''''''</w:t>
            </w:r>
            <w:r w:rsidR="00F12289">
              <w:rPr>
                <w:szCs w:val="20"/>
                <w:vertAlign w:val="superscript"/>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1A05F4">
            <w:pPr>
              <w:pStyle w:val="Tabletext"/>
              <w:keepNext/>
              <w:keepLines/>
              <w:jc w:val="right"/>
              <w:rPr>
                <w:i/>
                <w:szCs w:val="20"/>
              </w:rPr>
            </w:pPr>
            <w:r w:rsidRPr="001A05F4">
              <w:t>$</w:t>
            </w:r>
            <w:r w:rsidR="006B0D96">
              <w:rPr>
                <w:noProof/>
                <w:color w:val="000000"/>
                <w:highlight w:val="black"/>
              </w:rPr>
              <w:t>'''''''''''''''''''''''''''</w:t>
            </w:r>
            <w:r w:rsidR="00F12289">
              <w:rPr>
                <w:szCs w:val="20"/>
                <w:vertAlign w:val="superscript"/>
              </w:rPr>
              <w:t>6</w:t>
            </w:r>
          </w:p>
        </w:tc>
      </w:tr>
      <w:tr w:rsidR="00C66BE6" w:rsidRPr="001A05F4" w:rsidTr="006F31D8">
        <w:trPr>
          <w:trHeight w:val="229"/>
        </w:trPr>
        <w:tc>
          <w:tcPr>
            <w:tcW w:w="2263" w:type="dxa"/>
            <w:shd w:val="clear" w:color="auto" w:fill="auto"/>
            <w:vAlign w:val="center"/>
          </w:tcPr>
          <w:p w:rsidR="00C66BE6" w:rsidRPr="001A05F4" w:rsidRDefault="00C66BE6" w:rsidP="00927040">
            <w:pPr>
              <w:pStyle w:val="Tabletext"/>
              <w:keepNext/>
              <w:keepLines/>
              <w:rPr>
                <w:szCs w:val="20"/>
              </w:rPr>
            </w:pPr>
            <w:r w:rsidRPr="001A05F4">
              <w:rPr>
                <w:szCs w:val="20"/>
              </w:rPr>
              <w:t>Net cost to PBS/RPBS (eff)</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1A05F4">
            <w:pPr>
              <w:pStyle w:val="Tabletext"/>
              <w:keepNext/>
              <w:keepLines/>
              <w:jc w:val="right"/>
              <w:rPr>
                <w:i/>
                <w:szCs w:val="20"/>
              </w:rPr>
            </w:pPr>
            <w:r w:rsidRPr="001A05F4">
              <w:t>$</w:t>
            </w:r>
            <w:r w:rsidR="006B0D96">
              <w:rPr>
                <w:noProof/>
                <w:color w:val="000000"/>
                <w:highlight w:val="black"/>
              </w:rPr>
              <w:t>'''''''''''''''''''''''''''</w:t>
            </w:r>
            <w:r w:rsidR="00F12289">
              <w:rPr>
                <w:szCs w:val="20"/>
                <w:vertAlign w:val="superscript"/>
              </w:rPr>
              <w:t>3</w:t>
            </w:r>
          </w:p>
        </w:tc>
        <w:tc>
          <w:tcPr>
            <w:tcW w:w="1182" w:type="dxa"/>
            <w:tcBorders>
              <w:top w:val="single" w:sz="4" w:space="0" w:color="auto"/>
              <w:left w:val="nil"/>
              <w:bottom w:val="single" w:sz="4" w:space="0" w:color="auto"/>
              <w:right w:val="single" w:sz="4" w:space="0" w:color="auto"/>
            </w:tcBorders>
            <w:shd w:val="clear" w:color="auto" w:fill="auto"/>
            <w:vAlign w:val="center"/>
          </w:tcPr>
          <w:p w:rsidR="00C66BE6" w:rsidRPr="001A05F4" w:rsidRDefault="00C66BE6" w:rsidP="001A05F4">
            <w:pPr>
              <w:pStyle w:val="Tabletext"/>
              <w:keepNext/>
              <w:keepLines/>
              <w:jc w:val="right"/>
              <w:rPr>
                <w:i/>
                <w:szCs w:val="20"/>
              </w:rPr>
            </w:pPr>
            <w:r w:rsidRPr="001A05F4">
              <w:t>$</w:t>
            </w:r>
            <w:r w:rsidR="006B0D96">
              <w:rPr>
                <w:noProof/>
                <w:color w:val="000000"/>
                <w:highlight w:val="black"/>
              </w:rPr>
              <w:t>'''''''''''''''''''''''''''</w:t>
            </w:r>
            <w:r w:rsidR="00F12289">
              <w:rPr>
                <w:szCs w:val="20"/>
                <w:vertAlign w:val="superscript"/>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C66BE6" w:rsidRPr="001A05F4" w:rsidRDefault="00C66BE6" w:rsidP="001A05F4">
            <w:pPr>
              <w:pStyle w:val="Tabletext"/>
              <w:keepNext/>
              <w:keepLines/>
              <w:jc w:val="right"/>
              <w:rPr>
                <w:i/>
                <w:szCs w:val="20"/>
              </w:rPr>
            </w:pPr>
            <w:r w:rsidRPr="001A05F4">
              <w:t>$</w:t>
            </w:r>
            <w:r w:rsidR="006B0D96">
              <w:rPr>
                <w:noProof/>
                <w:color w:val="000000"/>
                <w:highlight w:val="black"/>
              </w:rPr>
              <w:t>''''''''''''''''''''''''</w:t>
            </w:r>
            <w:r w:rsidR="00F12289">
              <w:rPr>
                <w:szCs w:val="20"/>
                <w:vertAlign w:val="superscript"/>
              </w:rPr>
              <w:t>3</w:t>
            </w:r>
          </w:p>
        </w:tc>
        <w:tc>
          <w:tcPr>
            <w:tcW w:w="1133" w:type="dxa"/>
            <w:tcBorders>
              <w:top w:val="single" w:sz="4" w:space="0" w:color="auto"/>
              <w:left w:val="nil"/>
              <w:bottom w:val="single" w:sz="4" w:space="0" w:color="auto"/>
              <w:right w:val="single" w:sz="4" w:space="0" w:color="auto"/>
            </w:tcBorders>
            <w:shd w:val="clear" w:color="auto" w:fill="auto"/>
            <w:vAlign w:val="center"/>
          </w:tcPr>
          <w:p w:rsidR="00C66BE6" w:rsidRPr="001A05F4" w:rsidRDefault="00C66BE6" w:rsidP="001A05F4">
            <w:pPr>
              <w:pStyle w:val="Tabletext"/>
              <w:keepNext/>
              <w:keepLines/>
              <w:jc w:val="right"/>
              <w:rPr>
                <w:i/>
                <w:szCs w:val="20"/>
              </w:rPr>
            </w:pPr>
            <w:r w:rsidRPr="001A05F4">
              <w:t>$</w:t>
            </w:r>
            <w:r w:rsidR="006B0D96">
              <w:rPr>
                <w:noProof/>
                <w:color w:val="000000"/>
                <w:highlight w:val="black"/>
              </w:rPr>
              <w:t>'''''''''''''''''''''''''''</w:t>
            </w:r>
            <w:r w:rsidR="00F12289">
              <w:rPr>
                <w:szCs w:val="20"/>
                <w:vertAlign w:val="superscript"/>
              </w:rPr>
              <w:t>3</w:t>
            </w:r>
          </w:p>
        </w:tc>
        <w:tc>
          <w:tcPr>
            <w:tcW w:w="1133" w:type="dxa"/>
            <w:tcBorders>
              <w:top w:val="single" w:sz="4" w:space="0" w:color="auto"/>
              <w:left w:val="nil"/>
              <w:bottom w:val="single" w:sz="4" w:space="0" w:color="auto"/>
              <w:right w:val="single" w:sz="4" w:space="0" w:color="auto"/>
            </w:tcBorders>
            <w:shd w:val="clear" w:color="auto" w:fill="auto"/>
            <w:vAlign w:val="center"/>
          </w:tcPr>
          <w:p w:rsidR="00C66BE6" w:rsidRPr="001A05F4" w:rsidRDefault="00C66BE6" w:rsidP="001A05F4">
            <w:pPr>
              <w:pStyle w:val="Tabletext"/>
              <w:keepNext/>
              <w:keepLines/>
              <w:jc w:val="right"/>
              <w:rPr>
                <w:i/>
                <w:szCs w:val="20"/>
              </w:rPr>
            </w:pPr>
            <w:r w:rsidRPr="001A05F4">
              <w:t>$</w:t>
            </w:r>
            <w:r w:rsidR="006B0D96">
              <w:rPr>
                <w:noProof/>
                <w:color w:val="000000"/>
                <w:highlight w:val="black"/>
              </w:rPr>
              <w:t>''''''''''''''''''''''''''</w:t>
            </w:r>
            <w:r w:rsidR="00F12289">
              <w:rPr>
                <w:szCs w:val="20"/>
                <w:vertAlign w:val="superscript"/>
              </w:rPr>
              <w:t>4</w:t>
            </w:r>
          </w:p>
        </w:tc>
        <w:tc>
          <w:tcPr>
            <w:tcW w:w="1136" w:type="dxa"/>
            <w:tcBorders>
              <w:top w:val="single" w:sz="4" w:space="0" w:color="auto"/>
              <w:left w:val="nil"/>
              <w:bottom w:val="single" w:sz="4" w:space="0" w:color="auto"/>
              <w:right w:val="single" w:sz="4" w:space="0" w:color="auto"/>
            </w:tcBorders>
            <w:shd w:val="clear" w:color="auto" w:fill="auto"/>
            <w:vAlign w:val="center"/>
          </w:tcPr>
          <w:p w:rsidR="00C66BE6" w:rsidRPr="001A05F4" w:rsidRDefault="00C66BE6" w:rsidP="001A05F4">
            <w:pPr>
              <w:pStyle w:val="Tabletext"/>
              <w:keepNext/>
              <w:keepLines/>
              <w:jc w:val="right"/>
              <w:rPr>
                <w:i/>
                <w:szCs w:val="20"/>
              </w:rPr>
            </w:pPr>
            <w:r w:rsidRPr="001A05F4">
              <w:t>$</w:t>
            </w:r>
            <w:r w:rsidR="006B0D96">
              <w:rPr>
                <w:noProof/>
                <w:color w:val="000000"/>
                <w:highlight w:val="black"/>
              </w:rPr>
              <w:t>'''''''''''''''''''''''''''</w:t>
            </w:r>
            <w:r w:rsidR="00F12289">
              <w:rPr>
                <w:szCs w:val="20"/>
                <w:vertAlign w:val="superscript"/>
              </w:rPr>
              <w:t>4</w:t>
            </w:r>
          </w:p>
        </w:tc>
      </w:tr>
      <w:tr w:rsidR="00C66BE6" w:rsidRPr="001A05F4" w:rsidTr="006F31D8">
        <w:trPr>
          <w:trHeight w:val="229"/>
        </w:trPr>
        <w:tc>
          <w:tcPr>
            <w:tcW w:w="9257" w:type="dxa"/>
            <w:gridSpan w:val="7"/>
            <w:shd w:val="clear" w:color="auto" w:fill="auto"/>
            <w:vAlign w:val="center"/>
          </w:tcPr>
          <w:p w:rsidR="00C66BE6" w:rsidRPr="001A05F4" w:rsidRDefault="00C66BE6" w:rsidP="00927040">
            <w:pPr>
              <w:pStyle w:val="Tabletext"/>
              <w:keepNext/>
              <w:keepLines/>
              <w:rPr>
                <w:b/>
                <w:szCs w:val="20"/>
              </w:rPr>
            </w:pPr>
            <w:r w:rsidRPr="001A05F4">
              <w:rPr>
                <w:b/>
                <w:szCs w:val="20"/>
              </w:rPr>
              <w:t>Estimated financial implications for the health budget</w:t>
            </w:r>
          </w:p>
        </w:tc>
      </w:tr>
      <w:tr w:rsidR="00C66BE6" w:rsidRPr="001A05F4" w:rsidTr="006F31D8">
        <w:trPr>
          <w:trHeight w:val="229"/>
        </w:trPr>
        <w:tc>
          <w:tcPr>
            <w:tcW w:w="9257" w:type="dxa"/>
            <w:gridSpan w:val="7"/>
            <w:tcBorders>
              <w:bottom w:val="single" w:sz="4" w:space="0" w:color="auto"/>
              <w:right w:val="single" w:sz="4" w:space="0" w:color="auto"/>
            </w:tcBorders>
            <w:shd w:val="clear" w:color="auto" w:fill="auto"/>
            <w:vAlign w:val="center"/>
          </w:tcPr>
          <w:p w:rsidR="00C66BE6" w:rsidRPr="001A05F4" w:rsidRDefault="00C66BE6" w:rsidP="00927040">
            <w:pPr>
              <w:pStyle w:val="Tabletext"/>
              <w:keepNext/>
              <w:keepLines/>
              <w:rPr>
                <w:szCs w:val="20"/>
              </w:rPr>
            </w:pPr>
            <w:r w:rsidRPr="001A05F4">
              <w:rPr>
                <w:szCs w:val="20"/>
              </w:rPr>
              <w:t>MBS administration costs</w:t>
            </w:r>
          </w:p>
        </w:tc>
      </w:tr>
      <w:tr w:rsidR="00C66BE6" w:rsidRPr="001A05F4" w:rsidTr="006F31D8">
        <w:trPr>
          <w:trHeight w:val="229"/>
        </w:trPr>
        <w:tc>
          <w:tcPr>
            <w:tcW w:w="2263" w:type="dxa"/>
            <w:tcBorders>
              <w:bottom w:val="single" w:sz="4" w:space="0" w:color="auto"/>
            </w:tcBorders>
            <w:shd w:val="clear" w:color="auto" w:fill="auto"/>
            <w:vAlign w:val="center"/>
          </w:tcPr>
          <w:p w:rsidR="00C66BE6" w:rsidRPr="001A05F4" w:rsidRDefault="00C66BE6" w:rsidP="00927040">
            <w:pPr>
              <w:pStyle w:val="Tabletext"/>
              <w:keepNext/>
              <w:keepLines/>
              <w:ind w:left="104"/>
              <w:rPr>
                <w:szCs w:val="20"/>
              </w:rPr>
            </w:pPr>
            <w:r w:rsidRPr="001A05F4">
              <w:rPr>
                <w:szCs w:val="20"/>
              </w:rPr>
              <w:t>Type II</w:t>
            </w:r>
          </w:p>
        </w:tc>
        <w:tc>
          <w:tcPr>
            <w:tcW w:w="1276"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82"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4"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3"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3"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6"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r>
      <w:tr w:rsidR="00C66BE6" w:rsidRPr="001A05F4" w:rsidTr="006F31D8">
        <w:trPr>
          <w:trHeight w:val="229"/>
        </w:trPr>
        <w:tc>
          <w:tcPr>
            <w:tcW w:w="2263" w:type="dxa"/>
            <w:tcBorders>
              <w:bottom w:val="single" w:sz="4" w:space="0" w:color="auto"/>
            </w:tcBorders>
            <w:shd w:val="clear" w:color="auto" w:fill="auto"/>
            <w:vAlign w:val="center"/>
          </w:tcPr>
          <w:p w:rsidR="00C66BE6" w:rsidRPr="001A05F4" w:rsidRDefault="00C66BE6" w:rsidP="00927040">
            <w:pPr>
              <w:pStyle w:val="Tabletext"/>
              <w:keepNext/>
              <w:keepLines/>
              <w:ind w:left="104"/>
              <w:rPr>
                <w:szCs w:val="20"/>
              </w:rPr>
            </w:pPr>
            <w:r w:rsidRPr="001A05F4">
              <w:rPr>
                <w:szCs w:val="20"/>
              </w:rPr>
              <w:t>Type III</w:t>
            </w:r>
          </w:p>
        </w:tc>
        <w:tc>
          <w:tcPr>
            <w:tcW w:w="1276"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82"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4"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3"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3"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6"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r>
      <w:tr w:rsidR="00C66BE6" w:rsidRPr="001A05F4" w:rsidTr="006F31D8">
        <w:trPr>
          <w:trHeight w:val="229"/>
        </w:trPr>
        <w:tc>
          <w:tcPr>
            <w:tcW w:w="2263" w:type="dxa"/>
            <w:tcBorders>
              <w:bottom w:val="single" w:sz="4" w:space="0" w:color="auto"/>
            </w:tcBorders>
            <w:shd w:val="clear" w:color="auto" w:fill="auto"/>
            <w:vAlign w:val="center"/>
          </w:tcPr>
          <w:p w:rsidR="00C66BE6" w:rsidRPr="001A05F4" w:rsidRDefault="00C66BE6" w:rsidP="00927040">
            <w:pPr>
              <w:pStyle w:val="Tabletext"/>
            </w:pPr>
            <w:r w:rsidRPr="001A05F4">
              <w:t>Total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82" w:type="dxa"/>
            <w:tcBorders>
              <w:top w:val="single" w:sz="4" w:space="0" w:color="auto"/>
              <w:left w:val="nil"/>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3" w:type="dxa"/>
            <w:tcBorders>
              <w:top w:val="single" w:sz="4" w:space="0" w:color="auto"/>
              <w:left w:val="nil"/>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3" w:type="dxa"/>
            <w:tcBorders>
              <w:top w:val="single" w:sz="4" w:space="0" w:color="auto"/>
              <w:left w:val="nil"/>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6" w:type="dxa"/>
            <w:tcBorders>
              <w:top w:val="single" w:sz="4" w:space="0" w:color="auto"/>
              <w:left w:val="nil"/>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r>
      <w:tr w:rsidR="00C66BE6" w:rsidRPr="001A05F4" w:rsidTr="006F31D8">
        <w:trPr>
          <w:trHeight w:val="229"/>
        </w:trPr>
        <w:tc>
          <w:tcPr>
            <w:tcW w:w="9257" w:type="dxa"/>
            <w:gridSpan w:val="7"/>
            <w:tcBorders>
              <w:top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
            </w:pPr>
            <w:r w:rsidRPr="001A05F4">
              <w:t xml:space="preserve">Adverse events costs </w:t>
            </w:r>
          </w:p>
        </w:tc>
      </w:tr>
      <w:tr w:rsidR="00C66BE6" w:rsidRPr="001A05F4" w:rsidTr="006F31D8">
        <w:trPr>
          <w:trHeight w:val="229"/>
        </w:trPr>
        <w:tc>
          <w:tcPr>
            <w:tcW w:w="2263" w:type="dxa"/>
            <w:tcBorders>
              <w:top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
              <w:keepNext/>
              <w:keepLines/>
              <w:ind w:left="104"/>
              <w:rPr>
                <w:szCs w:val="20"/>
              </w:rPr>
            </w:pPr>
            <w:r w:rsidRPr="001A05F4">
              <w:rPr>
                <w:szCs w:val="20"/>
              </w:rPr>
              <w:t>Type II</w:t>
            </w:r>
          </w:p>
        </w:tc>
        <w:tc>
          <w:tcPr>
            <w:tcW w:w="1276"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82"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4"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3"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3"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6"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r>
      <w:tr w:rsidR="00C66BE6" w:rsidRPr="001A05F4" w:rsidTr="006F31D8">
        <w:trPr>
          <w:trHeight w:val="229"/>
        </w:trPr>
        <w:tc>
          <w:tcPr>
            <w:tcW w:w="2263" w:type="dxa"/>
            <w:tcBorders>
              <w:top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
              <w:keepNext/>
              <w:keepLines/>
              <w:ind w:left="104"/>
              <w:rPr>
                <w:szCs w:val="20"/>
              </w:rPr>
            </w:pPr>
            <w:r w:rsidRPr="001A05F4">
              <w:rPr>
                <w:szCs w:val="20"/>
              </w:rPr>
              <w:t>Type III</w:t>
            </w:r>
          </w:p>
        </w:tc>
        <w:tc>
          <w:tcPr>
            <w:tcW w:w="1276"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82"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4"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3"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3"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6"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r>
      <w:tr w:rsidR="00C66BE6" w:rsidRPr="001A05F4" w:rsidTr="006F31D8">
        <w:trPr>
          <w:trHeight w:val="229"/>
        </w:trPr>
        <w:tc>
          <w:tcPr>
            <w:tcW w:w="2263" w:type="dxa"/>
            <w:tcBorders>
              <w:top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
            </w:pPr>
            <w:r w:rsidRPr="001A05F4">
              <w:t>Total</w:t>
            </w:r>
          </w:p>
        </w:tc>
        <w:tc>
          <w:tcPr>
            <w:tcW w:w="1276" w:type="dxa"/>
            <w:tcBorders>
              <w:top w:val="single" w:sz="4" w:space="0" w:color="auto"/>
              <w:left w:val="nil"/>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r>
      <w:tr w:rsidR="00C66BE6" w:rsidRPr="001A05F4" w:rsidTr="006F31D8">
        <w:trPr>
          <w:trHeight w:val="229"/>
        </w:trPr>
        <w:tc>
          <w:tcPr>
            <w:tcW w:w="9257" w:type="dxa"/>
            <w:gridSpan w:val="7"/>
            <w:tcBorders>
              <w:top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
            </w:pPr>
            <w:r w:rsidRPr="001A05F4">
              <w:t>Net cost to Government health budget</w:t>
            </w:r>
          </w:p>
        </w:tc>
      </w:tr>
      <w:tr w:rsidR="00C66BE6" w:rsidRPr="001A05F4" w:rsidTr="006F31D8">
        <w:trPr>
          <w:trHeight w:val="229"/>
        </w:trPr>
        <w:tc>
          <w:tcPr>
            <w:tcW w:w="2263" w:type="dxa"/>
            <w:tcBorders>
              <w:top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
              <w:keepNext/>
              <w:keepLines/>
              <w:ind w:left="104"/>
              <w:rPr>
                <w:szCs w:val="20"/>
              </w:rPr>
            </w:pPr>
            <w:r w:rsidRPr="001A05F4">
              <w:rPr>
                <w:szCs w:val="20"/>
              </w:rPr>
              <w:t>Type II</w:t>
            </w:r>
          </w:p>
        </w:tc>
        <w:tc>
          <w:tcPr>
            <w:tcW w:w="1276"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82"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4"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3"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3"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c>
          <w:tcPr>
            <w:tcW w:w="1136"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2</w:t>
            </w:r>
          </w:p>
        </w:tc>
      </w:tr>
      <w:tr w:rsidR="00C66BE6" w:rsidRPr="001A05F4" w:rsidTr="006F31D8">
        <w:trPr>
          <w:trHeight w:val="459"/>
        </w:trPr>
        <w:tc>
          <w:tcPr>
            <w:tcW w:w="2263" w:type="dxa"/>
            <w:tcBorders>
              <w:top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
              <w:keepNext/>
              <w:keepLines/>
              <w:ind w:left="104"/>
              <w:rPr>
                <w:szCs w:val="20"/>
              </w:rPr>
            </w:pPr>
            <w:r w:rsidRPr="001A05F4">
              <w:rPr>
                <w:szCs w:val="20"/>
              </w:rPr>
              <w:t>Type III</w:t>
            </w:r>
          </w:p>
        </w:tc>
        <w:tc>
          <w:tcPr>
            <w:tcW w:w="1276"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3</w:t>
            </w:r>
          </w:p>
        </w:tc>
        <w:tc>
          <w:tcPr>
            <w:tcW w:w="1182"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3</w:t>
            </w:r>
          </w:p>
        </w:tc>
        <w:tc>
          <w:tcPr>
            <w:tcW w:w="1134"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3</w:t>
            </w:r>
          </w:p>
        </w:tc>
        <w:tc>
          <w:tcPr>
            <w:tcW w:w="1133"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3</w:t>
            </w:r>
          </w:p>
        </w:tc>
        <w:tc>
          <w:tcPr>
            <w:tcW w:w="1133"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3</w:t>
            </w:r>
          </w:p>
        </w:tc>
        <w:tc>
          <w:tcPr>
            <w:tcW w:w="1136" w:type="dxa"/>
            <w:shd w:val="clear" w:color="auto" w:fill="auto"/>
            <w:vAlign w:val="bottom"/>
          </w:tcPr>
          <w:p w:rsidR="00C66BE6" w:rsidRPr="001A05F4" w:rsidRDefault="00C66BE6" w:rsidP="001A05F4">
            <w:pPr>
              <w:pStyle w:val="Tabletext"/>
              <w:jc w:val="right"/>
            </w:pPr>
            <w:r w:rsidRPr="001A05F4">
              <w:t>$</w:t>
            </w:r>
            <w:r w:rsidR="006B0D96">
              <w:rPr>
                <w:noProof/>
                <w:color w:val="000000"/>
                <w:highlight w:val="black"/>
              </w:rPr>
              <w:t>''''''''''''''''''''''''''''</w:t>
            </w:r>
            <w:r w:rsidR="00F12289">
              <w:rPr>
                <w:szCs w:val="20"/>
                <w:vertAlign w:val="superscript"/>
              </w:rPr>
              <w:t>3</w:t>
            </w:r>
          </w:p>
        </w:tc>
      </w:tr>
      <w:tr w:rsidR="00C66BE6" w:rsidRPr="001A05F4" w:rsidTr="006F31D8">
        <w:trPr>
          <w:trHeight w:val="459"/>
        </w:trPr>
        <w:tc>
          <w:tcPr>
            <w:tcW w:w="2263" w:type="dxa"/>
            <w:tcBorders>
              <w:top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
              <w:rPr>
                <w:i/>
              </w:rPr>
            </w:pPr>
            <w:r w:rsidRPr="001A05F4">
              <w:t>Total</w:t>
            </w:r>
          </w:p>
        </w:tc>
        <w:tc>
          <w:tcPr>
            <w:tcW w:w="1276" w:type="dxa"/>
            <w:shd w:val="clear" w:color="auto" w:fill="auto"/>
            <w:vAlign w:val="bottom"/>
          </w:tcPr>
          <w:p w:rsidR="00C66BE6" w:rsidRPr="001A05F4" w:rsidRDefault="00C66BE6" w:rsidP="001A05F4">
            <w:pPr>
              <w:pStyle w:val="Tabletext"/>
              <w:jc w:val="right"/>
              <w:rPr>
                <w:b/>
              </w:rPr>
            </w:pPr>
            <w:r w:rsidRPr="001A05F4">
              <w:rPr>
                <w:b/>
              </w:rPr>
              <w:t>$</w:t>
            </w:r>
            <w:r w:rsidR="006B0D96">
              <w:rPr>
                <w:b/>
                <w:noProof/>
                <w:color w:val="000000"/>
                <w:highlight w:val="black"/>
              </w:rPr>
              <w:t>''''''''''''''''''''''''</w:t>
            </w:r>
            <w:r w:rsidR="00F12289">
              <w:rPr>
                <w:szCs w:val="20"/>
                <w:vertAlign w:val="superscript"/>
              </w:rPr>
              <w:t>3</w:t>
            </w:r>
          </w:p>
        </w:tc>
        <w:tc>
          <w:tcPr>
            <w:tcW w:w="1182" w:type="dxa"/>
            <w:shd w:val="clear" w:color="auto" w:fill="auto"/>
            <w:vAlign w:val="bottom"/>
          </w:tcPr>
          <w:p w:rsidR="00C66BE6" w:rsidRPr="001A05F4" w:rsidRDefault="00C66BE6" w:rsidP="001A05F4">
            <w:pPr>
              <w:pStyle w:val="Tabletext"/>
              <w:jc w:val="right"/>
              <w:rPr>
                <w:b/>
              </w:rPr>
            </w:pPr>
            <w:r w:rsidRPr="001A05F4">
              <w:rPr>
                <w:b/>
              </w:rPr>
              <w:t>$</w:t>
            </w:r>
            <w:r w:rsidR="006B0D96">
              <w:rPr>
                <w:b/>
                <w:noProof/>
                <w:color w:val="000000"/>
                <w:highlight w:val="black"/>
              </w:rPr>
              <w:t>''''''''''''''''''''</w:t>
            </w:r>
            <w:r w:rsidR="00F12289">
              <w:rPr>
                <w:szCs w:val="20"/>
                <w:vertAlign w:val="superscript"/>
              </w:rPr>
              <w:t>3</w:t>
            </w:r>
          </w:p>
        </w:tc>
        <w:tc>
          <w:tcPr>
            <w:tcW w:w="1134" w:type="dxa"/>
            <w:shd w:val="clear" w:color="auto" w:fill="auto"/>
            <w:vAlign w:val="bottom"/>
          </w:tcPr>
          <w:p w:rsidR="00C66BE6" w:rsidRPr="001A05F4" w:rsidRDefault="00C66BE6" w:rsidP="001A05F4">
            <w:pPr>
              <w:pStyle w:val="Tabletext"/>
              <w:jc w:val="right"/>
              <w:rPr>
                <w:b/>
              </w:rPr>
            </w:pPr>
            <w:r w:rsidRPr="001A05F4">
              <w:rPr>
                <w:b/>
              </w:rPr>
              <w:t>$</w:t>
            </w:r>
            <w:r w:rsidR="006B0D96">
              <w:rPr>
                <w:b/>
                <w:noProof/>
                <w:color w:val="000000"/>
                <w:highlight w:val="black"/>
              </w:rPr>
              <w:t>''''''''''''''''''''''</w:t>
            </w:r>
            <w:r w:rsidR="00F12289">
              <w:rPr>
                <w:szCs w:val="20"/>
                <w:vertAlign w:val="superscript"/>
              </w:rPr>
              <w:t>3</w:t>
            </w:r>
          </w:p>
        </w:tc>
        <w:tc>
          <w:tcPr>
            <w:tcW w:w="1133" w:type="dxa"/>
            <w:shd w:val="clear" w:color="auto" w:fill="auto"/>
            <w:vAlign w:val="bottom"/>
          </w:tcPr>
          <w:p w:rsidR="00C66BE6" w:rsidRPr="001A05F4" w:rsidRDefault="00C66BE6" w:rsidP="001A05F4">
            <w:pPr>
              <w:pStyle w:val="Tabletext"/>
              <w:jc w:val="right"/>
              <w:rPr>
                <w:b/>
              </w:rPr>
            </w:pPr>
            <w:r w:rsidRPr="001A05F4">
              <w:rPr>
                <w:b/>
              </w:rPr>
              <w:t>$</w:t>
            </w:r>
            <w:r w:rsidR="006B0D96">
              <w:rPr>
                <w:b/>
                <w:noProof/>
                <w:color w:val="000000"/>
                <w:highlight w:val="black"/>
              </w:rPr>
              <w:t>'''''''''''''''''''''''</w:t>
            </w:r>
            <w:r w:rsidR="00F12289">
              <w:rPr>
                <w:szCs w:val="20"/>
                <w:vertAlign w:val="superscript"/>
              </w:rPr>
              <w:t>3</w:t>
            </w:r>
          </w:p>
        </w:tc>
        <w:tc>
          <w:tcPr>
            <w:tcW w:w="1133" w:type="dxa"/>
            <w:shd w:val="clear" w:color="auto" w:fill="auto"/>
            <w:vAlign w:val="bottom"/>
          </w:tcPr>
          <w:p w:rsidR="00C66BE6" w:rsidRPr="001A05F4" w:rsidRDefault="00C66BE6" w:rsidP="001A05F4">
            <w:pPr>
              <w:pStyle w:val="Tabletext"/>
              <w:jc w:val="right"/>
              <w:rPr>
                <w:b/>
              </w:rPr>
            </w:pPr>
            <w:r w:rsidRPr="001A05F4">
              <w:rPr>
                <w:b/>
              </w:rPr>
              <w:t>$</w:t>
            </w:r>
            <w:r w:rsidR="006B0D96">
              <w:rPr>
                <w:b/>
                <w:noProof/>
                <w:color w:val="000000"/>
                <w:highlight w:val="black"/>
              </w:rPr>
              <w:t>''''''''''''''''''''</w:t>
            </w:r>
            <w:r w:rsidR="00F12289">
              <w:rPr>
                <w:szCs w:val="20"/>
                <w:vertAlign w:val="superscript"/>
              </w:rPr>
              <w:t>4</w:t>
            </w:r>
          </w:p>
        </w:tc>
        <w:tc>
          <w:tcPr>
            <w:tcW w:w="1136" w:type="dxa"/>
            <w:shd w:val="clear" w:color="auto" w:fill="auto"/>
            <w:vAlign w:val="bottom"/>
          </w:tcPr>
          <w:p w:rsidR="00C66BE6" w:rsidRPr="001A05F4" w:rsidRDefault="00C66BE6" w:rsidP="001A05F4">
            <w:pPr>
              <w:pStyle w:val="Tabletext"/>
              <w:jc w:val="right"/>
              <w:rPr>
                <w:b/>
              </w:rPr>
            </w:pPr>
            <w:r w:rsidRPr="001A05F4">
              <w:rPr>
                <w:b/>
              </w:rPr>
              <w:t>$</w:t>
            </w:r>
            <w:r w:rsidR="006B0D96">
              <w:rPr>
                <w:b/>
                <w:noProof/>
                <w:color w:val="000000"/>
                <w:highlight w:val="black"/>
              </w:rPr>
              <w:t>''''''''''''''''''''''</w:t>
            </w:r>
            <w:r w:rsidR="00F12289">
              <w:rPr>
                <w:szCs w:val="20"/>
                <w:vertAlign w:val="superscript"/>
              </w:rPr>
              <w:t>4</w:t>
            </w:r>
          </w:p>
        </w:tc>
      </w:tr>
      <w:tr w:rsidR="00C66BE6" w:rsidRPr="001A05F4" w:rsidTr="006F31D8">
        <w:trPr>
          <w:trHeight w:val="229"/>
        </w:trPr>
        <w:tc>
          <w:tcPr>
            <w:tcW w:w="9257" w:type="dxa"/>
            <w:gridSpan w:val="7"/>
            <w:tcBorders>
              <w:top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
              <w:keepNext/>
              <w:keepLines/>
              <w:rPr>
                <w:szCs w:val="20"/>
              </w:rPr>
            </w:pPr>
            <w:r w:rsidRPr="001A05F4">
              <w:rPr>
                <w:szCs w:val="20"/>
              </w:rPr>
              <w:t>November 2020 submission: Net cost to Government health budget</w:t>
            </w:r>
          </w:p>
        </w:tc>
      </w:tr>
      <w:tr w:rsidR="00C66BE6" w:rsidRPr="001A05F4" w:rsidTr="006F31D8">
        <w:trPr>
          <w:trHeight w:val="229"/>
        </w:trPr>
        <w:tc>
          <w:tcPr>
            <w:tcW w:w="2263" w:type="dxa"/>
            <w:tcBorders>
              <w:top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
              <w:keepNext/>
              <w:keepLines/>
              <w:ind w:left="104"/>
              <w:rPr>
                <w:szCs w:val="20"/>
              </w:rPr>
            </w:pPr>
            <w:r w:rsidRPr="001A05F4">
              <w:rPr>
                <w:szCs w:val="20"/>
              </w:rPr>
              <w:t>Type II</w:t>
            </w:r>
          </w:p>
        </w:tc>
        <w:tc>
          <w:tcPr>
            <w:tcW w:w="1276"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9A6640">
              <w:rPr>
                <w:szCs w:val="20"/>
                <w:vertAlign w:val="superscript"/>
              </w:rPr>
              <w:t>2</w:t>
            </w:r>
          </w:p>
        </w:tc>
        <w:tc>
          <w:tcPr>
            <w:tcW w:w="1182"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9A6640">
              <w:rPr>
                <w:szCs w:val="20"/>
                <w:vertAlign w:val="superscript"/>
              </w:rPr>
              <w:t>2</w:t>
            </w:r>
          </w:p>
        </w:tc>
        <w:tc>
          <w:tcPr>
            <w:tcW w:w="1134"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9A6640">
              <w:rPr>
                <w:szCs w:val="20"/>
                <w:vertAlign w:val="superscript"/>
              </w:rPr>
              <w:t>2</w:t>
            </w:r>
          </w:p>
        </w:tc>
        <w:tc>
          <w:tcPr>
            <w:tcW w:w="1133"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9A6640">
              <w:rPr>
                <w:szCs w:val="20"/>
                <w:vertAlign w:val="superscript"/>
              </w:rPr>
              <w:t>2</w:t>
            </w:r>
          </w:p>
        </w:tc>
        <w:tc>
          <w:tcPr>
            <w:tcW w:w="1133"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9A6640">
              <w:rPr>
                <w:szCs w:val="20"/>
                <w:vertAlign w:val="superscript"/>
              </w:rPr>
              <w:t>2</w:t>
            </w:r>
          </w:p>
        </w:tc>
        <w:tc>
          <w:tcPr>
            <w:tcW w:w="1136"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9A6640">
              <w:rPr>
                <w:szCs w:val="20"/>
                <w:vertAlign w:val="superscript"/>
              </w:rPr>
              <w:t>2</w:t>
            </w:r>
          </w:p>
        </w:tc>
      </w:tr>
      <w:tr w:rsidR="00C66BE6" w:rsidRPr="001A05F4" w:rsidTr="006F31D8">
        <w:trPr>
          <w:trHeight w:val="459"/>
        </w:trPr>
        <w:tc>
          <w:tcPr>
            <w:tcW w:w="2263" w:type="dxa"/>
            <w:tcBorders>
              <w:top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
              <w:keepNext/>
              <w:keepLines/>
              <w:ind w:left="104"/>
              <w:rPr>
                <w:szCs w:val="20"/>
              </w:rPr>
            </w:pPr>
            <w:r w:rsidRPr="001A05F4">
              <w:rPr>
                <w:szCs w:val="20"/>
              </w:rPr>
              <w:t>Type III</w:t>
            </w:r>
          </w:p>
        </w:tc>
        <w:tc>
          <w:tcPr>
            <w:tcW w:w="1276"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9A6640">
              <w:rPr>
                <w:szCs w:val="20"/>
                <w:vertAlign w:val="superscript"/>
              </w:rPr>
              <w:t>3</w:t>
            </w:r>
          </w:p>
        </w:tc>
        <w:tc>
          <w:tcPr>
            <w:tcW w:w="1182"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9A6640">
              <w:rPr>
                <w:szCs w:val="20"/>
                <w:vertAlign w:val="superscript"/>
              </w:rPr>
              <w:t>3</w:t>
            </w:r>
          </w:p>
        </w:tc>
        <w:tc>
          <w:tcPr>
            <w:tcW w:w="1134"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9A6640">
              <w:rPr>
                <w:szCs w:val="20"/>
                <w:vertAlign w:val="superscript"/>
              </w:rPr>
              <w:t>3</w:t>
            </w:r>
          </w:p>
        </w:tc>
        <w:tc>
          <w:tcPr>
            <w:tcW w:w="1133"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9A6640">
              <w:rPr>
                <w:szCs w:val="20"/>
                <w:vertAlign w:val="superscript"/>
              </w:rPr>
              <w:t>3</w:t>
            </w:r>
          </w:p>
        </w:tc>
        <w:tc>
          <w:tcPr>
            <w:tcW w:w="1133"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9A6640">
              <w:rPr>
                <w:szCs w:val="20"/>
                <w:vertAlign w:val="superscript"/>
              </w:rPr>
              <w:t>3</w:t>
            </w:r>
          </w:p>
        </w:tc>
        <w:tc>
          <w:tcPr>
            <w:tcW w:w="1136"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F12289">
              <w:rPr>
                <w:szCs w:val="20"/>
                <w:vertAlign w:val="superscript"/>
              </w:rPr>
              <w:t>4</w:t>
            </w:r>
          </w:p>
        </w:tc>
      </w:tr>
      <w:tr w:rsidR="00C66BE6" w:rsidRPr="001A05F4" w:rsidTr="006F31D8">
        <w:trPr>
          <w:trHeight w:val="459"/>
        </w:trPr>
        <w:tc>
          <w:tcPr>
            <w:tcW w:w="2263" w:type="dxa"/>
            <w:tcBorders>
              <w:top w:val="single" w:sz="4" w:space="0" w:color="auto"/>
              <w:bottom w:val="single" w:sz="4" w:space="0" w:color="auto"/>
              <w:right w:val="single" w:sz="4" w:space="0" w:color="auto"/>
            </w:tcBorders>
            <w:shd w:val="clear" w:color="auto" w:fill="auto"/>
            <w:vAlign w:val="center"/>
          </w:tcPr>
          <w:p w:rsidR="00C66BE6" w:rsidRPr="001A05F4" w:rsidRDefault="00C66BE6" w:rsidP="00927040">
            <w:pPr>
              <w:pStyle w:val="Tabletext"/>
              <w:keepNext/>
              <w:keepLines/>
              <w:rPr>
                <w:szCs w:val="20"/>
              </w:rPr>
            </w:pPr>
            <w:r w:rsidRPr="001A05F4">
              <w:rPr>
                <w:szCs w:val="20"/>
              </w:rPr>
              <w:t>Total</w:t>
            </w:r>
          </w:p>
        </w:tc>
        <w:tc>
          <w:tcPr>
            <w:tcW w:w="1276"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9A6640">
              <w:rPr>
                <w:szCs w:val="20"/>
                <w:vertAlign w:val="superscript"/>
              </w:rPr>
              <w:t>3</w:t>
            </w:r>
          </w:p>
        </w:tc>
        <w:tc>
          <w:tcPr>
            <w:tcW w:w="1182"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9A6640">
              <w:rPr>
                <w:szCs w:val="20"/>
                <w:vertAlign w:val="superscript"/>
              </w:rPr>
              <w:t>3</w:t>
            </w:r>
          </w:p>
        </w:tc>
        <w:tc>
          <w:tcPr>
            <w:tcW w:w="1134"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9A6640">
              <w:rPr>
                <w:szCs w:val="20"/>
                <w:vertAlign w:val="superscript"/>
              </w:rPr>
              <w:t>3</w:t>
            </w:r>
          </w:p>
        </w:tc>
        <w:tc>
          <w:tcPr>
            <w:tcW w:w="1133"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F12289">
              <w:rPr>
                <w:szCs w:val="20"/>
                <w:vertAlign w:val="superscript"/>
              </w:rPr>
              <w:t>4</w:t>
            </w:r>
          </w:p>
        </w:tc>
        <w:tc>
          <w:tcPr>
            <w:tcW w:w="1133"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F12289">
              <w:rPr>
                <w:szCs w:val="20"/>
                <w:vertAlign w:val="superscript"/>
              </w:rPr>
              <w:t>4</w:t>
            </w:r>
          </w:p>
        </w:tc>
        <w:tc>
          <w:tcPr>
            <w:tcW w:w="1136" w:type="dxa"/>
            <w:vAlign w:val="center"/>
          </w:tcPr>
          <w:p w:rsidR="00C66BE6" w:rsidRPr="001A05F4" w:rsidRDefault="00C66BE6" w:rsidP="006F31D8">
            <w:pPr>
              <w:pStyle w:val="Tabletext"/>
              <w:keepNext/>
              <w:keepLines/>
              <w:jc w:val="center"/>
              <w:rPr>
                <w:szCs w:val="20"/>
              </w:rPr>
            </w:pPr>
            <w:r w:rsidRPr="001A05F4">
              <w:rPr>
                <w:rFonts w:cstheme="minorBidi"/>
                <w:szCs w:val="20"/>
              </w:rPr>
              <w:t>$</w:t>
            </w:r>
            <w:r w:rsidR="006B0D96">
              <w:rPr>
                <w:rFonts w:cstheme="minorBidi"/>
                <w:noProof/>
                <w:color w:val="000000"/>
                <w:szCs w:val="20"/>
                <w:highlight w:val="black"/>
              </w:rPr>
              <w:t>'''''''''''''''''''''''''''''</w:t>
            </w:r>
            <w:r w:rsidR="00F12289">
              <w:rPr>
                <w:szCs w:val="20"/>
                <w:vertAlign w:val="superscript"/>
              </w:rPr>
              <w:t>4</w:t>
            </w:r>
          </w:p>
        </w:tc>
      </w:tr>
    </w:tbl>
    <w:p w:rsidR="00C66BE6" w:rsidRPr="001A05F4" w:rsidRDefault="00C66BE6" w:rsidP="00C66BE6">
      <w:pPr>
        <w:pStyle w:val="TableFooter"/>
      </w:pPr>
      <w:r w:rsidRPr="001A05F4">
        <w:t xml:space="preserve">Source: Table 4.3, 4.4, 4.6, p390, 391, 393 of the </w:t>
      </w:r>
      <w:r w:rsidR="0044481F" w:rsidRPr="001A05F4">
        <w:t>re</w:t>
      </w:r>
      <w:r w:rsidRPr="001A05F4">
        <w:t>submission and sheet ‘3a. Scripts – proposed’ and ‘3b. Impact – proposed (pub)’ of the financial model workbook.</w:t>
      </w:r>
    </w:p>
    <w:p w:rsidR="00F2027B" w:rsidRPr="001A05F4" w:rsidRDefault="00F2027B" w:rsidP="00F2027B">
      <w:pPr>
        <w:pStyle w:val="TableFooter"/>
      </w:pPr>
      <w:r w:rsidRPr="001A05F4">
        <w:rPr>
          <w:vertAlign w:val="superscript"/>
        </w:rPr>
        <w:t>a</w:t>
      </w:r>
      <w:r w:rsidRPr="001A05F4">
        <w:t>Figures rounded to the nearest whole number. Total figures for Type II + Type III may not add up due to rounding.</w:t>
      </w:r>
    </w:p>
    <w:p w:rsidR="00C66BE6" w:rsidRDefault="00C66BE6" w:rsidP="00C66BE6">
      <w:pPr>
        <w:pStyle w:val="TableFooter"/>
      </w:pPr>
      <w:r w:rsidRPr="001A05F4">
        <w:t>Eff = effective; pub = published</w:t>
      </w:r>
    </w:p>
    <w:p w:rsidR="00F12289" w:rsidRPr="009A6D58" w:rsidRDefault="00F12289" w:rsidP="00F12289">
      <w:pPr>
        <w:rPr>
          <w:rFonts w:ascii="Arial Narrow" w:hAnsi="Arial Narrow"/>
          <w:i/>
          <w:sz w:val="18"/>
          <w:szCs w:val="18"/>
          <w:lang w:eastAsia="en-AU"/>
        </w:rPr>
      </w:pPr>
      <w:r w:rsidRPr="009A6D58">
        <w:rPr>
          <w:rFonts w:ascii="Arial Narrow" w:hAnsi="Arial Narrow"/>
          <w:i/>
          <w:sz w:val="18"/>
          <w:szCs w:val="18"/>
          <w:lang w:eastAsia="en-AU"/>
        </w:rPr>
        <w:t xml:space="preserve">The redacted values correspond to the following ranges: </w:t>
      </w:r>
    </w:p>
    <w:p w:rsidR="00F12289" w:rsidRPr="009A6D58" w:rsidRDefault="00F12289" w:rsidP="00F12289">
      <w:pPr>
        <w:rPr>
          <w:rFonts w:ascii="Arial Narrow" w:hAnsi="Arial Narrow"/>
          <w:i/>
          <w:sz w:val="18"/>
          <w:szCs w:val="18"/>
          <w:lang w:eastAsia="en-AU"/>
        </w:rPr>
      </w:pPr>
      <w:r w:rsidRPr="009A6D58">
        <w:rPr>
          <w:rFonts w:ascii="Arial Narrow" w:hAnsi="Arial Narrow"/>
          <w:i/>
          <w:sz w:val="18"/>
          <w:szCs w:val="18"/>
          <w:vertAlign w:val="superscript"/>
          <w:lang w:eastAsia="en-AU"/>
        </w:rPr>
        <w:t>1</w:t>
      </w:r>
      <w:r>
        <w:rPr>
          <w:rFonts w:ascii="Arial Narrow" w:hAnsi="Arial Narrow"/>
          <w:i/>
          <w:sz w:val="18"/>
          <w:szCs w:val="18"/>
          <w:lang w:eastAsia="en-AU"/>
        </w:rPr>
        <w:t xml:space="preserve"> </w:t>
      </w:r>
      <w:r w:rsidRPr="00F12289">
        <w:rPr>
          <w:rFonts w:ascii="Arial Narrow" w:hAnsi="Arial Narrow"/>
          <w:i/>
          <w:sz w:val="18"/>
          <w:szCs w:val="18"/>
          <w:lang w:eastAsia="en-AU"/>
        </w:rPr>
        <w:t>&lt; 500</w:t>
      </w:r>
    </w:p>
    <w:p w:rsidR="00F12289" w:rsidRPr="009A6D58" w:rsidRDefault="00F12289" w:rsidP="00F12289">
      <w:pPr>
        <w:rPr>
          <w:rFonts w:ascii="Arial Narrow" w:hAnsi="Arial Narrow"/>
          <w:i/>
          <w:sz w:val="18"/>
          <w:szCs w:val="18"/>
          <w:lang w:eastAsia="en-AU"/>
        </w:rPr>
      </w:pPr>
      <w:r w:rsidRPr="009A6D58">
        <w:rPr>
          <w:rFonts w:ascii="Arial Narrow" w:hAnsi="Arial Narrow"/>
          <w:i/>
          <w:sz w:val="18"/>
          <w:szCs w:val="18"/>
          <w:vertAlign w:val="superscript"/>
          <w:lang w:eastAsia="en-AU"/>
        </w:rPr>
        <w:t>2</w:t>
      </w:r>
      <w:r>
        <w:rPr>
          <w:rFonts w:ascii="Arial Narrow" w:hAnsi="Arial Narrow"/>
          <w:i/>
          <w:sz w:val="18"/>
          <w:szCs w:val="18"/>
          <w:lang w:eastAsia="en-AU"/>
        </w:rPr>
        <w:t xml:space="preserve"> </w:t>
      </w:r>
      <w:r w:rsidRPr="00F12289">
        <w:rPr>
          <w:rFonts w:ascii="Arial Narrow" w:hAnsi="Arial Narrow"/>
          <w:i/>
          <w:sz w:val="18"/>
          <w:szCs w:val="18"/>
          <w:lang w:eastAsia="en-AU"/>
        </w:rPr>
        <w:t>$0 to &lt; $10 million</w:t>
      </w:r>
    </w:p>
    <w:p w:rsidR="00F12289" w:rsidRDefault="00F12289" w:rsidP="00F12289">
      <w:pPr>
        <w:rPr>
          <w:rFonts w:ascii="Arial Narrow" w:hAnsi="Arial Narrow"/>
          <w:i/>
          <w:sz w:val="18"/>
          <w:szCs w:val="18"/>
          <w:lang w:eastAsia="en-AU"/>
        </w:rPr>
      </w:pPr>
      <w:r w:rsidRPr="009A6D58">
        <w:rPr>
          <w:rFonts w:ascii="Arial Narrow" w:hAnsi="Arial Narrow"/>
          <w:i/>
          <w:sz w:val="18"/>
          <w:szCs w:val="18"/>
          <w:vertAlign w:val="superscript"/>
          <w:lang w:eastAsia="en-AU"/>
        </w:rPr>
        <w:t>3</w:t>
      </w:r>
      <w:r>
        <w:rPr>
          <w:rFonts w:ascii="Arial Narrow" w:hAnsi="Arial Narrow"/>
          <w:i/>
          <w:sz w:val="18"/>
          <w:szCs w:val="18"/>
          <w:lang w:eastAsia="en-AU"/>
        </w:rPr>
        <w:t xml:space="preserve"> </w:t>
      </w:r>
      <w:r w:rsidRPr="00F12289">
        <w:rPr>
          <w:rFonts w:ascii="Arial Narrow" w:hAnsi="Arial Narrow"/>
          <w:i/>
          <w:sz w:val="18"/>
          <w:szCs w:val="18"/>
          <w:lang w:eastAsia="en-AU"/>
        </w:rPr>
        <w:t>$10 million to &lt; $20 million</w:t>
      </w:r>
    </w:p>
    <w:p w:rsidR="00F12289" w:rsidRDefault="00F12289" w:rsidP="00F12289">
      <w:pPr>
        <w:rPr>
          <w:rFonts w:ascii="Arial Narrow" w:hAnsi="Arial Narrow"/>
          <w:i/>
          <w:sz w:val="18"/>
          <w:szCs w:val="18"/>
          <w:lang w:eastAsia="en-AU"/>
        </w:rPr>
      </w:pPr>
      <w:r w:rsidRPr="00F12289">
        <w:rPr>
          <w:rFonts w:ascii="Arial Narrow" w:hAnsi="Arial Narrow"/>
          <w:i/>
          <w:sz w:val="18"/>
          <w:szCs w:val="18"/>
          <w:vertAlign w:val="superscript"/>
          <w:lang w:eastAsia="en-AU"/>
        </w:rPr>
        <w:t>4</w:t>
      </w:r>
      <w:r>
        <w:rPr>
          <w:rFonts w:ascii="Arial Narrow" w:hAnsi="Arial Narrow"/>
          <w:i/>
          <w:sz w:val="18"/>
          <w:szCs w:val="18"/>
          <w:lang w:eastAsia="en-AU"/>
        </w:rPr>
        <w:t xml:space="preserve"> $20 million to &lt; $3</w:t>
      </w:r>
      <w:r w:rsidRPr="00F12289">
        <w:rPr>
          <w:rFonts w:ascii="Arial Narrow" w:hAnsi="Arial Narrow"/>
          <w:i/>
          <w:sz w:val="18"/>
          <w:szCs w:val="18"/>
          <w:lang w:eastAsia="en-AU"/>
        </w:rPr>
        <w:t>0 million</w:t>
      </w:r>
    </w:p>
    <w:p w:rsidR="00F12289" w:rsidRDefault="00F12289" w:rsidP="00F12289">
      <w:pPr>
        <w:rPr>
          <w:rFonts w:ascii="Arial Narrow" w:hAnsi="Arial Narrow"/>
          <w:i/>
          <w:sz w:val="18"/>
          <w:szCs w:val="18"/>
          <w:lang w:eastAsia="en-AU"/>
        </w:rPr>
      </w:pPr>
      <w:r w:rsidRPr="00F12289">
        <w:rPr>
          <w:rFonts w:ascii="Arial Narrow" w:hAnsi="Arial Narrow"/>
          <w:i/>
          <w:sz w:val="18"/>
          <w:szCs w:val="18"/>
          <w:vertAlign w:val="superscript"/>
          <w:lang w:eastAsia="en-AU"/>
        </w:rPr>
        <w:t>5</w:t>
      </w:r>
      <w:r>
        <w:rPr>
          <w:rFonts w:ascii="Arial Narrow" w:hAnsi="Arial Narrow"/>
          <w:i/>
          <w:sz w:val="18"/>
          <w:szCs w:val="18"/>
          <w:lang w:eastAsia="en-AU"/>
        </w:rPr>
        <w:t xml:space="preserve"> $30 million to &lt; $4</w:t>
      </w:r>
      <w:r w:rsidRPr="00F12289">
        <w:rPr>
          <w:rFonts w:ascii="Arial Narrow" w:hAnsi="Arial Narrow"/>
          <w:i/>
          <w:sz w:val="18"/>
          <w:szCs w:val="18"/>
          <w:lang w:eastAsia="en-AU"/>
        </w:rPr>
        <w:t>0 million</w:t>
      </w:r>
    </w:p>
    <w:p w:rsidR="00F12289" w:rsidRDefault="00F12289" w:rsidP="00F12289">
      <w:pPr>
        <w:rPr>
          <w:rFonts w:ascii="Arial Narrow" w:hAnsi="Arial Narrow"/>
          <w:i/>
          <w:sz w:val="18"/>
          <w:szCs w:val="18"/>
          <w:lang w:eastAsia="en-AU"/>
        </w:rPr>
      </w:pPr>
      <w:r w:rsidRPr="00F12289">
        <w:rPr>
          <w:rFonts w:ascii="Arial Narrow" w:hAnsi="Arial Narrow"/>
          <w:i/>
          <w:sz w:val="18"/>
          <w:szCs w:val="18"/>
          <w:vertAlign w:val="superscript"/>
          <w:lang w:eastAsia="en-AU"/>
        </w:rPr>
        <w:t>6</w:t>
      </w:r>
      <w:r>
        <w:rPr>
          <w:rFonts w:ascii="Arial Narrow" w:hAnsi="Arial Narrow"/>
          <w:i/>
          <w:sz w:val="18"/>
          <w:szCs w:val="18"/>
          <w:lang w:eastAsia="en-AU"/>
        </w:rPr>
        <w:t xml:space="preserve"> $40 million to &lt; $5</w:t>
      </w:r>
      <w:r w:rsidRPr="00F12289">
        <w:rPr>
          <w:rFonts w:ascii="Arial Narrow" w:hAnsi="Arial Narrow"/>
          <w:i/>
          <w:sz w:val="18"/>
          <w:szCs w:val="18"/>
          <w:lang w:eastAsia="en-AU"/>
        </w:rPr>
        <w:t>0 million</w:t>
      </w:r>
    </w:p>
    <w:p w:rsidR="00C66BE6" w:rsidRPr="001A05F4" w:rsidRDefault="00C66BE6" w:rsidP="00C66BE6">
      <w:pPr>
        <w:widowControl/>
      </w:pPr>
    </w:p>
    <w:p w:rsidR="00C66BE6" w:rsidRPr="001A05F4" w:rsidRDefault="00C66BE6" w:rsidP="00A81EED">
      <w:pPr>
        <w:pStyle w:val="ListParagraph"/>
        <w:widowControl/>
        <w:numPr>
          <w:ilvl w:val="1"/>
          <w:numId w:val="2"/>
        </w:numPr>
      </w:pPr>
      <w:r w:rsidRPr="001A05F4">
        <w:t xml:space="preserve">The estimated net cost to the government budget of listing nusinersen on the PBS/RPBS for adult SMA patients with symptom onset before 19 years of age at the proposed effective price was </w:t>
      </w:r>
      <w:r w:rsidR="00A81EED" w:rsidRPr="00A81EED">
        <w:t>$10 million to &lt; $20 million</w:t>
      </w:r>
      <w:r w:rsidR="00A81EED">
        <w:t xml:space="preserve"> </w:t>
      </w:r>
      <w:r w:rsidRPr="001A05F4">
        <w:t xml:space="preserve">in Year 1, increasing to </w:t>
      </w:r>
      <w:r w:rsidR="00A81EED">
        <w:t>$20 million to &lt; $3</w:t>
      </w:r>
      <w:r w:rsidR="00A81EED" w:rsidRPr="00A81EED">
        <w:t>0 million</w:t>
      </w:r>
      <w:r w:rsidR="00A81EED">
        <w:t xml:space="preserve"> </w:t>
      </w:r>
      <w:r w:rsidRPr="001A05F4">
        <w:t xml:space="preserve">in Year 6. The total cost over the six year forward </w:t>
      </w:r>
      <w:r w:rsidR="00F35D38" w:rsidRPr="001A05F4">
        <w:t xml:space="preserve">estimates </w:t>
      </w:r>
      <w:r w:rsidRPr="001A05F4">
        <w:t xml:space="preserve">was </w:t>
      </w:r>
      <w:r w:rsidR="00A81EED" w:rsidRPr="00A81EED">
        <w:t>$100 million to &lt; $200 million</w:t>
      </w:r>
      <w:r w:rsidRPr="001A05F4">
        <w:t xml:space="preserve">. </w:t>
      </w:r>
    </w:p>
    <w:p w:rsidR="00C66BE6" w:rsidRPr="001A05F4" w:rsidRDefault="00C66BE6" w:rsidP="00F9436F">
      <w:pPr>
        <w:pStyle w:val="ListParagraph"/>
        <w:widowControl/>
        <w:numPr>
          <w:ilvl w:val="1"/>
          <w:numId w:val="2"/>
        </w:numPr>
      </w:pPr>
      <w:r w:rsidRPr="001A05F4">
        <w:t xml:space="preserve">The following points were noted regarding the resubmission’s financial model: </w:t>
      </w:r>
    </w:p>
    <w:p w:rsidR="00C66BE6" w:rsidRPr="001A05F4" w:rsidRDefault="00C66BE6" w:rsidP="00357604">
      <w:pPr>
        <w:pStyle w:val="ListParagraph"/>
        <w:widowControl/>
        <w:numPr>
          <w:ilvl w:val="0"/>
          <w:numId w:val="1"/>
        </w:numPr>
        <w:ind w:left="993" w:hanging="284"/>
      </w:pPr>
      <w:r w:rsidRPr="001A05F4">
        <w:t>The estimated prevalent population used remained unchanged from the estimates used in the November 2020 and November 2017 submission</w:t>
      </w:r>
      <w:r w:rsidR="00620147" w:rsidRPr="001A05F4">
        <w:t xml:space="preserve">. The </w:t>
      </w:r>
      <w:r w:rsidRPr="001A05F4">
        <w:t>PBAC previously concluded that the prevalent patient population with SMA Types I to III was likely to have been underestimated, particularly for the number of patients over the age of 18 years (Nusinersen PSD, PBAC meeting November 2017, para 7.4);</w:t>
      </w:r>
    </w:p>
    <w:p w:rsidR="00C66BE6" w:rsidRPr="001A05F4" w:rsidRDefault="00C66BE6" w:rsidP="00357604">
      <w:pPr>
        <w:pStyle w:val="ListParagraph"/>
        <w:widowControl/>
        <w:numPr>
          <w:ilvl w:val="0"/>
          <w:numId w:val="1"/>
        </w:numPr>
        <w:ind w:left="993" w:hanging="284"/>
      </w:pPr>
      <w:r w:rsidRPr="001A05F4">
        <w:t>Incident patients who would have been covered by this listing when they become eligible (i.e. those with symptom onset between ≥3 years and &lt;19</w:t>
      </w:r>
      <w:r w:rsidR="003F138E" w:rsidRPr="001A05F4">
        <w:t xml:space="preserve"> </w:t>
      </w:r>
      <w:r w:rsidRPr="001A05F4">
        <w:t>years, and become over 18 years of age) were not considered in the financial model. Therefore, the number of patients treated with nusinersen may be underestimated</w:t>
      </w:r>
      <w:r w:rsidR="00B259C9" w:rsidRPr="001A05F4">
        <w:t xml:space="preserve">. </w:t>
      </w:r>
    </w:p>
    <w:p w:rsidR="00C66BE6" w:rsidRPr="001A05F4" w:rsidRDefault="00C66BE6" w:rsidP="00DE2E90">
      <w:pPr>
        <w:pStyle w:val="ListParagraph"/>
        <w:widowControl/>
        <w:numPr>
          <w:ilvl w:val="0"/>
          <w:numId w:val="1"/>
        </w:numPr>
        <w:ind w:left="993"/>
        <w:rPr>
          <w:iCs/>
        </w:rPr>
      </w:pPr>
      <w:r w:rsidRPr="001A05F4">
        <w:t>The uptake rates of 20% in Year 1, increasing by 5% per year so that 45% of the total prevalent pool would be on treatment with nusinersen by Year 6 of listing, may have been underestimated</w:t>
      </w:r>
      <w:r w:rsidR="00357604" w:rsidRPr="001A05F4">
        <w:t xml:space="preserve"> considering there were no other disease modifying drugs for SMA </w:t>
      </w:r>
      <w:r w:rsidR="00813640" w:rsidRPr="001A05F4">
        <w:t xml:space="preserve">PBS listed </w:t>
      </w:r>
      <w:r w:rsidR="00357604" w:rsidRPr="001A05F4">
        <w:t>for the proposed population</w:t>
      </w:r>
      <w:r w:rsidR="00767E44" w:rsidRPr="001A05F4">
        <w:t>.</w:t>
      </w:r>
      <w:r w:rsidR="00C86CC7" w:rsidRPr="001A05F4">
        <w:t xml:space="preserve"> </w:t>
      </w:r>
      <w:r w:rsidR="009A6DA1" w:rsidRPr="001A05F4">
        <w:t>The resubmission stated that the potential future availability of risdiplam for treatment of adults with SMA was reflected in the uptake rates, although this impact was not quantified</w:t>
      </w:r>
      <w:r w:rsidR="00CC2DD6" w:rsidRPr="001A05F4">
        <w:t>, and given that risdiplam is not currently listed for treatment in adult patients with SMA</w:t>
      </w:r>
      <w:r w:rsidR="009900B7" w:rsidRPr="001A05F4">
        <w:t>,</w:t>
      </w:r>
      <w:r w:rsidR="00CC2DD6" w:rsidRPr="001A05F4">
        <w:t xml:space="preserve"> this may not have been appropriate</w:t>
      </w:r>
      <w:r w:rsidR="009A6DA1" w:rsidRPr="001A05F4">
        <w:t xml:space="preserve">. </w:t>
      </w:r>
      <w:r w:rsidR="00767E44" w:rsidRPr="001A05F4">
        <w:t>For comparison, the uptake rate</w:t>
      </w:r>
      <w:r w:rsidR="00813640" w:rsidRPr="001A05F4">
        <w:t>s</w:t>
      </w:r>
      <w:r w:rsidR="00767E44" w:rsidRPr="001A05F4">
        <w:t xml:space="preserve"> in paediatric patients were assumed to be 100% and 80% in type II and III SMA, respectively</w:t>
      </w:r>
      <w:r w:rsidR="00E71D97" w:rsidRPr="001A05F4">
        <w:t xml:space="preserve">. </w:t>
      </w:r>
      <w:r w:rsidR="00E71D97" w:rsidRPr="001A05F4">
        <w:rPr>
          <w:iCs/>
          <w:szCs w:val="24"/>
        </w:rPr>
        <w:t>The PSCR reiterated that some adults may not be considered suitable for intrathecal administration due to spinal access issues and some adult patients with stable disease may decide against treatment based on their assessment of potential risks and benefits</w:t>
      </w:r>
      <w:r w:rsidR="00182CDB" w:rsidRPr="001A05F4">
        <w:rPr>
          <w:iCs/>
          <w:szCs w:val="24"/>
        </w:rPr>
        <w:t xml:space="preserve"> (as per Osmanovic (2020) up to 50% of patients did immediately opt for treatment)</w:t>
      </w:r>
      <w:r w:rsidR="00E71D97" w:rsidRPr="001A05F4">
        <w:rPr>
          <w:iCs/>
          <w:szCs w:val="24"/>
        </w:rPr>
        <w:t xml:space="preserve">. </w:t>
      </w:r>
      <w:r w:rsidR="000C19A4" w:rsidRPr="001A05F4">
        <w:rPr>
          <w:iCs/>
          <w:szCs w:val="24"/>
        </w:rPr>
        <w:t xml:space="preserve">The ESC noted the uptake rates appear inconsistent with the large benefit that is required in order for nusinersen to be cost-effective at the price proposed in the submission. </w:t>
      </w:r>
      <w:r w:rsidR="00E71D97" w:rsidRPr="001A05F4">
        <w:rPr>
          <w:iCs/>
          <w:szCs w:val="24"/>
        </w:rPr>
        <w:t>The ESC noted that uptake rates in the nusinersen access program may help inform likely uptake rates</w:t>
      </w:r>
      <w:r w:rsidR="00C40375" w:rsidRPr="001A05F4">
        <w:rPr>
          <w:iCs/>
          <w:szCs w:val="24"/>
        </w:rPr>
        <w:t>, though uptake would also be impacted by access programs for risdiplam</w:t>
      </w:r>
      <w:r w:rsidR="00357604" w:rsidRPr="001A05F4">
        <w:rPr>
          <w:iCs/>
          <w:szCs w:val="24"/>
        </w:rPr>
        <w:t>;</w:t>
      </w:r>
    </w:p>
    <w:p w:rsidR="00C66BE6" w:rsidRPr="001A05F4" w:rsidRDefault="00C66BE6" w:rsidP="00767E44">
      <w:pPr>
        <w:pStyle w:val="ListParagraph"/>
        <w:widowControl/>
        <w:numPr>
          <w:ilvl w:val="0"/>
          <w:numId w:val="1"/>
        </w:numPr>
        <w:ind w:left="993" w:hanging="284"/>
      </w:pPr>
      <w:r w:rsidRPr="001A05F4">
        <w:t xml:space="preserve">Patient copayments were not considered in the financial </w:t>
      </w:r>
      <w:r w:rsidR="00FF3C98" w:rsidRPr="001A05F4">
        <w:t>model;</w:t>
      </w:r>
      <w:r w:rsidRPr="001A05F4">
        <w:t xml:space="preserve"> </w:t>
      </w:r>
      <w:r w:rsidR="00FF3C98" w:rsidRPr="001A05F4">
        <w:t>however,</w:t>
      </w:r>
      <w:r w:rsidRPr="001A05F4">
        <w:t xml:space="preserve"> this </w:t>
      </w:r>
      <w:r w:rsidR="00CC2DD6" w:rsidRPr="001A05F4">
        <w:t>wa</w:t>
      </w:r>
      <w:r w:rsidRPr="001A05F4">
        <w:t>s not expected to have a large impact on the financial estimates; and</w:t>
      </w:r>
    </w:p>
    <w:p w:rsidR="00767E44" w:rsidRPr="001A05F4" w:rsidRDefault="00767E44" w:rsidP="00767E44">
      <w:pPr>
        <w:pStyle w:val="ListParagraph"/>
        <w:numPr>
          <w:ilvl w:val="0"/>
          <w:numId w:val="1"/>
        </w:numPr>
        <w:ind w:left="993" w:hanging="284"/>
      </w:pPr>
      <w:r w:rsidRPr="001A05F4">
        <w:t>While the resubmission estimated that there would be some cost savings associated with keeping more adult patients in higher states of motor function while on nusinersen compared to standard of care in the economic model, this was not considered in the financial estimates. This omission however was not expected to have a large impact on the financial estimates, as the cost difference for health state management ($</w:t>
      </w:r>
      <w:r w:rsidRPr="00A81EED">
        <w:t>17,633</w:t>
      </w:r>
      <w:r w:rsidRPr="001A05F4">
        <w:t xml:space="preserve"> over a patient’s lifetime as estimated by the model) was magnitudes lower than the cost of nusinersen. </w:t>
      </w:r>
    </w:p>
    <w:p w:rsidR="00AF3676" w:rsidRPr="001A05F4" w:rsidRDefault="00AF3676" w:rsidP="00AF3676">
      <w:pPr>
        <w:pStyle w:val="ListParagraph"/>
        <w:numPr>
          <w:ilvl w:val="1"/>
          <w:numId w:val="2"/>
        </w:numPr>
        <w:rPr>
          <w:iCs/>
        </w:rPr>
      </w:pPr>
      <w:r w:rsidRPr="001A05F4">
        <w:t xml:space="preserve">Overall, the financial estimates were underestimated as it was likely that the number of eligible patients (a key driver of the financial estimates) may be underestimated. </w:t>
      </w:r>
      <w:r w:rsidRPr="001A05F4">
        <w:rPr>
          <w:iCs/>
        </w:rPr>
        <w:t>The ESC considered that significant uncertainty around the patient estimates remained due to uncertainty regarding the likely age of patients and the proportion of patients with Type IIIa and IIIb SMA, noting that uptake would vary depending on the relative proportions of cohorts eligible for treatment. The ESC also noted that there was potentially a significant difference in age between patients in the trials and Australian patients (mean 36 years (n=139) in Hagenacker 2020, compared with 45 years (n=181) in the SMA Australia member database).</w:t>
      </w:r>
      <w:r w:rsidRPr="001A05F4">
        <w:t xml:space="preserve"> </w:t>
      </w:r>
      <w:r w:rsidRPr="001A05F4">
        <w:rPr>
          <w:iCs/>
        </w:rPr>
        <w:t>The pre-PBAC response suggested that the uptake and discontinuation rates from the Biogen Free of Charge program for adults could be used in the financial estimates, as it is designed to enrol patients with Type IIIa and IIIb SMA, and that the eligibility criteria used for the program is aligned with the proposed PBS criteria.</w:t>
      </w:r>
    </w:p>
    <w:p w:rsidR="00C66BE6" w:rsidRPr="001A05F4" w:rsidRDefault="00C66BE6" w:rsidP="00F9436F">
      <w:pPr>
        <w:pStyle w:val="ListParagraph"/>
        <w:widowControl/>
        <w:numPr>
          <w:ilvl w:val="1"/>
          <w:numId w:val="2"/>
        </w:numPr>
      </w:pPr>
      <w:r w:rsidRPr="001A05F4">
        <w:t>Compared to the most recent submission</w:t>
      </w:r>
      <w:r w:rsidR="00FF3C98">
        <w:t>,</w:t>
      </w:r>
      <w:r w:rsidRPr="001A05F4">
        <w:t xml:space="preserve"> November 2020 PBAC meeting, the financial estimates of this resubmission were lower, noting: </w:t>
      </w:r>
    </w:p>
    <w:p w:rsidR="00C66BE6" w:rsidRPr="001A05F4" w:rsidRDefault="00C66BE6" w:rsidP="00767E44">
      <w:pPr>
        <w:pStyle w:val="ListParagraph"/>
        <w:widowControl/>
        <w:numPr>
          <w:ilvl w:val="0"/>
          <w:numId w:val="1"/>
        </w:numPr>
        <w:ind w:left="993" w:hanging="284"/>
      </w:pPr>
      <w:r w:rsidRPr="001A05F4">
        <w:t xml:space="preserve">The requested restriction for this resubmission was narrower than the previous submission, although the financial estimates of the previous submission did not consider the use in non-adult patients (aged 18 years or less) who had symptoms of SMA at 3 years of age or more and was limited to the predicted use of nusinersen for the requested listing of adult patients (aged 19 years or more) with SMA on the PBS;  </w:t>
      </w:r>
    </w:p>
    <w:p w:rsidR="00C66BE6" w:rsidRPr="001A05F4" w:rsidRDefault="00C66BE6" w:rsidP="00767E44">
      <w:pPr>
        <w:pStyle w:val="ListParagraph"/>
        <w:widowControl/>
        <w:numPr>
          <w:ilvl w:val="0"/>
          <w:numId w:val="1"/>
        </w:numPr>
        <w:ind w:left="993" w:hanging="284"/>
      </w:pPr>
      <w:r w:rsidRPr="001A05F4">
        <w:t>This resubmission included a discontinuation rate (3.7% per annum</w:t>
      </w:r>
      <w:r w:rsidR="00DE7EF3" w:rsidRPr="001A05F4">
        <w:t>, derived from the proportion of patients who withdrew from treatment in Hagenacker 2020</w:t>
      </w:r>
      <w:r w:rsidRPr="001A05F4">
        <w:t>) which was not considered in the previous submission;</w:t>
      </w:r>
    </w:p>
    <w:p w:rsidR="00C66BE6" w:rsidRPr="001A05F4" w:rsidRDefault="00C66BE6" w:rsidP="00767E44">
      <w:pPr>
        <w:pStyle w:val="ListParagraph"/>
        <w:widowControl/>
        <w:numPr>
          <w:ilvl w:val="0"/>
          <w:numId w:val="1"/>
        </w:numPr>
        <w:ind w:left="993" w:hanging="284"/>
      </w:pPr>
      <w:r w:rsidRPr="001A05F4">
        <w:t>This resubmission used a reduced requested price of nusinersen ($</w:t>
      </w:r>
      <w:r w:rsidR="006B0D96">
        <w:rPr>
          <w:noProof/>
          <w:color w:val="000000"/>
          <w:highlight w:val="black"/>
        </w:rPr>
        <w:t xml:space="preserve">'''''''''''''' </w:t>
      </w:r>
      <w:r w:rsidRPr="001A05F4">
        <w:t>vs. $</w:t>
      </w:r>
      <w:r w:rsidR="006B0D96">
        <w:rPr>
          <w:noProof/>
          <w:color w:val="000000"/>
          <w:highlight w:val="black"/>
        </w:rPr>
        <w:t>''''''''''''</w:t>
      </w:r>
      <w:r w:rsidRPr="001A05F4">
        <w:t xml:space="preserve"> per vial); and</w:t>
      </w:r>
    </w:p>
    <w:p w:rsidR="00C66BE6" w:rsidRPr="001A05F4" w:rsidRDefault="00C66BE6" w:rsidP="00767E44">
      <w:pPr>
        <w:pStyle w:val="ListParagraph"/>
        <w:widowControl/>
        <w:numPr>
          <w:ilvl w:val="0"/>
          <w:numId w:val="1"/>
        </w:numPr>
        <w:ind w:left="993" w:hanging="284"/>
      </w:pPr>
      <w:r w:rsidRPr="001A05F4">
        <w:t xml:space="preserve">MBS costs were slightly higher in this resubmission due to increased fees. </w:t>
      </w:r>
    </w:p>
    <w:p w:rsidR="00C66BE6" w:rsidRPr="001A05F4" w:rsidRDefault="00C66BE6" w:rsidP="00C66BE6">
      <w:pPr>
        <w:pStyle w:val="Heading2"/>
      </w:pPr>
      <w:bookmarkStart w:id="50" w:name="_Toc72327837"/>
      <w:r w:rsidRPr="001A05F4">
        <w:t>Financial Management – Risk Sharing Arrangements</w:t>
      </w:r>
      <w:bookmarkEnd w:id="50"/>
    </w:p>
    <w:p w:rsidR="00C66BE6" w:rsidRPr="001A05F4" w:rsidRDefault="00C66BE6" w:rsidP="00C66BE6">
      <w:pPr>
        <w:widowControl/>
      </w:pPr>
    </w:p>
    <w:p w:rsidR="00C66BE6" w:rsidRPr="001A05F4" w:rsidRDefault="00C66BE6" w:rsidP="00F9436F">
      <w:pPr>
        <w:pStyle w:val="ListParagraph"/>
        <w:widowControl/>
        <w:numPr>
          <w:ilvl w:val="1"/>
          <w:numId w:val="2"/>
        </w:numPr>
      </w:pPr>
      <w:r w:rsidRPr="001A05F4">
        <w:t xml:space="preserve">The resubmission proposed a separate </w:t>
      </w:r>
      <w:r w:rsidR="00FF3C98">
        <w:t>R</w:t>
      </w:r>
      <w:r w:rsidR="00FF3C98" w:rsidRPr="001A05F4">
        <w:t xml:space="preserve">isk </w:t>
      </w:r>
      <w:r w:rsidR="00FF3C98">
        <w:t>S</w:t>
      </w:r>
      <w:r w:rsidR="00FF3C98" w:rsidRPr="001A05F4">
        <w:t xml:space="preserve">haring </w:t>
      </w:r>
      <w:r w:rsidR="00FF3C98">
        <w:t>A</w:t>
      </w:r>
      <w:r w:rsidR="00FF3C98" w:rsidRPr="001A05F4">
        <w:t xml:space="preserve">rrangement </w:t>
      </w:r>
      <w:r w:rsidRPr="001A05F4">
        <w:t xml:space="preserve">(RSA) specifically for adults, independent of the existing RSA for nusinersen in the paediatric setting. This differed from the November 2020 submission which proposed that an amendment be made to the existing Deed of Agreement that exists for nusinersen with the Commonwealth (2018). </w:t>
      </w:r>
    </w:p>
    <w:p w:rsidR="00C66BE6" w:rsidRPr="001A05F4" w:rsidRDefault="00C66BE6" w:rsidP="00F9436F">
      <w:pPr>
        <w:pStyle w:val="ListParagraph"/>
        <w:widowControl/>
        <w:numPr>
          <w:ilvl w:val="1"/>
          <w:numId w:val="2"/>
        </w:numPr>
      </w:pPr>
      <w:r w:rsidRPr="001A05F4">
        <w:t>There are two elements to the proposed Deed of Agreement with the Commonwealth for nusinersen in the treatment of adults with SMA:</w:t>
      </w:r>
    </w:p>
    <w:p w:rsidR="00C66BE6" w:rsidRPr="00C508D4" w:rsidRDefault="00C66BE6" w:rsidP="00D07FFC">
      <w:pPr>
        <w:pStyle w:val="ListParagraph"/>
        <w:widowControl/>
        <w:numPr>
          <w:ilvl w:val="0"/>
          <w:numId w:val="1"/>
        </w:numPr>
        <w:ind w:left="993" w:hanging="284"/>
      </w:pPr>
      <w:r w:rsidRPr="001A05F4">
        <w:t xml:space="preserve">An additional rebate, specific to adults initiating therapy, requiring a </w:t>
      </w:r>
      <w:r w:rsidR="00FF3C98">
        <w:t>S</w:t>
      </w:r>
      <w:r w:rsidR="00FF3C98" w:rsidRPr="001A05F4">
        <w:t xml:space="preserve">pecial </w:t>
      </w:r>
      <w:r w:rsidR="00FF3C98">
        <w:t>P</w:t>
      </w:r>
      <w:r w:rsidR="00FF3C98" w:rsidRPr="001A05F4">
        <w:t xml:space="preserve">ricing </w:t>
      </w:r>
      <w:r w:rsidR="00FF3C98" w:rsidRPr="00C508D4">
        <w:t xml:space="preserve">Arrangement </w:t>
      </w:r>
      <w:r w:rsidRPr="00C508D4">
        <w:t xml:space="preserve">(SPA). This reduces the effective price for the adult population by </w:t>
      </w:r>
      <w:r w:rsidR="006B0D96">
        <w:rPr>
          <w:noProof/>
          <w:color w:val="000000"/>
          <w:highlight w:val="black"/>
        </w:rPr>
        <w:t>'''''</w:t>
      </w:r>
      <w:r w:rsidRPr="00C508D4">
        <w:t>% (to $</w:t>
      </w:r>
      <w:r w:rsidR="006B0D96">
        <w:rPr>
          <w:noProof/>
          <w:color w:val="000000"/>
          <w:highlight w:val="black"/>
        </w:rPr>
        <w:t>'''''''''''''</w:t>
      </w:r>
      <w:r w:rsidRPr="00C508D4">
        <w:t xml:space="preserve"> per vial) plus </w:t>
      </w:r>
      <w:r w:rsidR="006B0D96">
        <w:rPr>
          <w:noProof/>
          <w:color w:val="000000"/>
          <w:highlight w:val="black"/>
        </w:rPr>
        <w:t>'' ''''''''''''' ''''''''' '''''''''''''''' '''' '''''''' '''''''''</w:t>
      </w:r>
      <w:r w:rsidRPr="00C508D4">
        <w:t xml:space="preserve">) on initiation of treatment. This differed from the November 2020 submission where an additional rebate of </w:t>
      </w:r>
      <w:r w:rsidR="006B0D96">
        <w:rPr>
          <w:noProof/>
          <w:color w:val="000000"/>
          <w:highlight w:val="black"/>
        </w:rPr>
        <w:t>'''''</w:t>
      </w:r>
      <w:r w:rsidRPr="00C508D4">
        <w:t xml:space="preserve">% was proposed plus </w:t>
      </w:r>
      <w:r w:rsidR="006B0D96">
        <w:rPr>
          <w:noProof/>
          <w:color w:val="000000"/>
          <w:highlight w:val="black"/>
        </w:rPr>
        <w:t>''' ''''''''''''''' '''''''''' ''''''''''''''''</w:t>
      </w:r>
      <w:r w:rsidRPr="00C508D4">
        <w:t xml:space="preserve"> on initiation of treatment.</w:t>
      </w:r>
      <w:r w:rsidR="00C44B9D" w:rsidRPr="00C508D4">
        <w:t xml:space="preserve"> </w:t>
      </w:r>
    </w:p>
    <w:p w:rsidR="00C66BE6" w:rsidRPr="00C508D4" w:rsidRDefault="00C66BE6" w:rsidP="00D07FFC">
      <w:pPr>
        <w:pStyle w:val="ListParagraph"/>
        <w:widowControl/>
        <w:numPr>
          <w:ilvl w:val="0"/>
          <w:numId w:val="1"/>
        </w:numPr>
        <w:ind w:left="993" w:hanging="284"/>
      </w:pPr>
      <w:r w:rsidRPr="00C508D4">
        <w:t>Management of uncertainty, with a proposal for an adult-specific expenditure cap.</w:t>
      </w:r>
    </w:p>
    <w:p w:rsidR="00C66BE6" w:rsidRPr="001A05F4" w:rsidRDefault="00C66BE6" w:rsidP="00F9436F">
      <w:pPr>
        <w:pStyle w:val="ListParagraph"/>
        <w:widowControl/>
        <w:numPr>
          <w:ilvl w:val="1"/>
          <w:numId w:val="2"/>
        </w:numPr>
      </w:pPr>
      <w:r w:rsidRPr="00C508D4">
        <w:t xml:space="preserve">The </w:t>
      </w:r>
      <w:r w:rsidR="006B0D96">
        <w:rPr>
          <w:noProof/>
          <w:color w:val="000000"/>
          <w:highlight w:val="black"/>
        </w:rPr>
        <w:t>''''''''''''''' '''''''''''''' '''''''''</w:t>
      </w:r>
      <w:r w:rsidRPr="00C508D4">
        <w:t xml:space="preserve"> was applied in the economic and financial analysis presented by the resubmission (i.e. the economic model and financial estimates were based on patients requiring </w:t>
      </w:r>
      <w:r w:rsidR="006B0D96">
        <w:rPr>
          <w:noProof/>
          <w:color w:val="000000"/>
          <w:highlight w:val="black"/>
        </w:rPr>
        <w:t>''''''''''' '''''''''''' ''''''''' ''''''''</w:t>
      </w:r>
      <w:r w:rsidRPr="00C508D4">
        <w:t>, loading doses) and was</w:t>
      </w:r>
      <w:r w:rsidRPr="001A05F4">
        <w:t xml:space="preserve"> proposed to be achieved by tracking initiating patients, as occurs for the existing listing. </w:t>
      </w:r>
    </w:p>
    <w:p w:rsidR="000343C7" w:rsidRPr="001A05F4" w:rsidRDefault="000343C7" w:rsidP="00F9436F">
      <w:pPr>
        <w:pStyle w:val="ListParagraph"/>
        <w:widowControl/>
        <w:numPr>
          <w:ilvl w:val="1"/>
          <w:numId w:val="2"/>
        </w:numPr>
        <w:rPr>
          <w:iCs/>
        </w:rPr>
      </w:pPr>
      <w:r w:rsidRPr="001A05F4">
        <w:rPr>
          <w:iCs/>
        </w:rPr>
        <w:t xml:space="preserve">The PSCR indicated that the Sponsor is willing to work with the PBAC and Department of Health to develop a framework for collecting real-world data for nusinersen in adults via the </w:t>
      </w:r>
      <w:bookmarkStart w:id="51" w:name="_Hlk77333881"/>
      <w:r w:rsidRPr="001A05F4">
        <w:rPr>
          <w:iCs/>
        </w:rPr>
        <w:t>Australian SMA Registry to provide further confidence in the magnitude and durability of clinical benefit of nusinersen treatment in adults with SMA in the Australian setting. The PSCR stated that this registry has started collecting important medical information on individuals with SMA in Australia.</w:t>
      </w:r>
      <w:bookmarkEnd w:id="51"/>
      <w:r w:rsidRPr="001A05F4">
        <w:rPr>
          <w:iCs/>
        </w:rPr>
        <w:t xml:space="preserve"> The ESC requested that the sponsor provide an update regarding the number of adult patients currently included in the Australian SMA registry in its pre-PBAC response. The ESC advised that </w:t>
      </w:r>
      <w:r w:rsidR="003B3E7F" w:rsidRPr="001A05F4">
        <w:rPr>
          <w:rFonts w:cs="Calibri"/>
          <w:iCs/>
          <w:szCs w:val="24"/>
          <w:lang w:eastAsia="en-AU"/>
        </w:rPr>
        <w:t>further input is required to determine</w:t>
      </w:r>
      <w:r w:rsidR="00671348" w:rsidRPr="001A05F4">
        <w:rPr>
          <w:rFonts w:cs="Calibri"/>
          <w:iCs/>
          <w:szCs w:val="24"/>
          <w:lang w:eastAsia="en-AU"/>
        </w:rPr>
        <w:t xml:space="preserve"> which</w:t>
      </w:r>
      <w:r w:rsidRPr="001A05F4">
        <w:rPr>
          <w:rFonts w:cs="Calibri"/>
          <w:iCs/>
          <w:szCs w:val="24"/>
          <w:lang w:eastAsia="en-AU"/>
        </w:rPr>
        <w:t xml:space="preserve"> outcomes </w:t>
      </w:r>
      <w:r w:rsidR="00671348" w:rsidRPr="001A05F4">
        <w:rPr>
          <w:rFonts w:cs="Calibri"/>
          <w:iCs/>
          <w:szCs w:val="24"/>
          <w:lang w:eastAsia="en-AU"/>
        </w:rPr>
        <w:t xml:space="preserve">would </w:t>
      </w:r>
      <w:r w:rsidR="00A44786" w:rsidRPr="001A05F4">
        <w:rPr>
          <w:rFonts w:cs="Calibri"/>
          <w:iCs/>
          <w:szCs w:val="24"/>
          <w:lang w:eastAsia="en-AU"/>
        </w:rPr>
        <w:t>capture the most meaningful changes for this heterogeneous group of patients</w:t>
      </w:r>
      <w:r w:rsidR="00B231A6" w:rsidRPr="001A05F4">
        <w:rPr>
          <w:rFonts w:cs="Calibri"/>
          <w:iCs/>
          <w:szCs w:val="24"/>
          <w:lang w:eastAsia="en-AU"/>
        </w:rPr>
        <w:t>,</w:t>
      </w:r>
      <w:r w:rsidR="00A44786" w:rsidRPr="001A05F4">
        <w:rPr>
          <w:rFonts w:cs="Calibri"/>
          <w:iCs/>
          <w:szCs w:val="24"/>
          <w:lang w:eastAsia="en-AU"/>
        </w:rPr>
        <w:t xml:space="preserve"> </w:t>
      </w:r>
      <w:r w:rsidRPr="001A05F4">
        <w:rPr>
          <w:rFonts w:cs="Calibri"/>
          <w:iCs/>
          <w:szCs w:val="24"/>
          <w:lang w:eastAsia="en-AU"/>
        </w:rPr>
        <w:t xml:space="preserve">for inclusion in any Pay for Performance or Managed </w:t>
      </w:r>
      <w:r w:rsidR="00B231A6" w:rsidRPr="001A05F4">
        <w:rPr>
          <w:rFonts w:cs="Calibri"/>
          <w:iCs/>
          <w:szCs w:val="24"/>
          <w:lang w:eastAsia="en-AU"/>
        </w:rPr>
        <w:t>Access Program</w:t>
      </w:r>
      <w:r w:rsidRPr="001A05F4">
        <w:rPr>
          <w:rFonts w:cs="Calibri"/>
          <w:iCs/>
          <w:szCs w:val="24"/>
          <w:lang w:eastAsia="en-AU"/>
        </w:rPr>
        <w:t xml:space="preserve"> for nusinersen</w:t>
      </w:r>
      <w:r w:rsidR="00B231A6" w:rsidRPr="001A05F4">
        <w:rPr>
          <w:rFonts w:cs="Calibri"/>
          <w:iCs/>
          <w:szCs w:val="24"/>
          <w:lang w:eastAsia="en-AU"/>
        </w:rPr>
        <w:t xml:space="preserve"> in the adult population</w:t>
      </w:r>
      <w:r w:rsidR="00A44786" w:rsidRPr="001A05F4">
        <w:rPr>
          <w:rFonts w:cs="Calibri"/>
          <w:iCs/>
          <w:szCs w:val="24"/>
          <w:lang w:eastAsia="en-AU"/>
        </w:rPr>
        <w:t xml:space="preserve">. </w:t>
      </w:r>
      <w:r w:rsidR="00AD42B6" w:rsidRPr="001A05F4">
        <w:rPr>
          <w:rFonts w:cs="Calibri"/>
          <w:iCs/>
          <w:szCs w:val="24"/>
          <w:lang w:eastAsia="en-AU"/>
        </w:rPr>
        <w:t xml:space="preserve">The pre-PBAC </w:t>
      </w:r>
      <w:r w:rsidR="00F724CB" w:rsidRPr="001A05F4">
        <w:rPr>
          <w:rFonts w:cs="Calibri"/>
          <w:iCs/>
          <w:szCs w:val="24"/>
          <w:lang w:eastAsia="en-AU"/>
        </w:rPr>
        <w:t>r</w:t>
      </w:r>
      <w:r w:rsidR="00AD42B6" w:rsidRPr="001A05F4">
        <w:rPr>
          <w:rFonts w:cs="Calibri"/>
          <w:iCs/>
          <w:szCs w:val="24"/>
          <w:lang w:eastAsia="en-AU"/>
        </w:rPr>
        <w:t xml:space="preserve">esponse stated there were currently 55 adult patients participating in the Australian SMA registry. The pre-PBAC </w:t>
      </w:r>
      <w:r w:rsidR="00F724CB" w:rsidRPr="001A05F4">
        <w:rPr>
          <w:rFonts w:cs="Calibri"/>
          <w:iCs/>
          <w:szCs w:val="24"/>
          <w:lang w:eastAsia="en-AU"/>
        </w:rPr>
        <w:t>r</w:t>
      </w:r>
      <w:r w:rsidR="00AD42B6" w:rsidRPr="001A05F4">
        <w:rPr>
          <w:rFonts w:cs="Calibri"/>
          <w:iCs/>
          <w:szCs w:val="24"/>
          <w:lang w:eastAsia="en-AU"/>
        </w:rPr>
        <w:t xml:space="preserve">esponse indicated the sponsor is willing to work with the PBAC and the adult SMA clinical community to identify the outcomes which would capture the most clinically meaningful changes in adults for inclusion in the Australian SMA Registry. The pre-PBAC </w:t>
      </w:r>
      <w:r w:rsidR="00F724CB" w:rsidRPr="001A05F4">
        <w:rPr>
          <w:rFonts w:cs="Calibri"/>
          <w:iCs/>
          <w:szCs w:val="24"/>
          <w:lang w:eastAsia="en-AU"/>
        </w:rPr>
        <w:t>r</w:t>
      </w:r>
      <w:r w:rsidR="00AD42B6" w:rsidRPr="001A05F4">
        <w:rPr>
          <w:rFonts w:cs="Calibri"/>
          <w:iCs/>
          <w:szCs w:val="24"/>
          <w:lang w:eastAsia="en-AU"/>
        </w:rPr>
        <w:t>esponse noted that if an outcome-based approach is adopted, an appropriate stopping criteria aligned with clinical expert advice will be required to ensure adult patients could only continue nusinersen treatment if they are benefitting from treatment or do not experience a clinically significant decline resulting in loss of function.</w:t>
      </w:r>
    </w:p>
    <w:p w:rsidR="00351FF9" w:rsidRPr="001A05F4" w:rsidRDefault="00351FF9" w:rsidP="00F9436F">
      <w:pPr>
        <w:pStyle w:val="ListParagraph"/>
        <w:widowControl/>
        <w:numPr>
          <w:ilvl w:val="1"/>
          <w:numId w:val="2"/>
        </w:numPr>
        <w:rPr>
          <w:iCs/>
        </w:rPr>
      </w:pPr>
      <w:r w:rsidRPr="001A05F4">
        <w:rPr>
          <w:rFonts w:cs="Calibri"/>
          <w:iCs/>
          <w:szCs w:val="24"/>
          <w:lang w:eastAsia="en-AU"/>
        </w:rPr>
        <w:t xml:space="preserve">The PBAC noted that the pre-PBAC response suggested that the cost of funding paediatric Type IIIb patients </w:t>
      </w:r>
      <w:r w:rsidR="00F833A1" w:rsidRPr="001A05F4">
        <w:rPr>
          <w:rFonts w:cs="Calibri"/>
          <w:iCs/>
          <w:szCs w:val="24"/>
          <w:lang w:eastAsia="en-AU"/>
        </w:rPr>
        <w:t xml:space="preserve">could be included </w:t>
      </w:r>
      <w:r w:rsidRPr="001A05F4">
        <w:rPr>
          <w:rFonts w:cs="Calibri"/>
          <w:iCs/>
          <w:szCs w:val="24"/>
          <w:lang w:eastAsia="en-AU"/>
        </w:rPr>
        <w:t xml:space="preserve">in the </w:t>
      </w:r>
      <w:r w:rsidR="00BB238C" w:rsidRPr="001A05F4">
        <w:rPr>
          <w:rFonts w:cs="Calibri"/>
          <w:iCs/>
          <w:szCs w:val="24"/>
          <w:lang w:eastAsia="en-AU"/>
        </w:rPr>
        <w:t>existing RSA for nusinersen in symptomatic paediatric patients with Type I, II and IIIa SMA. The PBAC agreed with the pre-PBAC response that the size of the eligible paediatric Type IIIb population is likely to be small.</w:t>
      </w:r>
    </w:p>
    <w:p w:rsidR="008F044B" w:rsidRPr="001A05F4" w:rsidRDefault="008F044B" w:rsidP="008F044B">
      <w:pPr>
        <w:pStyle w:val="ListParagraph"/>
        <w:widowControl/>
        <w:rPr>
          <w:i/>
        </w:rPr>
      </w:pPr>
      <w:r w:rsidRPr="001A05F4">
        <w:rPr>
          <w:rFonts w:asciiTheme="minorHAnsi" w:hAnsiTheme="minorHAnsi"/>
          <w:i/>
        </w:rPr>
        <w:t>For more detail on PBAC’s view, see section 7 PBAC outcome</w:t>
      </w:r>
      <w:r w:rsidR="009F583C" w:rsidRPr="001A05F4">
        <w:rPr>
          <w:rFonts w:asciiTheme="minorHAnsi" w:hAnsiTheme="minorHAnsi"/>
          <w:i/>
        </w:rPr>
        <w:t>.</w:t>
      </w:r>
    </w:p>
    <w:p w:rsidR="00517C13" w:rsidRPr="001A05F4" w:rsidRDefault="00517C13" w:rsidP="00F9436F">
      <w:pPr>
        <w:pStyle w:val="2-SectionHeading"/>
        <w:numPr>
          <w:ilvl w:val="0"/>
          <w:numId w:val="2"/>
        </w:numPr>
      </w:pPr>
      <w:r w:rsidRPr="001A05F4">
        <w:t xml:space="preserve">PBAC Outcome </w:t>
      </w:r>
    </w:p>
    <w:p w:rsidR="009E0720" w:rsidRPr="001A05F4" w:rsidRDefault="009E0720" w:rsidP="009E0720">
      <w:pPr>
        <w:spacing w:after="120"/>
        <w:rPr>
          <w:rFonts w:asciiTheme="minorHAnsi" w:hAnsiTheme="minorHAnsi"/>
          <w:szCs w:val="24"/>
          <w:u w:val="single"/>
          <w:lang w:eastAsia="en-AU"/>
        </w:rPr>
      </w:pPr>
      <w:r w:rsidRPr="001A05F4">
        <w:rPr>
          <w:rFonts w:asciiTheme="minorHAnsi" w:hAnsiTheme="minorHAnsi"/>
          <w:szCs w:val="24"/>
          <w:u w:val="single"/>
          <w:lang w:eastAsia="en-AU"/>
        </w:rPr>
        <w:t>Adult SMA Population</w:t>
      </w:r>
    </w:p>
    <w:p w:rsidR="00240144" w:rsidRPr="001A05F4" w:rsidRDefault="00E76141" w:rsidP="00F9436F">
      <w:pPr>
        <w:pStyle w:val="ListParagraph"/>
        <w:numPr>
          <w:ilvl w:val="1"/>
          <w:numId w:val="2"/>
        </w:numPr>
        <w:rPr>
          <w:rFonts w:asciiTheme="minorHAnsi" w:hAnsiTheme="minorHAnsi"/>
          <w:szCs w:val="24"/>
          <w:lang w:eastAsia="en-AU"/>
        </w:rPr>
      </w:pPr>
      <w:r w:rsidRPr="001A05F4">
        <w:rPr>
          <w:bCs/>
        </w:rPr>
        <w:t xml:space="preserve">The </w:t>
      </w:r>
      <w:r w:rsidR="00006DA2" w:rsidRPr="001A05F4">
        <w:rPr>
          <w:bCs/>
        </w:rPr>
        <w:t xml:space="preserve">PBAC did not recommend extending the listing of nusinersen to include the treatment of spinal muscular atrophy (SMA) in patients with symptom onset prior to 19 years of age, and removal of the age limit of 18 years for initiation of treatment. </w:t>
      </w:r>
      <w:r w:rsidR="00006DA2" w:rsidRPr="001A05F4">
        <w:t xml:space="preserve">The PBAC recognised the clinical need for effective treatments for </w:t>
      </w:r>
      <w:r w:rsidR="00006DA2" w:rsidRPr="001A05F4">
        <w:rPr>
          <w:color w:val="000000" w:themeColor="text1"/>
        </w:rPr>
        <w:t xml:space="preserve">adult </w:t>
      </w:r>
      <w:r w:rsidR="00006DA2" w:rsidRPr="001A05F4">
        <w:t>SMA. However, the PBAC considered that the adult population most likely to benefit from treatment with nusinersen remained inadequately defined in the resubmission.</w:t>
      </w:r>
      <w:r w:rsidR="00C13D62" w:rsidRPr="001A05F4">
        <w:t xml:space="preserve"> The PBAC noted that the magnitude and durability of </w:t>
      </w:r>
      <w:r w:rsidR="00BA7E11" w:rsidRPr="001A05F4">
        <w:t xml:space="preserve">the </w:t>
      </w:r>
      <w:r w:rsidR="00C13D62" w:rsidRPr="001A05F4">
        <w:t xml:space="preserve">treatment benefit remained uncertain and considered that the ICER was exceptionally high at the price proposed. The PBAC advised that a substantial price reduction commensurate with the </w:t>
      </w:r>
      <w:bookmarkStart w:id="52" w:name="_Hlk77684727"/>
      <w:r w:rsidR="00C13D62" w:rsidRPr="001A05F4">
        <w:t>benefit of treatment in adult SMA patients</w:t>
      </w:r>
      <w:bookmarkEnd w:id="52"/>
      <w:r w:rsidR="00AF11B5" w:rsidRPr="001A05F4">
        <w:t>,</w:t>
      </w:r>
      <w:r w:rsidR="00C13D62" w:rsidRPr="001A05F4">
        <w:t xml:space="preserve"> a </w:t>
      </w:r>
      <w:r w:rsidR="00473A62" w:rsidRPr="001A05F4">
        <w:t>R</w:t>
      </w:r>
      <w:r w:rsidR="00C13D62" w:rsidRPr="001A05F4">
        <w:t xml:space="preserve">isk </w:t>
      </w:r>
      <w:r w:rsidR="00473A62" w:rsidRPr="001A05F4">
        <w:t>S</w:t>
      </w:r>
      <w:r w:rsidR="00C13D62" w:rsidRPr="001A05F4">
        <w:t xml:space="preserve">haring </w:t>
      </w:r>
      <w:r w:rsidR="00473A62" w:rsidRPr="001A05F4">
        <w:t>A</w:t>
      </w:r>
      <w:r w:rsidR="00C13D62" w:rsidRPr="001A05F4">
        <w:t>rrangement</w:t>
      </w:r>
      <w:r w:rsidR="00473A62" w:rsidRPr="001A05F4">
        <w:t xml:space="preserve"> (RSA)</w:t>
      </w:r>
      <w:r w:rsidR="00DD379C" w:rsidRPr="001A05F4">
        <w:t>,</w:t>
      </w:r>
      <w:r w:rsidR="00624371" w:rsidRPr="001A05F4">
        <w:t xml:space="preserve"> and</w:t>
      </w:r>
      <w:r w:rsidR="00792E65" w:rsidRPr="001A05F4">
        <w:t xml:space="preserve"> a</w:t>
      </w:r>
      <w:r w:rsidR="00624371" w:rsidRPr="001A05F4">
        <w:t xml:space="preserve"> Managed Access Program (MAP)</w:t>
      </w:r>
      <w:r w:rsidR="00C13D62" w:rsidRPr="001A05F4">
        <w:t xml:space="preserve"> which accounts for the number of patients treated and the number of patients who respond to treatment, would be required to achieve a cost-effective listing for adult</w:t>
      </w:r>
      <w:r w:rsidR="00792E65" w:rsidRPr="001A05F4">
        <w:t xml:space="preserve"> </w:t>
      </w:r>
      <w:r w:rsidR="00AF11B5" w:rsidRPr="001A05F4">
        <w:t xml:space="preserve">SMA </w:t>
      </w:r>
      <w:r w:rsidR="00C13D62" w:rsidRPr="001A05F4">
        <w:t xml:space="preserve">patients. </w:t>
      </w:r>
    </w:p>
    <w:p w:rsidR="00AF11B5" w:rsidRPr="001A05F4" w:rsidRDefault="003D3F8C" w:rsidP="00FA39FD">
      <w:pPr>
        <w:pStyle w:val="ListParagraph"/>
        <w:numPr>
          <w:ilvl w:val="1"/>
          <w:numId w:val="2"/>
        </w:numPr>
        <w:rPr>
          <w:rFonts w:asciiTheme="minorHAnsi" w:hAnsiTheme="minorHAnsi"/>
          <w:szCs w:val="24"/>
          <w:lang w:eastAsia="en-AU"/>
        </w:rPr>
      </w:pPr>
      <w:r w:rsidRPr="001A05F4">
        <w:t xml:space="preserve">The PBAC </w:t>
      </w:r>
      <w:r w:rsidR="00AF11B5" w:rsidRPr="001A05F4">
        <w:t xml:space="preserve">noted that nusinersen is a novel medicine and </w:t>
      </w:r>
      <w:r w:rsidR="00BB336D" w:rsidRPr="001A05F4">
        <w:t xml:space="preserve">acknowledged there was a high demand for treatments to be made available to adult </w:t>
      </w:r>
      <w:r w:rsidR="00DD3B78" w:rsidRPr="001A05F4">
        <w:t>SMA patients</w:t>
      </w:r>
      <w:r w:rsidR="00BB336D" w:rsidRPr="001A05F4">
        <w:t>. The PBAC noted the consumer comments indicated that</w:t>
      </w:r>
      <w:r w:rsidR="00DD3B78" w:rsidRPr="001A05F4">
        <w:t xml:space="preserve"> slowing disease progression and</w:t>
      </w:r>
      <w:r w:rsidR="00D5467F" w:rsidRPr="001A05F4">
        <w:t xml:space="preserve"> </w:t>
      </w:r>
      <w:r w:rsidR="00DD3B78" w:rsidRPr="001A05F4">
        <w:t xml:space="preserve">even small improvements in functioning were valued by adult SMA patients as these outcomes may allow patients to continue employment and maintain independence. </w:t>
      </w:r>
      <w:r w:rsidR="003221CD">
        <w:t xml:space="preserve">The PBAC </w:t>
      </w:r>
      <w:r w:rsidR="00E021BF">
        <w:t>noted</w:t>
      </w:r>
      <w:r w:rsidR="003221CD" w:rsidRPr="001A05F4">
        <w:t xml:space="preserve"> the condition is substantially debilitating and there are no PBS subsidised therapies available.</w:t>
      </w:r>
    </w:p>
    <w:p w:rsidR="008C225F" w:rsidRPr="001A05F4" w:rsidRDefault="005523E3" w:rsidP="00F9436F">
      <w:pPr>
        <w:pStyle w:val="ListParagraph"/>
        <w:numPr>
          <w:ilvl w:val="1"/>
          <w:numId w:val="2"/>
        </w:numPr>
        <w:rPr>
          <w:rFonts w:asciiTheme="minorHAnsi" w:hAnsiTheme="minorHAnsi"/>
          <w:szCs w:val="24"/>
          <w:lang w:eastAsia="en-AU"/>
        </w:rPr>
      </w:pPr>
      <w:r w:rsidRPr="001A05F4">
        <w:rPr>
          <w:rFonts w:asciiTheme="minorHAnsi" w:hAnsiTheme="minorHAnsi"/>
          <w:szCs w:val="24"/>
          <w:lang w:eastAsia="en-AU"/>
        </w:rPr>
        <w:t>The PBAC noted that</w:t>
      </w:r>
      <w:r w:rsidR="00696B85" w:rsidRPr="001A05F4">
        <w:rPr>
          <w:rFonts w:asciiTheme="minorHAnsi" w:hAnsiTheme="minorHAnsi"/>
          <w:szCs w:val="24"/>
          <w:lang w:eastAsia="en-AU"/>
        </w:rPr>
        <w:t xml:space="preserve"> as per the previous submission, the resubmission was based on</w:t>
      </w:r>
      <w:r w:rsidRPr="001A05F4">
        <w:rPr>
          <w:rFonts w:asciiTheme="minorHAnsi" w:hAnsiTheme="minorHAnsi"/>
          <w:szCs w:val="24"/>
          <w:lang w:eastAsia="en-AU"/>
        </w:rPr>
        <w:t xml:space="preserve"> </w:t>
      </w:r>
      <w:r w:rsidR="00696B85" w:rsidRPr="001A05F4">
        <w:rPr>
          <w:rFonts w:asciiTheme="minorHAnsi" w:hAnsiTheme="minorHAnsi"/>
          <w:szCs w:val="24"/>
          <w:lang w:eastAsia="en-AU"/>
        </w:rPr>
        <w:t>a naïve comparison of nusinersen studies with natural history studies of SMA patients</w:t>
      </w:r>
      <w:r w:rsidR="0060699B" w:rsidRPr="001A05F4">
        <w:rPr>
          <w:rFonts w:asciiTheme="minorHAnsi" w:hAnsiTheme="minorHAnsi"/>
          <w:szCs w:val="24"/>
          <w:lang w:eastAsia="en-AU"/>
        </w:rPr>
        <w:t xml:space="preserve"> for outcomes of </w:t>
      </w:r>
      <w:r w:rsidR="009B26A4" w:rsidRPr="001A05F4">
        <w:rPr>
          <w:rFonts w:asciiTheme="minorHAnsi" w:hAnsiTheme="minorHAnsi"/>
          <w:szCs w:val="24"/>
          <w:lang w:eastAsia="en-AU"/>
        </w:rPr>
        <w:t>HFMSE</w:t>
      </w:r>
      <w:r w:rsidR="0060699B" w:rsidRPr="001A05F4">
        <w:rPr>
          <w:rFonts w:asciiTheme="minorHAnsi" w:hAnsiTheme="minorHAnsi"/>
          <w:szCs w:val="24"/>
          <w:lang w:eastAsia="en-AU"/>
        </w:rPr>
        <w:t>, RULM and 6MWT</w:t>
      </w:r>
      <w:r w:rsidR="00696B85" w:rsidRPr="001A05F4">
        <w:rPr>
          <w:rFonts w:asciiTheme="minorHAnsi" w:hAnsiTheme="minorHAnsi"/>
          <w:szCs w:val="24"/>
          <w:lang w:eastAsia="en-AU"/>
        </w:rPr>
        <w:t>. The PBAC noted the data for nusinersen included</w:t>
      </w:r>
      <w:r w:rsidRPr="001A05F4">
        <w:rPr>
          <w:rFonts w:asciiTheme="minorHAnsi" w:hAnsiTheme="minorHAnsi"/>
          <w:szCs w:val="24"/>
          <w:lang w:eastAsia="en-AU"/>
        </w:rPr>
        <w:t xml:space="preserve"> </w:t>
      </w:r>
      <w:r w:rsidR="00AD375B" w:rsidRPr="001A05F4">
        <w:rPr>
          <w:rFonts w:asciiTheme="minorHAnsi" w:hAnsiTheme="minorHAnsi"/>
          <w:szCs w:val="24"/>
          <w:lang w:eastAsia="en-AU"/>
        </w:rPr>
        <w:t>eight real world studies consisting of 317 adults in total and data pooled from three European SMA registries in 252 adults, of which a subset</w:t>
      </w:r>
      <w:r w:rsidR="0019740F" w:rsidRPr="001A05F4">
        <w:rPr>
          <w:rFonts w:asciiTheme="minorHAnsi" w:hAnsiTheme="minorHAnsi"/>
          <w:szCs w:val="24"/>
          <w:lang w:eastAsia="en-AU"/>
        </w:rPr>
        <w:t xml:space="preserve"> (75 patients) </w:t>
      </w:r>
      <w:r w:rsidR="00AD375B" w:rsidRPr="001A05F4">
        <w:rPr>
          <w:rFonts w:asciiTheme="minorHAnsi" w:hAnsiTheme="minorHAnsi"/>
          <w:szCs w:val="24"/>
          <w:lang w:eastAsia="en-AU"/>
        </w:rPr>
        <w:t>reported results before and after initiation of nusinersen.</w:t>
      </w:r>
      <w:r w:rsidR="00F048B8" w:rsidRPr="001A05F4">
        <w:rPr>
          <w:rFonts w:asciiTheme="minorHAnsi" w:hAnsiTheme="minorHAnsi"/>
          <w:szCs w:val="24"/>
          <w:lang w:eastAsia="en-AU"/>
        </w:rPr>
        <w:t xml:space="preserve"> The PBAC noted </w:t>
      </w:r>
      <w:r w:rsidR="00004D1F" w:rsidRPr="001A05F4">
        <w:rPr>
          <w:rFonts w:asciiTheme="minorHAnsi" w:hAnsiTheme="minorHAnsi"/>
          <w:szCs w:val="24"/>
          <w:lang w:eastAsia="en-AU"/>
        </w:rPr>
        <w:t xml:space="preserve">that </w:t>
      </w:r>
      <w:r w:rsidR="00F048B8" w:rsidRPr="001A05F4">
        <w:rPr>
          <w:rFonts w:asciiTheme="minorHAnsi" w:hAnsiTheme="minorHAnsi"/>
          <w:szCs w:val="24"/>
          <w:lang w:eastAsia="en-AU"/>
        </w:rPr>
        <w:t xml:space="preserve">although the body of clinical evidence for nusinersen in adult SMA patients was substantially increased compared to the previous submission, </w:t>
      </w:r>
      <w:r w:rsidR="009F59D7" w:rsidRPr="001A05F4">
        <w:rPr>
          <w:rFonts w:asciiTheme="minorHAnsi" w:hAnsiTheme="minorHAnsi"/>
          <w:szCs w:val="24"/>
          <w:lang w:eastAsia="en-AU"/>
        </w:rPr>
        <w:t>the duration of follow-u</w:t>
      </w:r>
      <w:r w:rsidR="001703C3" w:rsidRPr="001A05F4">
        <w:rPr>
          <w:rFonts w:asciiTheme="minorHAnsi" w:hAnsiTheme="minorHAnsi"/>
          <w:szCs w:val="24"/>
          <w:lang w:eastAsia="en-AU"/>
        </w:rPr>
        <w:t xml:space="preserve">p did not substantially differ to the included studies in the previous submission. </w:t>
      </w:r>
    </w:p>
    <w:p w:rsidR="0060699B" w:rsidRPr="001A05F4" w:rsidRDefault="0060699B" w:rsidP="0060699B">
      <w:pPr>
        <w:pStyle w:val="3-BodyText"/>
        <w:numPr>
          <w:ilvl w:val="1"/>
          <w:numId w:val="2"/>
        </w:numPr>
        <w:snapToGrid w:val="0"/>
        <w:rPr>
          <w:snapToGrid/>
        </w:rPr>
      </w:pPr>
      <w:r w:rsidRPr="001A05F4">
        <w:t xml:space="preserve">The PBAC also noted that recent publications for nusinersen suggest that commonly used SMA outcomes such as the </w:t>
      </w:r>
      <w:r w:rsidR="009B26A4" w:rsidRPr="001A05F4">
        <w:t>HFMSE</w:t>
      </w:r>
      <w:r w:rsidRPr="001A05F4">
        <w:t xml:space="preserve"> and RULM are not meaningful for more severely affected individuals. </w:t>
      </w:r>
      <w:r w:rsidRPr="001A05F4">
        <w:rPr>
          <w:rFonts w:cs="Calibri"/>
        </w:rPr>
        <w:t xml:space="preserve">The </w:t>
      </w:r>
      <w:r w:rsidR="00931B95" w:rsidRPr="001A05F4">
        <w:rPr>
          <w:rFonts w:cs="Calibri"/>
        </w:rPr>
        <w:t xml:space="preserve">PBAC noted the </w:t>
      </w:r>
      <w:r w:rsidRPr="001A05F4">
        <w:rPr>
          <w:rFonts w:cs="Calibri"/>
        </w:rPr>
        <w:t>ESC</w:t>
      </w:r>
      <w:r w:rsidR="00931B95" w:rsidRPr="001A05F4">
        <w:rPr>
          <w:rFonts w:cs="Calibri"/>
        </w:rPr>
        <w:t>’s advice</w:t>
      </w:r>
      <w:r w:rsidRPr="001A05F4">
        <w:rPr>
          <w:rFonts w:cs="Calibri"/>
        </w:rPr>
        <w:t xml:space="preserve"> that, in addition to gross motor outcomes, outcomes such as lung function, hand motor function and grip strength, fatigue, stability, and endurance in activities of daily living may be more sensitive measures for quantification of treatment benefit and disease stabilisation in adults with SMA.</w:t>
      </w:r>
    </w:p>
    <w:p w:rsidR="005343F1" w:rsidRPr="001A05F4" w:rsidRDefault="00004D1F" w:rsidP="00F9436F">
      <w:pPr>
        <w:pStyle w:val="ListParagraph"/>
        <w:numPr>
          <w:ilvl w:val="1"/>
          <w:numId w:val="2"/>
        </w:numPr>
        <w:rPr>
          <w:rFonts w:asciiTheme="minorHAnsi" w:hAnsiTheme="minorHAnsi"/>
          <w:szCs w:val="24"/>
          <w:lang w:eastAsia="en-AU"/>
        </w:rPr>
      </w:pPr>
      <w:r w:rsidRPr="001A05F4">
        <w:rPr>
          <w:rFonts w:asciiTheme="minorHAnsi" w:hAnsiTheme="minorHAnsi"/>
          <w:szCs w:val="24"/>
          <w:lang w:eastAsia="en-AU"/>
        </w:rPr>
        <w:t>The PBAC considered that nusinersen provide</w:t>
      </w:r>
      <w:r w:rsidR="001225B8" w:rsidRPr="001A05F4">
        <w:rPr>
          <w:rFonts w:asciiTheme="minorHAnsi" w:hAnsiTheme="minorHAnsi"/>
          <w:szCs w:val="24"/>
          <w:lang w:eastAsia="en-AU"/>
        </w:rPr>
        <w:t xml:space="preserve">s a </w:t>
      </w:r>
      <w:r w:rsidR="00FA39FD" w:rsidRPr="001A05F4">
        <w:rPr>
          <w:rFonts w:asciiTheme="minorHAnsi" w:hAnsiTheme="minorHAnsi"/>
          <w:szCs w:val="24"/>
          <w:lang w:eastAsia="en-AU"/>
        </w:rPr>
        <w:t xml:space="preserve">minor added benefit, </w:t>
      </w:r>
      <w:r w:rsidR="001225B8" w:rsidRPr="001A05F4">
        <w:rPr>
          <w:rFonts w:asciiTheme="minorHAnsi" w:hAnsiTheme="minorHAnsi"/>
          <w:szCs w:val="24"/>
          <w:lang w:eastAsia="en-AU"/>
        </w:rPr>
        <w:t>versus standard of care for adult patients with Type II and III SMA</w:t>
      </w:r>
      <w:r w:rsidR="00FA39FD" w:rsidRPr="001A05F4">
        <w:rPr>
          <w:rFonts w:asciiTheme="minorHAnsi" w:hAnsiTheme="minorHAnsi"/>
          <w:szCs w:val="24"/>
          <w:lang w:eastAsia="en-AU"/>
        </w:rPr>
        <w:t>, which is clinically relevant</w:t>
      </w:r>
      <w:r w:rsidR="001225B8" w:rsidRPr="001A05F4">
        <w:rPr>
          <w:rFonts w:asciiTheme="minorHAnsi" w:hAnsiTheme="minorHAnsi"/>
          <w:szCs w:val="24"/>
          <w:lang w:eastAsia="en-AU"/>
        </w:rPr>
        <w:t xml:space="preserve">. However, the PBAC considered that, </w:t>
      </w:r>
      <w:r w:rsidR="00FA39FD" w:rsidRPr="001A05F4">
        <w:rPr>
          <w:rFonts w:asciiTheme="minorHAnsi" w:hAnsiTheme="minorHAnsi"/>
          <w:szCs w:val="24"/>
          <w:lang w:eastAsia="en-AU"/>
        </w:rPr>
        <w:t xml:space="preserve">there was a low level of confidence in the clinical data in terms of identifying the patients most likely to benefit from treatment, </w:t>
      </w:r>
      <w:r w:rsidR="001225B8" w:rsidRPr="001A05F4">
        <w:rPr>
          <w:rFonts w:asciiTheme="minorHAnsi" w:hAnsiTheme="minorHAnsi"/>
          <w:szCs w:val="24"/>
          <w:lang w:eastAsia="en-AU"/>
        </w:rPr>
        <w:t xml:space="preserve">the magnitude of the incremental benefit </w:t>
      </w:r>
      <w:r w:rsidR="00FA39FD" w:rsidRPr="001A05F4">
        <w:rPr>
          <w:rFonts w:asciiTheme="minorHAnsi" w:hAnsiTheme="minorHAnsi"/>
          <w:szCs w:val="24"/>
          <w:lang w:eastAsia="en-AU"/>
        </w:rPr>
        <w:t xml:space="preserve">and durability of benefit. The PBAC considered that these factors </w:t>
      </w:r>
      <w:r w:rsidR="001225B8" w:rsidRPr="001A05F4">
        <w:rPr>
          <w:rFonts w:asciiTheme="minorHAnsi" w:hAnsiTheme="minorHAnsi"/>
          <w:szCs w:val="24"/>
          <w:lang w:eastAsia="en-AU"/>
        </w:rPr>
        <w:t>remained uncertain and could not be determined from the available data</w:t>
      </w:r>
      <w:r w:rsidR="00AB3E0A" w:rsidRPr="001A05F4">
        <w:rPr>
          <w:rFonts w:asciiTheme="minorHAnsi" w:hAnsiTheme="minorHAnsi"/>
          <w:szCs w:val="24"/>
          <w:lang w:eastAsia="en-AU"/>
        </w:rPr>
        <w:t>. The PBAC noted there was heterogeneity within and across</w:t>
      </w:r>
      <w:r w:rsidR="00E82C17" w:rsidRPr="001A05F4">
        <w:rPr>
          <w:rFonts w:asciiTheme="minorHAnsi" w:hAnsiTheme="minorHAnsi"/>
          <w:szCs w:val="24"/>
          <w:lang w:eastAsia="en-AU"/>
        </w:rPr>
        <w:t xml:space="preserve"> the nusinersen studies with respect to patient age, ambulation status,</w:t>
      </w:r>
      <w:r w:rsidR="00E82C17" w:rsidRPr="001A05F4">
        <w:t xml:space="preserve"> </w:t>
      </w:r>
      <w:r w:rsidR="00E82C17" w:rsidRPr="001A05F4">
        <w:rPr>
          <w:rFonts w:asciiTheme="minorHAnsi" w:hAnsiTheme="minorHAnsi"/>
          <w:szCs w:val="24"/>
          <w:lang w:eastAsia="en-AU"/>
        </w:rPr>
        <w:t>degree of disease progression and the extent of function at baseline</w:t>
      </w:r>
      <w:r w:rsidR="00AD2FF6" w:rsidRPr="001A05F4">
        <w:rPr>
          <w:rFonts w:asciiTheme="minorHAnsi" w:hAnsiTheme="minorHAnsi"/>
          <w:szCs w:val="24"/>
          <w:lang w:eastAsia="en-AU"/>
        </w:rPr>
        <w:t>.</w:t>
      </w:r>
      <w:r w:rsidR="007427E3" w:rsidRPr="001A05F4">
        <w:rPr>
          <w:rFonts w:asciiTheme="minorHAnsi" w:hAnsiTheme="minorHAnsi"/>
          <w:szCs w:val="24"/>
          <w:lang w:eastAsia="en-AU"/>
        </w:rPr>
        <w:t xml:space="preserve"> The PBAC </w:t>
      </w:r>
      <w:r w:rsidR="00203DBF" w:rsidRPr="001A05F4">
        <w:rPr>
          <w:rFonts w:asciiTheme="minorHAnsi" w:hAnsiTheme="minorHAnsi"/>
          <w:szCs w:val="24"/>
          <w:lang w:eastAsia="en-AU"/>
        </w:rPr>
        <w:t>considered that the naïve comparison with natural history studies indicated that treatment with nusinersen was associated with some improvement in outcomes</w:t>
      </w:r>
      <w:r w:rsidR="0056242F" w:rsidRPr="001A05F4">
        <w:rPr>
          <w:rFonts w:asciiTheme="minorHAnsi" w:hAnsiTheme="minorHAnsi"/>
          <w:szCs w:val="24"/>
          <w:lang w:eastAsia="en-AU"/>
        </w:rPr>
        <w:t xml:space="preserve"> however</w:t>
      </w:r>
      <w:r w:rsidR="004D4F43" w:rsidRPr="001A05F4">
        <w:rPr>
          <w:rFonts w:asciiTheme="minorHAnsi" w:hAnsiTheme="minorHAnsi"/>
          <w:szCs w:val="24"/>
          <w:lang w:eastAsia="en-AU"/>
        </w:rPr>
        <w:t>,</w:t>
      </w:r>
      <w:r w:rsidR="0056242F" w:rsidRPr="001A05F4">
        <w:rPr>
          <w:rFonts w:asciiTheme="minorHAnsi" w:hAnsiTheme="minorHAnsi"/>
          <w:szCs w:val="24"/>
          <w:lang w:eastAsia="en-AU"/>
        </w:rPr>
        <w:t xml:space="preserve"> the PBAC noted </w:t>
      </w:r>
      <w:r w:rsidR="0047017B" w:rsidRPr="001A05F4">
        <w:rPr>
          <w:rFonts w:asciiTheme="minorHAnsi" w:hAnsiTheme="minorHAnsi"/>
          <w:szCs w:val="24"/>
          <w:lang w:eastAsia="en-AU"/>
        </w:rPr>
        <w:t xml:space="preserve">there was variability in the reported results </w:t>
      </w:r>
      <w:r w:rsidR="007427E3" w:rsidRPr="001A05F4">
        <w:rPr>
          <w:rFonts w:asciiTheme="minorHAnsi" w:hAnsiTheme="minorHAnsi"/>
          <w:szCs w:val="24"/>
          <w:lang w:eastAsia="en-AU"/>
        </w:rPr>
        <w:t>within and between stud</w:t>
      </w:r>
      <w:r w:rsidR="0047017B" w:rsidRPr="001A05F4">
        <w:rPr>
          <w:rFonts w:asciiTheme="minorHAnsi" w:hAnsiTheme="minorHAnsi"/>
          <w:szCs w:val="24"/>
          <w:lang w:eastAsia="en-AU"/>
        </w:rPr>
        <w:t>ies, particularly for</w:t>
      </w:r>
      <w:r w:rsidR="0056242F" w:rsidRPr="001A05F4">
        <w:rPr>
          <w:rFonts w:asciiTheme="minorHAnsi" w:hAnsiTheme="minorHAnsi"/>
          <w:szCs w:val="24"/>
          <w:lang w:eastAsia="en-AU"/>
        </w:rPr>
        <w:t xml:space="preserve"> </w:t>
      </w:r>
      <w:r w:rsidR="0047017B" w:rsidRPr="001A05F4">
        <w:rPr>
          <w:rFonts w:asciiTheme="minorHAnsi" w:hAnsiTheme="minorHAnsi"/>
          <w:szCs w:val="24"/>
          <w:lang w:eastAsia="en-AU"/>
        </w:rPr>
        <w:t>the 6MWT</w:t>
      </w:r>
      <w:r w:rsidR="0056242F" w:rsidRPr="001A05F4">
        <w:rPr>
          <w:rFonts w:asciiTheme="minorHAnsi" w:hAnsiTheme="minorHAnsi"/>
          <w:szCs w:val="24"/>
          <w:lang w:eastAsia="en-AU"/>
        </w:rPr>
        <w:t xml:space="preserve"> outcome</w:t>
      </w:r>
      <w:r w:rsidR="0047017B" w:rsidRPr="001A05F4">
        <w:rPr>
          <w:rFonts w:asciiTheme="minorHAnsi" w:hAnsiTheme="minorHAnsi"/>
          <w:szCs w:val="24"/>
          <w:lang w:eastAsia="en-AU"/>
        </w:rPr>
        <w:t>.</w:t>
      </w:r>
      <w:r w:rsidR="007427E3" w:rsidRPr="001A05F4">
        <w:rPr>
          <w:rFonts w:asciiTheme="minorHAnsi" w:hAnsiTheme="minorHAnsi"/>
          <w:szCs w:val="24"/>
          <w:lang w:eastAsia="en-AU"/>
        </w:rPr>
        <w:t xml:space="preserve"> </w:t>
      </w:r>
    </w:p>
    <w:p w:rsidR="001225B8" w:rsidRPr="001A05F4" w:rsidRDefault="004D4F43" w:rsidP="00F9436F">
      <w:pPr>
        <w:pStyle w:val="ListParagraph"/>
        <w:numPr>
          <w:ilvl w:val="1"/>
          <w:numId w:val="2"/>
        </w:numPr>
        <w:rPr>
          <w:rFonts w:asciiTheme="minorHAnsi" w:hAnsiTheme="minorHAnsi"/>
          <w:szCs w:val="24"/>
          <w:lang w:eastAsia="en-AU"/>
        </w:rPr>
      </w:pPr>
      <w:r w:rsidRPr="001A05F4">
        <w:rPr>
          <w:rFonts w:asciiTheme="minorHAnsi" w:hAnsiTheme="minorHAnsi"/>
          <w:szCs w:val="24"/>
          <w:lang w:eastAsia="en-AU"/>
        </w:rPr>
        <w:t xml:space="preserve">The PBAC acknowledged that given the rarity of the condition in adults, randomised comparative data would unlikely be forthcoming and that the uncertainty around the magnitude of benefit with nusinersen may need to be </w:t>
      </w:r>
      <w:r w:rsidR="00FD463C" w:rsidRPr="001A05F4">
        <w:rPr>
          <w:rFonts w:asciiTheme="minorHAnsi" w:hAnsiTheme="minorHAnsi"/>
          <w:szCs w:val="24"/>
          <w:lang w:eastAsia="en-AU"/>
        </w:rPr>
        <w:t>managed</w:t>
      </w:r>
      <w:r w:rsidRPr="001A05F4">
        <w:rPr>
          <w:rFonts w:asciiTheme="minorHAnsi" w:hAnsiTheme="minorHAnsi"/>
          <w:szCs w:val="24"/>
          <w:lang w:eastAsia="en-AU"/>
        </w:rPr>
        <w:t xml:space="preserve"> </w:t>
      </w:r>
      <w:r w:rsidR="008915F7" w:rsidRPr="001A05F4">
        <w:rPr>
          <w:rFonts w:asciiTheme="minorHAnsi" w:hAnsiTheme="minorHAnsi"/>
          <w:szCs w:val="24"/>
          <w:lang w:eastAsia="en-AU"/>
        </w:rPr>
        <w:t>through other measures</w:t>
      </w:r>
      <w:r w:rsidR="001A05F4">
        <w:rPr>
          <w:rFonts w:asciiTheme="minorHAnsi" w:hAnsiTheme="minorHAnsi"/>
          <w:szCs w:val="24"/>
          <w:lang w:eastAsia="en-AU"/>
        </w:rPr>
        <w:t xml:space="preserve">. </w:t>
      </w:r>
    </w:p>
    <w:p w:rsidR="00E76141" w:rsidRPr="001A05F4" w:rsidRDefault="00E76141" w:rsidP="00E76141">
      <w:pPr>
        <w:pStyle w:val="ListParagraph"/>
        <w:numPr>
          <w:ilvl w:val="1"/>
          <w:numId w:val="2"/>
        </w:numPr>
        <w:rPr>
          <w:rFonts w:asciiTheme="minorHAnsi" w:hAnsiTheme="minorHAnsi"/>
          <w:szCs w:val="24"/>
          <w:lang w:eastAsia="en-AU"/>
        </w:rPr>
      </w:pPr>
      <w:r w:rsidRPr="001A05F4">
        <w:rPr>
          <w:rFonts w:asciiTheme="minorHAnsi" w:hAnsiTheme="minorHAnsi"/>
          <w:szCs w:val="24"/>
          <w:lang w:eastAsia="en-AU"/>
        </w:rPr>
        <w:t>The PBAC considered that the claim of non-inferior comparative safety was not adequately supported by the data, reiterating its previous consideration that there may be long term implications from repeated lumbar puncture administrations.</w:t>
      </w:r>
    </w:p>
    <w:p w:rsidR="00514920" w:rsidRPr="001A05F4" w:rsidRDefault="00E76141" w:rsidP="004D4F7C">
      <w:pPr>
        <w:pStyle w:val="ListParagraph"/>
        <w:numPr>
          <w:ilvl w:val="1"/>
          <w:numId w:val="2"/>
        </w:numPr>
        <w:rPr>
          <w:rFonts w:asciiTheme="minorHAnsi" w:hAnsiTheme="minorHAnsi"/>
          <w:szCs w:val="24"/>
          <w:lang w:eastAsia="en-AU"/>
        </w:rPr>
      </w:pPr>
      <w:r w:rsidRPr="001A05F4">
        <w:rPr>
          <w:rFonts w:asciiTheme="minorHAnsi" w:hAnsiTheme="minorHAnsi"/>
          <w:szCs w:val="24"/>
          <w:lang w:eastAsia="en-AU"/>
        </w:rPr>
        <w:t xml:space="preserve">The revised </w:t>
      </w:r>
      <w:r w:rsidR="00FB729F" w:rsidRPr="001A05F4">
        <w:rPr>
          <w:rFonts w:asciiTheme="minorHAnsi" w:hAnsiTheme="minorHAnsi"/>
          <w:szCs w:val="24"/>
          <w:lang w:eastAsia="en-AU"/>
        </w:rPr>
        <w:t>economic evaluation presented in the resubmission was based on ad</w:t>
      </w:r>
      <w:r w:rsidR="00877E5C" w:rsidRPr="001A05F4">
        <w:rPr>
          <w:rFonts w:asciiTheme="minorHAnsi" w:hAnsiTheme="minorHAnsi"/>
          <w:szCs w:val="24"/>
          <w:lang w:eastAsia="en-AU"/>
        </w:rPr>
        <w:t>ults with Type III SMA only and</w:t>
      </w:r>
      <w:r w:rsidRPr="001A05F4">
        <w:rPr>
          <w:rFonts w:asciiTheme="minorHAnsi" w:hAnsiTheme="minorHAnsi"/>
          <w:szCs w:val="24"/>
          <w:lang w:eastAsia="en-AU"/>
        </w:rPr>
        <w:t xml:space="preserve"> used </w:t>
      </w:r>
      <w:r w:rsidRPr="001A05F4">
        <w:t>responder rates from Maggi 2020 to calculate the utility benefit of patients who were treated with nusinersen. Results from one natural history study, Wadman 2017, were used to inform the progression of disease in patients treated with standard of care. The PBAC noted that the changes</w:t>
      </w:r>
      <w:r w:rsidR="006F0277" w:rsidRPr="001A05F4">
        <w:t xml:space="preserve"> to the economic model compared with the previous submission</w:t>
      </w:r>
      <w:r w:rsidRPr="001A05F4">
        <w:t xml:space="preserve"> </w:t>
      </w:r>
      <w:r w:rsidRPr="001A05F4">
        <w:rPr>
          <w:iCs/>
        </w:rPr>
        <w:t xml:space="preserve">reflected </w:t>
      </w:r>
      <w:r w:rsidR="00BA7E11" w:rsidRPr="001A05F4">
        <w:rPr>
          <w:iCs/>
        </w:rPr>
        <w:t xml:space="preserve">the </w:t>
      </w:r>
      <w:r w:rsidRPr="001A05F4">
        <w:rPr>
          <w:iCs/>
        </w:rPr>
        <w:t xml:space="preserve">availability of additional clinical evidence, however </w:t>
      </w:r>
      <w:r w:rsidR="006F0277" w:rsidRPr="001A05F4">
        <w:rPr>
          <w:iCs/>
        </w:rPr>
        <w:t xml:space="preserve">also noted </w:t>
      </w:r>
      <w:r w:rsidRPr="001A05F4">
        <w:rPr>
          <w:iCs/>
        </w:rPr>
        <w:t xml:space="preserve">the changes introduced additional sources of uncertainty. </w:t>
      </w:r>
      <w:r w:rsidR="00834A06" w:rsidRPr="001A05F4">
        <w:rPr>
          <w:rFonts w:asciiTheme="minorHAnsi" w:hAnsiTheme="minorHAnsi"/>
          <w:szCs w:val="24"/>
          <w:lang w:eastAsia="en-AU"/>
        </w:rPr>
        <w:t xml:space="preserve">The PBAC considered that the </w:t>
      </w:r>
      <w:r w:rsidR="00877E5C" w:rsidRPr="001A05F4">
        <w:rPr>
          <w:rFonts w:asciiTheme="minorHAnsi" w:hAnsiTheme="minorHAnsi"/>
          <w:szCs w:val="24"/>
          <w:lang w:eastAsia="en-AU"/>
        </w:rPr>
        <w:t xml:space="preserve">level of confidence in the modelled benefits and </w:t>
      </w:r>
      <w:r w:rsidR="006F0277" w:rsidRPr="001A05F4">
        <w:rPr>
          <w:rFonts w:asciiTheme="minorHAnsi" w:hAnsiTheme="minorHAnsi"/>
          <w:szCs w:val="24"/>
          <w:lang w:eastAsia="en-AU"/>
        </w:rPr>
        <w:t xml:space="preserve">the </w:t>
      </w:r>
      <w:r w:rsidR="00877E5C" w:rsidRPr="001A05F4">
        <w:rPr>
          <w:rFonts w:asciiTheme="minorHAnsi" w:hAnsiTheme="minorHAnsi"/>
          <w:szCs w:val="24"/>
          <w:lang w:eastAsia="en-AU"/>
        </w:rPr>
        <w:t>ICER was low</w:t>
      </w:r>
      <w:r w:rsidR="006F0277" w:rsidRPr="001A05F4">
        <w:rPr>
          <w:rFonts w:asciiTheme="minorHAnsi" w:hAnsiTheme="minorHAnsi"/>
          <w:szCs w:val="24"/>
          <w:lang w:eastAsia="en-AU"/>
        </w:rPr>
        <w:t>,</w:t>
      </w:r>
      <w:r w:rsidR="00877E5C" w:rsidRPr="001A05F4">
        <w:rPr>
          <w:rFonts w:asciiTheme="minorHAnsi" w:hAnsiTheme="minorHAnsi"/>
          <w:szCs w:val="24"/>
          <w:lang w:eastAsia="en-AU"/>
        </w:rPr>
        <w:t xml:space="preserve"> and the </w:t>
      </w:r>
      <w:r w:rsidR="00834A06" w:rsidRPr="001A05F4">
        <w:rPr>
          <w:rFonts w:asciiTheme="minorHAnsi" w:hAnsiTheme="minorHAnsi"/>
          <w:szCs w:val="24"/>
          <w:lang w:eastAsia="en-AU"/>
        </w:rPr>
        <w:t xml:space="preserve">ICER was likely underestimated </w:t>
      </w:r>
      <w:r w:rsidR="00877E5C" w:rsidRPr="001A05F4">
        <w:rPr>
          <w:rFonts w:asciiTheme="minorHAnsi" w:hAnsiTheme="minorHAnsi"/>
          <w:szCs w:val="24"/>
          <w:lang w:eastAsia="en-AU"/>
        </w:rPr>
        <w:t xml:space="preserve">due to </w:t>
      </w:r>
      <w:r w:rsidR="006F0277" w:rsidRPr="001A05F4">
        <w:rPr>
          <w:rFonts w:asciiTheme="minorHAnsi" w:hAnsiTheme="minorHAnsi"/>
          <w:szCs w:val="24"/>
          <w:lang w:eastAsia="en-AU"/>
        </w:rPr>
        <w:t>patients treated with nusinersen not being able to progress to lower health states</w:t>
      </w:r>
      <w:r w:rsidR="00931B95" w:rsidRPr="001A05F4">
        <w:rPr>
          <w:rFonts w:asciiTheme="minorHAnsi" w:hAnsiTheme="minorHAnsi"/>
          <w:szCs w:val="24"/>
          <w:lang w:eastAsia="en-AU"/>
        </w:rPr>
        <w:t xml:space="preserve"> while on treatment</w:t>
      </w:r>
      <w:r w:rsidR="006F0277" w:rsidRPr="001A05F4">
        <w:rPr>
          <w:rFonts w:asciiTheme="minorHAnsi" w:hAnsiTheme="minorHAnsi"/>
          <w:szCs w:val="24"/>
          <w:lang w:eastAsia="en-AU"/>
        </w:rPr>
        <w:t xml:space="preserve"> and a utility</w:t>
      </w:r>
      <w:r w:rsidR="004D4F7C" w:rsidRPr="001A05F4">
        <w:rPr>
          <w:rFonts w:asciiTheme="minorHAnsi" w:hAnsiTheme="minorHAnsi"/>
          <w:szCs w:val="24"/>
          <w:lang w:eastAsia="en-AU"/>
        </w:rPr>
        <w:t xml:space="preserve"> benefit</w:t>
      </w:r>
      <w:r w:rsidR="006F0277" w:rsidRPr="001A05F4">
        <w:rPr>
          <w:rFonts w:asciiTheme="minorHAnsi" w:hAnsiTheme="minorHAnsi"/>
          <w:szCs w:val="24"/>
          <w:lang w:eastAsia="en-AU"/>
        </w:rPr>
        <w:t xml:space="preserve"> being applied to </w:t>
      </w:r>
      <w:r w:rsidR="004D4F7C" w:rsidRPr="001A05F4">
        <w:rPr>
          <w:rFonts w:asciiTheme="minorHAnsi" w:hAnsiTheme="minorHAnsi"/>
          <w:szCs w:val="24"/>
          <w:lang w:eastAsia="en-AU"/>
        </w:rPr>
        <w:t xml:space="preserve">both </w:t>
      </w:r>
      <w:r w:rsidR="006F0277" w:rsidRPr="001A05F4">
        <w:rPr>
          <w:rFonts w:asciiTheme="minorHAnsi" w:hAnsiTheme="minorHAnsi"/>
          <w:szCs w:val="24"/>
          <w:lang w:eastAsia="en-AU"/>
        </w:rPr>
        <w:t>nusinersen treatment as well as response</w:t>
      </w:r>
      <w:r w:rsidR="004D4F7C" w:rsidRPr="001A05F4">
        <w:rPr>
          <w:rFonts w:asciiTheme="minorHAnsi" w:hAnsiTheme="minorHAnsi"/>
          <w:szCs w:val="24"/>
          <w:lang w:eastAsia="en-AU"/>
        </w:rPr>
        <w:t>. The PBAC further noted t</w:t>
      </w:r>
      <w:r w:rsidR="0097304C" w:rsidRPr="001A05F4">
        <w:rPr>
          <w:rFonts w:asciiTheme="minorHAnsi" w:hAnsiTheme="minorHAnsi"/>
          <w:szCs w:val="24"/>
          <w:lang w:eastAsia="en-AU"/>
        </w:rPr>
        <w:t>he assumption of continued benefit for patients remaining on nusinersen over a lifetime time horizon</w:t>
      </w:r>
      <w:r w:rsidR="000B38CA" w:rsidRPr="001A05F4">
        <w:rPr>
          <w:rFonts w:asciiTheme="minorHAnsi" w:hAnsiTheme="minorHAnsi"/>
          <w:szCs w:val="24"/>
          <w:lang w:eastAsia="en-AU"/>
        </w:rPr>
        <w:t xml:space="preserve"> was considerably uncertain given </w:t>
      </w:r>
      <w:r w:rsidR="009F1117" w:rsidRPr="001A05F4">
        <w:rPr>
          <w:rFonts w:asciiTheme="minorHAnsi" w:hAnsiTheme="minorHAnsi"/>
          <w:szCs w:val="24"/>
          <w:lang w:eastAsia="en-AU"/>
        </w:rPr>
        <w:t xml:space="preserve">the available </w:t>
      </w:r>
      <w:r w:rsidR="00F23377" w:rsidRPr="001A05F4">
        <w:rPr>
          <w:rFonts w:asciiTheme="minorHAnsi" w:hAnsiTheme="minorHAnsi"/>
          <w:szCs w:val="24"/>
          <w:lang w:eastAsia="en-AU"/>
        </w:rPr>
        <w:t xml:space="preserve">study data </w:t>
      </w:r>
      <w:r w:rsidR="009F1117" w:rsidRPr="001A05F4">
        <w:rPr>
          <w:rFonts w:asciiTheme="minorHAnsi" w:hAnsiTheme="minorHAnsi"/>
          <w:szCs w:val="24"/>
          <w:lang w:eastAsia="en-AU"/>
        </w:rPr>
        <w:t>had only around</w:t>
      </w:r>
      <w:r w:rsidR="00F23377" w:rsidRPr="001A05F4">
        <w:rPr>
          <w:rFonts w:asciiTheme="minorHAnsi" w:hAnsiTheme="minorHAnsi"/>
          <w:szCs w:val="24"/>
          <w:lang w:eastAsia="en-AU"/>
        </w:rPr>
        <w:t xml:space="preserve"> 14 months follow-up. </w:t>
      </w:r>
    </w:p>
    <w:p w:rsidR="00E76141" w:rsidRPr="001A05F4" w:rsidRDefault="00E76141" w:rsidP="00A81EED">
      <w:pPr>
        <w:widowControl/>
        <w:numPr>
          <w:ilvl w:val="1"/>
          <w:numId w:val="2"/>
        </w:numPr>
        <w:spacing w:after="120"/>
        <w:rPr>
          <w:bCs/>
          <w:szCs w:val="24"/>
          <w:lang w:eastAsia="en-AU"/>
        </w:rPr>
      </w:pPr>
      <w:r w:rsidRPr="001A05F4">
        <w:rPr>
          <w:bCs/>
          <w:szCs w:val="24"/>
          <w:lang w:eastAsia="en-AU"/>
        </w:rPr>
        <w:t xml:space="preserve">The PBAC noted that while the base case ICER of </w:t>
      </w:r>
      <w:r w:rsidR="00A81EED" w:rsidRPr="00A81EED">
        <w:rPr>
          <w:bCs/>
          <w:szCs w:val="24"/>
          <w:lang w:eastAsia="en-AU"/>
        </w:rPr>
        <w:t>&gt; $1,055,000</w:t>
      </w:r>
      <w:r w:rsidRPr="001A05F4">
        <w:rPr>
          <w:bCs/>
          <w:szCs w:val="24"/>
          <w:lang w:eastAsia="en-AU"/>
        </w:rPr>
        <w:t>/QALY was substantially lower than that in the previous submission (</w:t>
      </w:r>
      <w:r w:rsidR="00B861B3">
        <w:rPr>
          <w:bCs/>
          <w:szCs w:val="24"/>
          <w:lang w:eastAsia="en-AU"/>
        </w:rPr>
        <w:t xml:space="preserve">&gt; </w:t>
      </w:r>
      <w:r w:rsidR="00A81EED" w:rsidRPr="00A81EED">
        <w:rPr>
          <w:bCs/>
          <w:szCs w:val="24"/>
          <w:lang w:eastAsia="en-AU"/>
        </w:rPr>
        <w:t>$1,055,000</w:t>
      </w:r>
      <w:r w:rsidRPr="001A05F4">
        <w:rPr>
          <w:bCs/>
          <w:szCs w:val="24"/>
          <w:lang w:eastAsia="en-AU"/>
        </w:rPr>
        <w:t xml:space="preserve">/QALY), it was still considerably higher than the March 2018 indicative ICER of </w:t>
      </w:r>
      <w:r w:rsidR="00A81EED" w:rsidRPr="00A81EED">
        <w:rPr>
          <w:bCs/>
          <w:szCs w:val="24"/>
          <w:lang w:eastAsia="en-AU"/>
        </w:rPr>
        <w:t>$355,000 to &lt; $455,000</w:t>
      </w:r>
      <w:r w:rsidR="00A81EED">
        <w:rPr>
          <w:bCs/>
          <w:szCs w:val="24"/>
          <w:lang w:eastAsia="en-AU"/>
        </w:rPr>
        <w:t xml:space="preserve"> </w:t>
      </w:r>
      <w:r w:rsidRPr="001A05F4">
        <w:rPr>
          <w:bCs/>
          <w:szCs w:val="24"/>
          <w:lang w:eastAsia="en-AU"/>
        </w:rPr>
        <w:t>estimated for patients with Type II/IIIa SMA (at the time, this ICER was considered uncertain and the PBAC advised that a price reduction would be appropriate).</w:t>
      </w:r>
      <w:r w:rsidR="004852CB" w:rsidRPr="001A05F4">
        <w:rPr>
          <w:bCs/>
          <w:szCs w:val="24"/>
          <w:lang w:eastAsia="en-AU"/>
        </w:rPr>
        <w:t xml:space="preserve"> The PBAC considered that to account for the relative </w:t>
      </w:r>
      <w:r w:rsidR="00BA200B" w:rsidRPr="001A05F4">
        <w:rPr>
          <w:bCs/>
          <w:szCs w:val="24"/>
          <w:lang w:eastAsia="en-AU"/>
        </w:rPr>
        <w:t>benefits</w:t>
      </w:r>
      <w:r w:rsidR="004852CB" w:rsidRPr="001A05F4">
        <w:rPr>
          <w:bCs/>
          <w:szCs w:val="24"/>
          <w:lang w:eastAsia="en-AU"/>
        </w:rPr>
        <w:t xml:space="preserve"> across the two populations the ICER for the adult population needs to be consistent with that for the listed (paediatric) population.</w:t>
      </w:r>
    </w:p>
    <w:p w:rsidR="008D5721" w:rsidRPr="001A05F4" w:rsidRDefault="000B38CA" w:rsidP="00534FC7">
      <w:pPr>
        <w:widowControl/>
        <w:numPr>
          <w:ilvl w:val="1"/>
          <w:numId w:val="2"/>
        </w:numPr>
        <w:spacing w:after="120"/>
        <w:rPr>
          <w:bCs/>
          <w:szCs w:val="24"/>
          <w:lang w:eastAsia="en-AU"/>
        </w:rPr>
      </w:pPr>
      <w:r w:rsidRPr="001A05F4">
        <w:rPr>
          <w:bCs/>
          <w:szCs w:val="24"/>
          <w:lang w:eastAsia="en-AU"/>
        </w:rPr>
        <w:t>The PBAC</w:t>
      </w:r>
      <w:r w:rsidR="009F1117" w:rsidRPr="001A05F4">
        <w:rPr>
          <w:bCs/>
          <w:szCs w:val="24"/>
          <w:lang w:eastAsia="en-AU"/>
        </w:rPr>
        <w:t xml:space="preserve"> considered that</w:t>
      </w:r>
      <w:r w:rsidR="004E11E4" w:rsidRPr="001A05F4">
        <w:rPr>
          <w:bCs/>
          <w:szCs w:val="24"/>
          <w:lang w:eastAsia="en-AU"/>
        </w:rPr>
        <w:t xml:space="preserve"> given the limited clinical data available for nusinersen in adult patients, any economic analysis for this patient population </w:t>
      </w:r>
      <w:r w:rsidR="00931B95" w:rsidRPr="001A05F4">
        <w:rPr>
          <w:bCs/>
          <w:szCs w:val="24"/>
          <w:lang w:eastAsia="en-AU"/>
        </w:rPr>
        <w:t>will</w:t>
      </w:r>
      <w:r w:rsidR="004E11E4" w:rsidRPr="001A05F4">
        <w:rPr>
          <w:bCs/>
          <w:szCs w:val="24"/>
          <w:lang w:eastAsia="en-AU"/>
        </w:rPr>
        <w:t xml:space="preserve"> be associated with substantial uncertainty. </w:t>
      </w:r>
      <w:r w:rsidR="008915F7" w:rsidRPr="001A05F4">
        <w:rPr>
          <w:bCs/>
          <w:szCs w:val="24"/>
          <w:lang w:eastAsia="en-AU"/>
        </w:rPr>
        <w:t xml:space="preserve">As such, the </w:t>
      </w:r>
      <w:r w:rsidR="004E11E4" w:rsidRPr="001A05F4">
        <w:rPr>
          <w:bCs/>
          <w:szCs w:val="24"/>
          <w:lang w:eastAsia="en-AU"/>
        </w:rPr>
        <w:t>PBAC advised that a substantial price reduction</w:t>
      </w:r>
      <w:r w:rsidR="00A13D5B" w:rsidRPr="001A05F4">
        <w:rPr>
          <w:bCs/>
          <w:szCs w:val="24"/>
          <w:lang w:eastAsia="en-AU"/>
        </w:rPr>
        <w:t xml:space="preserve"> in combination with a MAP</w:t>
      </w:r>
      <w:r w:rsidR="009F6F41" w:rsidRPr="001A05F4">
        <w:rPr>
          <w:bCs/>
          <w:szCs w:val="24"/>
          <w:lang w:eastAsia="en-AU"/>
        </w:rPr>
        <w:t xml:space="preserve"> would be required to address the uncertainty around the magnitude and duration of clinical benefit associated with nusinersen </w:t>
      </w:r>
      <w:r w:rsidR="00DD379C" w:rsidRPr="001A05F4">
        <w:rPr>
          <w:bCs/>
          <w:szCs w:val="24"/>
          <w:lang w:eastAsia="en-AU"/>
        </w:rPr>
        <w:t>treatment and</w:t>
      </w:r>
      <w:r w:rsidR="009F6F41" w:rsidRPr="001A05F4">
        <w:rPr>
          <w:bCs/>
          <w:szCs w:val="24"/>
          <w:lang w:eastAsia="en-AU"/>
        </w:rPr>
        <w:t xml:space="preserve"> achieve a cost-effective listing in adult patients.</w:t>
      </w:r>
      <w:r w:rsidR="00DD379C" w:rsidRPr="001A05F4">
        <w:rPr>
          <w:bCs/>
          <w:szCs w:val="24"/>
          <w:lang w:eastAsia="en-AU"/>
        </w:rPr>
        <w:t xml:space="preserve"> The PBAC </w:t>
      </w:r>
      <w:r w:rsidR="006034FB" w:rsidRPr="001A05F4">
        <w:rPr>
          <w:bCs/>
          <w:szCs w:val="24"/>
          <w:lang w:eastAsia="en-AU"/>
        </w:rPr>
        <w:t xml:space="preserve">considered </w:t>
      </w:r>
      <w:r w:rsidR="00DD379C" w:rsidRPr="001A05F4">
        <w:rPr>
          <w:bCs/>
          <w:szCs w:val="24"/>
          <w:lang w:eastAsia="en-AU"/>
        </w:rPr>
        <w:t xml:space="preserve">that the price reduction should reflect the </w:t>
      </w:r>
      <w:r w:rsidR="006034FB" w:rsidRPr="001A05F4">
        <w:rPr>
          <w:bCs/>
          <w:szCs w:val="24"/>
          <w:lang w:eastAsia="en-AU"/>
        </w:rPr>
        <w:t>benefit of treatment in adult patients relative t</w:t>
      </w:r>
      <w:r w:rsidR="008D5721" w:rsidRPr="001A05F4">
        <w:rPr>
          <w:bCs/>
          <w:szCs w:val="24"/>
          <w:lang w:eastAsia="en-AU"/>
        </w:rPr>
        <w:t xml:space="preserve">o that for paediatric patients. </w:t>
      </w:r>
    </w:p>
    <w:p w:rsidR="00AA248D" w:rsidRPr="001A05F4" w:rsidRDefault="00CA0B2E" w:rsidP="00534FC7">
      <w:pPr>
        <w:widowControl/>
        <w:numPr>
          <w:ilvl w:val="1"/>
          <w:numId w:val="2"/>
        </w:numPr>
        <w:spacing w:after="120"/>
        <w:rPr>
          <w:bCs/>
          <w:szCs w:val="24"/>
          <w:lang w:eastAsia="en-AU"/>
        </w:rPr>
      </w:pPr>
      <w:bookmarkStart w:id="53" w:name="_Ref77862376"/>
      <w:r w:rsidRPr="001A05F4">
        <w:rPr>
          <w:bCs/>
          <w:szCs w:val="24"/>
          <w:lang w:eastAsia="en-AU"/>
        </w:rPr>
        <w:t xml:space="preserve">The PBAC considered that </w:t>
      </w:r>
      <w:r w:rsidR="001F76ED" w:rsidRPr="001A05F4">
        <w:rPr>
          <w:bCs/>
          <w:szCs w:val="24"/>
          <w:lang w:eastAsia="en-AU"/>
        </w:rPr>
        <w:t xml:space="preserve">the </w:t>
      </w:r>
      <w:r w:rsidRPr="001A05F4">
        <w:rPr>
          <w:bCs/>
          <w:szCs w:val="24"/>
          <w:lang w:eastAsia="en-AU"/>
        </w:rPr>
        <w:t>MAP</w:t>
      </w:r>
      <w:r w:rsidR="0074124D" w:rsidRPr="001A05F4">
        <w:rPr>
          <w:bCs/>
          <w:szCs w:val="24"/>
          <w:lang w:eastAsia="en-AU"/>
        </w:rPr>
        <w:t xml:space="preserve"> </w:t>
      </w:r>
      <w:r w:rsidR="001F76ED" w:rsidRPr="001A05F4">
        <w:rPr>
          <w:bCs/>
          <w:szCs w:val="24"/>
          <w:lang w:eastAsia="en-AU"/>
        </w:rPr>
        <w:t xml:space="preserve">should </w:t>
      </w:r>
      <w:r w:rsidR="00D038C8" w:rsidRPr="001A05F4">
        <w:rPr>
          <w:bCs/>
          <w:szCs w:val="24"/>
          <w:lang w:eastAsia="en-AU"/>
        </w:rPr>
        <w:t>collect</w:t>
      </w:r>
      <w:r w:rsidR="001F76ED" w:rsidRPr="001A05F4">
        <w:rPr>
          <w:bCs/>
          <w:szCs w:val="24"/>
          <w:lang w:eastAsia="en-AU"/>
        </w:rPr>
        <w:t xml:space="preserve"> data</w:t>
      </w:r>
      <w:r w:rsidR="00D038C8" w:rsidRPr="001A05F4">
        <w:rPr>
          <w:bCs/>
          <w:szCs w:val="24"/>
          <w:lang w:eastAsia="en-AU"/>
        </w:rPr>
        <w:t xml:space="preserve"> through </w:t>
      </w:r>
      <w:r w:rsidR="009729CC" w:rsidRPr="001A05F4">
        <w:rPr>
          <w:bCs/>
          <w:szCs w:val="24"/>
          <w:lang w:eastAsia="en-AU"/>
        </w:rPr>
        <w:t xml:space="preserve">the Australian SMA Registry </w:t>
      </w:r>
      <w:r w:rsidR="001F76ED" w:rsidRPr="001A05F4">
        <w:rPr>
          <w:bCs/>
          <w:szCs w:val="24"/>
          <w:lang w:eastAsia="en-AU"/>
        </w:rPr>
        <w:t>and include</w:t>
      </w:r>
      <w:r w:rsidR="0074124D" w:rsidRPr="001A05F4">
        <w:rPr>
          <w:bCs/>
          <w:szCs w:val="24"/>
          <w:lang w:eastAsia="en-AU"/>
        </w:rPr>
        <w:t xml:space="preserve"> </w:t>
      </w:r>
      <w:r w:rsidR="009C0CA0" w:rsidRPr="001A05F4">
        <w:rPr>
          <w:bCs/>
          <w:szCs w:val="24"/>
          <w:lang w:eastAsia="en-AU"/>
        </w:rPr>
        <w:t xml:space="preserve">SMA type, </w:t>
      </w:r>
      <w:r w:rsidR="0074124D" w:rsidRPr="001A05F4">
        <w:rPr>
          <w:bCs/>
          <w:szCs w:val="24"/>
          <w:lang w:eastAsia="en-AU"/>
        </w:rPr>
        <w:t>treatment outcomes</w:t>
      </w:r>
      <w:r w:rsidR="009C0CA0" w:rsidRPr="001A05F4">
        <w:rPr>
          <w:bCs/>
          <w:szCs w:val="24"/>
          <w:lang w:eastAsia="en-AU"/>
        </w:rPr>
        <w:t xml:space="preserve"> and </w:t>
      </w:r>
      <w:r w:rsidR="0074124D" w:rsidRPr="001A05F4">
        <w:rPr>
          <w:bCs/>
          <w:szCs w:val="24"/>
          <w:lang w:eastAsia="en-AU"/>
        </w:rPr>
        <w:t>number of patients treated</w:t>
      </w:r>
      <w:r w:rsidR="009729CC" w:rsidRPr="001A05F4">
        <w:rPr>
          <w:bCs/>
          <w:szCs w:val="24"/>
          <w:lang w:eastAsia="en-AU"/>
        </w:rPr>
        <w:t xml:space="preserve">. </w:t>
      </w:r>
      <w:r w:rsidR="00665E04" w:rsidRPr="001A05F4">
        <w:rPr>
          <w:bCs/>
          <w:szCs w:val="24"/>
          <w:lang w:eastAsia="en-AU"/>
        </w:rPr>
        <w:t xml:space="preserve">The PBAC advised that the sponsor should consider </w:t>
      </w:r>
      <w:r w:rsidR="008A0E31" w:rsidRPr="001A05F4">
        <w:rPr>
          <w:bCs/>
          <w:szCs w:val="24"/>
          <w:lang w:eastAsia="en-AU"/>
        </w:rPr>
        <w:t xml:space="preserve">the </w:t>
      </w:r>
      <w:r w:rsidR="00665E04" w:rsidRPr="001A05F4">
        <w:rPr>
          <w:bCs/>
          <w:szCs w:val="24"/>
          <w:lang w:eastAsia="en-AU"/>
        </w:rPr>
        <w:t>following in relation to a MAP proposal:</w:t>
      </w:r>
      <w:bookmarkEnd w:id="53"/>
    </w:p>
    <w:p w:rsidR="00D3152F" w:rsidRPr="001A05F4" w:rsidRDefault="00D3152F" w:rsidP="00D3152F">
      <w:pPr>
        <w:pStyle w:val="ListParagraph"/>
        <w:widowControl/>
        <w:numPr>
          <w:ilvl w:val="0"/>
          <w:numId w:val="19"/>
        </w:numPr>
        <w:spacing w:after="120"/>
        <w:rPr>
          <w:bCs/>
          <w:szCs w:val="24"/>
          <w:lang w:eastAsia="en-AU"/>
        </w:rPr>
      </w:pPr>
      <w:r w:rsidRPr="001A05F4">
        <w:rPr>
          <w:bCs/>
          <w:szCs w:val="24"/>
          <w:lang w:eastAsia="en-AU"/>
        </w:rPr>
        <w:t xml:space="preserve">Alignment of the MAP criteria with consensus treatment guidelines for adults with SMA. </w:t>
      </w:r>
    </w:p>
    <w:p w:rsidR="00665E04" w:rsidRPr="001A05F4" w:rsidRDefault="00665E04" w:rsidP="00665E04">
      <w:pPr>
        <w:pStyle w:val="ListParagraph"/>
        <w:widowControl/>
        <w:numPr>
          <w:ilvl w:val="0"/>
          <w:numId w:val="19"/>
        </w:numPr>
        <w:spacing w:after="120"/>
        <w:rPr>
          <w:bCs/>
          <w:szCs w:val="24"/>
          <w:lang w:eastAsia="en-AU"/>
        </w:rPr>
      </w:pPr>
      <w:r w:rsidRPr="001A05F4">
        <w:rPr>
          <w:bCs/>
          <w:szCs w:val="24"/>
          <w:lang w:eastAsia="en-AU"/>
        </w:rPr>
        <w:t>Which outcomes would likely capture the most meaningful changes across the whole population of adul</w:t>
      </w:r>
      <w:r w:rsidR="00B0446C" w:rsidRPr="001A05F4">
        <w:rPr>
          <w:bCs/>
          <w:szCs w:val="24"/>
          <w:lang w:eastAsia="en-AU"/>
        </w:rPr>
        <w:t>t SMA patients</w:t>
      </w:r>
      <w:r w:rsidR="008A0E31" w:rsidRPr="001A05F4">
        <w:rPr>
          <w:bCs/>
          <w:szCs w:val="24"/>
          <w:lang w:eastAsia="en-AU"/>
        </w:rPr>
        <w:t xml:space="preserve"> in terms of reversal of decline, improvement of motor function </w:t>
      </w:r>
      <w:r w:rsidR="00F8459C" w:rsidRPr="001A05F4">
        <w:rPr>
          <w:bCs/>
          <w:szCs w:val="24"/>
          <w:lang w:eastAsia="en-AU"/>
        </w:rPr>
        <w:t>and/</w:t>
      </w:r>
      <w:r w:rsidR="008A0E31" w:rsidRPr="001A05F4">
        <w:rPr>
          <w:bCs/>
          <w:szCs w:val="24"/>
          <w:lang w:eastAsia="en-AU"/>
        </w:rPr>
        <w:t xml:space="preserve">or preventing/slowing of disease </w:t>
      </w:r>
      <w:r w:rsidR="009B26A4" w:rsidRPr="001A05F4">
        <w:rPr>
          <w:bCs/>
          <w:szCs w:val="24"/>
          <w:lang w:eastAsia="en-AU"/>
        </w:rPr>
        <w:t>progression?</w:t>
      </w:r>
      <w:r w:rsidR="00B0446C" w:rsidRPr="001A05F4">
        <w:rPr>
          <w:bCs/>
          <w:szCs w:val="24"/>
          <w:lang w:eastAsia="en-AU"/>
        </w:rPr>
        <w:t xml:space="preserve"> </w:t>
      </w:r>
      <w:r w:rsidR="002B6589" w:rsidRPr="001A05F4">
        <w:rPr>
          <w:bCs/>
          <w:szCs w:val="24"/>
          <w:lang w:eastAsia="en-AU"/>
        </w:rPr>
        <w:t>Consideration should also be given to which outcomes would be practical to collect in the clinical setting</w:t>
      </w:r>
      <w:r w:rsidR="002E6D64" w:rsidRPr="001A05F4">
        <w:rPr>
          <w:bCs/>
          <w:szCs w:val="24"/>
          <w:lang w:eastAsia="en-AU"/>
        </w:rPr>
        <w:t xml:space="preserve"> (e.g. clear functional assessments and guidelines including fine motor skills, endurance, speech and swallowing)</w:t>
      </w:r>
      <w:r w:rsidR="002B6589" w:rsidRPr="001A05F4">
        <w:rPr>
          <w:bCs/>
          <w:szCs w:val="24"/>
          <w:lang w:eastAsia="en-AU"/>
        </w:rPr>
        <w:t xml:space="preserve">. </w:t>
      </w:r>
    </w:p>
    <w:p w:rsidR="00B0446C" w:rsidRPr="001A05F4" w:rsidRDefault="00B0446C" w:rsidP="00665E04">
      <w:pPr>
        <w:pStyle w:val="ListParagraph"/>
        <w:widowControl/>
        <w:numPr>
          <w:ilvl w:val="0"/>
          <w:numId w:val="19"/>
        </w:numPr>
        <w:spacing w:after="120"/>
        <w:rPr>
          <w:bCs/>
          <w:szCs w:val="24"/>
          <w:lang w:eastAsia="en-AU"/>
        </w:rPr>
      </w:pPr>
      <w:r w:rsidRPr="001A05F4">
        <w:rPr>
          <w:bCs/>
          <w:szCs w:val="24"/>
          <w:lang w:eastAsia="en-AU"/>
        </w:rPr>
        <w:t xml:space="preserve">The criteria for discontinuing treatment </w:t>
      </w:r>
      <w:r w:rsidR="008A0E31" w:rsidRPr="001A05F4">
        <w:rPr>
          <w:bCs/>
          <w:szCs w:val="24"/>
          <w:lang w:eastAsia="en-AU"/>
        </w:rPr>
        <w:t>(e.g. worsening of motor function, inability to continue with administration of injections)</w:t>
      </w:r>
      <w:r w:rsidR="0016568B" w:rsidRPr="001A05F4">
        <w:rPr>
          <w:bCs/>
          <w:szCs w:val="24"/>
          <w:lang w:eastAsia="en-AU"/>
        </w:rPr>
        <w:t xml:space="preserve">. </w:t>
      </w:r>
    </w:p>
    <w:p w:rsidR="00B10FF6" w:rsidRPr="001A05F4" w:rsidRDefault="0016568B" w:rsidP="00665E04">
      <w:pPr>
        <w:pStyle w:val="ListParagraph"/>
        <w:widowControl/>
        <w:numPr>
          <w:ilvl w:val="0"/>
          <w:numId w:val="19"/>
        </w:numPr>
        <w:spacing w:after="120"/>
        <w:rPr>
          <w:bCs/>
          <w:szCs w:val="24"/>
          <w:lang w:eastAsia="en-AU"/>
        </w:rPr>
      </w:pPr>
      <w:r w:rsidRPr="001A05F4">
        <w:rPr>
          <w:bCs/>
          <w:szCs w:val="24"/>
          <w:lang w:eastAsia="en-AU"/>
        </w:rPr>
        <w:t>The timing of</w:t>
      </w:r>
      <w:r w:rsidR="00B10FF6" w:rsidRPr="001A05F4">
        <w:rPr>
          <w:bCs/>
          <w:szCs w:val="24"/>
          <w:lang w:eastAsia="en-AU"/>
        </w:rPr>
        <w:t xml:space="preserve"> the</w:t>
      </w:r>
      <w:r w:rsidRPr="001A05F4">
        <w:rPr>
          <w:bCs/>
          <w:szCs w:val="24"/>
          <w:lang w:eastAsia="en-AU"/>
        </w:rPr>
        <w:t xml:space="preserve"> patient assessment </w:t>
      </w:r>
      <w:r w:rsidR="00B10FF6" w:rsidRPr="001A05F4">
        <w:rPr>
          <w:bCs/>
          <w:szCs w:val="24"/>
          <w:lang w:eastAsia="en-AU"/>
        </w:rPr>
        <w:t>schedule (e.g. aligned with clinical visits for nusinersen dosing).</w:t>
      </w:r>
    </w:p>
    <w:p w:rsidR="00665E04" w:rsidRPr="001A05F4" w:rsidRDefault="00B10FF6" w:rsidP="00665E04">
      <w:pPr>
        <w:pStyle w:val="ListParagraph"/>
        <w:widowControl/>
        <w:numPr>
          <w:ilvl w:val="0"/>
          <w:numId w:val="19"/>
        </w:numPr>
        <w:spacing w:after="120"/>
        <w:rPr>
          <w:bCs/>
          <w:szCs w:val="24"/>
          <w:lang w:eastAsia="en-AU"/>
        </w:rPr>
      </w:pPr>
      <w:r w:rsidRPr="001A05F4">
        <w:rPr>
          <w:bCs/>
          <w:szCs w:val="24"/>
          <w:lang w:eastAsia="en-AU"/>
        </w:rPr>
        <w:t>The proposed timelines for review. The PBAC considered that 3 years would be appropriate</w:t>
      </w:r>
      <w:r w:rsidR="008A0E31" w:rsidRPr="001A05F4">
        <w:rPr>
          <w:bCs/>
          <w:szCs w:val="24"/>
          <w:lang w:eastAsia="en-AU"/>
        </w:rPr>
        <w:t xml:space="preserve"> </w:t>
      </w:r>
      <w:r w:rsidRPr="001A05F4">
        <w:rPr>
          <w:bCs/>
          <w:szCs w:val="24"/>
          <w:lang w:eastAsia="en-AU"/>
        </w:rPr>
        <w:t>for review of outcomes from the registry</w:t>
      </w:r>
      <w:r w:rsidR="009C0CA0" w:rsidRPr="001A05F4">
        <w:rPr>
          <w:bCs/>
          <w:szCs w:val="24"/>
          <w:lang w:eastAsia="en-AU"/>
        </w:rPr>
        <w:t>.</w:t>
      </w:r>
    </w:p>
    <w:p w:rsidR="009C0CA0" w:rsidRPr="001A05F4" w:rsidRDefault="00812415" w:rsidP="00534FC7">
      <w:pPr>
        <w:widowControl/>
        <w:numPr>
          <w:ilvl w:val="1"/>
          <w:numId w:val="2"/>
        </w:numPr>
        <w:spacing w:after="120"/>
        <w:rPr>
          <w:bCs/>
          <w:szCs w:val="24"/>
          <w:lang w:eastAsia="en-AU"/>
        </w:rPr>
      </w:pPr>
      <w:r w:rsidRPr="001A05F4">
        <w:rPr>
          <w:bCs/>
          <w:szCs w:val="24"/>
          <w:lang w:eastAsia="en-AU"/>
        </w:rPr>
        <w:t xml:space="preserve">The PBAC considered that consultation with specialist clinicians would be required </w:t>
      </w:r>
      <w:r w:rsidR="000F35CB" w:rsidRPr="001A05F4">
        <w:rPr>
          <w:bCs/>
          <w:szCs w:val="24"/>
          <w:lang w:eastAsia="en-AU"/>
        </w:rPr>
        <w:t xml:space="preserve">to finalise the parameters of any MAP. </w:t>
      </w:r>
    </w:p>
    <w:p w:rsidR="009900B7" w:rsidRPr="001A05F4" w:rsidRDefault="00967A03" w:rsidP="00534FC7">
      <w:pPr>
        <w:widowControl/>
        <w:numPr>
          <w:ilvl w:val="1"/>
          <w:numId w:val="2"/>
        </w:numPr>
        <w:spacing w:after="120"/>
        <w:rPr>
          <w:bCs/>
          <w:szCs w:val="24"/>
          <w:lang w:eastAsia="en-AU"/>
        </w:rPr>
      </w:pPr>
      <w:r w:rsidRPr="001A05F4">
        <w:rPr>
          <w:bCs/>
          <w:szCs w:val="24"/>
          <w:lang w:eastAsia="en-AU"/>
        </w:rPr>
        <w:t>The PBAC noted</w:t>
      </w:r>
      <w:r w:rsidR="005700F5" w:rsidRPr="001A05F4">
        <w:rPr>
          <w:bCs/>
          <w:szCs w:val="24"/>
          <w:lang w:eastAsia="en-AU"/>
        </w:rPr>
        <w:t xml:space="preserve"> </w:t>
      </w:r>
      <w:r w:rsidRPr="001A05F4">
        <w:rPr>
          <w:bCs/>
          <w:szCs w:val="24"/>
          <w:lang w:eastAsia="en-AU"/>
        </w:rPr>
        <w:t xml:space="preserve">the financial estimates </w:t>
      </w:r>
      <w:r w:rsidR="00373C1A" w:rsidRPr="001A05F4">
        <w:rPr>
          <w:bCs/>
          <w:szCs w:val="24"/>
          <w:lang w:eastAsia="en-AU"/>
        </w:rPr>
        <w:t xml:space="preserve">were based on the same </w:t>
      </w:r>
      <w:r w:rsidR="00F9646C" w:rsidRPr="001A05F4">
        <w:rPr>
          <w:bCs/>
          <w:szCs w:val="24"/>
          <w:lang w:eastAsia="en-AU"/>
        </w:rPr>
        <w:t>estimated prevalent population and</w:t>
      </w:r>
      <w:r w:rsidR="00373C1A" w:rsidRPr="001A05F4">
        <w:rPr>
          <w:bCs/>
          <w:szCs w:val="24"/>
          <w:lang w:eastAsia="en-AU"/>
        </w:rPr>
        <w:t xml:space="preserve"> uptake assumptions</w:t>
      </w:r>
      <w:r w:rsidR="00F9646C" w:rsidRPr="001A05F4">
        <w:rPr>
          <w:bCs/>
          <w:szCs w:val="24"/>
          <w:lang w:eastAsia="en-AU"/>
        </w:rPr>
        <w:t xml:space="preserve"> as the previous submission.</w:t>
      </w:r>
      <w:r w:rsidR="006F26C4" w:rsidRPr="001A05F4">
        <w:rPr>
          <w:bCs/>
          <w:szCs w:val="24"/>
          <w:lang w:eastAsia="en-AU"/>
        </w:rPr>
        <w:t xml:space="preserve"> As such, the PBAC maintained its previous consideration that the financial estimates were uncertain</w:t>
      </w:r>
      <w:r w:rsidR="00180CD3" w:rsidRPr="001A05F4">
        <w:rPr>
          <w:bCs/>
          <w:szCs w:val="24"/>
          <w:lang w:eastAsia="en-AU"/>
        </w:rPr>
        <w:t xml:space="preserve"> and associated with a low level of confidence</w:t>
      </w:r>
      <w:r w:rsidR="006F26C4" w:rsidRPr="001A05F4">
        <w:rPr>
          <w:bCs/>
          <w:szCs w:val="24"/>
          <w:lang w:eastAsia="en-AU"/>
        </w:rPr>
        <w:t>.</w:t>
      </w:r>
      <w:r w:rsidR="00F9646C" w:rsidRPr="001A05F4">
        <w:rPr>
          <w:bCs/>
          <w:szCs w:val="24"/>
          <w:lang w:eastAsia="en-AU"/>
        </w:rPr>
        <w:t xml:space="preserve"> </w:t>
      </w:r>
      <w:r w:rsidR="006F26C4" w:rsidRPr="001A05F4">
        <w:rPr>
          <w:bCs/>
          <w:szCs w:val="24"/>
          <w:lang w:eastAsia="en-AU"/>
        </w:rPr>
        <w:t>The PBAC reiterated its previous consideration that the estimated number of patients with Type II and III SMA was uncertain</w:t>
      </w:r>
      <w:r w:rsidR="00180CD3" w:rsidRPr="001A05F4">
        <w:rPr>
          <w:bCs/>
          <w:szCs w:val="24"/>
          <w:lang w:eastAsia="en-AU"/>
        </w:rPr>
        <w:t>,</w:t>
      </w:r>
      <w:r w:rsidR="006F26C4" w:rsidRPr="001A05F4">
        <w:rPr>
          <w:bCs/>
          <w:szCs w:val="24"/>
          <w:lang w:eastAsia="en-AU"/>
        </w:rPr>
        <w:t xml:space="preserve"> noting these were based on overseas data due to a lack of Australian data.</w:t>
      </w:r>
      <w:r w:rsidR="00180CD3" w:rsidRPr="001A05F4">
        <w:rPr>
          <w:bCs/>
          <w:szCs w:val="24"/>
          <w:lang w:eastAsia="en-AU"/>
        </w:rPr>
        <w:t xml:space="preserve"> The PBAC considered that the SMA registry may inform these estimates and provide additional confidence in the prevalence estimates. </w:t>
      </w:r>
    </w:p>
    <w:p w:rsidR="006F26C4" w:rsidRPr="001A05F4" w:rsidRDefault="006F26C4" w:rsidP="006F26C4">
      <w:pPr>
        <w:pStyle w:val="ListParagraph"/>
        <w:numPr>
          <w:ilvl w:val="1"/>
          <w:numId w:val="2"/>
        </w:numPr>
        <w:rPr>
          <w:bCs/>
          <w:szCs w:val="24"/>
          <w:lang w:eastAsia="en-AU"/>
        </w:rPr>
      </w:pPr>
      <w:r w:rsidRPr="001A05F4">
        <w:rPr>
          <w:bCs/>
          <w:szCs w:val="24"/>
          <w:lang w:eastAsia="en-AU"/>
        </w:rPr>
        <w:t>The PBAC reiterated that the average age of patients likely to access nusinersen under the requested listing and the likely distribution of patients with Type IIIa or IIIb SMA were not adequately defined, noting differences in these patient characteristics between data provided in the resubmission and data provided from the SMA Australian member database, 2020.</w:t>
      </w:r>
    </w:p>
    <w:p w:rsidR="00D3152F" w:rsidRPr="001A05F4" w:rsidRDefault="00A1042F" w:rsidP="00D3152F">
      <w:pPr>
        <w:widowControl/>
        <w:numPr>
          <w:ilvl w:val="1"/>
          <w:numId w:val="2"/>
        </w:numPr>
        <w:spacing w:after="120"/>
        <w:rPr>
          <w:bCs/>
          <w:szCs w:val="24"/>
          <w:lang w:eastAsia="en-AU"/>
        </w:rPr>
      </w:pPr>
      <w:r w:rsidRPr="001A05F4">
        <w:rPr>
          <w:bCs/>
          <w:szCs w:val="24"/>
          <w:lang w:eastAsia="en-AU"/>
        </w:rPr>
        <w:t xml:space="preserve">The PBAC considered that there may be an increase in the number of patients treated if nusinersen was listed for the treatment of adult SMA patients due to </w:t>
      </w:r>
      <w:r w:rsidR="004E46BF" w:rsidRPr="001A05F4">
        <w:rPr>
          <w:bCs/>
          <w:szCs w:val="24"/>
          <w:lang w:eastAsia="en-AU"/>
        </w:rPr>
        <w:t xml:space="preserve">the </w:t>
      </w:r>
      <w:r w:rsidRPr="001A05F4">
        <w:rPr>
          <w:bCs/>
          <w:szCs w:val="24"/>
          <w:lang w:eastAsia="en-AU"/>
        </w:rPr>
        <w:t xml:space="preserve">treatment of patients who are currently not </w:t>
      </w:r>
      <w:r w:rsidR="00F4274F" w:rsidRPr="001A05F4">
        <w:rPr>
          <w:bCs/>
          <w:szCs w:val="24"/>
          <w:lang w:eastAsia="en-AU"/>
        </w:rPr>
        <w:t>seeking</w:t>
      </w:r>
      <w:r w:rsidRPr="001A05F4">
        <w:rPr>
          <w:bCs/>
          <w:szCs w:val="24"/>
          <w:lang w:eastAsia="en-AU"/>
        </w:rPr>
        <w:t xml:space="preserve"> any clinical </w:t>
      </w:r>
      <w:r w:rsidR="00543D8F" w:rsidRPr="001A05F4">
        <w:rPr>
          <w:bCs/>
          <w:szCs w:val="24"/>
          <w:lang w:eastAsia="en-AU"/>
        </w:rPr>
        <w:t>care</w:t>
      </w:r>
      <w:r w:rsidRPr="001A05F4">
        <w:rPr>
          <w:bCs/>
          <w:szCs w:val="24"/>
          <w:lang w:eastAsia="en-AU"/>
        </w:rPr>
        <w:t xml:space="preserve"> for their condition.</w:t>
      </w:r>
      <w:r w:rsidR="00FF1B58" w:rsidRPr="001A05F4">
        <w:rPr>
          <w:bCs/>
          <w:szCs w:val="24"/>
          <w:lang w:eastAsia="en-AU"/>
        </w:rPr>
        <w:t xml:space="preserve"> </w:t>
      </w:r>
      <w:r w:rsidR="00FF1B58" w:rsidRPr="001A05F4">
        <w:t>The PBAC noted that the sponsor proposed an RSA and considered that such an agreement could manage the uncertaint</w:t>
      </w:r>
      <w:r w:rsidR="001C1385" w:rsidRPr="001A05F4">
        <w:t>ies</w:t>
      </w:r>
      <w:r w:rsidR="00FF1B58" w:rsidRPr="001A05F4">
        <w:t xml:space="preserve"> around the </w:t>
      </w:r>
      <w:r w:rsidR="001C1385" w:rsidRPr="001A05F4">
        <w:t>number of patients treated</w:t>
      </w:r>
      <w:r w:rsidR="00FF1B58" w:rsidRPr="001A05F4">
        <w:t>.</w:t>
      </w:r>
      <w:r w:rsidRPr="001A05F4">
        <w:rPr>
          <w:bCs/>
          <w:szCs w:val="24"/>
          <w:lang w:eastAsia="en-AU"/>
        </w:rPr>
        <w:t xml:space="preserve"> </w:t>
      </w:r>
    </w:p>
    <w:p w:rsidR="00200B93" w:rsidRPr="001A05F4" w:rsidRDefault="00D3152F" w:rsidP="00D3152F">
      <w:pPr>
        <w:widowControl/>
        <w:numPr>
          <w:ilvl w:val="1"/>
          <w:numId w:val="2"/>
        </w:numPr>
        <w:spacing w:after="120"/>
        <w:rPr>
          <w:bCs/>
          <w:szCs w:val="24"/>
          <w:lang w:eastAsia="en-AU"/>
        </w:rPr>
      </w:pPr>
      <w:r w:rsidRPr="001A05F4">
        <w:rPr>
          <w:bCs/>
          <w:szCs w:val="24"/>
          <w:lang w:eastAsia="en-AU"/>
        </w:rPr>
        <w:t xml:space="preserve">The PBAC advised that any future resubmission should include a MAP proposal which addresses the considerations in paragraph 7.11. The PBAC noted that the proposed restriction would also need to be revised to align with the criteria of the MAP proposal. </w:t>
      </w:r>
    </w:p>
    <w:p w:rsidR="00B95481" w:rsidRPr="001A05F4" w:rsidRDefault="00B95481" w:rsidP="00B95481">
      <w:pPr>
        <w:pStyle w:val="ListParagraph"/>
        <w:numPr>
          <w:ilvl w:val="1"/>
          <w:numId w:val="2"/>
        </w:numPr>
        <w:rPr>
          <w:rFonts w:asciiTheme="minorHAnsi" w:hAnsiTheme="minorHAnsi"/>
          <w:szCs w:val="24"/>
          <w:lang w:eastAsia="en-AU"/>
        </w:rPr>
      </w:pPr>
      <w:r w:rsidRPr="001A05F4">
        <w:rPr>
          <w:rFonts w:asciiTheme="minorHAnsi" w:hAnsiTheme="minorHAnsi"/>
          <w:szCs w:val="24"/>
          <w:lang w:eastAsia="en-AU"/>
        </w:rPr>
        <w:t>The PBAC noted that this submission is eligible for an Independent Review.</w:t>
      </w:r>
    </w:p>
    <w:p w:rsidR="009E0720" w:rsidRPr="001A05F4" w:rsidRDefault="009E0720" w:rsidP="009E0720">
      <w:pPr>
        <w:widowControl/>
        <w:spacing w:before="240"/>
        <w:rPr>
          <w:rFonts w:asciiTheme="minorHAnsi" w:hAnsiTheme="minorHAnsi"/>
          <w:b/>
          <w:bCs/>
          <w:szCs w:val="24"/>
        </w:rPr>
      </w:pPr>
      <w:r w:rsidRPr="001A05F4">
        <w:rPr>
          <w:rFonts w:asciiTheme="minorHAnsi" w:hAnsiTheme="minorHAnsi"/>
          <w:b/>
          <w:bCs/>
          <w:szCs w:val="24"/>
        </w:rPr>
        <w:t>Outcome:</w:t>
      </w:r>
    </w:p>
    <w:p w:rsidR="009E0720" w:rsidRPr="001A05F4" w:rsidRDefault="009E0720" w:rsidP="009E0720">
      <w:pPr>
        <w:pStyle w:val="3Bodytext"/>
        <w:ind w:left="0"/>
      </w:pPr>
      <w:r w:rsidRPr="001A05F4">
        <w:t xml:space="preserve">Rejected </w:t>
      </w:r>
    </w:p>
    <w:p w:rsidR="009E0720" w:rsidRPr="001A05F4" w:rsidRDefault="009E0720" w:rsidP="009E0720">
      <w:pPr>
        <w:pStyle w:val="ListParagraph"/>
        <w:rPr>
          <w:bCs/>
          <w:szCs w:val="24"/>
          <w:lang w:eastAsia="en-AU"/>
        </w:rPr>
      </w:pPr>
    </w:p>
    <w:p w:rsidR="009E0720" w:rsidRPr="001A05F4" w:rsidRDefault="009E0720" w:rsidP="009E0720">
      <w:pPr>
        <w:pStyle w:val="ListParagraph"/>
        <w:ind w:left="0"/>
        <w:rPr>
          <w:bCs/>
          <w:szCs w:val="24"/>
          <w:u w:val="single"/>
          <w:lang w:eastAsia="en-AU"/>
        </w:rPr>
      </w:pPr>
      <w:r w:rsidRPr="001A05F4">
        <w:rPr>
          <w:bCs/>
          <w:szCs w:val="24"/>
          <w:u w:val="single"/>
          <w:lang w:eastAsia="en-AU"/>
        </w:rPr>
        <w:t>Type IIIb SMA Paediatric Population (</w:t>
      </w:r>
      <w:r w:rsidRPr="001A05F4">
        <w:rPr>
          <w:rFonts w:asciiTheme="minorHAnsi" w:hAnsiTheme="minorHAnsi"/>
          <w:szCs w:val="24"/>
          <w:u w:val="single"/>
          <w:lang w:eastAsia="en-AU"/>
        </w:rPr>
        <w:t>symptom onset between 3 and 18 years of age</w:t>
      </w:r>
      <w:r w:rsidRPr="001A05F4">
        <w:rPr>
          <w:bCs/>
          <w:szCs w:val="24"/>
          <w:u w:val="single"/>
          <w:lang w:eastAsia="en-AU"/>
        </w:rPr>
        <w:t>)</w:t>
      </w:r>
    </w:p>
    <w:p w:rsidR="00D60EF4" w:rsidRPr="001A05F4" w:rsidRDefault="00D60EF4" w:rsidP="009E0720">
      <w:pPr>
        <w:pStyle w:val="ListParagraph"/>
        <w:numPr>
          <w:ilvl w:val="1"/>
          <w:numId w:val="2"/>
        </w:numPr>
        <w:rPr>
          <w:rFonts w:asciiTheme="minorHAnsi" w:hAnsiTheme="minorHAnsi"/>
          <w:szCs w:val="24"/>
          <w:lang w:eastAsia="en-AU"/>
        </w:rPr>
      </w:pPr>
      <w:bookmarkStart w:id="54" w:name="_Ref78279123"/>
      <w:r w:rsidRPr="001A05F4">
        <w:rPr>
          <w:bCs/>
          <w:szCs w:val="24"/>
          <w:lang w:eastAsia="en-AU"/>
        </w:rPr>
        <w:t>The PBAC considered it would be appropriate to extend the current listing for nusinersen in symptomatic patients to include all paediatric patients with Type III SMA, including Type IIIb</w:t>
      </w:r>
      <w:r w:rsidR="008779D7">
        <w:rPr>
          <w:bCs/>
          <w:szCs w:val="24"/>
          <w:lang w:eastAsia="en-AU"/>
        </w:rPr>
        <w:t xml:space="preserve"> SMA</w:t>
      </w:r>
      <w:r w:rsidRPr="001A05F4">
        <w:rPr>
          <w:bCs/>
          <w:szCs w:val="24"/>
          <w:lang w:eastAsia="en-AU"/>
        </w:rPr>
        <w:t xml:space="preserve"> (i.e. </w:t>
      </w:r>
      <w:r w:rsidR="008779D7">
        <w:rPr>
          <w:bCs/>
          <w:szCs w:val="24"/>
          <w:lang w:eastAsia="en-AU"/>
        </w:rPr>
        <w:t xml:space="preserve">all patients </w:t>
      </w:r>
      <w:r w:rsidRPr="001A05F4">
        <w:rPr>
          <w:bCs/>
          <w:szCs w:val="24"/>
          <w:lang w:eastAsia="en-AU"/>
        </w:rPr>
        <w:t xml:space="preserve">with </w:t>
      </w:r>
      <w:r w:rsidR="008779D7">
        <w:rPr>
          <w:bCs/>
          <w:szCs w:val="24"/>
          <w:lang w:eastAsia="en-AU"/>
        </w:rPr>
        <w:t xml:space="preserve">symptom </w:t>
      </w:r>
      <w:r w:rsidRPr="001A05F4">
        <w:rPr>
          <w:bCs/>
          <w:szCs w:val="24"/>
          <w:lang w:eastAsia="en-AU"/>
        </w:rPr>
        <w:t>onset between 3 and 18 years of age</w:t>
      </w:r>
      <w:r w:rsidR="008779D7">
        <w:rPr>
          <w:bCs/>
          <w:szCs w:val="24"/>
          <w:lang w:eastAsia="en-AU"/>
        </w:rPr>
        <w:t>,</w:t>
      </w:r>
      <w:r w:rsidR="008779D7" w:rsidRPr="008779D7">
        <w:rPr>
          <w:bCs/>
          <w:szCs w:val="24"/>
          <w:lang w:eastAsia="en-AU"/>
        </w:rPr>
        <w:t xml:space="preserve"> </w:t>
      </w:r>
      <w:r w:rsidR="008779D7">
        <w:rPr>
          <w:bCs/>
          <w:szCs w:val="24"/>
          <w:lang w:eastAsia="en-AU"/>
        </w:rPr>
        <w:t>which includes</w:t>
      </w:r>
      <w:r w:rsidR="008779D7" w:rsidRPr="001A05F4">
        <w:rPr>
          <w:bCs/>
          <w:szCs w:val="24"/>
          <w:lang w:eastAsia="en-AU"/>
        </w:rPr>
        <w:t xml:space="preserve"> </w:t>
      </w:r>
      <w:r w:rsidR="008779D7">
        <w:rPr>
          <w:bCs/>
          <w:szCs w:val="24"/>
          <w:lang w:eastAsia="en-AU"/>
        </w:rPr>
        <w:t xml:space="preserve">the subset with </w:t>
      </w:r>
      <w:r w:rsidR="008779D7" w:rsidRPr="001A05F4">
        <w:rPr>
          <w:bCs/>
          <w:szCs w:val="24"/>
          <w:lang w:eastAsia="en-AU"/>
        </w:rPr>
        <w:t>Type IIIc</w:t>
      </w:r>
      <w:r w:rsidRPr="001A05F4">
        <w:rPr>
          <w:bCs/>
          <w:szCs w:val="24"/>
          <w:lang w:eastAsia="en-AU"/>
        </w:rPr>
        <w:t>)</w:t>
      </w:r>
      <w:r w:rsidR="008779D7">
        <w:rPr>
          <w:bCs/>
          <w:szCs w:val="24"/>
          <w:lang w:eastAsia="en-AU"/>
        </w:rPr>
        <w:t>,</w:t>
      </w:r>
      <w:r w:rsidRPr="001A05F4">
        <w:rPr>
          <w:bCs/>
          <w:szCs w:val="24"/>
          <w:lang w:eastAsia="en-AU"/>
        </w:rPr>
        <w:t xml:space="preserve"> to allow equity of access to nusinersen across all paediatric patients with SMA. The PBAC considered that extending the listing to include all paediatric patients would be adequately cost-effective if these additional patients were included in the existing RSA for nusinersen </w:t>
      </w:r>
      <w:r w:rsidRPr="00C508D4">
        <w:rPr>
          <w:bCs/>
          <w:szCs w:val="24"/>
          <w:lang w:eastAsia="en-AU"/>
        </w:rPr>
        <w:t xml:space="preserve">without any increase to the existing caps and at the price proposed in this submission (a further </w:t>
      </w:r>
      <w:r w:rsidR="006B0D96">
        <w:rPr>
          <w:bCs/>
          <w:noProof/>
          <w:color w:val="000000"/>
          <w:szCs w:val="24"/>
          <w:highlight w:val="black"/>
          <w:lang w:eastAsia="en-AU"/>
        </w:rPr>
        <w:t>'''''</w:t>
      </w:r>
      <w:r w:rsidRPr="00C508D4">
        <w:rPr>
          <w:bCs/>
          <w:szCs w:val="24"/>
          <w:lang w:eastAsia="en-AU"/>
        </w:rPr>
        <w:t xml:space="preserve">% rebate </w:t>
      </w:r>
      <w:r w:rsidR="006B0D96">
        <w:rPr>
          <w:bCs/>
          <w:noProof/>
          <w:color w:val="000000"/>
          <w:szCs w:val="24"/>
          <w:highlight w:val="black"/>
          <w:lang w:eastAsia="en-AU"/>
        </w:rPr>
        <w:t>'''''''' '''''''' '''''''' ''''''''''''' ''''''''' '''''''</w:t>
      </w:r>
      <w:r w:rsidRPr="00C508D4">
        <w:rPr>
          <w:bCs/>
          <w:szCs w:val="24"/>
          <w:lang w:eastAsia="en-AU"/>
        </w:rPr>
        <w:t>).</w:t>
      </w:r>
      <w:bookmarkEnd w:id="54"/>
      <w:r w:rsidRPr="001A05F4">
        <w:rPr>
          <w:bCs/>
          <w:szCs w:val="24"/>
          <w:lang w:eastAsia="en-AU"/>
        </w:rPr>
        <w:t xml:space="preserve"> </w:t>
      </w:r>
    </w:p>
    <w:p w:rsidR="009E0720" w:rsidRPr="001A05F4" w:rsidRDefault="003221CD" w:rsidP="009E0720">
      <w:pPr>
        <w:pStyle w:val="ListParagraph"/>
        <w:numPr>
          <w:ilvl w:val="1"/>
          <w:numId w:val="2"/>
        </w:numPr>
        <w:rPr>
          <w:rFonts w:asciiTheme="minorHAnsi" w:hAnsiTheme="minorHAnsi"/>
          <w:szCs w:val="24"/>
          <w:lang w:eastAsia="en-AU"/>
        </w:rPr>
      </w:pPr>
      <w:r>
        <w:t>The PBAC considered that in T</w:t>
      </w:r>
      <w:r w:rsidR="009E0720" w:rsidRPr="001A05F4">
        <w:t xml:space="preserve">ype IIIb paediatric </w:t>
      </w:r>
      <w:r>
        <w:t xml:space="preserve">SMA </w:t>
      </w:r>
      <w:r w:rsidR="009E0720" w:rsidRPr="001A05F4">
        <w:t xml:space="preserve">patients </w:t>
      </w:r>
      <w:r w:rsidR="009E0720" w:rsidRPr="001A05F4">
        <w:rPr>
          <w:rFonts w:asciiTheme="minorHAnsi" w:hAnsiTheme="minorHAnsi"/>
          <w:szCs w:val="24"/>
          <w:lang w:eastAsia="en-AU"/>
        </w:rPr>
        <w:t xml:space="preserve">(with symptom onset between 3 and 18 years of age) </w:t>
      </w:r>
      <w:r w:rsidR="009E0720" w:rsidRPr="001A05F4">
        <w:t>there is a</w:t>
      </w:r>
      <w:r w:rsidR="00E021BF">
        <w:t xml:space="preserve"> high and urgent</w:t>
      </w:r>
      <w:r w:rsidR="009E0720" w:rsidRPr="001A05F4">
        <w:t xml:space="preserve"> clinical need as the condition is </w:t>
      </w:r>
      <w:r w:rsidR="00E021BF">
        <w:t>seriously</w:t>
      </w:r>
      <w:r w:rsidR="00E021BF" w:rsidRPr="001A05F4">
        <w:t xml:space="preserve"> </w:t>
      </w:r>
      <w:r w:rsidR="009E0720" w:rsidRPr="001A05F4">
        <w:t xml:space="preserve">debilitating and there are no PBS subsidised therapies available. </w:t>
      </w:r>
    </w:p>
    <w:p w:rsidR="007E6F7D" w:rsidRPr="001A05F4" w:rsidRDefault="007E6F7D" w:rsidP="007E6F7D">
      <w:pPr>
        <w:pStyle w:val="ListParagraph"/>
        <w:numPr>
          <w:ilvl w:val="1"/>
          <w:numId w:val="2"/>
        </w:numPr>
        <w:rPr>
          <w:rFonts w:asciiTheme="minorHAnsi" w:hAnsiTheme="minorHAnsi"/>
          <w:szCs w:val="24"/>
          <w:lang w:eastAsia="en-AU"/>
        </w:rPr>
      </w:pPr>
      <w:r w:rsidRPr="001A05F4">
        <w:rPr>
          <w:rFonts w:asciiTheme="minorHAnsi" w:hAnsiTheme="minorHAnsi"/>
          <w:szCs w:val="24"/>
          <w:lang w:eastAsia="en-AU"/>
        </w:rPr>
        <w:t>The PBAC considered that for patients with Type IIIb</w:t>
      </w:r>
      <w:r w:rsidR="00D60EF4" w:rsidRPr="001A05F4">
        <w:rPr>
          <w:rFonts w:asciiTheme="minorHAnsi" w:hAnsiTheme="minorHAnsi"/>
          <w:szCs w:val="24"/>
          <w:lang w:eastAsia="en-AU"/>
        </w:rPr>
        <w:t xml:space="preserve"> SMA</w:t>
      </w:r>
      <w:r w:rsidRPr="001A05F4">
        <w:rPr>
          <w:rFonts w:asciiTheme="minorHAnsi" w:hAnsiTheme="minorHAnsi"/>
          <w:szCs w:val="24"/>
          <w:lang w:eastAsia="en-AU"/>
        </w:rPr>
        <w:t xml:space="preserve"> nusinersen provides a moderate benefit and there is moderate confidence in the clinical data in terms of magnitude and durability of effect. </w:t>
      </w:r>
      <w:r w:rsidRPr="001A05F4">
        <w:rPr>
          <w:snapToGrid/>
        </w:rPr>
        <w:t xml:space="preserve">The PSCR argued that, in the absence of data in patients aged 18 years or less with Type IIIb SMA, the benefit would likely be the same or greater than that observed in adults with Type IIIb SMA as ‘these patients are earlier in the course of the disease and would therefore be able to maintain greater function over their lifetime’. </w:t>
      </w:r>
      <w:r w:rsidRPr="001A05F4">
        <w:rPr>
          <w:rFonts w:asciiTheme="minorHAnsi" w:hAnsiTheme="minorHAnsi"/>
          <w:szCs w:val="24"/>
          <w:lang w:eastAsia="en-AU"/>
        </w:rPr>
        <w:t>The PBAC noted that in the nusinersen trials results were not presented separately for Type III SMA subtypes (IIIa and IIIb/IIIc) but considered that it was likely that the incremental benefit is reduced in patients with later onset of symptoms but treatment earlier in the course of disease would maximise the benefit from treatment.</w:t>
      </w:r>
    </w:p>
    <w:p w:rsidR="00611994" w:rsidRPr="003221CD" w:rsidRDefault="00611994" w:rsidP="00F86097">
      <w:pPr>
        <w:pStyle w:val="ListParagraph"/>
        <w:widowControl/>
        <w:numPr>
          <w:ilvl w:val="1"/>
          <w:numId w:val="2"/>
        </w:numPr>
        <w:rPr>
          <w:iCs/>
        </w:rPr>
      </w:pPr>
      <w:r w:rsidRPr="001A05F4">
        <w:rPr>
          <w:rFonts w:cs="Calibri"/>
          <w:iCs/>
          <w:szCs w:val="24"/>
          <w:lang w:eastAsia="en-AU"/>
        </w:rPr>
        <w:t xml:space="preserve">The PBAC noted that the pre-PBAC response suggested that the cost of funding </w:t>
      </w:r>
      <w:r>
        <w:rPr>
          <w:rFonts w:cs="Calibri"/>
          <w:iCs/>
          <w:szCs w:val="24"/>
          <w:lang w:eastAsia="en-AU"/>
        </w:rPr>
        <w:t xml:space="preserve">nusinersen for </w:t>
      </w:r>
      <w:r w:rsidRPr="001A05F4">
        <w:rPr>
          <w:rFonts w:cs="Calibri"/>
          <w:iCs/>
          <w:szCs w:val="24"/>
          <w:lang w:eastAsia="en-AU"/>
        </w:rPr>
        <w:t>paediatric Type IIIb patients could be included in the existing RSA for nusinersen in symptomatic paediatric patients with Type I, II and IIIa SMA. The PBAC agreed with the pre-PBAC response that the size of the eligible paediatric Type IIIb population is likely to be small</w:t>
      </w:r>
      <w:r>
        <w:rPr>
          <w:rFonts w:cs="Calibri"/>
          <w:iCs/>
          <w:szCs w:val="24"/>
          <w:lang w:eastAsia="en-AU"/>
        </w:rPr>
        <w:t xml:space="preserve"> and considered that the total number of additional patients would be between 5 and 10 patients in each year</w:t>
      </w:r>
      <w:r w:rsidR="00FA4C31">
        <w:rPr>
          <w:rFonts w:cs="Calibri"/>
          <w:iCs/>
          <w:szCs w:val="24"/>
          <w:lang w:eastAsia="en-AU"/>
        </w:rPr>
        <w:t>, based on 11.5% of SMA Type III patients being T</w:t>
      </w:r>
      <w:r w:rsidR="00B61AF0">
        <w:rPr>
          <w:rFonts w:cs="Calibri"/>
          <w:iCs/>
          <w:szCs w:val="24"/>
          <w:lang w:eastAsia="en-AU"/>
        </w:rPr>
        <w:t>ype IIIb</w:t>
      </w:r>
      <w:r w:rsidR="00FA4C31">
        <w:rPr>
          <w:rFonts w:cs="Calibri"/>
          <w:iCs/>
          <w:szCs w:val="24"/>
          <w:lang w:eastAsia="en-AU"/>
        </w:rPr>
        <w:t xml:space="preserve"> (paragraph 6.77 risdiplam PSD, March 2021 PBAC meeting) and estimates of Type III SMA patient estimates of 33 to 94 patients in each year (Table 8, nusinersen </w:t>
      </w:r>
      <w:r w:rsidR="00AE5E09">
        <w:rPr>
          <w:rFonts w:cs="Calibri"/>
          <w:iCs/>
          <w:szCs w:val="24"/>
          <w:lang w:eastAsia="en-AU"/>
        </w:rPr>
        <w:t>PSD</w:t>
      </w:r>
      <w:r w:rsidR="00FA4C31">
        <w:rPr>
          <w:rFonts w:cs="Calibri"/>
          <w:iCs/>
          <w:szCs w:val="24"/>
          <w:lang w:eastAsia="en-AU"/>
        </w:rPr>
        <w:t>, March 2018 PBAC meeting)</w:t>
      </w:r>
      <w:r>
        <w:rPr>
          <w:rFonts w:cs="Calibri"/>
          <w:iCs/>
          <w:szCs w:val="24"/>
          <w:lang w:eastAsia="en-AU"/>
        </w:rPr>
        <w:t>. As such, the additional cost to the PBS would be contained and relatively low.</w:t>
      </w:r>
    </w:p>
    <w:p w:rsidR="00534FC7" w:rsidRPr="001A05F4" w:rsidRDefault="00865B95" w:rsidP="00534FC7">
      <w:pPr>
        <w:widowControl/>
        <w:numPr>
          <w:ilvl w:val="1"/>
          <w:numId w:val="2"/>
        </w:numPr>
        <w:spacing w:after="120"/>
        <w:rPr>
          <w:bCs/>
          <w:szCs w:val="24"/>
          <w:lang w:eastAsia="en-AU"/>
        </w:rPr>
      </w:pPr>
      <w:r w:rsidRPr="001A05F4">
        <w:rPr>
          <w:bCs/>
          <w:szCs w:val="24"/>
          <w:lang w:eastAsia="en-AU"/>
        </w:rPr>
        <w:t xml:space="preserve">The PBAC noted that the current listing for the treatment of symptomatic patients would need to be revised to reflect the additional paediatric patients for whom PBS listing was recommended. </w:t>
      </w:r>
      <w:r w:rsidR="00D875C6" w:rsidRPr="001A05F4">
        <w:rPr>
          <w:bCs/>
          <w:szCs w:val="24"/>
          <w:lang w:eastAsia="en-AU"/>
        </w:rPr>
        <w:t>The PBAC</w:t>
      </w:r>
      <w:r w:rsidR="008F3D34" w:rsidRPr="001A05F4">
        <w:rPr>
          <w:bCs/>
          <w:szCs w:val="24"/>
          <w:lang w:eastAsia="en-AU"/>
        </w:rPr>
        <w:t xml:space="preserve"> advised that specialist clinical input would be required to finalise </w:t>
      </w:r>
      <w:r w:rsidR="004215B6" w:rsidRPr="001A05F4">
        <w:rPr>
          <w:bCs/>
          <w:szCs w:val="24"/>
          <w:lang w:eastAsia="en-AU"/>
        </w:rPr>
        <w:t>changes</w:t>
      </w:r>
      <w:r w:rsidR="00534FC7" w:rsidRPr="001A05F4">
        <w:rPr>
          <w:bCs/>
          <w:szCs w:val="24"/>
          <w:lang w:eastAsia="en-AU"/>
        </w:rPr>
        <w:t xml:space="preserve"> to the current listing, </w:t>
      </w:r>
      <w:r w:rsidR="004215B6" w:rsidRPr="001A05F4">
        <w:rPr>
          <w:bCs/>
          <w:szCs w:val="24"/>
          <w:lang w:eastAsia="en-AU"/>
        </w:rPr>
        <w:t>as the</w:t>
      </w:r>
      <w:r w:rsidR="008F3D34" w:rsidRPr="001A05F4">
        <w:rPr>
          <w:bCs/>
          <w:szCs w:val="24"/>
          <w:lang w:eastAsia="en-AU"/>
        </w:rPr>
        <w:t xml:space="preserve"> typical symptoms for a patient with type IIIb SMA (i.e. with onset between 3 and 18 years of age) may differ from those for type IIIa SMA included in the current listing.</w:t>
      </w:r>
      <w:r w:rsidR="00D875C6" w:rsidRPr="001A05F4">
        <w:rPr>
          <w:bCs/>
          <w:szCs w:val="24"/>
          <w:lang w:eastAsia="en-AU"/>
        </w:rPr>
        <w:t xml:space="preserve"> </w:t>
      </w:r>
    </w:p>
    <w:p w:rsidR="000F0070" w:rsidRPr="001A05F4" w:rsidRDefault="000F0070" w:rsidP="00534FC7">
      <w:pPr>
        <w:widowControl/>
        <w:numPr>
          <w:ilvl w:val="1"/>
          <w:numId w:val="2"/>
        </w:numPr>
        <w:spacing w:after="120"/>
        <w:rPr>
          <w:bCs/>
          <w:szCs w:val="24"/>
          <w:lang w:eastAsia="en-AU"/>
        </w:rPr>
      </w:pPr>
      <w:r w:rsidRPr="001A05F4">
        <w:rPr>
          <w:bCs/>
          <w:szCs w:val="24"/>
          <w:lang w:eastAsia="en-AU"/>
        </w:rPr>
        <w:t>The PBAC advised that</w:t>
      </w:r>
      <w:r w:rsidR="001A3666" w:rsidRPr="001A05F4">
        <w:rPr>
          <w:bCs/>
          <w:szCs w:val="24"/>
          <w:lang w:eastAsia="en-AU"/>
        </w:rPr>
        <w:t xml:space="preserve"> the extension to the nusinersen listing to include all paediatric patients </w:t>
      </w:r>
      <w:r w:rsidR="00FA4C31">
        <w:rPr>
          <w:bCs/>
          <w:szCs w:val="24"/>
          <w:lang w:eastAsia="en-AU"/>
        </w:rPr>
        <w:t>c</w:t>
      </w:r>
      <w:r w:rsidRPr="001A05F4">
        <w:rPr>
          <w:bCs/>
          <w:szCs w:val="24"/>
          <w:lang w:eastAsia="en-AU"/>
        </w:rPr>
        <w:t>ould also be flowed onto risdiplam</w:t>
      </w:r>
      <w:r w:rsidR="009900B7" w:rsidRPr="001A05F4">
        <w:rPr>
          <w:bCs/>
          <w:szCs w:val="24"/>
          <w:lang w:eastAsia="en-AU"/>
        </w:rPr>
        <w:t xml:space="preserve">, </w:t>
      </w:r>
      <w:r w:rsidR="00FA4C31">
        <w:rPr>
          <w:bCs/>
          <w:szCs w:val="24"/>
          <w:lang w:eastAsia="en-AU"/>
        </w:rPr>
        <w:t>(</w:t>
      </w:r>
      <w:r w:rsidRPr="001A05F4">
        <w:rPr>
          <w:bCs/>
          <w:szCs w:val="24"/>
          <w:lang w:eastAsia="en-AU"/>
        </w:rPr>
        <w:t>recommended in March 2021 for patients with Type I, II or IIIa SMA who are 18 years or under at treatment initiation</w:t>
      </w:r>
      <w:r w:rsidR="001E7366" w:rsidRPr="001E7366">
        <w:rPr>
          <w:bCs/>
          <w:szCs w:val="24"/>
          <w:lang w:eastAsia="en-AU"/>
        </w:rPr>
        <w:t xml:space="preserve"> </w:t>
      </w:r>
      <w:r w:rsidR="001E7366" w:rsidRPr="001A05F4">
        <w:rPr>
          <w:bCs/>
          <w:szCs w:val="24"/>
          <w:lang w:eastAsia="en-AU"/>
        </w:rPr>
        <w:t>on a cost-minimisation basis to nusinersen</w:t>
      </w:r>
      <w:r w:rsidR="00FA4C31">
        <w:rPr>
          <w:bCs/>
          <w:szCs w:val="24"/>
          <w:lang w:eastAsia="en-AU"/>
        </w:rPr>
        <w:t>) us</w:t>
      </w:r>
      <w:r w:rsidR="001E7366">
        <w:rPr>
          <w:bCs/>
          <w:szCs w:val="24"/>
          <w:lang w:eastAsia="en-AU"/>
        </w:rPr>
        <w:t>ing the equi-effective doses e</w:t>
      </w:r>
      <w:r w:rsidR="00FA4C31">
        <w:rPr>
          <w:bCs/>
          <w:szCs w:val="24"/>
          <w:lang w:eastAsia="en-AU"/>
        </w:rPr>
        <w:t>stablished for Type I, II and IIIa</w:t>
      </w:r>
      <w:r w:rsidRPr="001A05F4">
        <w:rPr>
          <w:bCs/>
          <w:szCs w:val="24"/>
          <w:lang w:eastAsia="en-AU"/>
        </w:rPr>
        <w:t xml:space="preserve">. </w:t>
      </w:r>
      <w:r w:rsidR="00BA2BCA" w:rsidRPr="001A05F4">
        <w:rPr>
          <w:bCs/>
          <w:szCs w:val="24"/>
          <w:lang w:eastAsia="en-AU"/>
        </w:rPr>
        <w:t xml:space="preserve">The PBAC </w:t>
      </w:r>
      <w:r w:rsidR="00B95481" w:rsidRPr="001A05F4">
        <w:rPr>
          <w:bCs/>
          <w:szCs w:val="24"/>
          <w:lang w:eastAsia="en-AU"/>
        </w:rPr>
        <w:t xml:space="preserve">noted that the same conditions would need to be met as outlined in paragraph </w:t>
      </w:r>
      <w:r w:rsidR="001E7366">
        <w:rPr>
          <w:bCs/>
          <w:szCs w:val="24"/>
          <w:lang w:eastAsia="en-AU"/>
        </w:rPr>
        <w:t>7.18</w:t>
      </w:r>
      <w:r w:rsidR="00B95481" w:rsidRPr="001A05F4">
        <w:rPr>
          <w:bCs/>
          <w:szCs w:val="24"/>
          <w:lang w:eastAsia="en-AU"/>
        </w:rPr>
        <w:t xml:space="preserve">, in terms of </w:t>
      </w:r>
      <w:r w:rsidR="001E7366">
        <w:rPr>
          <w:bCs/>
          <w:szCs w:val="24"/>
          <w:lang w:eastAsia="en-AU"/>
        </w:rPr>
        <w:t>pricing</w:t>
      </w:r>
      <w:r w:rsidR="00B95481" w:rsidRPr="001A05F4">
        <w:rPr>
          <w:bCs/>
          <w:szCs w:val="24"/>
          <w:lang w:eastAsia="en-AU"/>
        </w:rPr>
        <w:t xml:space="preserve"> and inclusion within the existing nusinersen caps.</w:t>
      </w:r>
    </w:p>
    <w:p w:rsidR="00232064" w:rsidRPr="001A05F4" w:rsidRDefault="00232064" w:rsidP="00534FC7">
      <w:pPr>
        <w:widowControl/>
        <w:numPr>
          <w:ilvl w:val="1"/>
          <w:numId w:val="2"/>
        </w:numPr>
        <w:spacing w:after="120"/>
        <w:rPr>
          <w:bCs/>
          <w:szCs w:val="24"/>
          <w:lang w:eastAsia="en-AU"/>
        </w:rPr>
      </w:pPr>
      <w:r w:rsidRPr="001A05F4">
        <w:rPr>
          <w:bCs/>
          <w:szCs w:val="24"/>
          <w:lang w:eastAsia="en-AU"/>
        </w:rPr>
        <w:t>The PBAC found</w:t>
      </w:r>
      <w:r w:rsidR="00EC62F2" w:rsidRPr="001A05F4">
        <w:rPr>
          <w:bCs/>
          <w:szCs w:val="24"/>
          <w:lang w:eastAsia="en-AU"/>
        </w:rPr>
        <w:t xml:space="preserve"> </w:t>
      </w:r>
      <w:r w:rsidRPr="001A05F4">
        <w:rPr>
          <w:bCs/>
          <w:szCs w:val="24"/>
          <w:lang w:eastAsia="en-AU"/>
        </w:rPr>
        <w:t xml:space="preserve">that the criteria prescribed by the </w:t>
      </w:r>
      <w:r w:rsidRPr="001A05F4">
        <w:rPr>
          <w:bCs/>
          <w:i/>
          <w:szCs w:val="24"/>
          <w:lang w:eastAsia="en-AU"/>
        </w:rPr>
        <w:t>National Health (Pharmaceutical and Vaccines – Cost Recovery) Regulations 2009</w:t>
      </w:r>
      <w:r w:rsidRPr="001A05F4">
        <w:rPr>
          <w:bCs/>
          <w:szCs w:val="24"/>
          <w:lang w:eastAsia="en-AU"/>
        </w:rPr>
        <w:t xml:space="preserve"> for Pricing Pathway A were met</w:t>
      </w:r>
      <w:r w:rsidR="00EC62F2" w:rsidRPr="001A05F4">
        <w:t xml:space="preserve"> </w:t>
      </w:r>
      <w:r w:rsidR="00EC62F2" w:rsidRPr="001A05F4">
        <w:rPr>
          <w:bCs/>
          <w:szCs w:val="24"/>
          <w:lang w:eastAsia="en-AU"/>
        </w:rPr>
        <w:t xml:space="preserve">for the extension of the current listing to include all paediatric patients with </w:t>
      </w:r>
      <w:r w:rsidR="005B22F4" w:rsidRPr="001A05F4">
        <w:rPr>
          <w:bCs/>
          <w:szCs w:val="24"/>
          <w:lang w:eastAsia="en-AU"/>
        </w:rPr>
        <w:t>T</w:t>
      </w:r>
      <w:r w:rsidR="00EC62F2" w:rsidRPr="001A05F4">
        <w:rPr>
          <w:bCs/>
          <w:szCs w:val="24"/>
          <w:lang w:eastAsia="en-AU"/>
        </w:rPr>
        <w:t xml:space="preserve">ype III SMA. </w:t>
      </w:r>
      <w:r w:rsidRPr="001A05F4">
        <w:rPr>
          <w:bCs/>
          <w:szCs w:val="24"/>
          <w:lang w:eastAsia="en-AU"/>
        </w:rPr>
        <w:t>Specifically, the PBAC found that in the circumstances of its recommendation</w:t>
      </w:r>
      <w:r w:rsidR="005B22F4" w:rsidRPr="001A05F4">
        <w:rPr>
          <w:bCs/>
          <w:szCs w:val="24"/>
          <w:lang w:eastAsia="en-AU"/>
        </w:rPr>
        <w:t xml:space="preserve"> to extend the existing listing</w:t>
      </w:r>
      <w:r w:rsidRPr="001A05F4">
        <w:rPr>
          <w:bCs/>
          <w:szCs w:val="24"/>
          <w:lang w:eastAsia="en-AU"/>
        </w:rPr>
        <w:t>:</w:t>
      </w:r>
    </w:p>
    <w:p w:rsidR="00232064" w:rsidRPr="001A05F4" w:rsidRDefault="00232064" w:rsidP="00534FC7">
      <w:pPr>
        <w:widowControl/>
        <w:numPr>
          <w:ilvl w:val="0"/>
          <w:numId w:val="17"/>
        </w:numPr>
        <w:snapToGrid w:val="0"/>
        <w:spacing w:after="120"/>
        <w:contextualSpacing/>
        <w:rPr>
          <w:bCs/>
          <w:snapToGrid/>
          <w:szCs w:val="24"/>
        </w:rPr>
      </w:pPr>
      <w:r w:rsidRPr="001A05F4">
        <w:rPr>
          <w:bCs/>
          <w:snapToGrid/>
          <w:szCs w:val="24"/>
        </w:rPr>
        <w:t xml:space="preserve">The treatment is expected to provide a substantial and clinically relevant improvement in efficacy over </w:t>
      </w:r>
      <w:r w:rsidR="005B22F4" w:rsidRPr="001A05F4">
        <w:rPr>
          <w:bCs/>
          <w:snapToGrid/>
          <w:szCs w:val="24"/>
        </w:rPr>
        <w:t>standard of care</w:t>
      </w:r>
      <w:r w:rsidRPr="001A05F4">
        <w:rPr>
          <w:bCs/>
          <w:snapToGrid/>
          <w:szCs w:val="24"/>
        </w:rPr>
        <w:t>;</w:t>
      </w:r>
    </w:p>
    <w:p w:rsidR="00232064" w:rsidRPr="001A05F4" w:rsidRDefault="00232064" w:rsidP="00534FC7">
      <w:pPr>
        <w:widowControl/>
        <w:numPr>
          <w:ilvl w:val="0"/>
          <w:numId w:val="17"/>
        </w:numPr>
        <w:snapToGrid w:val="0"/>
        <w:spacing w:after="120"/>
        <w:contextualSpacing/>
        <w:rPr>
          <w:bCs/>
          <w:snapToGrid/>
          <w:szCs w:val="24"/>
        </w:rPr>
      </w:pPr>
      <w:r w:rsidRPr="001A05F4">
        <w:rPr>
          <w:bCs/>
          <w:snapToGrid/>
          <w:szCs w:val="24"/>
        </w:rPr>
        <w:t xml:space="preserve">The treatment is expected to address a high and urgent unmet clinical need as there are currently no medicines for </w:t>
      </w:r>
      <w:r w:rsidR="005B22F4" w:rsidRPr="001A05F4">
        <w:rPr>
          <w:bCs/>
          <w:snapToGrid/>
          <w:szCs w:val="24"/>
        </w:rPr>
        <w:t>this patient population</w:t>
      </w:r>
      <w:r w:rsidRPr="001A05F4">
        <w:rPr>
          <w:bCs/>
          <w:snapToGrid/>
          <w:szCs w:val="24"/>
        </w:rPr>
        <w:t xml:space="preserve">; and </w:t>
      </w:r>
    </w:p>
    <w:p w:rsidR="00232064" w:rsidRPr="001A05F4" w:rsidRDefault="00232064" w:rsidP="00534FC7">
      <w:pPr>
        <w:widowControl/>
        <w:numPr>
          <w:ilvl w:val="0"/>
          <w:numId w:val="17"/>
        </w:numPr>
        <w:snapToGrid w:val="0"/>
        <w:spacing w:after="120"/>
        <w:contextualSpacing/>
        <w:rPr>
          <w:bCs/>
          <w:snapToGrid/>
          <w:szCs w:val="24"/>
        </w:rPr>
      </w:pPr>
      <w:r w:rsidRPr="001A05F4">
        <w:rPr>
          <w:bCs/>
          <w:snapToGrid/>
          <w:szCs w:val="24"/>
        </w:rPr>
        <w:t>It would be in the public interest for the subsequent pricing application to be progresse</w:t>
      </w:r>
      <w:r w:rsidR="00BB238C" w:rsidRPr="001A05F4">
        <w:rPr>
          <w:bCs/>
          <w:snapToGrid/>
          <w:szCs w:val="24"/>
        </w:rPr>
        <w:t>d</w:t>
      </w:r>
      <w:r w:rsidRPr="001A05F4">
        <w:rPr>
          <w:bCs/>
          <w:snapToGrid/>
          <w:szCs w:val="24"/>
        </w:rPr>
        <w:t xml:space="preserve"> under Pricing Pathway A on the basis of the preceding findings.</w:t>
      </w:r>
    </w:p>
    <w:p w:rsidR="002E54EE" w:rsidRPr="001A05F4" w:rsidRDefault="002E54EE" w:rsidP="003D3F8C">
      <w:pPr>
        <w:rPr>
          <w:rFonts w:asciiTheme="minorHAnsi" w:hAnsiTheme="minorHAnsi"/>
          <w:szCs w:val="24"/>
          <w:lang w:eastAsia="en-AU"/>
        </w:rPr>
      </w:pPr>
    </w:p>
    <w:p w:rsidR="00517C13" w:rsidRPr="001A05F4" w:rsidRDefault="00517C13" w:rsidP="00517C13">
      <w:pPr>
        <w:widowControl/>
        <w:spacing w:before="240"/>
        <w:rPr>
          <w:rFonts w:asciiTheme="minorHAnsi" w:hAnsiTheme="minorHAnsi"/>
          <w:b/>
          <w:bCs/>
          <w:szCs w:val="24"/>
        </w:rPr>
      </w:pPr>
      <w:r w:rsidRPr="001A05F4">
        <w:rPr>
          <w:rFonts w:asciiTheme="minorHAnsi" w:hAnsiTheme="minorHAnsi"/>
          <w:b/>
          <w:bCs/>
          <w:szCs w:val="24"/>
        </w:rPr>
        <w:t>Outcome:</w:t>
      </w:r>
    </w:p>
    <w:p w:rsidR="00517C13" w:rsidRPr="001A05F4" w:rsidRDefault="00517C13" w:rsidP="00517C13">
      <w:pPr>
        <w:widowControl/>
        <w:spacing w:after="120"/>
        <w:rPr>
          <w:rFonts w:asciiTheme="minorHAnsi" w:hAnsiTheme="minorHAnsi"/>
          <w:bCs/>
          <w:szCs w:val="24"/>
        </w:rPr>
      </w:pPr>
      <w:r w:rsidRPr="001A05F4">
        <w:rPr>
          <w:rFonts w:asciiTheme="minorHAnsi" w:hAnsiTheme="minorHAnsi"/>
          <w:bCs/>
          <w:szCs w:val="24"/>
        </w:rPr>
        <w:t>Re</w:t>
      </w:r>
      <w:r w:rsidR="00B95481" w:rsidRPr="001A05F4">
        <w:rPr>
          <w:rFonts w:asciiTheme="minorHAnsi" w:hAnsiTheme="minorHAnsi"/>
          <w:bCs/>
          <w:szCs w:val="24"/>
        </w:rPr>
        <w:t>commended</w:t>
      </w:r>
    </w:p>
    <w:p w:rsidR="00517C13" w:rsidRPr="001A05F4" w:rsidRDefault="00517C13" w:rsidP="00F9436F">
      <w:pPr>
        <w:pStyle w:val="2-SectionHeading"/>
        <w:numPr>
          <w:ilvl w:val="0"/>
          <w:numId w:val="2"/>
        </w:numPr>
      </w:pPr>
      <w:r w:rsidRPr="001A05F4">
        <w:t>Recommended listing</w:t>
      </w:r>
    </w:p>
    <w:p w:rsidR="00517C13" w:rsidRPr="001A05F4" w:rsidRDefault="00C52B2D" w:rsidP="00F9436F">
      <w:pPr>
        <w:pStyle w:val="ListParagraph"/>
        <w:widowControl/>
        <w:numPr>
          <w:ilvl w:val="1"/>
          <w:numId w:val="2"/>
        </w:numPr>
        <w:rPr>
          <w:iCs/>
        </w:rPr>
      </w:pPr>
      <w:bookmarkStart w:id="55" w:name="_Hlk77689600"/>
      <w:r w:rsidRPr="001A05F4">
        <w:rPr>
          <w:iCs/>
        </w:rPr>
        <w:t>Amend existing</w:t>
      </w:r>
      <w:r w:rsidR="004E624E" w:rsidRPr="001A05F4">
        <w:rPr>
          <w:iCs/>
        </w:rPr>
        <w:t xml:space="preserve"> symptomatic spinal muscular atrophy listing (pre-symptomatic restrictions remain unchanged)</w:t>
      </w:r>
      <w:r w:rsidR="00017D49" w:rsidRPr="001A05F4">
        <w:rPr>
          <w:iCs/>
        </w:rPr>
        <w:t xml:space="preserve"> </w:t>
      </w:r>
      <w:r w:rsidR="00BA2197" w:rsidRPr="001A05F4">
        <w:rPr>
          <w:iCs/>
        </w:rPr>
        <w:t>to</w:t>
      </w:r>
      <w:r w:rsidR="004E624E" w:rsidRPr="001A05F4">
        <w:rPr>
          <w:iCs/>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2122"/>
        <w:gridCol w:w="1701"/>
        <w:gridCol w:w="850"/>
        <w:gridCol w:w="992"/>
        <w:gridCol w:w="709"/>
        <w:gridCol w:w="1564"/>
      </w:tblGrid>
      <w:tr w:rsidR="00017D49" w:rsidRPr="001A05F4" w:rsidTr="00284004">
        <w:trPr>
          <w:cantSplit/>
          <w:trHeight w:val="471"/>
        </w:trPr>
        <w:tc>
          <w:tcPr>
            <w:tcW w:w="3256" w:type="dxa"/>
            <w:gridSpan w:val="3"/>
          </w:tcPr>
          <w:p w:rsidR="00017D49" w:rsidRPr="001A05F4" w:rsidRDefault="00017D49" w:rsidP="00017D49">
            <w:pPr>
              <w:keepNext/>
              <w:widowControl/>
              <w:ind w:left="-57"/>
              <w:jc w:val="left"/>
              <w:rPr>
                <w:rFonts w:ascii="Arial Narrow" w:eastAsia="Calibri" w:hAnsi="Arial Narrow"/>
                <w:b/>
                <w:bCs/>
                <w:snapToGrid/>
                <w:sz w:val="18"/>
                <w:szCs w:val="18"/>
              </w:rPr>
            </w:pPr>
            <w:bookmarkStart w:id="56" w:name="_Hlk77092421"/>
            <w:bookmarkEnd w:id="55"/>
            <w:r w:rsidRPr="001A05F4">
              <w:rPr>
                <w:rFonts w:ascii="Arial Narrow" w:eastAsia="Calibri" w:hAnsi="Arial Narrow"/>
                <w:b/>
                <w:bCs/>
                <w:snapToGrid/>
                <w:sz w:val="18"/>
                <w:szCs w:val="18"/>
              </w:rPr>
              <w:t>MEDICINAL PRODUCT</w:t>
            </w:r>
          </w:p>
          <w:p w:rsidR="00017D49" w:rsidRPr="001A05F4" w:rsidRDefault="00017D49" w:rsidP="00017D49">
            <w:pPr>
              <w:keepNext/>
              <w:widowControl/>
              <w:ind w:left="-57"/>
              <w:jc w:val="left"/>
              <w:rPr>
                <w:rFonts w:eastAsia="Calibri"/>
                <w:b/>
                <w:snapToGrid/>
              </w:rPr>
            </w:pPr>
            <w:r w:rsidRPr="001A05F4">
              <w:rPr>
                <w:rFonts w:ascii="Arial Narrow" w:eastAsia="Calibri" w:hAnsi="Arial Narrow"/>
                <w:b/>
                <w:bCs/>
                <w:snapToGrid/>
                <w:sz w:val="18"/>
                <w:szCs w:val="18"/>
              </w:rPr>
              <w:t>medicinal product pack</w:t>
            </w:r>
          </w:p>
        </w:tc>
        <w:tc>
          <w:tcPr>
            <w:tcW w:w="1701" w:type="dxa"/>
          </w:tcPr>
          <w:p w:rsidR="00017D49" w:rsidRPr="001A05F4" w:rsidRDefault="00017D49" w:rsidP="00284004">
            <w:pPr>
              <w:keepNext/>
              <w:widowControl/>
              <w:ind w:left="-108"/>
              <w:jc w:val="center"/>
              <w:rPr>
                <w:rFonts w:ascii="Arial Narrow" w:eastAsia="Calibri" w:hAnsi="Arial Narrow"/>
                <w:b/>
                <w:snapToGrid/>
                <w:sz w:val="18"/>
                <w:szCs w:val="18"/>
              </w:rPr>
            </w:pPr>
            <w:r w:rsidRPr="001A05F4">
              <w:rPr>
                <w:rFonts w:ascii="Arial Narrow" w:eastAsia="Calibri" w:hAnsi="Arial Narrow"/>
                <w:b/>
                <w:snapToGrid/>
                <w:sz w:val="18"/>
                <w:szCs w:val="18"/>
              </w:rPr>
              <w:t>PBS item code</w:t>
            </w:r>
          </w:p>
        </w:tc>
        <w:tc>
          <w:tcPr>
            <w:tcW w:w="850" w:type="dxa"/>
          </w:tcPr>
          <w:p w:rsidR="00017D49" w:rsidRPr="001A05F4" w:rsidRDefault="00017D49" w:rsidP="00284004">
            <w:pPr>
              <w:keepNext/>
              <w:widowControl/>
              <w:ind w:left="-108"/>
              <w:jc w:val="center"/>
              <w:rPr>
                <w:rFonts w:ascii="Arial Narrow" w:eastAsia="Calibri" w:hAnsi="Arial Narrow"/>
                <w:b/>
                <w:snapToGrid/>
                <w:sz w:val="18"/>
                <w:szCs w:val="18"/>
              </w:rPr>
            </w:pPr>
            <w:r w:rsidRPr="001A05F4">
              <w:rPr>
                <w:rFonts w:ascii="Arial Narrow" w:eastAsia="Calibri" w:hAnsi="Arial Narrow"/>
                <w:b/>
                <w:snapToGrid/>
                <w:sz w:val="18"/>
                <w:szCs w:val="18"/>
              </w:rPr>
              <w:t>Max. qty packs</w:t>
            </w:r>
          </w:p>
        </w:tc>
        <w:tc>
          <w:tcPr>
            <w:tcW w:w="992" w:type="dxa"/>
          </w:tcPr>
          <w:p w:rsidR="00017D49" w:rsidRPr="001A05F4" w:rsidRDefault="00017D49" w:rsidP="00284004">
            <w:pPr>
              <w:keepNext/>
              <w:widowControl/>
              <w:ind w:left="-108"/>
              <w:jc w:val="center"/>
              <w:rPr>
                <w:rFonts w:ascii="Arial Narrow" w:eastAsia="Calibri" w:hAnsi="Arial Narrow"/>
                <w:b/>
                <w:snapToGrid/>
                <w:sz w:val="18"/>
                <w:szCs w:val="18"/>
              </w:rPr>
            </w:pPr>
            <w:r w:rsidRPr="001A05F4">
              <w:rPr>
                <w:rFonts w:ascii="Arial Narrow" w:eastAsia="Calibri" w:hAnsi="Arial Narrow"/>
                <w:b/>
                <w:snapToGrid/>
                <w:sz w:val="18"/>
                <w:szCs w:val="18"/>
              </w:rPr>
              <w:t>Max. qty units</w:t>
            </w:r>
          </w:p>
        </w:tc>
        <w:tc>
          <w:tcPr>
            <w:tcW w:w="709" w:type="dxa"/>
          </w:tcPr>
          <w:p w:rsidR="00017D49" w:rsidRPr="001A05F4" w:rsidRDefault="00017D49" w:rsidP="00284004">
            <w:pPr>
              <w:keepNext/>
              <w:widowControl/>
              <w:ind w:left="-108"/>
              <w:jc w:val="center"/>
              <w:rPr>
                <w:rFonts w:ascii="Arial Narrow" w:eastAsia="Calibri" w:hAnsi="Arial Narrow"/>
                <w:b/>
                <w:snapToGrid/>
                <w:sz w:val="18"/>
                <w:szCs w:val="18"/>
              </w:rPr>
            </w:pPr>
            <w:r w:rsidRPr="001A05F4">
              <w:rPr>
                <w:rFonts w:ascii="Arial Narrow" w:eastAsia="Calibri" w:hAnsi="Arial Narrow"/>
                <w:b/>
                <w:snapToGrid/>
                <w:sz w:val="18"/>
                <w:szCs w:val="18"/>
              </w:rPr>
              <w:t>№.of</w:t>
            </w:r>
          </w:p>
          <w:p w:rsidR="00017D49" w:rsidRPr="001A05F4" w:rsidRDefault="00017D49" w:rsidP="00284004">
            <w:pPr>
              <w:keepNext/>
              <w:widowControl/>
              <w:ind w:left="-108"/>
              <w:jc w:val="center"/>
              <w:rPr>
                <w:rFonts w:ascii="Arial Narrow" w:eastAsia="Calibri" w:hAnsi="Arial Narrow"/>
                <w:b/>
                <w:snapToGrid/>
                <w:sz w:val="18"/>
                <w:szCs w:val="18"/>
              </w:rPr>
            </w:pPr>
            <w:r w:rsidRPr="001A05F4">
              <w:rPr>
                <w:rFonts w:ascii="Arial Narrow" w:eastAsia="Calibri" w:hAnsi="Arial Narrow"/>
                <w:b/>
                <w:snapToGrid/>
                <w:sz w:val="18"/>
                <w:szCs w:val="18"/>
              </w:rPr>
              <w:t>Rpts</w:t>
            </w:r>
          </w:p>
        </w:tc>
        <w:tc>
          <w:tcPr>
            <w:tcW w:w="1564" w:type="dxa"/>
          </w:tcPr>
          <w:p w:rsidR="00017D49" w:rsidRPr="001A05F4" w:rsidRDefault="00017D49" w:rsidP="00284004">
            <w:pPr>
              <w:keepNext/>
              <w:widowControl/>
              <w:jc w:val="left"/>
              <w:rPr>
                <w:rFonts w:ascii="Arial Narrow" w:eastAsia="Calibri" w:hAnsi="Arial Narrow"/>
                <w:b/>
                <w:snapToGrid/>
                <w:sz w:val="18"/>
                <w:szCs w:val="18"/>
              </w:rPr>
            </w:pPr>
            <w:r w:rsidRPr="001A05F4">
              <w:rPr>
                <w:rFonts w:ascii="Arial Narrow" w:eastAsia="Calibri" w:hAnsi="Arial Narrow"/>
                <w:b/>
                <w:snapToGrid/>
                <w:sz w:val="18"/>
                <w:szCs w:val="18"/>
              </w:rPr>
              <w:t>Available brands</w:t>
            </w:r>
          </w:p>
        </w:tc>
      </w:tr>
      <w:tr w:rsidR="00017D49" w:rsidRPr="001A05F4" w:rsidTr="00284004">
        <w:trPr>
          <w:cantSplit/>
          <w:trHeight w:val="224"/>
        </w:trPr>
        <w:tc>
          <w:tcPr>
            <w:tcW w:w="9072" w:type="dxa"/>
            <w:gridSpan w:val="8"/>
          </w:tcPr>
          <w:p w:rsidR="00017D49" w:rsidRPr="001A05F4" w:rsidRDefault="00017D49" w:rsidP="00284004">
            <w:pPr>
              <w:keepNext/>
              <w:widowControl/>
              <w:ind w:left="-57"/>
              <w:jc w:val="left"/>
              <w:rPr>
                <w:rFonts w:ascii="Arial Narrow" w:eastAsia="Calibri" w:hAnsi="Arial Narrow"/>
                <w:snapToGrid/>
                <w:sz w:val="18"/>
                <w:szCs w:val="18"/>
              </w:rPr>
            </w:pPr>
            <w:r w:rsidRPr="001A05F4">
              <w:rPr>
                <w:rFonts w:ascii="Arial Narrow" w:eastAsia="Calibri" w:hAnsi="Arial Narrow"/>
                <w:snapToGrid/>
                <w:sz w:val="18"/>
                <w:szCs w:val="18"/>
              </w:rPr>
              <w:t xml:space="preserve">NUSINERSEN </w:t>
            </w:r>
          </w:p>
        </w:tc>
      </w:tr>
      <w:tr w:rsidR="00017D49" w:rsidRPr="001A05F4" w:rsidTr="00284004">
        <w:trPr>
          <w:cantSplit/>
          <w:trHeight w:val="250"/>
        </w:trPr>
        <w:tc>
          <w:tcPr>
            <w:tcW w:w="3256" w:type="dxa"/>
            <w:gridSpan w:val="3"/>
          </w:tcPr>
          <w:p w:rsidR="00017D49" w:rsidRPr="001A05F4" w:rsidRDefault="00017D49" w:rsidP="00284004">
            <w:pPr>
              <w:keepNext/>
              <w:widowControl/>
              <w:ind w:left="-57"/>
              <w:rPr>
                <w:rFonts w:ascii="Arial Narrow" w:eastAsia="Calibri" w:hAnsi="Arial Narrow"/>
                <w:snapToGrid/>
                <w:sz w:val="18"/>
                <w:szCs w:val="18"/>
              </w:rPr>
            </w:pPr>
            <w:r w:rsidRPr="001A05F4">
              <w:rPr>
                <w:rFonts w:ascii="Arial Narrow" w:eastAsia="Calibri" w:hAnsi="Arial Narrow"/>
                <w:snapToGrid/>
                <w:sz w:val="18"/>
                <w:szCs w:val="18"/>
              </w:rPr>
              <w:t xml:space="preserve">nusinersen 12 mg/5 mL injection, 5 mL vial </w:t>
            </w:r>
          </w:p>
        </w:tc>
        <w:tc>
          <w:tcPr>
            <w:tcW w:w="1701" w:type="dxa"/>
          </w:tcPr>
          <w:p w:rsidR="00017D49" w:rsidRPr="001A05F4" w:rsidRDefault="00017D49" w:rsidP="00284004">
            <w:pPr>
              <w:keepNext/>
              <w:widowControl/>
              <w:jc w:val="center"/>
              <w:rPr>
                <w:rFonts w:ascii="Arial Narrow" w:eastAsia="Calibri" w:hAnsi="Arial Narrow"/>
                <w:snapToGrid/>
                <w:sz w:val="18"/>
                <w:szCs w:val="18"/>
              </w:rPr>
            </w:pPr>
            <w:r w:rsidRPr="001A05F4">
              <w:rPr>
                <w:rFonts w:ascii="Arial Narrow" w:eastAsia="Calibri" w:hAnsi="Arial Narrow"/>
                <w:snapToGrid/>
                <w:sz w:val="18"/>
                <w:szCs w:val="18"/>
              </w:rPr>
              <w:t>11363C (Public)</w:t>
            </w:r>
          </w:p>
          <w:p w:rsidR="00017D49" w:rsidRPr="001A05F4" w:rsidRDefault="00017D49" w:rsidP="00284004">
            <w:pPr>
              <w:keepNext/>
              <w:widowControl/>
              <w:jc w:val="center"/>
              <w:rPr>
                <w:rFonts w:ascii="Arial Narrow" w:eastAsia="Calibri" w:hAnsi="Arial Narrow"/>
                <w:snapToGrid/>
                <w:sz w:val="18"/>
                <w:szCs w:val="18"/>
              </w:rPr>
            </w:pPr>
            <w:r w:rsidRPr="001A05F4">
              <w:rPr>
                <w:rFonts w:ascii="Arial Narrow" w:eastAsia="Calibri" w:hAnsi="Arial Narrow"/>
                <w:snapToGrid/>
                <w:sz w:val="18"/>
                <w:szCs w:val="18"/>
              </w:rPr>
              <w:t>11472T (Private)</w:t>
            </w:r>
          </w:p>
        </w:tc>
        <w:tc>
          <w:tcPr>
            <w:tcW w:w="850" w:type="dxa"/>
          </w:tcPr>
          <w:p w:rsidR="00017D49" w:rsidRPr="001A05F4" w:rsidRDefault="00017D49" w:rsidP="00284004">
            <w:pPr>
              <w:keepNext/>
              <w:widowControl/>
              <w:jc w:val="center"/>
              <w:rPr>
                <w:rFonts w:ascii="Arial Narrow" w:eastAsia="Calibri" w:hAnsi="Arial Narrow"/>
                <w:snapToGrid/>
                <w:sz w:val="18"/>
                <w:szCs w:val="18"/>
              </w:rPr>
            </w:pPr>
            <w:r w:rsidRPr="001A05F4">
              <w:rPr>
                <w:rFonts w:ascii="Arial Narrow" w:eastAsia="Calibri" w:hAnsi="Arial Narrow"/>
                <w:snapToGrid/>
                <w:sz w:val="18"/>
                <w:szCs w:val="18"/>
              </w:rPr>
              <w:t>1</w:t>
            </w:r>
          </w:p>
        </w:tc>
        <w:tc>
          <w:tcPr>
            <w:tcW w:w="992" w:type="dxa"/>
          </w:tcPr>
          <w:p w:rsidR="00017D49" w:rsidRPr="001A05F4" w:rsidRDefault="00017D49" w:rsidP="00284004">
            <w:pPr>
              <w:keepNext/>
              <w:widowControl/>
              <w:jc w:val="center"/>
              <w:rPr>
                <w:rFonts w:ascii="Arial Narrow" w:eastAsia="Calibri" w:hAnsi="Arial Narrow"/>
                <w:snapToGrid/>
                <w:sz w:val="18"/>
                <w:szCs w:val="18"/>
              </w:rPr>
            </w:pPr>
            <w:r w:rsidRPr="001A05F4">
              <w:rPr>
                <w:rFonts w:ascii="Arial Narrow" w:eastAsia="Calibri" w:hAnsi="Arial Narrow"/>
                <w:snapToGrid/>
                <w:sz w:val="18"/>
                <w:szCs w:val="18"/>
              </w:rPr>
              <w:t>1</w:t>
            </w:r>
          </w:p>
        </w:tc>
        <w:tc>
          <w:tcPr>
            <w:tcW w:w="709" w:type="dxa"/>
          </w:tcPr>
          <w:p w:rsidR="00017D49" w:rsidRPr="001A05F4" w:rsidRDefault="00017D49" w:rsidP="00284004">
            <w:pPr>
              <w:keepNext/>
              <w:widowControl/>
              <w:jc w:val="center"/>
              <w:rPr>
                <w:rFonts w:ascii="Arial Narrow" w:eastAsia="Calibri" w:hAnsi="Arial Narrow"/>
                <w:snapToGrid/>
                <w:sz w:val="18"/>
                <w:szCs w:val="18"/>
              </w:rPr>
            </w:pPr>
            <w:r w:rsidRPr="001A05F4">
              <w:rPr>
                <w:rFonts w:ascii="Arial Narrow" w:eastAsia="Calibri" w:hAnsi="Arial Narrow"/>
                <w:snapToGrid/>
                <w:sz w:val="18"/>
                <w:szCs w:val="18"/>
              </w:rPr>
              <w:t>3</w:t>
            </w:r>
          </w:p>
        </w:tc>
        <w:tc>
          <w:tcPr>
            <w:tcW w:w="1564" w:type="dxa"/>
          </w:tcPr>
          <w:p w:rsidR="00017D49" w:rsidRPr="001A05F4" w:rsidRDefault="00017D49" w:rsidP="00284004">
            <w:pPr>
              <w:keepNext/>
              <w:widowControl/>
              <w:rPr>
                <w:rFonts w:ascii="Arial Narrow" w:eastAsia="Calibri" w:hAnsi="Arial Narrow"/>
                <w:snapToGrid/>
                <w:sz w:val="18"/>
                <w:szCs w:val="18"/>
              </w:rPr>
            </w:pPr>
            <w:r w:rsidRPr="001A05F4">
              <w:rPr>
                <w:rFonts w:ascii="Arial Narrow" w:eastAsia="Calibri" w:hAnsi="Arial Narrow"/>
                <w:snapToGrid/>
                <w:sz w:val="18"/>
                <w:szCs w:val="18"/>
              </w:rPr>
              <w:t>Spinraza</w:t>
            </w:r>
          </w:p>
        </w:tc>
      </w:tr>
      <w:tr w:rsidR="00017D49" w:rsidRPr="001A05F4" w:rsidTr="00284004">
        <w:tblPrEx>
          <w:tblCellMar>
            <w:top w:w="15" w:type="dxa"/>
            <w:left w:w="15" w:type="dxa"/>
            <w:bottom w:w="15" w:type="dxa"/>
            <w:right w:w="15" w:type="dxa"/>
          </w:tblCellMar>
          <w:tblLook w:val="04A0" w:firstRow="1" w:lastRow="0" w:firstColumn="1" w:lastColumn="0" w:noHBand="0" w:noVBand="1"/>
        </w:tblPrEx>
        <w:tc>
          <w:tcPr>
            <w:tcW w:w="9072" w:type="dxa"/>
            <w:gridSpan w:val="8"/>
            <w:tcBorders>
              <w:top w:val="single" w:sz="4" w:space="0" w:color="auto"/>
              <w:left w:val="single" w:sz="4" w:space="0" w:color="auto"/>
              <w:right w:val="single" w:sz="4" w:space="0" w:color="auto"/>
            </w:tcBorders>
          </w:tcPr>
          <w:p w:rsidR="00017D49" w:rsidRPr="001A05F4" w:rsidRDefault="00017D49" w:rsidP="00284004">
            <w:pPr>
              <w:widowControl/>
              <w:rPr>
                <w:rFonts w:ascii="Arial Narrow" w:eastAsia="Calibri" w:hAnsi="Arial Narrow"/>
                <w:b/>
                <w:snapToGrid/>
                <w:sz w:val="18"/>
                <w:szCs w:val="18"/>
              </w:rPr>
            </w:pPr>
          </w:p>
        </w:tc>
      </w:tr>
      <w:tr w:rsidR="00017D49" w:rsidRPr="001A05F4" w:rsidTr="00284004">
        <w:tblPrEx>
          <w:tblCellMar>
            <w:top w:w="15" w:type="dxa"/>
            <w:left w:w="15" w:type="dxa"/>
            <w:bottom w:w="15" w:type="dxa"/>
            <w:right w:w="15" w:type="dxa"/>
          </w:tblCellMar>
          <w:tblLook w:val="04A0" w:firstRow="1" w:lastRow="0" w:firstColumn="1" w:lastColumn="0" w:noHBand="0" w:noVBand="1"/>
        </w:tblPrEx>
        <w:tc>
          <w:tcPr>
            <w:tcW w:w="9072" w:type="dxa"/>
            <w:gridSpan w:val="8"/>
            <w:tcBorders>
              <w:top w:val="single" w:sz="4" w:space="0" w:color="auto"/>
              <w:left w:val="single" w:sz="4" w:space="0" w:color="auto"/>
              <w:right w:val="single" w:sz="4" w:space="0" w:color="auto"/>
            </w:tcBorders>
          </w:tcPr>
          <w:p w:rsidR="00017D49" w:rsidRPr="001A05F4" w:rsidRDefault="00017D49" w:rsidP="00284004">
            <w:pPr>
              <w:widowControl/>
              <w:ind w:left="57"/>
              <w:rPr>
                <w:rFonts w:ascii="Arial Narrow" w:eastAsia="Calibri" w:hAnsi="Arial Narrow"/>
                <w:b/>
                <w:snapToGrid/>
                <w:sz w:val="18"/>
                <w:szCs w:val="18"/>
              </w:rPr>
            </w:pPr>
            <w:r w:rsidRPr="001A05F4">
              <w:rPr>
                <w:rFonts w:ascii="Arial Narrow" w:eastAsia="Calibri" w:hAnsi="Arial Narrow" w:cs="Times New Roman"/>
                <w:b/>
                <w:snapToGrid/>
                <w:sz w:val="18"/>
                <w:szCs w:val="18"/>
              </w:rPr>
              <w:t xml:space="preserve">Edit Restriction Summary TMP23190 / Treatment of Concept: TMP23189 </w:t>
            </w:r>
            <w:r w:rsidRPr="001A05F4">
              <w:rPr>
                <w:rFonts w:ascii="Arial Narrow" w:eastAsia="Calibri" w:hAnsi="Arial Narrow" w:cs="Times New Roman"/>
                <w:bCs/>
                <w:i/>
                <w:iCs/>
                <w:snapToGrid/>
                <w:sz w:val="18"/>
                <w:szCs w:val="18"/>
              </w:rPr>
              <w:t>(current as at 1 July 2021; effective from 1 August 2021)</w:t>
            </w:r>
            <w:r w:rsidRPr="001A05F4">
              <w:rPr>
                <w:rFonts w:ascii="Arial Narrow" w:eastAsia="Calibri" w:hAnsi="Arial Narrow" w:cs="Times New Roman"/>
                <w:b/>
                <w:snapToGrid/>
                <w:sz w:val="18"/>
                <w:szCs w:val="18"/>
              </w:rPr>
              <w:t xml:space="preserve"> </w:t>
            </w:r>
          </w:p>
        </w:tc>
      </w:tr>
      <w:tr w:rsidR="00017D49" w:rsidRPr="001A05F4" w:rsidTr="00284004">
        <w:tblPrEx>
          <w:tblCellMar>
            <w:top w:w="15" w:type="dxa"/>
            <w:left w:w="15" w:type="dxa"/>
            <w:bottom w:w="15" w:type="dxa"/>
            <w:right w:w="15" w:type="dxa"/>
          </w:tblCellMar>
          <w:tblLook w:val="04A0" w:firstRow="1" w:lastRow="0" w:firstColumn="1" w:lastColumn="0" w:noHBand="0" w:noVBand="1"/>
        </w:tblPrEx>
        <w:tc>
          <w:tcPr>
            <w:tcW w:w="1134" w:type="dxa"/>
            <w:gridSpan w:val="2"/>
            <w:vMerge w:val="restart"/>
            <w:tcBorders>
              <w:top w:val="single" w:sz="4" w:space="0" w:color="auto"/>
              <w:left w:val="single" w:sz="4" w:space="0" w:color="auto"/>
              <w:right w:val="single" w:sz="4" w:space="0" w:color="auto"/>
            </w:tcBorders>
          </w:tcPr>
          <w:p w:rsidR="00017D49" w:rsidRPr="001A05F4" w:rsidRDefault="00017D49" w:rsidP="00284004">
            <w:pPr>
              <w:widowControl/>
              <w:jc w:val="center"/>
              <w:rPr>
                <w:rFonts w:ascii="Arial Narrow" w:eastAsia="Calibri" w:hAnsi="Arial Narrow"/>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017D49" w:rsidRPr="001A05F4" w:rsidRDefault="00017D49" w:rsidP="00284004">
            <w:pPr>
              <w:widowControl/>
              <w:rPr>
                <w:rFonts w:ascii="Arial Narrow" w:eastAsia="Calibri" w:hAnsi="Arial Narrow"/>
                <w:snapToGrid/>
                <w:sz w:val="18"/>
                <w:szCs w:val="18"/>
              </w:rPr>
            </w:pPr>
            <w:r w:rsidRPr="001A05F4">
              <w:rPr>
                <w:rFonts w:ascii="Arial Narrow" w:eastAsia="Calibri" w:hAnsi="Arial Narrow"/>
                <w:b/>
                <w:snapToGrid/>
                <w:sz w:val="18"/>
                <w:szCs w:val="18"/>
              </w:rPr>
              <w:t xml:space="preserve">Category / Program:   </w:t>
            </w:r>
            <w:r w:rsidRPr="001A05F4">
              <w:rPr>
                <w:rFonts w:ascii="Arial Narrow" w:eastAsia="Calibri" w:hAnsi="Arial Narrow"/>
                <w:snapToGrid/>
                <w:sz w:val="18"/>
                <w:szCs w:val="18"/>
              </w:rPr>
              <w:t>Section 100 – Highly Specialised Drugs Program (Public/Private hospitals)</w:t>
            </w:r>
          </w:p>
        </w:tc>
      </w:tr>
      <w:tr w:rsidR="00017D49" w:rsidRPr="001A05F4" w:rsidTr="00284004">
        <w:tblPrEx>
          <w:tblCellMar>
            <w:top w:w="15" w:type="dxa"/>
            <w:left w:w="15" w:type="dxa"/>
            <w:bottom w:w="15" w:type="dxa"/>
            <w:right w:w="15" w:type="dxa"/>
          </w:tblCellMar>
          <w:tblLook w:val="04A0" w:firstRow="1" w:lastRow="0" w:firstColumn="1" w:lastColumn="0" w:noHBand="0" w:noVBand="1"/>
        </w:tblPrEx>
        <w:trPr>
          <w:trHeight w:val="240"/>
        </w:trPr>
        <w:tc>
          <w:tcPr>
            <w:tcW w:w="1134" w:type="dxa"/>
            <w:gridSpan w:val="2"/>
            <w:vMerge/>
            <w:tcBorders>
              <w:left w:val="single" w:sz="4" w:space="0" w:color="auto"/>
              <w:right w:val="single" w:sz="4" w:space="0" w:color="auto"/>
            </w:tcBorders>
          </w:tcPr>
          <w:p w:rsidR="00017D49" w:rsidRPr="001A05F4" w:rsidRDefault="00017D49" w:rsidP="00284004">
            <w:pPr>
              <w:widowControl/>
              <w:rPr>
                <w:rFonts w:ascii="Arial Narrow" w:eastAsia="Calibri" w:hAnsi="Arial Narrow"/>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017D49" w:rsidRPr="001A05F4" w:rsidRDefault="00017D49" w:rsidP="00284004">
            <w:pPr>
              <w:widowControl/>
              <w:rPr>
                <w:rFonts w:ascii="Arial Narrow" w:eastAsia="Calibri" w:hAnsi="Arial Narrow"/>
                <w:b/>
                <w:snapToGrid/>
                <w:sz w:val="18"/>
                <w:szCs w:val="18"/>
              </w:rPr>
            </w:pPr>
            <w:r w:rsidRPr="001A05F4">
              <w:rPr>
                <w:rFonts w:ascii="Arial Narrow" w:eastAsia="Calibri" w:hAnsi="Arial Narrow"/>
                <w:b/>
                <w:snapToGrid/>
                <w:sz w:val="18"/>
                <w:szCs w:val="18"/>
              </w:rPr>
              <w:t xml:space="preserve">Prescriber type:   </w:t>
            </w:r>
            <w:r w:rsidRPr="001A05F4">
              <w:rPr>
                <w:rFonts w:ascii="Arial Narrow" w:eastAsia="Calibri" w:hAnsi="Arial Narrow"/>
                <w:snapToGrid/>
                <w:sz w:val="18"/>
                <w:szCs w:val="18"/>
              </w:rPr>
              <w:fldChar w:fldCharType="begin">
                <w:ffData>
                  <w:name w:val=""/>
                  <w:enabled/>
                  <w:calcOnExit w:val="0"/>
                  <w:checkBox>
                    <w:sizeAuto/>
                    <w:default w:val="1"/>
                  </w:checkBox>
                </w:ffData>
              </w:fldChar>
            </w:r>
            <w:r w:rsidRPr="001A05F4">
              <w:rPr>
                <w:rFonts w:ascii="Arial Narrow" w:eastAsia="Calibri" w:hAnsi="Arial Narrow"/>
                <w:snapToGrid/>
                <w:sz w:val="18"/>
                <w:szCs w:val="18"/>
              </w:rPr>
              <w:instrText xml:space="preserve"> FORMCHECKBOX </w:instrText>
            </w:r>
            <w:r w:rsidR="007D52E8">
              <w:rPr>
                <w:rFonts w:ascii="Arial Narrow" w:eastAsia="Calibri" w:hAnsi="Arial Narrow"/>
                <w:snapToGrid/>
                <w:sz w:val="18"/>
                <w:szCs w:val="18"/>
              </w:rPr>
            </w:r>
            <w:r w:rsidR="007D52E8">
              <w:rPr>
                <w:rFonts w:ascii="Arial Narrow" w:eastAsia="Calibri" w:hAnsi="Arial Narrow"/>
                <w:snapToGrid/>
                <w:sz w:val="18"/>
                <w:szCs w:val="18"/>
              </w:rPr>
              <w:fldChar w:fldCharType="separate"/>
            </w:r>
            <w:r w:rsidRPr="001A05F4">
              <w:rPr>
                <w:rFonts w:ascii="Arial Narrow" w:eastAsia="Calibri" w:hAnsi="Arial Narrow"/>
                <w:snapToGrid/>
                <w:sz w:val="18"/>
                <w:szCs w:val="18"/>
              </w:rPr>
              <w:fldChar w:fldCharType="end"/>
            </w:r>
            <w:r w:rsidRPr="001A05F4">
              <w:rPr>
                <w:rFonts w:ascii="Arial Narrow" w:eastAsia="Calibri" w:hAnsi="Arial Narrow"/>
                <w:snapToGrid/>
                <w:sz w:val="18"/>
                <w:szCs w:val="18"/>
              </w:rPr>
              <w:t xml:space="preserve"> Medical Practitioners    </w:t>
            </w:r>
          </w:p>
        </w:tc>
      </w:tr>
      <w:tr w:rsidR="00017D49" w:rsidRPr="001A05F4" w:rsidTr="00284004">
        <w:tblPrEx>
          <w:tblCellMar>
            <w:top w:w="15" w:type="dxa"/>
            <w:left w:w="15" w:type="dxa"/>
            <w:bottom w:w="15" w:type="dxa"/>
            <w:right w:w="15" w:type="dxa"/>
          </w:tblCellMar>
          <w:tblLook w:val="04A0" w:firstRow="1" w:lastRow="0" w:firstColumn="1" w:lastColumn="0" w:noHBand="0" w:noVBand="1"/>
        </w:tblPrEx>
        <w:tc>
          <w:tcPr>
            <w:tcW w:w="1134" w:type="dxa"/>
            <w:gridSpan w:val="2"/>
            <w:vMerge/>
            <w:tcBorders>
              <w:left w:val="single" w:sz="4" w:space="0" w:color="auto"/>
              <w:bottom w:val="single" w:sz="4" w:space="0" w:color="auto"/>
              <w:right w:val="single" w:sz="4" w:space="0" w:color="auto"/>
            </w:tcBorders>
          </w:tcPr>
          <w:p w:rsidR="00017D49" w:rsidRPr="001A05F4" w:rsidRDefault="00017D49" w:rsidP="00284004">
            <w:pPr>
              <w:widowControl/>
              <w:rPr>
                <w:rFonts w:ascii="Arial Narrow" w:eastAsia="Calibri" w:hAnsi="Arial Narrow"/>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017D49" w:rsidRPr="001A05F4" w:rsidRDefault="00017D49" w:rsidP="00284004">
            <w:pPr>
              <w:widowControl/>
              <w:rPr>
                <w:rFonts w:ascii="Arial Narrow" w:eastAsia="Calibri" w:hAnsi="Arial Narrow"/>
                <w:snapToGrid/>
                <w:color w:val="FF00FF"/>
                <w:sz w:val="18"/>
                <w:szCs w:val="18"/>
              </w:rPr>
            </w:pPr>
            <w:r w:rsidRPr="001A05F4">
              <w:rPr>
                <w:rFonts w:ascii="Arial Narrow" w:eastAsia="Calibri" w:hAnsi="Arial Narrow"/>
                <w:b/>
                <w:snapToGrid/>
                <w:sz w:val="18"/>
                <w:szCs w:val="18"/>
              </w:rPr>
              <w:t xml:space="preserve">Restriction type: </w:t>
            </w:r>
            <w:r w:rsidRPr="001A05F4">
              <w:rPr>
                <w:rFonts w:ascii="Arial Narrow" w:eastAsia="Calibri" w:hAnsi="Arial Narrow"/>
                <w:snapToGrid/>
                <w:color w:val="FF00FF"/>
                <w:sz w:val="18"/>
                <w:szCs w:val="18"/>
              </w:rPr>
              <w:t xml:space="preserve"> </w:t>
            </w:r>
            <w:r w:rsidRPr="001A05F4">
              <w:rPr>
                <w:rFonts w:ascii="Arial Narrow" w:eastAsia="Calibri" w:hAnsi="Arial Narrow"/>
                <w:snapToGrid/>
                <w:sz w:val="18"/>
                <w:szCs w:val="18"/>
              </w:rPr>
              <w:fldChar w:fldCharType="begin">
                <w:ffData>
                  <w:name w:val="Check3"/>
                  <w:enabled/>
                  <w:calcOnExit w:val="0"/>
                  <w:checkBox>
                    <w:sizeAuto/>
                    <w:default w:val="1"/>
                  </w:checkBox>
                </w:ffData>
              </w:fldChar>
            </w:r>
            <w:r w:rsidRPr="001A05F4">
              <w:rPr>
                <w:rFonts w:ascii="Arial Narrow" w:eastAsia="Calibri" w:hAnsi="Arial Narrow"/>
                <w:snapToGrid/>
                <w:sz w:val="18"/>
                <w:szCs w:val="18"/>
              </w:rPr>
              <w:instrText xml:space="preserve"> FORMCHECKBOX </w:instrText>
            </w:r>
            <w:r w:rsidR="007D52E8">
              <w:rPr>
                <w:rFonts w:ascii="Arial Narrow" w:eastAsia="Calibri" w:hAnsi="Arial Narrow"/>
                <w:snapToGrid/>
                <w:sz w:val="18"/>
                <w:szCs w:val="18"/>
              </w:rPr>
            </w:r>
            <w:r w:rsidR="007D52E8">
              <w:rPr>
                <w:rFonts w:ascii="Arial Narrow" w:eastAsia="Calibri" w:hAnsi="Arial Narrow"/>
                <w:snapToGrid/>
                <w:sz w:val="18"/>
                <w:szCs w:val="18"/>
              </w:rPr>
              <w:fldChar w:fldCharType="separate"/>
            </w:r>
            <w:r w:rsidRPr="001A05F4">
              <w:rPr>
                <w:rFonts w:ascii="Arial Narrow" w:eastAsia="Calibri" w:hAnsi="Arial Narrow"/>
                <w:snapToGrid/>
                <w:sz w:val="18"/>
                <w:szCs w:val="18"/>
              </w:rPr>
              <w:fldChar w:fldCharType="end"/>
            </w:r>
            <w:r w:rsidRPr="001A05F4">
              <w:rPr>
                <w:rFonts w:ascii="Arial Narrow" w:eastAsia="Calibri" w:hAnsi="Arial Narrow"/>
                <w:snapToGrid/>
                <w:sz w:val="18"/>
                <w:szCs w:val="18"/>
              </w:rPr>
              <w:t xml:space="preserve"> Authority Required (</w:t>
            </w:r>
            <w:r w:rsidR="00E81862" w:rsidRPr="001A05F4">
              <w:rPr>
                <w:rFonts w:ascii="Arial Narrow" w:eastAsia="Calibri" w:hAnsi="Arial Narrow"/>
                <w:snapToGrid/>
                <w:sz w:val="18"/>
                <w:szCs w:val="18"/>
              </w:rPr>
              <w:t>written-only via post or electronic upload through Health Professionals Online Services - HPOS</w:t>
            </w:r>
            <w:r w:rsidRPr="001A05F4">
              <w:rPr>
                <w:rFonts w:ascii="Arial Narrow" w:eastAsia="Calibri" w:hAnsi="Arial Narrow"/>
                <w:snapToGrid/>
                <w:sz w:val="18"/>
                <w:szCs w:val="18"/>
              </w:rPr>
              <w:t xml:space="preserve">) </w:t>
            </w:r>
          </w:p>
        </w:tc>
      </w:tr>
      <w:tr w:rsidR="00017D49" w:rsidRPr="001A05F4" w:rsidTr="00284004">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67"/>
        </w:trPr>
        <w:tc>
          <w:tcPr>
            <w:tcW w:w="567" w:type="dxa"/>
            <w:vMerge w:val="restart"/>
            <w:tcBorders>
              <w:top w:val="single" w:sz="4" w:space="0" w:color="auto"/>
              <w:left w:val="single" w:sz="4" w:space="0" w:color="auto"/>
              <w:right w:val="single" w:sz="4" w:space="0" w:color="auto"/>
            </w:tcBorders>
            <w:textDirection w:val="btLr"/>
            <w:vAlign w:val="center"/>
          </w:tcPr>
          <w:p w:rsidR="00017D49" w:rsidRPr="001A05F4" w:rsidRDefault="00017D49" w:rsidP="00284004">
            <w:pPr>
              <w:widowControl/>
              <w:ind w:left="113" w:right="113"/>
              <w:jc w:val="center"/>
              <w:rPr>
                <w:rFonts w:ascii="Arial Narrow" w:hAnsi="Arial Narrow" w:cs="Times New Roman"/>
                <w:snapToGrid/>
                <w:color w:val="333333"/>
                <w:sz w:val="18"/>
                <w:szCs w:val="18"/>
                <w:lang w:eastAsia="en-AU"/>
              </w:rPr>
            </w:pPr>
          </w:p>
        </w:tc>
        <w:tc>
          <w:tcPr>
            <w:tcW w:w="567" w:type="dxa"/>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iCs/>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hAnsi="Arial Narrow" w:cs="Times New Roman"/>
                <w:iCs/>
                <w:snapToGrid/>
                <w:color w:val="333333"/>
                <w:sz w:val="18"/>
                <w:szCs w:val="18"/>
                <w:lang w:eastAsia="en-AU"/>
              </w:rPr>
            </w:pPr>
            <w:r w:rsidRPr="001A05F4">
              <w:rPr>
                <w:rFonts w:ascii="Arial Narrow" w:hAnsi="Arial Narrow" w:cs="Times New Roman"/>
                <w:b/>
                <w:bCs/>
                <w:iCs/>
                <w:snapToGrid/>
                <w:color w:val="333333"/>
                <w:sz w:val="18"/>
                <w:szCs w:val="18"/>
                <w:lang w:eastAsia="en-AU"/>
              </w:rPr>
              <w:t>Administrative Advice:</w:t>
            </w:r>
            <w:r w:rsidRPr="001A05F4">
              <w:rPr>
                <w:rFonts w:ascii="Arial Narrow" w:hAnsi="Arial Narrow" w:cs="Times New Roman"/>
                <w:iCs/>
                <w:snapToGrid/>
                <w:color w:val="333333"/>
                <w:sz w:val="18"/>
                <w:szCs w:val="18"/>
                <w:lang w:eastAsia="en-AU"/>
              </w:rPr>
              <w:t xml:space="preserve"> No increase in the maximum quantity or number of units may be authorised.</w:t>
            </w:r>
          </w:p>
        </w:tc>
      </w:tr>
      <w:tr w:rsidR="00017D49" w:rsidRPr="001A05F4" w:rsidTr="00284004">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300"/>
        </w:trPr>
        <w:tc>
          <w:tcPr>
            <w:tcW w:w="567" w:type="dxa"/>
            <w:vMerge/>
            <w:tcBorders>
              <w:left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567" w:type="dxa"/>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iCs/>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hAnsi="Arial Narrow" w:cs="Times New Roman"/>
                <w:iCs/>
                <w:snapToGrid/>
                <w:color w:val="333333"/>
                <w:sz w:val="18"/>
                <w:szCs w:val="18"/>
                <w:lang w:eastAsia="en-AU"/>
              </w:rPr>
            </w:pPr>
            <w:r w:rsidRPr="001A05F4">
              <w:rPr>
                <w:rFonts w:ascii="Arial Narrow" w:hAnsi="Arial Narrow" w:cs="Times New Roman"/>
                <w:b/>
                <w:bCs/>
                <w:iCs/>
                <w:snapToGrid/>
                <w:color w:val="333333"/>
                <w:sz w:val="18"/>
                <w:szCs w:val="18"/>
                <w:lang w:eastAsia="en-AU"/>
              </w:rPr>
              <w:t>Administrative Advice:</w:t>
            </w:r>
            <w:r w:rsidRPr="001A05F4">
              <w:rPr>
                <w:rFonts w:ascii="Arial Narrow" w:hAnsi="Arial Narrow" w:cs="Times New Roman"/>
                <w:iCs/>
                <w:snapToGrid/>
                <w:color w:val="333333"/>
                <w:sz w:val="18"/>
                <w:szCs w:val="18"/>
                <w:lang w:eastAsia="en-AU"/>
              </w:rPr>
              <w:t xml:space="preserve"> No increase in the maximum number of repeats may be authorised.</w:t>
            </w:r>
          </w:p>
        </w:tc>
      </w:tr>
      <w:tr w:rsidR="00017D49" w:rsidRPr="001A05F4" w:rsidTr="00284004">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346"/>
        </w:trPr>
        <w:tc>
          <w:tcPr>
            <w:tcW w:w="567" w:type="dxa"/>
            <w:vMerge/>
            <w:tcBorders>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567" w:type="dxa"/>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iCs/>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hAnsi="Arial Narrow" w:cs="Times New Roman"/>
                <w:iCs/>
                <w:snapToGrid/>
                <w:color w:val="333333"/>
                <w:sz w:val="18"/>
                <w:szCs w:val="18"/>
                <w:lang w:eastAsia="en-AU"/>
              </w:rPr>
            </w:pPr>
            <w:r w:rsidRPr="001A05F4">
              <w:rPr>
                <w:rFonts w:ascii="Arial Narrow" w:hAnsi="Arial Narrow" w:cs="Times New Roman"/>
                <w:b/>
                <w:bCs/>
                <w:iCs/>
                <w:snapToGrid/>
                <w:color w:val="333333"/>
                <w:sz w:val="18"/>
                <w:szCs w:val="18"/>
                <w:lang w:eastAsia="en-AU"/>
              </w:rPr>
              <w:t>Administrative Advice:</w:t>
            </w:r>
            <w:r w:rsidRPr="001A05F4">
              <w:rPr>
                <w:rFonts w:ascii="Arial Narrow" w:hAnsi="Arial Narrow" w:cs="Times New Roman"/>
                <w:iCs/>
                <w:snapToGrid/>
                <w:color w:val="333333"/>
                <w:sz w:val="18"/>
                <w:szCs w:val="18"/>
                <w:lang w:eastAsia="en-AU"/>
              </w:rPr>
              <w:t xml:space="preserve"> Special Pricing Arrangements apply.</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eastAsia="Calibri" w:hAnsi="Arial Narrow" w:cs="Times New Roman"/>
                <w:strike/>
                <w:snapToGrid/>
                <w:sz w:val="18"/>
                <w:szCs w:val="18"/>
              </w:rPr>
            </w:pPr>
            <w:r w:rsidRPr="001A05F4">
              <w:rPr>
                <w:rFonts w:ascii="Arial Narrow" w:eastAsia="Calibri" w:hAnsi="Arial Narrow" w:cs="Times New Roman"/>
                <w:b/>
                <w:bCs/>
                <w:snapToGrid/>
                <w:sz w:val="18"/>
                <w:szCs w:val="18"/>
              </w:rPr>
              <w:t>Indication:</w:t>
            </w:r>
            <w:r w:rsidRPr="001A05F4">
              <w:rPr>
                <w:rFonts w:ascii="Arial Narrow" w:eastAsia="Calibri" w:hAnsi="Arial Narrow"/>
                <w:snapToGrid/>
                <w:sz w:val="18"/>
                <w:szCs w:val="18"/>
                <w:lang w:eastAsia="en-AU"/>
              </w:rPr>
              <w:t xml:space="preserve"> </w:t>
            </w:r>
            <w:r w:rsidRPr="001A05F4">
              <w:rPr>
                <w:rFonts w:ascii="Arial Narrow" w:eastAsia="Calibri" w:hAnsi="Arial Narrow"/>
                <w:strike/>
                <w:snapToGrid/>
                <w:sz w:val="18"/>
                <w:szCs w:val="18"/>
                <w:lang w:eastAsia="en-AU"/>
              </w:rPr>
              <w:t>Symptomatic Type I, II or IIIa spinal muscular atrophy (SMA)</w:t>
            </w:r>
          </w:p>
          <w:p w:rsidR="00017D49" w:rsidRPr="001A05F4" w:rsidRDefault="00017D49" w:rsidP="00284004">
            <w:pPr>
              <w:widowControl/>
              <w:jc w:val="left"/>
              <w:rPr>
                <w:rFonts w:ascii="Arial Narrow" w:eastAsia="Calibri" w:hAnsi="Arial Narrow" w:cs="Times New Roman"/>
                <w:snapToGrid/>
                <w:sz w:val="18"/>
                <w:szCs w:val="18"/>
              </w:rPr>
            </w:pP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vMerge w:val="restart"/>
            <w:tcBorders>
              <w:top w:val="single" w:sz="4" w:space="0" w:color="auto"/>
              <w:left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i/>
                <w:iCs/>
                <w:snapToGrid/>
                <w:sz w:val="18"/>
                <w:szCs w:val="18"/>
              </w:rPr>
            </w:pPr>
            <w:r w:rsidRPr="001A05F4">
              <w:rPr>
                <w:rFonts w:ascii="Arial Narrow" w:eastAsia="Calibri" w:hAnsi="Arial Narrow" w:cs="Times New Roman"/>
                <w:b/>
                <w:bCs/>
                <w:i/>
                <w:iCs/>
                <w:snapToGrid/>
                <w:sz w:val="18"/>
                <w:szCs w:val="18"/>
              </w:rPr>
              <w:t xml:space="preserve">Episodicity: </w:t>
            </w:r>
            <w:r w:rsidRPr="001A05F4">
              <w:rPr>
                <w:rFonts w:ascii="Arial Narrow" w:eastAsia="Calibri" w:hAnsi="Arial Narrow" w:cs="Times New Roman"/>
                <w:i/>
                <w:iCs/>
                <w:snapToGrid/>
                <w:sz w:val="18"/>
                <w:szCs w:val="18"/>
              </w:rPr>
              <w:t>Symptomatic</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vMerge/>
            <w:tcBorders>
              <w:left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i/>
                <w:iCs/>
                <w:snapToGrid/>
                <w:sz w:val="18"/>
                <w:szCs w:val="18"/>
              </w:rPr>
            </w:pPr>
            <w:r w:rsidRPr="001A05F4">
              <w:rPr>
                <w:rFonts w:ascii="Arial Narrow" w:eastAsia="Calibri" w:hAnsi="Arial Narrow" w:cs="Times New Roman"/>
                <w:b/>
                <w:bCs/>
                <w:i/>
                <w:iCs/>
                <w:snapToGrid/>
                <w:sz w:val="18"/>
                <w:szCs w:val="18"/>
              </w:rPr>
              <w:t xml:space="preserve">Severity: </w:t>
            </w:r>
            <w:r w:rsidRPr="001A05F4">
              <w:rPr>
                <w:rFonts w:ascii="Arial Narrow" w:eastAsia="Calibri" w:hAnsi="Arial Narrow" w:cs="Times New Roman"/>
                <w:i/>
                <w:iCs/>
                <w:snapToGrid/>
                <w:sz w:val="18"/>
                <w:szCs w:val="18"/>
              </w:rPr>
              <w:t>Type I, II, III</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vMerge/>
            <w:tcBorders>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i/>
                <w:iCs/>
                <w:snapToGrid/>
                <w:sz w:val="18"/>
                <w:szCs w:val="18"/>
              </w:rPr>
            </w:pPr>
            <w:r w:rsidRPr="001A05F4">
              <w:rPr>
                <w:rFonts w:ascii="Arial Narrow" w:eastAsia="Calibri" w:hAnsi="Arial Narrow" w:cs="Times New Roman"/>
                <w:b/>
                <w:bCs/>
                <w:i/>
                <w:iCs/>
                <w:snapToGrid/>
                <w:sz w:val="18"/>
                <w:szCs w:val="18"/>
              </w:rPr>
              <w:t xml:space="preserve">Condition: </w:t>
            </w:r>
            <w:r w:rsidRPr="001A05F4">
              <w:rPr>
                <w:rFonts w:ascii="Arial Narrow" w:eastAsia="Calibri" w:hAnsi="Arial Narrow" w:cs="Times New Roman"/>
                <w:i/>
                <w:iCs/>
                <w:snapToGrid/>
                <w:sz w:val="18"/>
                <w:szCs w:val="18"/>
              </w:rPr>
              <w:t>spinal muscular atrophy (SMA)</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snapToGrid/>
                <w:sz w:val="18"/>
                <w:szCs w:val="18"/>
              </w:rPr>
            </w:pPr>
            <w:r w:rsidRPr="001A05F4">
              <w:rPr>
                <w:rFonts w:ascii="Arial Narrow" w:eastAsia="Calibri" w:hAnsi="Arial Narrow" w:cs="Times New Roman"/>
                <w:b/>
                <w:bCs/>
                <w:i/>
                <w:iCs/>
                <w:snapToGrid/>
                <w:sz w:val="18"/>
                <w:szCs w:val="18"/>
              </w:rPr>
              <w:t>Indication:</w:t>
            </w:r>
            <w:r w:rsidRPr="001A05F4">
              <w:rPr>
                <w:rFonts w:eastAsia="Calibri"/>
                <w:snapToGrid/>
                <w:color w:val="0000CC"/>
                <w:sz w:val="20"/>
                <w:szCs w:val="20"/>
                <w:lang w:eastAsia="en-AU"/>
              </w:rPr>
              <w:t xml:space="preserve"> </w:t>
            </w:r>
            <w:r w:rsidRPr="001A05F4">
              <w:rPr>
                <w:rFonts w:ascii="Arial Narrow" w:eastAsia="Calibri" w:hAnsi="Arial Narrow"/>
                <w:i/>
                <w:iCs/>
                <w:snapToGrid/>
                <w:sz w:val="18"/>
                <w:szCs w:val="18"/>
                <w:lang w:eastAsia="en-AU"/>
              </w:rPr>
              <w:t>Symptomatic Type I, II or III spinal muscular atrophy (SMA)</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eastAsia="Calibri" w:hAnsi="Arial Narrow" w:cs="Times New Roman"/>
                <w:snapToGrid/>
                <w:sz w:val="18"/>
                <w:szCs w:val="18"/>
              </w:rPr>
            </w:pPr>
            <w:r w:rsidRPr="001A05F4">
              <w:rPr>
                <w:rFonts w:ascii="Arial Narrow" w:eastAsia="Calibri" w:hAnsi="Arial Narrow" w:cs="Times New Roman"/>
                <w:b/>
                <w:bCs/>
                <w:snapToGrid/>
                <w:sz w:val="18"/>
                <w:szCs w:val="18"/>
              </w:rPr>
              <w:t xml:space="preserve">Treatment Phase: </w:t>
            </w:r>
            <w:r w:rsidRPr="001A05F4">
              <w:rPr>
                <w:rFonts w:ascii="Arial Narrow" w:eastAsia="Calibri" w:hAnsi="Arial Narrow"/>
                <w:snapToGrid/>
                <w:sz w:val="18"/>
                <w:szCs w:val="20"/>
                <w:lang w:eastAsia="en-AU"/>
              </w:rPr>
              <w:t>Initial treatment of symptomatic Type I, II or III</w:t>
            </w:r>
            <w:r w:rsidRPr="001A05F4">
              <w:rPr>
                <w:rFonts w:ascii="Arial Narrow" w:eastAsia="Calibri" w:hAnsi="Arial Narrow"/>
                <w:strike/>
                <w:snapToGrid/>
                <w:sz w:val="18"/>
                <w:szCs w:val="20"/>
                <w:lang w:eastAsia="en-AU"/>
              </w:rPr>
              <w:t>a</w:t>
            </w:r>
            <w:r w:rsidRPr="001A05F4">
              <w:rPr>
                <w:rFonts w:ascii="Arial Narrow" w:eastAsia="Calibri" w:hAnsi="Arial Narrow"/>
                <w:snapToGrid/>
                <w:sz w:val="18"/>
                <w:szCs w:val="20"/>
                <w:lang w:eastAsia="en-AU"/>
              </w:rPr>
              <w:t xml:space="preserve"> SMA - Loading doses</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eastAsia="Calibri" w:hAnsi="Arial Narrow" w:cs="Times New Roman"/>
                <w:snapToGrid/>
                <w:sz w:val="18"/>
                <w:szCs w:val="18"/>
              </w:rPr>
            </w:pPr>
            <w:r w:rsidRPr="001A05F4">
              <w:rPr>
                <w:rFonts w:ascii="Arial Narrow" w:eastAsia="Calibri" w:hAnsi="Arial Narrow" w:cs="Times New Roman"/>
                <w:b/>
                <w:bCs/>
                <w:snapToGrid/>
                <w:sz w:val="18"/>
                <w:szCs w:val="18"/>
              </w:rPr>
              <w:t>Treatment criteria:</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eastAsia="Calibri" w:hAnsi="Arial Narrow" w:cs="Times New Roman"/>
                <w:snapToGrid/>
                <w:sz w:val="18"/>
                <w:szCs w:val="18"/>
              </w:rPr>
            </w:pPr>
            <w:r w:rsidRPr="001A05F4">
              <w:rPr>
                <w:rFonts w:ascii="Arial Narrow" w:eastAsia="Calibri" w:hAnsi="Arial Narrow" w:cs="Times New Roman"/>
                <w:snapToGrid/>
                <w:sz w:val="18"/>
                <w:szCs w:val="18"/>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snapToGrid/>
                <w:sz w:val="18"/>
                <w:szCs w:val="18"/>
              </w:rPr>
            </w:pPr>
            <w:r w:rsidRPr="001A05F4">
              <w:rPr>
                <w:rFonts w:ascii="Arial Narrow" w:eastAsia="Calibri" w:hAnsi="Arial Narrow" w:cs="Times New Roman"/>
                <w:b/>
                <w:bCs/>
                <w:snapToGrid/>
                <w:sz w:val="18"/>
                <w:szCs w:val="18"/>
              </w:rPr>
              <w:t>AND</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eastAsia="Calibri" w:hAnsi="Arial Narrow" w:cs="Times New Roman"/>
                <w:snapToGrid/>
                <w:sz w:val="18"/>
                <w:szCs w:val="18"/>
              </w:rPr>
            </w:pPr>
            <w:r w:rsidRPr="001A05F4">
              <w:rPr>
                <w:rFonts w:ascii="Arial Narrow" w:eastAsia="Calibri" w:hAnsi="Arial Narrow" w:cs="Times New Roman"/>
                <w:b/>
                <w:bCs/>
                <w:snapToGrid/>
                <w:sz w:val="18"/>
                <w:szCs w:val="18"/>
              </w:rPr>
              <w:t>Clinical criteria:</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eastAsia="Calibri" w:hAnsi="Arial Narrow" w:cs="Times New Roman"/>
                <w:snapToGrid/>
                <w:sz w:val="18"/>
                <w:szCs w:val="18"/>
              </w:rPr>
            </w:pPr>
            <w:r w:rsidRPr="001A05F4">
              <w:rPr>
                <w:rFonts w:ascii="Arial Narrow" w:eastAsia="Calibri" w:hAnsi="Arial Narrow" w:cs="Times New Roman"/>
                <w:snapToGrid/>
                <w:sz w:val="18"/>
                <w:szCs w:val="18"/>
              </w:rPr>
              <w:t>The condition must have genetic confirmation of 5q homozygous deletion of the survival motor neuron 1 (SMN1) gene; or</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snapToGrid/>
                <w:sz w:val="18"/>
                <w:szCs w:val="18"/>
              </w:rPr>
            </w:pPr>
            <w:r w:rsidRPr="001A05F4">
              <w:rPr>
                <w:rFonts w:ascii="Arial Narrow" w:eastAsia="Calibri" w:hAnsi="Arial Narrow" w:cs="Times New Roman"/>
                <w:snapToGrid/>
                <w:sz w:val="18"/>
                <w:szCs w:val="18"/>
              </w:rPr>
              <w:t>The condition must have genetic confirmation of deletion of one copy of the SMN1 gene in addition to a pathogenic/likely pathogenic variant in the remaining single copy of the SMN1 gene</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eastAsia="Calibri" w:hAnsi="Arial Narrow" w:cs="Times New Roman"/>
                <w:snapToGrid/>
                <w:sz w:val="18"/>
                <w:szCs w:val="18"/>
              </w:rPr>
            </w:pPr>
            <w:r w:rsidRPr="001A05F4">
              <w:rPr>
                <w:rFonts w:ascii="Arial Narrow" w:eastAsia="Calibri" w:hAnsi="Arial Narrow" w:cs="Times New Roman"/>
                <w:b/>
                <w:bCs/>
                <w:snapToGrid/>
                <w:sz w:val="18"/>
                <w:szCs w:val="18"/>
              </w:rPr>
              <w:t>AND</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eastAsia="Calibri" w:hAnsi="Arial Narrow" w:cs="Times New Roman"/>
                <w:snapToGrid/>
                <w:sz w:val="18"/>
                <w:szCs w:val="18"/>
              </w:rPr>
            </w:pPr>
            <w:r w:rsidRPr="001A05F4">
              <w:rPr>
                <w:rFonts w:ascii="Arial Narrow" w:eastAsia="Calibri" w:hAnsi="Arial Narrow" w:cs="Times New Roman"/>
                <w:b/>
                <w:bCs/>
                <w:snapToGrid/>
                <w:sz w:val="18"/>
                <w:szCs w:val="18"/>
              </w:rPr>
              <w:t>Clinical criteria:</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strike/>
                <w:snapToGrid/>
                <w:sz w:val="18"/>
                <w:szCs w:val="18"/>
              </w:rPr>
            </w:pPr>
            <w:r w:rsidRPr="001A05F4">
              <w:rPr>
                <w:rFonts w:ascii="Arial Narrow" w:eastAsia="Calibri" w:hAnsi="Arial Narrow" w:cs="Times New Roman"/>
                <w:strike/>
                <w:snapToGrid/>
                <w:sz w:val="18"/>
                <w:szCs w:val="18"/>
              </w:rPr>
              <w:t>Patient must have experienced at least two of the defined signs and symptoms of SMA type I, II or IIIa prior to 3 years of age</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i/>
                <w:iCs/>
                <w:snapToGrid/>
                <w:sz w:val="18"/>
                <w:szCs w:val="18"/>
              </w:rPr>
            </w:pPr>
            <w:r w:rsidRPr="001A05F4">
              <w:rPr>
                <w:rFonts w:ascii="Arial Narrow" w:eastAsia="Calibri" w:hAnsi="Arial Narrow" w:cs="Times New Roman"/>
                <w:i/>
                <w:iCs/>
                <w:snapToGrid/>
                <w:sz w:val="18"/>
                <w:szCs w:val="18"/>
              </w:rPr>
              <w:t>The condition must be diagnosed as of one of the following: (a) type I SMA, (b) type II SMA, (c) type III SMA, with the patient experiencing at least 2 signs/symptoms within the age ranges as stated further below; state in this authority application each of: (i) the SMA type, (ii) the signs/symptoms supporting the diagnosis, (iii) the age of onset of SMA signs/symptoms</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i/>
                <w:snapToGrid/>
                <w:sz w:val="18"/>
                <w:szCs w:val="18"/>
              </w:rPr>
            </w:pPr>
            <w:r w:rsidRPr="001A05F4">
              <w:rPr>
                <w:rFonts w:ascii="Arial Narrow" w:eastAsia="Calibri" w:hAnsi="Arial Narrow" w:cs="Times New Roman"/>
                <w:b/>
                <w:bCs/>
                <w:snapToGrid/>
                <w:sz w:val="18"/>
                <w:szCs w:val="18"/>
              </w:rPr>
              <w:t>AND</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snapToGrid/>
                <w:sz w:val="18"/>
                <w:szCs w:val="18"/>
              </w:rPr>
            </w:pPr>
            <w:r w:rsidRPr="001A05F4">
              <w:rPr>
                <w:rFonts w:ascii="Arial Narrow" w:eastAsia="Calibri" w:hAnsi="Arial Narrow" w:cs="Times New Roman"/>
                <w:b/>
                <w:bCs/>
                <w:snapToGrid/>
                <w:sz w:val="18"/>
                <w:szCs w:val="18"/>
              </w:rPr>
              <w:t>Clinical criteria:</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snapToGrid/>
                <w:sz w:val="18"/>
                <w:szCs w:val="18"/>
              </w:rPr>
            </w:pPr>
            <w:r w:rsidRPr="001A05F4">
              <w:rPr>
                <w:rFonts w:ascii="Arial Narrow" w:eastAsia="Calibri" w:hAnsi="Arial Narrow" w:cs="Times New Roman"/>
                <w:snapToGrid/>
                <w:sz w:val="18"/>
                <w:szCs w:val="18"/>
              </w:rPr>
              <w:t>The treatment must not be in combination with PBS-subsidised treatment with risdiplam for this condition</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snapToGrid/>
                <w:sz w:val="18"/>
                <w:szCs w:val="18"/>
              </w:rPr>
            </w:pPr>
            <w:r w:rsidRPr="001A05F4">
              <w:rPr>
                <w:rFonts w:ascii="Arial Narrow" w:eastAsia="Calibri" w:hAnsi="Arial Narrow" w:cs="Times New Roman"/>
                <w:b/>
                <w:bCs/>
                <w:snapToGrid/>
                <w:sz w:val="18"/>
                <w:szCs w:val="18"/>
              </w:rPr>
              <w:t>AND</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snapToGrid/>
                <w:sz w:val="18"/>
                <w:szCs w:val="18"/>
              </w:rPr>
            </w:pPr>
            <w:r w:rsidRPr="001A05F4">
              <w:rPr>
                <w:rFonts w:ascii="Arial Narrow" w:eastAsia="Calibri" w:hAnsi="Arial Narrow" w:cs="Times New Roman"/>
                <w:b/>
                <w:bCs/>
                <w:snapToGrid/>
                <w:sz w:val="18"/>
                <w:szCs w:val="18"/>
              </w:rPr>
              <w:t>Clinical criteria:</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BC3391" w:rsidRDefault="00017D49" w:rsidP="00284004">
            <w:pPr>
              <w:widowControl/>
              <w:jc w:val="left"/>
              <w:rPr>
                <w:rFonts w:ascii="Arial Narrow" w:eastAsia="Calibri" w:hAnsi="Arial Narrow" w:cs="Times New Roman"/>
                <w:iCs/>
                <w:strike/>
                <w:snapToGrid/>
                <w:sz w:val="18"/>
                <w:szCs w:val="18"/>
              </w:rPr>
            </w:pPr>
            <w:r w:rsidRPr="00BC3391">
              <w:rPr>
                <w:rFonts w:ascii="Arial Narrow" w:eastAsia="Calibri" w:hAnsi="Arial Narrow" w:cs="Times New Roman"/>
                <w:iCs/>
                <w:strike/>
                <w:snapToGrid/>
                <w:sz w:val="18"/>
                <w:szCs w:val="18"/>
              </w:rPr>
              <w:t>The treatment must be given concomitantly with standard of care for this condition</w:t>
            </w:r>
          </w:p>
        </w:tc>
      </w:tr>
      <w:tr w:rsidR="00BC3391"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BC3391" w:rsidRPr="001A05F4" w:rsidRDefault="00BC3391"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BC3391" w:rsidRPr="001A05F4" w:rsidRDefault="00BC3391" w:rsidP="00284004">
            <w:pPr>
              <w:widowControl/>
              <w:jc w:val="left"/>
              <w:rPr>
                <w:rFonts w:ascii="Arial Narrow" w:eastAsia="Calibri" w:hAnsi="Arial Narrow" w:cs="Times New Roman"/>
                <w:iCs/>
                <w:snapToGrid/>
                <w:sz w:val="18"/>
                <w:szCs w:val="18"/>
              </w:rPr>
            </w:pPr>
            <w:r w:rsidRPr="00BC3391">
              <w:rPr>
                <w:rFonts w:ascii="Arial Narrow" w:eastAsia="Calibri" w:hAnsi="Arial Narrow" w:cs="Times New Roman"/>
                <w:iCs/>
                <w:snapToGrid/>
                <w:sz w:val="18"/>
                <w:szCs w:val="18"/>
              </w:rPr>
              <w:t>The treatment must be given concomitantly with best supportive care for this condition</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iCs/>
                <w:snapToGrid/>
                <w:sz w:val="18"/>
                <w:szCs w:val="18"/>
              </w:rPr>
            </w:pPr>
            <w:r w:rsidRPr="001A05F4">
              <w:rPr>
                <w:rFonts w:ascii="Arial Narrow" w:eastAsia="Calibri" w:hAnsi="Arial Narrow" w:cs="Times New Roman"/>
                <w:b/>
                <w:bCs/>
                <w:iCs/>
                <w:snapToGrid/>
                <w:sz w:val="18"/>
                <w:szCs w:val="18"/>
              </w:rPr>
              <w:t>AND</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iCs/>
                <w:snapToGrid/>
                <w:sz w:val="18"/>
                <w:szCs w:val="18"/>
              </w:rPr>
            </w:pPr>
            <w:r w:rsidRPr="001A05F4">
              <w:rPr>
                <w:rFonts w:ascii="Arial Narrow" w:eastAsia="Calibri" w:hAnsi="Arial Narrow" w:cs="Times New Roman"/>
                <w:b/>
                <w:bCs/>
                <w:iCs/>
                <w:snapToGrid/>
                <w:sz w:val="18"/>
                <w:szCs w:val="18"/>
              </w:rPr>
              <w:t>Clinical criteria:</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The treatment must not exceed four loading doses (at days 0, 14, 28 and 63) under this restriction</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iCs/>
                <w:snapToGrid/>
                <w:sz w:val="18"/>
                <w:szCs w:val="18"/>
              </w:rPr>
            </w:pPr>
            <w:r w:rsidRPr="001A05F4">
              <w:rPr>
                <w:rFonts w:ascii="Arial Narrow" w:eastAsia="Calibri" w:hAnsi="Arial Narrow" w:cs="Times New Roman"/>
                <w:b/>
                <w:bCs/>
                <w:iCs/>
                <w:snapToGrid/>
                <w:sz w:val="18"/>
                <w:szCs w:val="18"/>
              </w:rPr>
              <w:t>AND</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snapToGrid/>
                <w:sz w:val="18"/>
                <w:szCs w:val="18"/>
              </w:rPr>
            </w:pPr>
            <w:r w:rsidRPr="001A05F4">
              <w:rPr>
                <w:rFonts w:ascii="Arial Narrow" w:eastAsia="Calibri" w:hAnsi="Arial Narrow" w:cs="Times New Roman"/>
                <w:b/>
                <w:snapToGrid/>
                <w:sz w:val="18"/>
                <w:szCs w:val="18"/>
              </w:rPr>
              <w:t>Population criteria:</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spacing w:line="276" w:lineRule="auto"/>
              <w:rPr>
                <w:rFonts w:ascii="Arial Narrow" w:eastAsia="Calibri" w:hAnsi="Arial Narrow"/>
                <w:snapToGrid/>
                <w:color w:val="0000CC"/>
                <w:sz w:val="18"/>
                <w:szCs w:val="20"/>
              </w:rPr>
            </w:pPr>
            <w:r w:rsidRPr="001A05F4">
              <w:rPr>
                <w:rFonts w:ascii="Arial Narrow" w:eastAsia="Calibri" w:hAnsi="Arial Narrow"/>
                <w:snapToGrid/>
                <w:sz w:val="18"/>
                <w:szCs w:val="20"/>
              </w:rPr>
              <w:t>Patient must be 18 years of age or under</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iCs/>
                <w:snapToGrid/>
                <w:sz w:val="18"/>
                <w:szCs w:val="18"/>
              </w:rPr>
            </w:pPr>
            <w:r w:rsidRPr="001A05F4">
              <w:rPr>
                <w:rFonts w:ascii="Arial Narrow" w:eastAsia="Calibri" w:hAnsi="Arial Narrow" w:cs="Times New Roman"/>
                <w:b/>
                <w:bCs/>
                <w:iCs/>
                <w:snapToGrid/>
                <w:sz w:val="18"/>
                <w:szCs w:val="18"/>
              </w:rPr>
              <w:t>Prescribing instructions:</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Defined signs and symptoms of type I SMA are:</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i) Onset before 6 months of age; and</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ii) Failure to meet or regression in ability to perform age-appropriate motor milestones; or</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iii) Proximal weakness; or</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iv) Hypotonia; or</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v) Absence of deep tendon reflexes; or</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vi) Failure to gain weight appropriate for age; or</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vii) Any active chronic neurogenic changes; or</w:t>
            </w:r>
          </w:p>
          <w:p w:rsidR="00017D49" w:rsidRPr="001A05F4" w:rsidRDefault="00017D49" w:rsidP="00284004">
            <w:pPr>
              <w:widowControl/>
              <w:jc w:val="left"/>
              <w:rPr>
                <w:rFonts w:ascii="Arial Narrow" w:eastAsia="Calibri" w:hAnsi="Arial Narrow" w:cs="Times New Roman"/>
                <w:b/>
                <w:bCs/>
                <w:iCs/>
                <w:snapToGrid/>
                <w:sz w:val="18"/>
                <w:szCs w:val="18"/>
              </w:rPr>
            </w:pPr>
            <w:r w:rsidRPr="001A05F4">
              <w:rPr>
                <w:rFonts w:ascii="Arial Narrow" w:eastAsia="Calibri" w:hAnsi="Arial Narrow" w:cs="Times New Roman"/>
                <w:iCs/>
                <w:snapToGrid/>
                <w:sz w:val="18"/>
                <w:szCs w:val="18"/>
              </w:rPr>
              <w:t>viii) A compound muscle action potential below normative values for an age-matched child.</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iCs/>
                <w:snapToGrid/>
                <w:sz w:val="18"/>
                <w:szCs w:val="18"/>
              </w:rPr>
            </w:pPr>
            <w:r w:rsidRPr="001A05F4">
              <w:rPr>
                <w:rFonts w:ascii="Arial Narrow" w:eastAsia="Calibri" w:hAnsi="Arial Narrow" w:cs="Times New Roman"/>
                <w:b/>
                <w:bCs/>
                <w:iCs/>
                <w:snapToGrid/>
                <w:sz w:val="18"/>
                <w:szCs w:val="18"/>
              </w:rPr>
              <w:t>Prescribing Instructions:</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Defined signs and symptoms of type II SMA are:</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i) Onset between 6 and 18 months; and</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ii) Failure to meet or regression in ability to perform age-appropriate motor milestones; or</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iii) Proximal weakness; or</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iv) Weakness in trunk righting/derotation; or</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v) Hypotonia; or</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vi) Absence of deep tendon reflexes; or</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vii) Failure to gain weight appropriate for age; or</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viii) Any active chronic neurogenic changes; or</w:t>
            </w:r>
          </w:p>
          <w:p w:rsidR="00017D49" w:rsidRPr="001A05F4" w:rsidRDefault="00017D49" w:rsidP="00284004">
            <w:pPr>
              <w:widowControl/>
              <w:jc w:val="left"/>
              <w:rPr>
                <w:rFonts w:ascii="Arial Narrow" w:eastAsia="Calibri" w:hAnsi="Arial Narrow" w:cs="Times New Roman"/>
                <w:b/>
                <w:bCs/>
                <w:iCs/>
                <w:snapToGrid/>
                <w:sz w:val="18"/>
                <w:szCs w:val="18"/>
              </w:rPr>
            </w:pPr>
            <w:r w:rsidRPr="001A05F4">
              <w:rPr>
                <w:rFonts w:ascii="Arial Narrow" w:eastAsia="Calibri" w:hAnsi="Arial Narrow" w:cs="Times New Roman"/>
                <w:iCs/>
                <w:snapToGrid/>
                <w:sz w:val="18"/>
                <w:szCs w:val="18"/>
              </w:rPr>
              <w:t>ix) A compound muscle action potential below normative values for an age-matched child.</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iCs/>
                <w:strike/>
                <w:snapToGrid/>
                <w:sz w:val="18"/>
                <w:szCs w:val="18"/>
              </w:rPr>
            </w:pPr>
            <w:r w:rsidRPr="001A05F4">
              <w:rPr>
                <w:rFonts w:ascii="Arial Narrow" w:eastAsia="Calibri" w:hAnsi="Arial Narrow" w:cs="Times New Roman"/>
                <w:b/>
                <w:bCs/>
                <w:iCs/>
                <w:strike/>
                <w:snapToGrid/>
                <w:sz w:val="18"/>
                <w:szCs w:val="18"/>
              </w:rPr>
              <w:t>Prescribing Instructions:</w:t>
            </w:r>
          </w:p>
          <w:p w:rsidR="00017D49" w:rsidRPr="001A05F4" w:rsidRDefault="00017D49" w:rsidP="00284004">
            <w:pPr>
              <w:widowControl/>
              <w:jc w:val="left"/>
              <w:rPr>
                <w:rFonts w:ascii="Arial Narrow" w:eastAsia="Calibri" w:hAnsi="Arial Narrow" w:cs="Times New Roman"/>
                <w:iCs/>
                <w:strike/>
                <w:snapToGrid/>
                <w:sz w:val="18"/>
                <w:szCs w:val="18"/>
              </w:rPr>
            </w:pPr>
            <w:r w:rsidRPr="001A05F4">
              <w:rPr>
                <w:rFonts w:ascii="Arial Narrow" w:eastAsia="Calibri" w:hAnsi="Arial Narrow" w:cs="Times New Roman"/>
                <w:iCs/>
                <w:strike/>
                <w:snapToGrid/>
                <w:sz w:val="18"/>
                <w:szCs w:val="18"/>
              </w:rPr>
              <w:t>Defined signs and symptoms of type IIIa SMA are:</w:t>
            </w:r>
          </w:p>
          <w:p w:rsidR="00017D49" w:rsidRPr="001A05F4" w:rsidRDefault="00017D49" w:rsidP="00284004">
            <w:pPr>
              <w:widowControl/>
              <w:jc w:val="left"/>
              <w:rPr>
                <w:rFonts w:ascii="Arial Narrow" w:eastAsia="Calibri" w:hAnsi="Arial Narrow" w:cs="Times New Roman"/>
                <w:iCs/>
                <w:strike/>
                <w:snapToGrid/>
                <w:sz w:val="18"/>
                <w:szCs w:val="18"/>
              </w:rPr>
            </w:pPr>
            <w:r w:rsidRPr="001A05F4">
              <w:rPr>
                <w:rFonts w:ascii="Arial Narrow" w:eastAsia="Calibri" w:hAnsi="Arial Narrow" w:cs="Times New Roman"/>
                <w:iCs/>
                <w:strike/>
                <w:snapToGrid/>
                <w:sz w:val="18"/>
                <w:szCs w:val="18"/>
              </w:rPr>
              <w:t>i) Onset between 18 months and 3 years of age; and</w:t>
            </w:r>
          </w:p>
          <w:p w:rsidR="00017D49" w:rsidRPr="001A05F4" w:rsidRDefault="00017D49" w:rsidP="00284004">
            <w:pPr>
              <w:widowControl/>
              <w:jc w:val="left"/>
              <w:rPr>
                <w:rFonts w:ascii="Arial Narrow" w:eastAsia="Calibri" w:hAnsi="Arial Narrow" w:cs="Times New Roman"/>
                <w:iCs/>
                <w:strike/>
                <w:snapToGrid/>
                <w:sz w:val="18"/>
                <w:szCs w:val="18"/>
              </w:rPr>
            </w:pPr>
            <w:r w:rsidRPr="001A05F4">
              <w:rPr>
                <w:rFonts w:ascii="Arial Narrow" w:eastAsia="Calibri" w:hAnsi="Arial Narrow" w:cs="Times New Roman"/>
                <w:iCs/>
                <w:strike/>
                <w:snapToGrid/>
                <w:sz w:val="18"/>
                <w:szCs w:val="18"/>
              </w:rPr>
              <w:t>ii) Failure to meet or regression in ability to perform age-appropriate motor milestones; or</w:t>
            </w:r>
          </w:p>
          <w:p w:rsidR="00017D49" w:rsidRPr="001A05F4" w:rsidRDefault="00017D49" w:rsidP="00284004">
            <w:pPr>
              <w:widowControl/>
              <w:jc w:val="left"/>
              <w:rPr>
                <w:rFonts w:ascii="Arial Narrow" w:eastAsia="Calibri" w:hAnsi="Arial Narrow" w:cs="Times New Roman"/>
                <w:iCs/>
                <w:strike/>
                <w:snapToGrid/>
                <w:sz w:val="18"/>
                <w:szCs w:val="18"/>
              </w:rPr>
            </w:pPr>
            <w:r w:rsidRPr="001A05F4">
              <w:rPr>
                <w:rFonts w:ascii="Arial Narrow" w:eastAsia="Calibri" w:hAnsi="Arial Narrow" w:cs="Times New Roman"/>
                <w:iCs/>
                <w:strike/>
                <w:snapToGrid/>
                <w:sz w:val="18"/>
                <w:szCs w:val="18"/>
              </w:rPr>
              <w:t>iii) Proximal weakness; or</w:t>
            </w:r>
          </w:p>
          <w:p w:rsidR="00017D49" w:rsidRPr="001A05F4" w:rsidRDefault="00017D49" w:rsidP="00284004">
            <w:pPr>
              <w:widowControl/>
              <w:jc w:val="left"/>
              <w:rPr>
                <w:rFonts w:ascii="Arial Narrow" w:eastAsia="Calibri" w:hAnsi="Arial Narrow" w:cs="Times New Roman"/>
                <w:iCs/>
                <w:strike/>
                <w:snapToGrid/>
                <w:sz w:val="18"/>
                <w:szCs w:val="18"/>
              </w:rPr>
            </w:pPr>
            <w:r w:rsidRPr="001A05F4">
              <w:rPr>
                <w:rFonts w:ascii="Arial Narrow" w:eastAsia="Calibri" w:hAnsi="Arial Narrow" w:cs="Times New Roman"/>
                <w:iCs/>
                <w:strike/>
                <w:snapToGrid/>
                <w:sz w:val="18"/>
                <w:szCs w:val="18"/>
              </w:rPr>
              <w:t>iv) Hypotonia; or</w:t>
            </w:r>
          </w:p>
          <w:p w:rsidR="00017D49" w:rsidRPr="001A05F4" w:rsidRDefault="00017D49" w:rsidP="00284004">
            <w:pPr>
              <w:widowControl/>
              <w:jc w:val="left"/>
              <w:rPr>
                <w:rFonts w:ascii="Arial Narrow" w:eastAsia="Calibri" w:hAnsi="Arial Narrow" w:cs="Times New Roman"/>
                <w:iCs/>
                <w:strike/>
                <w:snapToGrid/>
                <w:sz w:val="18"/>
                <w:szCs w:val="18"/>
              </w:rPr>
            </w:pPr>
            <w:r w:rsidRPr="001A05F4">
              <w:rPr>
                <w:rFonts w:ascii="Arial Narrow" w:eastAsia="Calibri" w:hAnsi="Arial Narrow" w:cs="Times New Roman"/>
                <w:iCs/>
                <w:strike/>
                <w:snapToGrid/>
                <w:sz w:val="18"/>
                <w:szCs w:val="18"/>
              </w:rPr>
              <w:t>v) Absence of deep tendon reflexes; or</w:t>
            </w:r>
          </w:p>
          <w:p w:rsidR="00017D49" w:rsidRPr="001A05F4" w:rsidRDefault="00017D49" w:rsidP="00284004">
            <w:pPr>
              <w:widowControl/>
              <w:jc w:val="left"/>
              <w:rPr>
                <w:rFonts w:ascii="Arial Narrow" w:eastAsia="Calibri" w:hAnsi="Arial Narrow" w:cs="Times New Roman"/>
                <w:iCs/>
                <w:strike/>
                <w:snapToGrid/>
                <w:sz w:val="18"/>
                <w:szCs w:val="18"/>
              </w:rPr>
            </w:pPr>
            <w:r w:rsidRPr="001A05F4">
              <w:rPr>
                <w:rFonts w:ascii="Arial Narrow" w:eastAsia="Calibri" w:hAnsi="Arial Narrow" w:cs="Times New Roman"/>
                <w:iCs/>
                <w:strike/>
                <w:snapToGrid/>
                <w:sz w:val="18"/>
                <w:szCs w:val="18"/>
              </w:rPr>
              <w:t>vi) Failure to gain weight appropriate for age; or</w:t>
            </w:r>
          </w:p>
          <w:p w:rsidR="00017D49" w:rsidRPr="001A05F4" w:rsidRDefault="00017D49" w:rsidP="00284004">
            <w:pPr>
              <w:widowControl/>
              <w:jc w:val="left"/>
              <w:rPr>
                <w:rFonts w:ascii="Arial Narrow" w:eastAsia="Calibri" w:hAnsi="Arial Narrow" w:cs="Times New Roman"/>
                <w:iCs/>
                <w:strike/>
                <w:snapToGrid/>
                <w:sz w:val="18"/>
                <w:szCs w:val="18"/>
              </w:rPr>
            </w:pPr>
            <w:r w:rsidRPr="001A05F4">
              <w:rPr>
                <w:rFonts w:ascii="Arial Narrow" w:eastAsia="Calibri" w:hAnsi="Arial Narrow" w:cs="Times New Roman"/>
                <w:iCs/>
                <w:strike/>
                <w:snapToGrid/>
                <w:sz w:val="18"/>
                <w:szCs w:val="18"/>
              </w:rPr>
              <w:t>vii) Any active chronic neurogenic changes; or</w:t>
            </w:r>
          </w:p>
          <w:p w:rsidR="00017D49" w:rsidRPr="001A05F4" w:rsidRDefault="00017D49" w:rsidP="00284004">
            <w:pPr>
              <w:widowControl/>
              <w:jc w:val="left"/>
              <w:rPr>
                <w:rFonts w:ascii="Arial Narrow" w:eastAsia="Calibri" w:hAnsi="Arial Narrow" w:cs="Times New Roman"/>
                <w:b/>
                <w:bCs/>
                <w:iCs/>
                <w:snapToGrid/>
                <w:sz w:val="18"/>
                <w:szCs w:val="18"/>
              </w:rPr>
            </w:pPr>
            <w:r w:rsidRPr="001A05F4">
              <w:rPr>
                <w:rFonts w:ascii="Arial Narrow" w:eastAsia="Calibri" w:hAnsi="Arial Narrow" w:cs="Times New Roman"/>
                <w:iCs/>
                <w:strike/>
                <w:snapToGrid/>
                <w:sz w:val="18"/>
                <w:szCs w:val="18"/>
              </w:rPr>
              <w:t>viii) A compound muscle action potential below normative values for an age-matched child.</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i/>
                <w:snapToGrid/>
                <w:sz w:val="18"/>
                <w:szCs w:val="18"/>
              </w:rPr>
            </w:pPr>
            <w:r w:rsidRPr="001A05F4">
              <w:rPr>
                <w:rFonts w:ascii="Arial Narrow" w:eastAsia="Calibri" w:hAnsi="Arial Narrow" w:cs="Times New Roman"/>
                <w:b/>
                <w:bCs/>
                <w:i/>
                <w:snapToGrid/>
                <w:sz w:val="18"/>
                <w:szCs w:val="18"/>
              </w:rPr>
              <w:t>Prescribing Instructions:</w:t>
            </w:r>
          </w:p>
          <w:p w:rsidR="00017D49" w:rsidRPr="001A05F4" w:rsidRDefault="00017D49" w:rsidP="00284004">
            <w:pPr>
              <w:widowControl/>
              <w:jc w:val="left"/>
              <w:rPr>
                <w:rFonts w:ascii="Arial Narrow" w:eastAsia="Calibri" w:hAnsi="Arial Narrow" w:cs="Times New Roman"/>
                <w:i/>
                <w:snapToGrid/>
                <w:sz w:val="18"/>
                <w:szCs w:val="18"/>
              </w:rPr>
            </w:pPr>
            <w:r w:rsidRPr="001A05F4">
              <w:rPr>
                <w:rFonts w:ascii="Arial Narrow" w:eastAsia="Calibri" w:hAnsi="Arial Narrow" w:cs="Times New Roman"/>
                <w:i/>
                <w:snapToGrid/>
                <w:sz w:val="18"/>
                <w:szCs w:val="18"/>
              </w:rPr>
              <w:t>Defined signs and symptoms of type III SMA are:</w:t>
            </w:r>
          </w:p>
          <w:p w:rsidR="00017D49" w:rsidRPr="001A05F4" w:rsidRDefault="00017D49" w:rsidP="00284004">
            <w:pPr>
              <w:widowControl/>
              <w:jc w:val="left"/>
              <w:rPr>
                <w:rFonts w:ascii="Arial Narrow" w:eastAsia="Calibri" w:hAnsi="Arial Narrow" w:cs="Times New Roman"/>
                <w:i/>
                <w:snapToGrid/>
                <w:sz w:val="18"/>
                <w:szCs w:val="18"/>
              </w:rPr>
            </w:pPr>
            <w:r w:rsidRPr="001A05F4">
              <w:rPr>
                <w:rFonts w:ascii="Arial Narrow" w:eastAsia="Calibri" w:hAnsi="Arial Narrow" w:cs="Times New Roman"/>
                <w:i/>
                <w:snapToGrid/>
                <w:sz w:val="18"/>
                <w:szCs w:val="18"/>
              </w:rPr>
              <w:t>i) Onset between 18 months of age to the 18</w:t>
            </w:r>
            <w:r w:rsidRPr="001A05F4">
              <w:rPr>
                <w:rFonts w:ascii="Arial Narrow" w:eastAsia="Calibri" w:hAnsi="Arial Narrow" w:cs="Times New Roman"/>
                <w:i/>
                <w:snapToGrid/>
                <w:sz w:val="18"/>
                <w:szCs w:val="18"/>
                <w:vertAlign w:val="superscript"/>
              </w:rPr>
              <w:t>th</w:t>
            </w:r>
            <w:r w:rsidRPr="001A05F4">
              <w:rPr>
                <w:rFonts w:ascii="Arial Narrow" w:eastAsia="Calibri" w:hAnsi="Arial Narrow" w:cs="Times New Roman"/>
                <w:i/>
                <w:snapToGrid/>
                <w:sz w:val="18"/>
                <w:szCs w:val="18"/>
              </w:rPr>
              <w:t xml:space="preserve"> birthday (inclusive); and</w:t>
            </w:r>
          </w:p>
          <w:p w:rsidR="00017D49" w:rsidRPr="001A05F4" w:rsidRDefault="00017D49" w:rsidP="00284004">
            <w:pPr>
              <w:widowControl/>
              <w:jc w:val="left"/>
              <w:rPr>
                <w:rFonts w:ascii="Arial Narrow" w:eastAsia="Calibri" w:hAnsi="Arial Narrow" w:cs="Times New Roman"/>
                <w:i/>
                <w:snapToGrid/>
                <w:sz w:val="18"/>
                <w:szCs w:val="18"/>
              </w:rPr>
            </w:pPr>
            <w:r w:rsidRPr="001A05F4">
              <w:rPr>
                <w:rFonts w:ascii="Arial Narrow" w:eastAsia="Calibri" w:hAnsi="Arial Narrow" w:cs="Times New Roman"/>
                <w:i/>
                <w:snapToGrid/>
                <w:sz w:val="18"/>
                <w:szCs w:val="18"/>
              </w:rPr>
              <w:t>ii) Failure to meet or regression in ability to perform age-appropriate motor milestones; or</w:t>
            </w:r>
          </w:p>
          <w:p w:rsidR="00017D49" w:rsidRPr="001A05F4" w:rsidRDefault="00017D49" w:rsidP="00284004">
            <w:pPr>
              <w:widowControl/>
              <w:jc w:val="left"/>
              <w:rPr>
                <w:rFonts w:ascii="Arial Narrow" w:eastAsia="Calibri" w:hAnsi="Arial Narrow" w:cs="Times New Roman"/>
                <w:i/>
                <w:snapToGrid/>
                <w:sz w:val="18"/>
                <w:szCs w:val="18"/>
              </w:rPr>
            </w:pPr>
            <w:r w:rsidRPr="001A05F4">
              <w:rPr>
                <w:rFonts w:ascii="Arial Narrow" w:eastAsia="Calibri" w:hAnsi="Arial Narrow" w:cs="Times New Roman"/>
                <w:i/>
                <w:snapToGrid/>
                <w:sz w:val="18"/>
                <w:szCs w:val="18"/>
              </w:rPr>
              <w:t>iii) Proximal weakness; or</w:t>
            </w:r>
          </w:p>
          <w:p w:rsidR="00017D49" w:rsidRPr="001A05F4" w:rsidRDefault="00017D49" w:rsidP="00284004">
            <w:pPr>
              <w:widowControl/>
              <w:jc w:val="left"/>
              <w:rPr>
                <w:rFonts w:ascii="Arial Narrow" w:eastAsia="Calibri" w:hAnsi="Arial Narrow" w:cs="Times New Roman"/>
                <w:i/>
                <w:snapToGrid/>
                <w:sz w:val="18"/>
                <w:szCs w:val="18"/>
              </w:rPr>
            </w:pPr>
            <w:r w:rsidRPr="001A05F4">
              <w:rPr>
                <w:rFonts w:ascii="Arial Narrow" w:eastAsia="Calibri" w:hAnsi="Arial Narrow" w:cs="Times New Roman"/>
                <w:i/>
                <w:snapToGrid/>
                <w:sz w:val="18"/>
                <w:szCs w:val="18"/>
              </w:rPr>
              <w:t>iv) Hypotonia; or</w:t>
            </w:r>
          </w:p>
          <w:p w:rsidR="00017D49" w:rsidRPr="001A05F4" w:rsidRDefault="00017D49" w:rsidP="00284004">
            <w:pPr>
              <w:widowControl/>
              <w:jc w:val="left"/>
              <w:rPr>
                <w:rFonts w:ascii="Arial Narrow" w:eastAsia="Calibri" w:hAnsi="Arial Narrow" w:cs="Times New Roman"/>
                <w:i/>
                <w:snapToGrid/>
                <w:sz w:val="18"/>
                <w:szCs w:val="18"/>
              </w:rPr>
            </w:pPr>
            <w:r w:rsidRPr="001A05F4">
              <w:rPr>
                <w:rFonts w:ascii="Arial Narrow" w:eastAsia="Calibri" w:hAnsi="Arial Narrow" w:cs="Times New Roman"/>
                <w:i/>
                <w:snapToGrid/>
                <w:sz w:val="18"/>
                <w:szCs w:val="18"/>
              </w:rPr>
              <w:t>v) Absence of deep tendon reflexes; or</w:t>
            </w:r>
          </w:p>
          <w:p w:rsidR="00017D49" w:rsidRPr="001A05F4" w:rsidRDefault="00017D49" w:rsidP="00284004">
            <w:pPr>
              <w:widowControl/>
              <w:jc w:val="left"/>
              <w:rPr>
                <w:rFonts w:ascii="Arial Narrow" w:eastAsia="Calibri" w:hAnsi="Arial Narrow" w:cs="Times New Roman"/>
                <w:i/>
                <w:snapToGrid/>
                <w:sz w:val="18"/>
                <w:szCs w:val="18"/>
              </w:rPr>
            </w:pPr>
            <w:r w:rsidRPr="001A05F4">
              <w:rPr>
                <w:rFonts w:ascii="Arial Narrow" w:eastAsia="Calibri" w:hAnsi="Arial Narrow" w:cs="Times New Roman"/>
                <w:i/>
                <w:snapToGrid/>
                <w:sz w:val="18"/>
                <w:szCs w:val="18"/>
              </w:rPr>
              <w:t>vi) Failure to gain weight appropriate for age; or</w:t>
            </w:r>
          </w:p>
          <w:p w:rsidR="00017D49" w:rsidRPr="001A05F4" w:rsidRDefault="00017D49" w:rsidP="00284004">
            <w:pPr>
              <w:widowControl/>
              <w:jc w:val="left"/>
              <w:rPr>
                <w:rFonts w:ascii="Arial Narrow" w:eastAsia="Calibri" w:hAnsi="Arial Narrow" w:cs="Times New Roman"/>
                <w:i/>
                <w:snapToGrid/>
                <w:sz w:val="18"/>
                <w:szCs w:val="18"/>
              </w:rPr>
            </w:pPr>
            <w:r w:rsidRPr="001A05F4">
              <w:rPr>
                <w:rFonts w:ascii="Arial Narrow" w:eastAsia="Calibri" w:hAnsi="Arial Narrow" w:cs="Times New Roman"/>
                <w:i/>
                <w:snapToGrid/>
                <w:sz w:val="18"/>
                <w:szCs w:val="18"/>
              </w:rPr>
              <w:t>vii) Any active chronic neurogenic changes; or</w:t>
            </w:r>
          </w:p>
          <w:p w:rsidR="00017D49" w:rsidRPr="001A05F4" w:rsidRDefault="00017D49" w:rsidP="00284004">
            <w:pPr>
              <w:widowControl/>
              <w:jc w:val="left"/>
              <w:rPr>
                <w:rFonts w:ascii="Arial Narrow" w:eastAsia="Calibri" w:hAnsi="Arial Narrow" w:cs="Times New Roman"/>
                <w:b/>
                <w:bCs/>
                <w:iCs/>
                <w:strike/>
                <w:snapToGrid/>
                <w:sz w:val="18"/>
                <w:szCs w:val="18"/>
              </w:rPr>
            </w:pPr>
            <w:r w:rsidRPr="001A05F4">
              <w:rPr>
                <w:rFonts w:ascii="Arial Narrow" w:eastAsia="Calibri" w:hAnsi="Arial Narrow" w:cs="Times New Roman"/>
                <w:i/>
                <w:snapToGrid/>
                <w:sz w:val="18"/>
                <w:szCs w:val="18"/>
              </w:rPr>
              <w:t>viii) A compound muscle action potential below normative values for an age-matched child.</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iCs/>
                <w:snapToGrid/>
                <w:sz w:val="18"/>
                <w:szCs w:val="18"/>
              </w:rPr>
            </w:pPr>
            <w:r w:rsidRPr="001A05F4">
              <w:rPr>
                <w:rFonts w:ascii="Arial Narrow" w:eastAsia="Calibri" w:hAnsi="Arial Narrow" w:cs="Times New Roman"/>
                <w:b/>
                <w:bCs/>
                <w:iCs/>
                <w:snapToGrid/>
                <w:sz w:val="18"/>
                <w:szCs w:val="18"/>
              </w:rPr>
              <w:t>Prescribing Instructions:</w:t>
            </w:r>
          </w:p>
          <w:p w:rsidR="00017D49" w:rsidRPr="001A05F4" w:rsidRDefault="00017D49" w:rsidP="00284004">
            <w:pPr>
              <w:widowControl/>
              <w:jc w:val="left"/>
              <w:rPr>
                <w:rFonts w:ascii="Arial Narrow" w:eastAsia="Calibri" w:hAnsi="Arial Narrow" w:cs="Times New Roman"/>
                <w:iCs/>
                <w:strike/>
                <w:snapToGrid/>
                <w:sz w:val="18"/>
                <w:szCs w:val="18"/>
              </w:rPr>
            </w:pPr>
            <w:r w:rsidRPr="001A05F4">
              <w:rPr>
                <w:rFonts w:ascii="Arial Narrow" w:eastAsia="Calibri" w:hAnsi="Arial Narrow" w:cs="Times New Roman"/>
                <w:iCs/>
                <w:snapToGrid/>
                <w:sz w:val="18"/>
                <w:szCs w:val="18"/>
              </w:rPr>
              <w:t>Recognised hospitals in the management of SMA are Lady Cilento Children's Hospital (Brisbane), Royal Children's Hospital Melbourne, Monash Children's Hospital (Melbourne), John Hunter Hospital (Newcastle), Sydney Children's Hospital Randwick, Children's Hospital at Westmead, Adelaide Women and Children's Hospital and Perth Children's Hospital.</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iCs/>
                <w:strike/>
                <w:snapToGrid/>
                <w:sz w:val="18"/>
                <w:szCs w:val="18"/>
              </w:rPr>
            </w:pPr>
            <w:r w:rsidRPr="001A05F4">
              <w:rPr>
                <w:rFonts w:ascii="Arial Narrow" w:eastAsia="Calibri" w:hAnsi="Arial Narrow" w:cs="Times New Roman"/>
                <w:b/>
                <w:bCs/>
                <w:iCs/>
                <w:strike/>
                <w:snapToGrid/>
                <w:sz w:val="18"/>
                <w:szCs w:val="18"/>
              </w:rPr>
              <w:t>Prescribing Instructions:</w:t>
            </w:r>
          </w:p>
          <w:p w:rsidR="00017D49" w:rsidRPr="001A05F4" w:rsidRDefault="00017D49" w:rsidP="00284004">
            <w:pPr>
              <w:widowControl/>
              <w:jc w:val="left"/>
              <w:rPr>
                <w:rFonts w:ascii="Arial Narrow" w:eastAsia="Calibri" w:hAnsi="Arial Narrow" w:cs="Times New Roman"/>
                <w:iCs/>
                <w:strike/>
                <w:snapToGrid/>
                <w:sz w:val="18"/>
                <w:szCs w:val="18"/>
              </w:rPr>
            </w:pPr>
            <w:r w:rsidRPr="001A05F4">
              <w:rPr>
                <w:rFonts w:ascii="Arial Narrow" w:eastAsia="Calibri" w:hAnsi="Arial Narrow" w:cs="Times New Roman"/>
                <w:iCs/>
                <w:strike/>
                <w:snapToGrid/>
                <w:sz w:val="18"/>
                <w:szCs w:val="18"/>
              </w:rPr>
              <w:t>Application for authorisation of initial treatment must be in writing and must include:</w:t>
            </w:r>
          </w:p>
          <w:p w:rsidR="00017D49" w:rsidRPr="001A05F4" w:rsidRDefault="00017D49" w:rsidP="00284004">
            <w:pPr>
              <w:widowControl/>
              <w:jc w:val="left"/>
              <w:rPr>
                <w:rFonts w:ascii="Arial Narrow" w:eastAsia="Calibri" w:hAnsi="Arial Narrow" w:cs="Times New Roman"/>
                <w:iCs/>
                <w:strike/>
                <w:snapToGrid/>
                <w:sz w:val="18"/>
                <w:szCs w:val="18"/>
              </w:rPr>
            </w:pPr>
            <w:r w:rsidRPr="001A05F4">
              <w:rPr>
                <w:rFonts w:ascii="Arial Narrow" w:eastAsia="Calibri" w:hAnsi="Arial Narrow" w:cs="Times New Roman"/>
                <w:iCs/>
                <w:strike/>
                <w:snapToGrid/>
                <w:sz w:val="18"/>
                <w:szCs w:val="18"/>
              </w:rPr>
              <w:t>(a) a completed authority prescription form; and</w:t>
            </w:r>
          </w:p>
          <w:p w:rsidR="00017D49" w:rsidRPr="001A05F4" w:rsidRDefault="00017D49" w:rsidP="00284004">
            <w:pPr>
              <w:widowControl/>
              <w:jc w:val="left"/>
              <w:rPr>
                <w:rFonts w:ascii="Arial Narrow" w:eastAsia="Calibri" w:hAnsi="Arial Narrow" w:cs="Times New Roman"/>
                <w:iCs/>
                <w:strike/>
                <w:snapToGrid/>
                <w:sz w:val="18"/>
                <w:szCs w:val="18"/>
              </w:rPr>
            </w:pPr>
            <w:r w:rsidRPr="001A05F4">
              <w:rPr>
                <w:rFonts w:ascii="Arial Narrow" w:eastAsia="Calibri" w:hAnsi="Arial Narrow" w:cs="Times New Roman"/>
                <w:iCs/>
                <w:strike/>
                <w:snapToGrid/>
                <w:sz w:val="18"/>
                <w:szCs w:val="18"/>
              </w:rPr>
              <w:t>(b) a completed Spinal muscular atrophy PBS Authority Application Form which includes the following:</w:t>
            </w:r>
          </w:p>
          <w:p w:rsidR="00017D49" w:rsidRPr="001A05F4" w:rsidRDefault="00017D49" w:rsidP="00284004">
            <w:pPr>
              <w:widowControl/>
              <w:jc w:val="left"/>
              <w:rPr>
                <w:rFonts w:ascii="Arial Narrow" w:eastAsia="Calibri" w:hAnsi="Arial Narrow" w:cs="Times New Roman"/>
                <w:iCs/>
                <w:strike/>
                <w:snapToGrid/>
                <w:sz w:val="18"/>
                <w:szCs w:val="18"/>
              </w:rPr>
            </w:pPr>
            <w:r w:rsidRPr="001A05F4">
              <w:rPr>
                <w:rFonts w:ascii="Arial Narrow" w:eastAsia="Calibri" w:hAnsi="Arial Narrow" w:cs="Times New Roman"/>
                <w:iCs/>
                <w:strike/>
                <w:snapToGrid/>
                <w:sz w:val="18"/>
                <w:szCs w:val="18"/>
              </w:rPr>
              <w:t>i) specification of SMA type (I, II or IIIa); and</w:t>
            </w:r>
          </w:p>
          <w:p w:rsidR="00017D49" w:rsidRPr="001A05F4" w:rsidRDefault="00017D49" w:rsidP="00284004">
            <w:pPr>
              <w:widowControl/>
              <w:jc w:val="left"/>
              <w:rPr>
                <w:rFonts w:ascii="Arial Narrow" w:eastAsia="Calibri" w:hAnsi="Arial Narrow" w:cs="Times New Roman"/>
                <w:iCs/>
                <w:strike/>
                <w:snapToGrid/>
                <w:sz w:val="18"/>
                <w:szCs w:val="18"/>
              </w:rPr>
            </w:pPr>
            <w:r w:rsidRPr="001A05F4">
              <w:rPr>
                <w:rFonts w:ascii="Arial Narrow" w:eastAsia="Calibri" w:hAnsi="Arial Narrow" w:cs="Times New Roman"/>
                <w:iCs/>
                <w:strike/>
                <w:snapToGrid/>
                <w:sz w:val="18"/>
                <w:szCs w:val="18"/>
              </w:rPr>
              <w:t>(ii) sign(s) and symptom(s) that the patient has experienced; and</w:t>
            </w:r>
          </w:p>
          <w:p w:rsidR="00017D49" w:rsidRPr="001A05F4" w:rsidRDefault="00017D49" w:rsidP="00284004">
            <w:pPr>
              <w:widowControl/>
              <w:jc w:val="left"/>
              <w:rPr>
                <w:rFonts w:ascii="Arial Narrow" w:eastAsia="Calibri" w:hAnsi="Arial Narrow" w:cs="Times New Roman"/>
                <w:b/>
                <w:bCs/>
                <w:iCs/>
                <w:snapToGrid/>
                <w:sz w:val="18"/>
                <w:szCs w:val="18"/>
              </w:rPr>
            </w:pPr>
            <w:r w:rsidRPr="001A05F4">
              <w:rPr>
                <w:rFonts w:ascii="Arial Narrow" w:eastAsia="Calibri" w:hAnsi="Arial Narrow" w:cs="Times New Roman"/>
                <w:iCs/>
                <w:strike/>
                <w:snapToGrid/>
                <w:sz w:val="18"/>
                <w:szCs w:val="18"/>
              </w:rPr>
              <w:t>(iii) patient's age at the onset of sign(s) and symptom(s).</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iCs/>
                <w:snapToGrid/>
                <w:sz w:val="18"/>
                <w:szCs w:val="18"/>
              </w:rPr>
            </w:pPr>
            <w:r w:rsidRPr="001A05F4">
              <w:rPr>
                <w:rFonts w:ascii="Arial Narrow" w:eastAsia="Calibri" w:hAnsi="Arial Narrow" w:cs="Times New Roman"/>
                <w:b/>
                <w:bCs/>
                <w:iCs/>
                <w:snapToGrid/>
                <w:sz w:val="18"/>
                <w:szCs w:val="18"/>
              </w:rPr>
              <w:t>Prescribing Instructions:</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The authority application must be made in writing and must include:</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(1) a completed authority prescription form; and</w:t>
            </w:r>
          </w:p>
          <w:p w:rsidR="00017D49" w:rsidRPr="001A05F4" w:rsidRDefault="00017D49" w:rsidP="00284004">
            <w:pPr>
              <w:widowControl/>
              <w:jc w:val="left"/>
              <w:rPr>
                <w:rFonts w:ascii="Arial Narrow" w:eastAsia="Calibri" w:hAnsi="Arial Narrow" w:cs="Times New Roman"/>
                <w:b/>
                <w:bCs/>
                <w:iCs/>
                <w:strike/>
                <w:snapToGrid/>
                <w:sz w:val="18"/>
                <w:szCs w:val="18"/>
              </w:rPr>
            </w:pPr>
            <w:r w:rsidRPr="001A05F4">
              <w:rPr>
                <w:rFonts w:ascii="Arial Narrow" w:eastAsia="Calibri" w:hAnsi="Arial Narrow" w:cs="Times New Roman"/>
                <w:iCs/>
                <w:snapToGrid/>
                <w:sz w:val="18"/>
                <w:szCs w:val="18"/>
              </w:rPr>
              <w:t>(2) a completed authority application form relevant to the indication and treatment phase (the latest version is located on the website specified in the Administrative Advice).</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iCs/>
                <w:snapToGrid/>
                <w:sz w:val="18"/>
                <w:szCs w:val="18"/>
              </w:rPr>
            </w:pPr>
            <w:r w:rsidRPr="001A05F4">
              <w:rPr>
                <w:rFonts w:ascii="Arial Narrow" w:eastAsia="Calibri" w:hAnsi="Arial Narrow" w:cs="Times New Roman"/>
                <w:b/>
                <w:bCs/>
                <w:iCs/>
                <w:snapToGrid/>
                <w:sz w:val="18"/>
                <w:szCs w:val="18"/>
              </w:rPr>
              <w:t>Administrative Advice:</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 xml:space="preserve">An outcome on the authority application is not </w:t>
            </w:r>
            <w:r w:rsidR="0094282D" w:rsidRPr="001A05F4">
              <w:rPr>
                <w:rFonts w:ascii="Arial Narrow" w:eastAsia="Calibri" w:hAnsi="Arial Narrow" w:cs="Times New Roman"/>
                <w:iCs/>
                <w:snapToGrid/>
                <w:sz w:val="18"/>
                <w:szCs w:val="18"/>
              </w:rPr>
              <w:t>immediate but</w:t>
            </w:r>
            <w:r w:rsidRPr="001A05F4">
              <w:rPr>
                <w:rFonts w:ascii="Arial Narrow" w:eastAsia="Calibri" w:hAnsi="Arial Narrow" w:cs="Times New Roman"/>
                <w:iCs/>
                <w:snapToGrid/>
                <w:sz w:val="18"/>
                <w:szCs w:val="18"/>
              </w:rPr>
              <w:t xml:space="preserve"> will follow in due course. Electronic upload is encouraged to reduce processing time.</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eastAsia="Calibri" w:hAnsi="Arial Narrow" w:cs="Times New Roman"/>
                <w:iCs/>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eastAsia="Calibri" w:hAnsi="Arial Narrow" w:cs="Times New Roman"/>
                <w:b/>
                <w:bCs/>
                <w:iCs/>
                <w:snapToGrid/>
                <w:sz w:val="18"/>
                <w:szCs w:val="18"/>
              </w:rPr>
            </w:pPr>
            <w:r w:rsidRPr="001A05F4">
              <w:rPr>
                <w:rFonts w:ascii="Arial Narrow" w:eastAsia="Calibri" w:hAnsi="Arial Narrow" w:cs="Times New Roman"/>
                <w:b/>
                <w:bCs/>
                <w:iCs/>
                <w:snapToGrid/>
                <w:sz w:val="18"/>
                <w:szCs w:val="18"/>
              </w:rPr>
              <w:t>Administrative Advice:</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Any queries concerning the arrangements to prescribe may be directed to Services Australia on 1800 700 270 (hours of operation 8 a.m. to 5 p.m. EST Monday to Friday).</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Prescribing information (including Authority Application forms and other relevant documentation as applicable) is available on the Services Australia website at www.servicesaustralia.gov.au</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Applications for authority to prescribe should be submitted online using the form upload facility in Health Professional Online Services (HPOS) at www.servicesaustralia.gov.au/hpos</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Or mailed to:</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Services Australia</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Complex Drugs</w:t>
            </w:r>
          </w:p>
          <w:p w:rsidR="00017D49" w:rsidRPr="001A05F4" w:rsidRDefault="00017D49" w:rsidP="00284004">
            <w:pPr>
              <w:widowControl/>
              <w:jc w:val="left"/>
              <w:rPr>
                <w:rFonts w:ascii="Arial Narrow" w:eastAsia="Calibri" w:hAnsi="Arial Narrow" w:cs="Times New Roman"/>
                <w:iCs/>
                <w:snapToGrid/>
                <w:sz w:val="18"/>
                <w:szCs w:val="18"/>
              </w:rPr>
            </w:pPr>
            <w:r w:rsidRPr="001A05F4">
              <w:rPr>
                <w:rFonts w:ascii="Arial Narrow" w:eastAsia="Calibri" w:hAnsi="Arial Narrow" w:cs="Times New Roman"/>
                <w:iCs/>
                <w:snapToGrid/>
                <w:sz w:val="18"/>
                <w:szCs w:val="18"/>
              </w:rPr>
              <w:t>Reply Paid 9826</w:t>
            </w:r>
          </w:p>
          <w:p w:rsidR="00017D49" w:rsidRPr="001A05F4" w:rsidRDefault="00017D49" w:rsidP="00284004">
            <w:pPr>
              <w:widowControl/>
              <w:jc w:val="left"/>
              <w:rPr>
                <w:rFonts w:ascii="Arial Narrow" w:eastAsia="Calibri" w:hAnsi="Arial Narrow" w:cs="Times New Roman"/>
                <w:b/>
                <w:bCs/>
                <w:iCs/>
                <w:snapToGrid/>
                <w:sz w:val="18"/>
                <w:szCs w:val="18"/>
              </w:rPr>
            </w:pPr>
            <w:r w:rsidRPr="001A05F4">
              <w:rPr>
                <w:rFonts w:ascii="Arial Narrow" w:eastAsia="Calibri" w:hAnsi="Arial Narrow" w:cs="Times New Roman"/>
                <w:iCs/>
                <w:snapToGrid/>
                <w:sz w:val="18"/>
                <w:szCs w:val="18"/>
              </w:rPr>
              <w:t>HOBART TAS 7001</w:t>
            </w:r>
          </w:p>
        </w:tc>
      </w:tr>
      <w:bookmarkEnd w:id="56"/>
    </w:tbl>
    <w:p w:rsidR="00017D49" w:rsidRPr="001A05F4" w:rsidRDefault="00017D49" w:rsidP="00017D49"/>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850"/>
        <w:gridCol w:w="2122"/>
        <w:gridCol w:w="1701"/>
        <w:gridCol w:w="850"/>
        <w:gridCol w:w="992"/>
        <w:gridCol w:w="709"/>
        <w:gridCol w:w="1564"/>
      </w:tblGrid>
      <w:tr w:rsidR="00017D49" w:rsidRPr="001A05F4" w:rsidTr="00284004">
        <w:trPr>
          <w:cantSplit/>
          <w:trHeight w:val="471"/>
        </w:trPr>
        <w:tc>
          <w:tcPr>
            <w:tcW w:w="3256" w:type="dxa"/>
            <w:gridSpan w:val="3"/>
          </w:tcPr>
          <w:p w:rsidR="00017D49" w:rsidRPr="001A05F4" w:rsidRDefault="00017D49" w:rsidP="00284004">
            <w:pPr>
              <w:keepNext/>
              <w:widowControl/>
              <w:ind w:left="-57"/>
              <w:jc w:val="left"/>
              <w:rPr>
                <w:rFonts w:ascii="Arial Narrow" w:eastAsia="Calibri" w:hAnsi="Arial Narrow"/>
                <w:b/>
                <w:bCs/>
                <w:snapToGrid/>
                <w:sz w:val="18"/>
                <w:szCs w:val="18"/>
              </w:rPr>
            </w:pPr>
            <w:r w:rsidRPr="001A05F4">
              <w:rPr>
                <w:rFonts w:ascii="Arial Narrow" w:eastAsia="Calibri" w:hAnsi="Arial Narrow"/>
                <w:b/>
                <w:bCs/>
                <w:snapToGrid/>
                <w:sz w:val="18"/>
                <w:szCs w:val="18"/>
              </w:rPr>
              <w:t>MEDICINAL PRODUCT</w:t>
            </w:r>
          </w:p>
          <w:p w:rsidR="00017D49" w:rsidRPr="001A05F4" w:rsidRDefault="00017D49" w:rsidP="00284004">
            <w:pPr>
              <w:keepNext/>
              <w:widowControl/>
              <w:ind w:left="-57"/>
              <w:jc w:val="left"/>
              <w:rPr>
                <w:rFonts w:ascii="Arial Narrow" w:eastAsia="Calibri" w:hAnsi="Arial Narrow"/>
                <w:b/>
                <w:snapToGrid/>
                <w:sz w:val="18"/>
                <w:szCs w:val="18"/>
              </w:rPr>
            </w:pPr>
            <w:r w:rsidRPr="001A05F4">
              <w:rPr>
                <w:rFonts w:ascii="Arial Narrow" w:eastAsia="Calibri" w:hAnsi="Arial Narrow"/>
                <w:b/>
                <w:bCs/>
                <w:snapToGrid/>
                <w:sz w:val="18"/>
                <w:szCs w:val="18"/>
              </w:rPr>
              <w:t>medicinal product pack</w:t>
            </w:r>
          </w:p>
        </w:tc>
        <w:tc>
          <w:tcPr>
            <w:tcW w:w="1701" w:type="dxa"/>
          </w:tcPr>
          <w:p w:rsidR="00017D49" w:rsidRPr="001A05F4" w:rsidRDefault="00017D49" w:rsidP="00284004">
            <w:pPr>
              <w:keepNext/>
              <w:widowControl/>
              <w:ind w:left="-108"/>
              <w:jc w:val="center"/>
              <w:rPr>
                <w:rFonts w:ascii="Arial Narrow" w:eastAsia="Calibri" w:hAnsi="Arial Narrow"/>
                <w:b/>
                <w:snapToGrid/>
                <w:sz w:val="18"/>
                <w:szCs w:val="18"/>
              </w:rPr>
            </w:pPr>
            <w:r w:rsidRPr="001A05F4">
              <w:rPr>
                <w:rFonts w:ascii="Arial Narrow" w:eastAsia="Calibri" w:hAnsi="Arial Narrow"/>
                <w:b/>
                <w:snapToGrid/>
                <w:sz w:val="18"/>
                <w:szCs w:val="18"/>
              </w:rPr>
              <w:t>PBS item code</w:t>
            </w:r>
          </w:p>
        </w:tc>
        <w:tc>
          <w:tcPr>
            <w:tcW w:w="850" w:type="dxa"/>
          </w:tcPr>
          <w:p w:rsidR="00017D49" w:rsidRPr="001A05F4" w:rsidRDefault="00017D49" w:rsidP="00284004">
            <w:pPr>
              <w:keepNext/>
              <w:widowControl/>
              <w:ind w:left="-108"/>
              <w:jc w:val="center"/>
              <w:rPr>
                <w:rFonts w:ascii="Arial Narrow" w:eastAsia="Calibri" w:hAnsi="Arial Narrow"/>
                <w:b/>
                <w:snapToGrid/>
                <w:sz w:val="18"/>
                <w:szCs w:val="18"/>
              </w:rPr>
            </w:pPr>
            <w:r w:rsidRPr="001A05F4">
              <w:rPr>
                <w:rFonts w:ascii="Arial Narrow" w:eastAsia="Calibri" w:hAnsi="Arial Narrow"/>
                <w:b/>
                <w:snapToGrid/>
                <w:sz w:val="18"/>
                <w:szCs w:val="18"/>
              </w:rPr>
              <w:t>Max. qty packs</w:t>
            </w:r>
          </w:p>
        </w:tc>
        <w:tc>
          <w:tcPr>
            <w:tcW w:w="992" w:type="dxa"/>
          </w:tcPr>
          <w:p w:rsidR="00017D49" w:rsidRPr="001A05F4" w:rsidRDefault="00017D49" w:rsidP="00284004">
            <w:pPr>
              <w:keepNext/>
              <w:widowControl/>
              <w:ind w:left="-108"/>
              <w:jc w:val="center"/>
              <w:rPr>
                <w:rFonts w:ascii="Arial Narrow" w:eastAsia="Calibri" w:hAnsi="Arial Narrow"/>
                <w:b/>
                <w:snapToGrid/>
                <w:sz w:val="18"/>
                <w:szCs w:val="18"/>
              </w:rPr>
            </w:pPr>
            <w:r w:rsidRPr="001A05F4">
              <w:rPr>
                <w:rFonts w:ascii="Arial Narrow" w:eastAsia="Calibri" w:hAnsi="Arial Narrow"/>
                <w:b/>
                <w:snapToGrid/>
                <w:sz w:val="18"/>
                <w:szCs w:val="18"/>
              </w:rPr>
              <w:t>Max. qty units</w:t>
            </w:r>
          </w:p>
        </w:tc>
        <w:tc>
          <w:tcPr>
            <w:tcW w:w="709" w:type="dxa"/>
          </w:tcPr>
          <w:p w:rsidR="00017D49" w:rsidRPr="001A05F4" w:rsidRDefault="00017D49" w:rsidP="00284004">
            <w:pPr>
              <w:keepNext/>
              <w:widowControl/>
              <w:ind w:left="-108"/>
              <w:jc w:val="center"/>
              <w:rPr>
                <w:rFonts w:ascii="Arial Narrow" w:eastAsia="Calibri" w:hAnsi="Arial Narrow"/>
                <w:b/>
                <w:snapToGrid/>
                <w:sz w:val="18"/>
                <w:szCs w:val="18"/>
              </w:rPr>
            </w:pPr>
            <w:r w:rsidRPr="001A05F4">
              <w:rPr>
                <w:rFonts w:ascii="Arial Narrow" w:eastAsia="Calibri" w:hAnsi="Arial Narrow"/>
                <w:b/>
                <w:snapToGrid/>
                <w:sz w:val="18"/>
                <w:szCs w:val="18"/>
              </w:rPr>
              <w:t>№.of</w:t>
            </w:r>
          </w:p>
          <w:p w:rsidR="00017D49" w:rsidRPr="001A05F4" w:rsidRDefault="00017D49" w:rsidP="00284004">
            <w:pPr>
              <w:keepNext/>
              <w:widowControl/>
              <w:ind w:left="-108"/>
              <w:jc w:val="center"/>
              <w:rPr>
                <w:rFonts w:ascii="Arial Narrow" w:eastAsia="Calibri" w:hAnsi="Arial Narrow"/>
                <w:b/>
                <w:snapToGrid/>
                <w:sz w:val="18"/>
                <w:szCs w:val="18"/>
              </w:rPr>
            </w:pPr>
            <w:r w:rsidRPr="001A05F4">
              <w:rPr>
                <w:rFonts w:ascii="Arial Narrow" w:eastAsia="Calibri" w:hAnsi="Arial Narrow"/>
                <w:b/>
                <w:snapToGrid/>
                <w:sz w:val="18"/>
                <w:szCs w:val="18"/>
              </w:rPr>
              <w:t>Rpts</w:t>
            </w:r>
          </w:p>
        </w:tc>
        <w:tc>
          <w:tcPr>
            <w:tcW w:w="1564" w:type="dxa"/>
          </w:tcPr>
          <w:p w:rsidR="00017D49" w:rsidRPr="001A05F4" w:rsidRDefault="00017D49" w:rsidP="00284004">
            <w:pPr>
              <w:keepNext/>
              <w:widowControl/>
              <w:jc w:val="left"/>
              <w:rPr>
                <w:rFonts w:ascii="Arial Narrow" w:eastAsia="Calibri" w:hAnsi="Arial Narrow"/>
                <w:b/>
                <w:snapToGrid/>
                <w:sz w:val="18"/>
                <w:szCs w:val="18"/>
              </w:rPr>
            </w:pPr>
            <w:r w:rsidRPr="001A05F4">
              <w:rPr>
                <w:rFonts w:ascii="Arial Narrow" w:eastAsia="Calibri" w:hAnsi="Arial Narrow"/>
                <w:b/>
                <w:snapToGrid/>
                <w:sz w:val="18"/>
                <w:szCs w:val="18"/>
              </w:rPr>
              <w:t>Available brands</w:t>
            </w:r>
          </w:p>
        </w:tc>
      </w:tr>
      <w:tr w:rsidR="00017D49" w:rsidRPr="001A05F4" w:rsidTr="00284004">
        <w:trPr>
          <w:cantSplit/>
          <w:trHeight w:val="224"/>
        </w:trPr>
        <w:tc>
          <w:tcPr>
            <w:tcW w:w="9072" w:type="dxa"/>
            <w:gridSpan w:val="8"/>
          </w:tcPr>
          <w:p w:rsidR="00017D49" w:rsidRPr="001A05F4" w:rsidRDefault="00017D49" w:rsidP="00284004">
            <w:pPr>
              <w:keepNext/>
              <w:widowControl/>
              <w:ind w:left="-57"/>
              <w:jc w:val="left"/>
              <w:rPr>
                <w:rFonts w:ascii="Arial Narrow" w:eastAsia="Calibri" w:hAnsi="Arial Narrow"/>
                <w:snapToGrid/>
                <w:sz w:val="18"/>
                <w:szCs w:val="18"/>
              </w:rPr>
            </w:pPr>
            <w:r w:rsidRPr="001A05F4">
              <w:rPr>
                <w:rFonts w:ascii="Arial Narrow" w:eastAsia="Calibri" w:hAnsi="Arial Narrow"/>
                <w:snapToGrid/>
                <w:sz w:val="18"/>
                <w:szCs w:val="18"/>
              </w:rPr>
              <w:t xml:space="preserve">NUSINERSEN </w:t>
            </w:r>
          </w:p>
        </w:tc>
      </w:tr>
      <w:tr w:rsidR="00017D49" w:rsidRPr="001A05F4" w:rsidTr="00284004">
        <w:trPr>
          <w:cantSplit/>
          <w:trHeight w:val="250"/>
        </w:trPr>
        <w:tc>
          <w:tcPr>
            <w:tcW w:w="3256" w:type="dxa"/>
            <w:gridSpan w:val="3"/>
          </w:tcPr>
          <w:p w:rsidR="00017D49" w:rsidRPr="001A05F4" w:rsidRDefault="00017D49" w:rsidP="00284004">
            <w:pPr>
              <w:keepNext/>
              <w:widowControl/>
              <w:ind w:left="-57"/>
              <w:rPr>
                <w:rFonts w:ascii="Arial Narrow" w:eastAsia="Calibri" w:hAnsi="Arial Narrow"/>
                <w:snapToGrid/>
                <w:sz w:val="18"/>
                <w:szCs w:val="18"/>
              </w:rPr>
            </w:pPr>
            <w:r w:rsidRPr="001A05F4">
              <w:rPr>
                <w:rFonts w:ascii="Arial Narrow" w:eastAsia="Calibri" w:hAnsi="Arial Narrow"/>
                <w:snapToGrid/>
                <w:sz w:val="18"/>
                <w:szCs w:val="18"/>
              </w:rPr>
              <w:t xml:space="preserve">nusinersen 12mg/5 mL injection, 5 mL vial </w:t>
            </w:r>
          </w:p>
        </w:tc>
        <w:tc>
          <w:tcPr>
            <w:tcW w:w="1701" w:type="dxa"/>
          </w:tcPr>
          <w:p w:rsidR="00017D49" w:rsidRPr="001A05F4" w:rsidRDefault="00017D49" w:rsidP="00284004">
            <w:pPr>
              <w:keepNext/>
              <w:widowControl/>
              <w:jc w:val="center"/>
              <w:rPr>
                <w:rFonts w:ascii="Arial Narrow" w:eastAsia="Calibri" w:hAnsi="Arial Narrow"/>
                <w:snapToGrid/>
                <w:sz w:val="18"/>
                <w:szCs w:val="18"/>
              </w:rPr>
            </w:pPr>
            <w:r w:rsidRPr="001A05F4">
              <w:rPr>
                <w:rFonts w:ascii="Arial Narrow" w:eastAsia="Calibri" w:hAnsi="Arial Narrow"/>
                <w:snapToGrid/>
                <w:sz w:val="18"/>
                <w:szCs w:val="18"/>
              </w:rPr>
              <w:t>11378W (Public)</w:t>
            </w:r>
          </w:p>
          <w:p w:rsidR="00017D49" w:rsidRPr="001A05F4" w:rsidRDefault="00017D49" w:rsidP="00284004">
            <w:pPr>
              <w:keepNext/>
              <w:widowControl/>
              <w:jc w:val="center"/>
              <w:rPr>
                <w:rFonts w:ascii="Arial Narrow" w:eastAsia="Calibri" w:hAnsi="Arial Narrow"/>
                <w:snapToGrid/>
                <w:sz w:val="18"/>
                <w:szCs w:val="18"/>
              </w:rPr>
            </w:pPr>
            <w:r w:rsidRPr="001A05F4">
              <w:rPr>
                <w:rFonts w:ascii="Arial Narrow" w:eastAsia="Calibri" w:hAnsi="Arial Narrow"/>
                <w:snapToGrid/>
                <w:sz w:val="18"/>
                <w:szCs w:val="18"/>
              </w:rPr>
              <w:t>11476B (Private)</w:t>
            </w:r>
          </w:p>
        </w:tc>
        <w:tc>
          <w:tcPr>
            <w:tcW w:w="850" w:type="dxa"/>
          </w:tcPr>
          <w:p w:rsidR="00017D49" w:rsidRPr="001A05F4" w:rsidRDefault="00017D49" w:rsidP="00284004">
            <w:pPr>
              <w:keepNext/>
              <w:widowControl/>
              <w:jc w:val="center"/>
              <w:rPr>
                <w:rFonts w:ascii="Arial Narrow" w:eastAsia="Calibri" w:hAnsi="Arial Narrow"/>
                <w:snapToGrid/>
                <w:sz w:val="18"/>
                <w:szCs w:val="18"/>
              </w:rPr>
            </w:pPr>
            <w:r w:rsidRPr="001A05F4">
              <w:rPr>
                <w:rFonts w:ascii="Arial Narrow" w:eastAsia="Calibri" w:hAnsi="Arial Narrow"/>
                <w:snapToGrid/>
                <w:sz w:val="18"/>
                <w:szCs w:val="18"/>
              </w:rPr>
              <w:t>1</w:t>
            </w:r>
          </w:p>
        </w:tc>
        <w:tc>
          <w:tcPr>
            <w:tcW w:w="992" w:type="dxa"/>
          </w:tcPr>
          <w:p w:rsidR="00017D49" w:rsidRPr="001A05F4" w:rsidRDefault="00017D49" w:rsidP="00284004">
            <w:pPr>
              <w:keepNext/>
              <w:widowControl/>
              <w:jc w:val="center"/>
              <w:rPr>
                <w:rFonts w:ascii="Arial Narrow" w:eastAsia="Calibri" w:hAnsi="Arial Narrow"/>
                <w:snapToGrid/>
                <w:sz w:val="18"/>
                <w:szCs w:val="18"/>
              </w:rPr>
            </w:pPr>
            <w:r w:rsidRPr="001A05F4">
              <w:rPr>
                <w:rFonts w:ascii="Arial Narrow" w:eastAsia="Calibri" w:hAnsi="Arial Narrow"/>
                <w:snapToGrid/>
                <w:sz w:val="18"/>
                <w:szCs w:val="18"/>
              </w:rPr>
              <w:t>1</w:t>
            </w:r>
          </w:p>
        </w:tc>
        <w:tc>
          <w:tcPr>
            <w:tcW w:w="709" w:type="dxa"/>
          </w:tcPr>
          <w:p w:rsidR="00017D49" w:rsidRPr="001A05F4" w:rsidRDefault="00017D49" w:rsidP="00284004">
            <w:pPr>
              <w:keepNext/>
              <w:widowControl/>
              <w:jc w:val="center"/>
              <w:rPr>
                <w:rFonts w:ascii="Arial Narrow" w:eastAsia="Calibri" w:hAnsi="Arial Narrow"/>
                <w:snapToGrid/>
                <w:sz w:val="18"/>
                <w:szCs w:val="18"/>
              </w:rPr>
            </w:pPr>
            <w:r w:rsidRPr="001A05F4">
              <w:rPr>
                <w:rFonts w:ascii="Arial Narrow" w:eastAsia="Calibri" w:hAnsi="Arial Narrow"/>
                <w:snapToGrid/>
                <w:sz w:val="18"/>
                <w:szCs w:val="18"/>
              </w:rPr>
              <w:t>0</w:t>
            </w:r>
          </w:p>
        </w:tc>
        <w:tc>
          <w:tcPr>
            <w:tcW w:w="1564" w:type="dxa"/>
          </w:tcPr>
          <w:p w:rsidR="00017D49" w:rsidRPr="001A05F4" w:rsidRDefault="00017D49" w:rsidP="00284004">
            <w:pPr>
              <w:keepNext/>
              <w:widowControl/>
              <w:rPr>
                <w:rFonts w:ascii="Arial Narrow" w:eastAsia="Calibri" w:hAnsi="Arial Narrow"/>
                <w:snapToGrid/>
                <w:sz w:val="18"/>
                <w:szCs w:val="18"/>
              </w:rPr>
            </w:pPr>
            <w:r w:rsidRPr="001A05F4">
              <w:rPr>
                <w:rFonts w:ascii="Arial Narrow" w:eastAsia="Calibri" w:hAnsi="Arial Narrow"/>
                <w:snapToGrid/>
                <w:sz w:val="18"/>
                <w:szCs w:val="18"/>
              </w:rPr>
              <w:t>Spinraza</w:t>
            </w:r>
          </w:p>
        </w:tc>
      </w:tr>
      <w:tr w:rsidR="00017D49" w:rsidRPr="001A05F4" w:rsidTr="00284004">
        <w:tblPrEx>
          <w:tblCellMar>
            <w:top w:w="15" w:type="dxa"/>
            <w:left w:w="15" w:type="dxa"/>
            <w:bottom w:w="15" w:type="dxa"/>
            <w:right w:w="15" w:type="dxa"/>
          </w:tblCellMar>
          <w:tblLook w:val="04A0" w:firstRow="1" w:lastRow="0" w:firstColumn="1" w:lastColumn="0" w:noHBand="0" w:noVBand="1"/>
        </w:tblPrEx>
        <w:tc>
          <w:tcPr>
            <w:tcW w:w="9072" w:type="dxa"/>
            <w:gridSpan w:val="8"/>
            <w:tcBorders>
              <w:top w:val="single" w:sz="4" w:space="0" w:color="auto"/>
              <w:left w:val="single" w:sz="4" w:space="0" w:color="auto"/>
              <w:right w:val="single" w:sz="4" w:space="0" w:color="auto"/>
            </w:tcBorders>
          </w:tcPr>
          <w:p w:rsidR="00017D49" w:rsidRPr="001A05F4" w:rsidRDefault="00017D49" w:rsidP="00284004">
            <w:pPr>
              <w:widowControl/>
              <w:rPr>
                <w:rFonts w:ascii="Arial Narrow" w:eastAsia="Calibri" w:hAnsi="Arial Narrow"/>
                <w:b/>
                <w:snapToGrid/>
                <w:sz w:val="18"/>
                <w:szCs w:val="18"/>
              </w:rPr>
            </w:pPr>
          </w:p>
        </w:tc>
      </w:tr>
      <w:tr w:rsidR="00017D49" w:rsidRPr="001A05F4" w:rsidTr="00284004">
        <w:tblPrEx>
          <w:tblCellMar>
            <w:top w:w="15" w:type="dxa"/>
            <w:left w:w="15" w:type="dxa"/>
            <w:bottom w:w="15" w:type="dxa"/>
            <w:right w:w="15" w:type="dxa"/>
          </w:tblCellMar>
          <w:tblLook w:val="04A0" w:firstRow="1" w:lastRow="0" w:firstColumn="1" w:lastColumn="0" w:noHBand="0" w:noVBand="1"/>
        </w:tblPrEx>
        <w:tc>
          <w:tcPr>
            <w:tcW w:w="9072" w:type="dxa"/>
            <w:gridSpan w:val="8"/>
            <w:tcBorders>
              <w:top w:val="single" w:sz="4" w:space="0" w:color="auto"/>
              <w:left w:val="single" w:sz="4" w:space="0" w:color="auto"/>
              <w:right w:val="single" w:sz="4" w:space="0" w:color="auto"/>
            </w:tcBorders>
          </w:tcPr>
          <w:p w:rsidR="00017D49" w:rsidRPr="001A05F4" w:rsidRDefault="00017D49" w:rsidP="00284004">
            <w:pPr>
              <w:widowControl/>
              <w:ind w:left="57"/>
              <w:rPr>
                <w:rFonts w:ascii="Arial Narrow" w:eastAsia="Calibri" w:hAnsi="Arial Narrow"/>
                <w:b/>
                <w:snapToGrid/>
                <w:sz w:val="18"/>
                <w:szCs w:val="18"/>
              </w:rPr>
            </w:pPr>
            <w:r w:rsidRPr="001A05F4">
              <w:rPr>
                <w:rFonts w:ascii="Arial Narrow" w:eastAsia="Calibri" w:hAnsi="Arial Narrow" w:cs="Times New Roman"/>
                <w:b/>
                <w:snapToGrid/>
                <w:sz w:val="18"/>
                <w:szCs w:val="18"/>
              </w:rPr>
              <w:t xml:space="preserve">Edit Restriction Summary TMP23202 / Treatment of Concept: TMP23201 </w:t>
            </w:r>
            <w:r w:rsidRPr="001A05F4">
              <w:rPr>
                <w:rFonts w:ascii="Arial Narrow" w:eastAsia="Calibri" w:hAnsi="Arial Narrow" w:cs="Times New Roman"/>
                <w:bCs/>
                <w:i/>
                <w:iCs/>
                <w:snapToGrid/>
                <w:sz w:val="18"/>
                <w:szCs w:val="18"/>
              </w:rPr>
              <w:t>(current as at 1 July 2021; embargo until 1 August 2021)</w:t>
            </w:r>
            <w:r w:rsidRPr="001A05F4">
              <w:rPr>
                <w:rFonts w:ascii="Arial Narrow" w:eastAsia="Calibri" w:hAnsi="Arial Narrow" w:cs="Times New Roman"/>
                <w:b/>
                <w:snapToGrid/>
                <w:sz w:val="18"/>
                <w:szCs w:val="18"/>
              </w:rPr>
              <w:t xml:space="preserve"> </w:t>
            </w:r>
          </w:p>
        </w:tc>
      </w:tr>
      <w:tr w:rsidR="00017D49" w:rsidRPr="001A05F4" w:rsidTr="00284004">
        <w:tblPrEx>
          <w:tblCellMar>
            <w:top w:w="15" w:type="dxa"/>
            <w:left w:w="15" w:type="dxa"/>
            <w:bottom w:w="15" w:type="dxa"/>
            <w:right w:w="15" w:type="dxa"/>
          </w:tblCellMar>
          <w:tblLook w:val="04A0" w:firstRow="1" w:lastRow="0" w:firstColumn="1" w:lastColumn="0" w:noHBand="0" w:noVBand="1"/>
        </w:tblPrEx>
        <w:tc>
          <w:tcPr>
            <w:tcW w:w="1134" w:type="dxa"/>
            <w:gridSpan w:val="2"/>
            <w:vMerge w:val="restart"/>
            <w:tcBorders>
              <w:top w:val="single" w:sz="4" w:space="0" w:color="auto"/>
              <w:left w:val="single" w:sz="4" w:space="0" w:color="auto"/>
              <w:right w:val="single" w:sz="4" w:space="0" w:color="auto"/>
            </w:tcBorders>
          </w:tcPr>
          <w:p w:rsidR="00017D49" w:rsidRPr="001A05F4" w:rsidRDefault="00017D49" w:rsidP="00284004">
            <w:pPr>
              <w:widowControl/>
              <w:jc w:val="center"/>
              <w:rPr>
                <w:rFonts w:ascii="Arial Narrow" w:eastAsia="Calibri" w:hAnsi="Arial Narrow"/>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017D49" w:rsidRPr="001A05F4" w:rsidRDefault="00017D49" w:rsidP="00284004">
            <w:pPr>
              <w:widowControl/>
              <w:rPr>
                <w:rFonts w:ascii="Arial Narrow" w:eastAsia="Calibri" w:hAnsi="Arial Narrow"/>
                <w:snapToGrid/>
                <w:sz w:val="18"/>
                <w:szCs w:val="18"/>
              </w:rPr>
            </w:pPr>
            <w:r w:rsidRPr="001A05F4">
              <w:rPr>
                <w:rFonts w:ascii="Arial Narrow" w:eastAsia="Calibri" w:hAnsi="Arial Narrow"/>
                <w:b/>
                <w:snapToGrid/>
                <w:sz w:val="18"/>
                <w:szCs w:val="18"/>
              </w:rPr>
              <w:t xml:space="preserve">Category / Program:   </w:t>
            </w:r>
            <w:r w:rsidRPr="001A05F4">
              <w:rPr>
                <w:rFonts w:ascii="Arial Narrow" w:eastAsia="Calibri" w:hAnsi="Arial Narrow"/>
                <w:snapToGrid/>
                <w:sz w:val="18"/>
                <w:szCs w:val="18"/>
              </w:rPr>
              <w:t xml:space="preserve">Section 100 – Highly Specialised Drugs </w:t>
            </w:r>
            <w:r w:rsidR="00C91556" w:rsidRPr="001A05F4">
              <w:rPr>
                <w:rFonts w:ascii="Arial Narrow" w:eastAsia="Calibri" w:hAnsi="Arial Narrow"/>
                <w:snapToGrid/>
                <w:sz w:val="18"/>
                <w:szCs w:val="18"/>
              </w:rPr>
              <w:t>Program (</w:t>
            </w:r>
            <w:r w:rsidRPr="001A05F4">
              <w:rPr>
                <w:rFonts w:ascii="Arial Narrow" w:eastAsia="Calibri" w:hAnsi="Arial Narrow"/>
                <w:snapToGrid/>
                <w:sz w:val="18"/>
                <w:szCs w:val="18"/>
              </w:rPr>
              <w:t>Public/Private hospitals)</w:t>
            </w:r>
          </w:p>
        </w:tc>
      </w:tr>
      <w:tr w:rsidR="00017D49" w:rsidRPr="001A05F4" w:rsidTr="00284004">
        <w:tblPrEx>
          <w:tblCellMar>
            <w:top w:w="15" w:type="dxa"/>
            <w:left w:w="15" w:type="dxa"/>
            <w:bottom w:w="15" w:type="dxa"/>
            <w:right w:w="15" w:type="dxa"/>
          </w:tblCellMar>
          <w:tblLook w:val="04A0" w:firstRow="1" w:lastRow="0" w:firstColumn="1" w:lastColumn="0" w:noHBand="0" w:noVBand="1"/>
        </w:tblPrEx>
        <w:trPr>
          <w:trHeight w:val="240"/>
        </w:trPr>
        <w:tc>
          <w:tcPr>
            <w:tcW w:w="1134" w:type="dxa"/>
            <w:gridSpan w:val="2"/>
            <w:vMerge/>
            <w:tcBorders>
              <w:left w:val="single" w:sz="4" w:space="0" w:color="auto"/>
              <w:right w:val="single" w:sz="4" w:space="0" w:color="auto"/>
            </w:tcBorders>
          </w:tcPr>
          <w:p w:rsidR="00017D49" w:rsidRPr="001A05F4" w:rsidRDefault="00017D49" w:rsidP="00284004">
            <w:pPr>
              <w:widowControl/>
              <w:rPr>
                <w:rFonts w:ascii="Arial Narrow" w:eastAsia="Calibri" w:hAnsi="Arial Narrow"/>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017D49" w:rsidRPr="001A05F4" w:rsidRDefault="00017D49" w:rsidP="00284004">
            <w:pPr>
              <w:widowControl/>
              <w:rPr>
                <w:rFonts w:ascii="Arial Narrow" w:eastAsia="Calibri" w:hAnsi="Arial Narrow"/>
                <w:b/>
                <w:snapToGrid/>
                <w:sz w:val="18"/>
                <w:szCs w:val="18"/>
              </w:rPr>
            </w:pPr>
            <w:r w:rsidRPr="001A05F4">
              <w:rPr>
                <w:rFonts w:ascii="Arial Narrow" w:eastAsia="Calibri" w:hAnsi="Arial Narrow"/>
                <w:b/>
                <w:snapToGrid/>
                <w:sz w:val="18"/>
                <w:szCs w:val="18"/>
              </w:rPr>
              <w:t xml:space="preserve">Prescriber type:   </w:t>
            </w:r>
            <w:r w:rsidRPr="001A05F4">
              <w:rPr>
                <w:rFonts w:ascii="Arial Narrow" w:eastAsia="Calibri" w:hAnsi="Arial Narrow"/>
                <w:snapToGrid/>
                <w:sz w:val="18"/>
                <w:szCs w:val="18"/>
              </w:rPr>
              <w:fldChar w:fldCharType="begin">
                <w:ffData>
                  <w:name w:val=""/>
                  <w:enabled/>
                  <w:calcOnExit w:val="0"/>
                  <w:checkBox>
                    <w:sizeAuto/>
                    <w:default w:val="1"/>
                  </w:checkBox>
                </w:ffData>
              </w:fldChar>
            </w:r>
            <w:r w:rsidRPr="001A05F4">
              <w:rPr>
                <w:rFonts w:ascii="Arial Narrow" w:eastAsia="Calibri" w:hAnsi="Arial Narrow"/>
                <w:snapToGrid/>
                <w:sz w:val="18"/>
                <w:szCs w:val="18"/>
              </w:rPr>
              <w:instrText xml:space="preserve"> FORMCHECKBOX </w:instrText>
            </w:r>
            <w:r w:rsidR="007D52E8">
              <w:rPr>
                <w:rFonts w:ascii="Arial Narrow" w:eastAsia="Calibri" w:hAnsi="Arial Narrow"/>
                <w:snapToGrid/>
                <w:sz w:val="18"/>
                <w:szCs w:val="18"/>
              </w:rPr>
            </w:r>
            <w:r w:rsidR="007D52E8">
              <w:rPr>
                <w:rFonts w:ascii="Arial Narrow" w:eastAsia="Calibri" w:hAnsi="Arial Narrow"/>
                <w:snapToGrid/>
                <w:sz w:val="18"/>
                <w:szCs w:val="18"/>
              </w:rPr>
              <w:fldChar w:fldCharType="separate"/>
            </w:r>
            <w:r w:rsidRPr="001A05F4">
              <w:rPr>
                <w:rFonts w:ascii="Arial Narrow" w:eastAsia="Calibri" w:hAnsi="Arial Narrow"/>
                <w:snapToGrid/>
                <w:sz w:val="18"/>
                <w:szCs w:val="18"/>
              </w:rPr>
              <w:fldChar w:fldCharType="end"/>
            </w:r>
            <w:r w:rsidRPr="001A05F4">
              <w:rPr>
                <w:rFonts w:ascii="Arial Narrow" w:eastAsia="Calibri" w:hAnsi="Arial Narrow"/>
                <w:snapToGrid/>
                <w:sz w:val="18"/>
                <w:szCs w:val="18"/>
              </w:rPr>
              <w:t xml:space="preserve"> Medical Practitioners    </w:t>
            </w:r>
          </w:p>
        </w:tc>
      </w:tr>
      <w:tr w:rsidR="00017D49" w:rsidRPr="001A05F4" w:rsidTr="00284004">
        <w:tblPrEx>
          <w:tblCellMar>
            <w:top w:w="15" w:type="dxa"/>
            <w:left w:w="15" w:type="dxa"/>
            <w:bottom w:w="15" w:type="dxa"/>
            <w:right w:w="15" w:type="dxa"/>
          </w:tblCellMar>
          <w:tblLook w:val="04A0" w:firstRow="1" w:lastRow="0" w:firstColumn="1" w:lastColumn="0" w:noHBand="0" w:noVBand="1"/>
        </w:tblPrEx>
        <w:tc>
          <w:tcPr>
            <w:tcW w:w="1134" w:type="dxa"/>
            <w:gridSpan w:val="2"/>
            <w:vMerge/>
            <w:tcBorders>
              <w:left w:val="single" w:sz="4" w:space="0" w:color="auto"/>
              <w:bottom w:val="single" w:sz="4" w:space="0" w:color="auto"/>
              <w:right w:val="single" w:sz="4" w:space="0" w:color="auto"/>
            </w:tcBorders>
          </w:tcPr>
          <w:p w:rsidR="00017D49" w:rsidRPr="001A05F4" w:rsidRDefault="00017D49" w:rsidP="00284004">
            <w:pPr>
              <w:widowControl/>
              <w:rPr>
                <w:rFonts w:ascii="Arial Narrow" w:eastAsia="Calibri" w:hAnsi="Arial Narrow"/>
                <w:snapToGrid/>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017D49" w:rsidRPr="001A05F4" w:rsidRDefault="00017D49" w:rsidP="00284004">
            <w:pPr>
              <w:widowControl/>
              <w:rPr>
                <w:rFonts w:ascii="Arial Narrow" w:eastAsia="Calibri" w:hAnsi="Arial Narrow"/>
                <w:snapToGrid/>
                <w:color w:val="FF00FF"/>
                <w:sz w:val="18"/>
                <w:szCs w:val="18"/>
              </w:rPr>
            </w:pPr>
            <w:r w:rsidRPr="001A05F4">
              <w:rPr>
                <w:rFonts w:ascii="Arial Narrow" w:eastAsia="Calibri" w:hAnsi="Arial Narrow"/>
                <w:b/>
                <w:snapToGrid/>
                <w:sz w:val="18"/>
                <w:szCs w:val="18"/>
              </w:rPr>
              <w:t xml:space="preserve">Restriction type: </w:t>
            </w:r>
            <w:r w:rsidRPr="001A05F4">
              <w:rPr>
                <w:rFonts w:ascii="Arial Narrow" w:eastAsia="Calibri" w:hAnsi="Arial Narrow"/>
                <w:snapToGrid/>
                <w:color w:val="FF00FF"/>
                <w:sz w:val="18"/>
                <w:szCs w:val="18"/>
              </w:rPr>
              <w:t xml:space="preserve"> </w:t>
            </w:r>
            <w:r w:rsidRPr="001A05F4">
              <w:rPr>
                <w:rFonts w:ascii="Arial Narrow" w:eastAsia="Calibri" w:hAnsi="Arial Narrow"/>
                <w:snapToGrid/>
                <w:sz w:val="18"/>
                <w:szCs w:val="18"/>
              </w:rPr>
              <w:fldChar w:fldCharType="begin">
                <w:ffData>
                  <w:name w:val="Check3"/>
                  <w:enabled/>
                  <w:calcOnExit w:val="0"/>
                  <w:checkBox>
                    <w:sizeAuto/>
                    <w:default w:val="1"/>
                  </w:checkBox>
                </w:ffData>
              </w:fldChar>
            </w:r>
            <w:bookmarkStart w:id="57" w:name="Check3"/>
            <w:r w:rsidRPr="001A05F4">
              <w:rPr>
                <w:rFonts w:ascii="Arial Narrow" w:eastAsia="Calibri" w:hAnsi="Arial Narrow"/>
                <w:snapToGrid/>
                <w:sz w:val="18"/>
                <w:szCs w:val="18"/>
              </w:rPr>
              <w:instrText xml:space="preserve"> FORMCHECKBOX </w:instrText>
            </w:r>
            <w:r w:rsidR="007D52E8">
              <w:rPr>
                <w:rFonts w:ascii="Arial Narrow" w:eastAsia="Calibri" w:hAnsi="Arial Narrow"/>
                <w:snapToGrid/>
                <w:sz w:val="18"/>
                <w:szCs w:val="18"/>
              </w:rPr>
            </w:r>
            <w:r w:rsidR="007D52E8">
              <w:rPr>
                <w:rFonts w:ascii="Arial Narrow" w:eastAsia="Calibri" w:hAnsi="Arial Narrow"/>
                <w:snapToGrid/>
                <w:sz w:val="18"/>
                <w:szCs w:val="18"/>
              </w:rPr>
              <w:fldChar w:fldCharType="separate"/>
            </w:r>
            <w:r w:rsidRPr="001A05F4">
              <w:rPr>
                <w:rFonts w:ascii="Arial Narrow" w:eastAsia="Calibri" w:hAnsi="Arial Narrow"/>
                <w:snapToGrid/>
                <w:sz w:val="18"/>
                <w:szCs w:val="18"/>
              </w:rPr>
              <w:fldChar w:fldCharType="end"/>
            </w:r>
            <w:bookmarkEnd w:id="57"/>
            <w:r w:rsidRPr="001A05F4">
              <w:rPr>
                <w:rFonts w:ascii="Arial Narrow" w:eastAsia="Calibri" w:hAnsi="Arial Narrow"/>
                <w:snapToGrid/>
                <w:sz w:val="18"/>
                <w:szCs w:val="18"/>
              </w:rPr>
              <w:t>Authority Required - immediate/real-time assessment (telephone</w:t>
            </w:r>
            <w:r w:rsidR="00E81862" w:rsidRPr="001A05F4">
              <w:rPr>
                <w:rFonts w:ascii="Arial Narrow" w:eastAsia="Calibri" w:hAnsi="Arial Narrow"/>
                <w:snapToGrid/>
                <w:sz w:val="18"/>
                <w:szCs w:val="18"/>
              </w:rPr>
              <w:t>/online PBS Authorities system</w:t>
            </w:r>
            <w:r w:rsidRPr="001A05F4">
              <w:rPr>
                <w:rFonts w:ascii="Arial Narrow" w:eastAsia="Calibri" w:hAnsi="Arial Narrow"/>
                <w:snapToGrid/>
                <w:sz w:val="18"/>
                <w:szCs w:val="18"/>
              </w:rPr>
              <w:t>)</w:t>
            </w:r>
          </w:p>
        </w:tc>
      </w:tr>
      <w:tr w:rsidR="00017D49" w:rsidRPr="001A05F4" w:rsidTr="00284004">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94"/>
        </w:trPr>
        <w:tc>
          <w:tcPr>
            <w:tcW w:w="284" w:type="dxa"/>
            <w:vMerge w:val="restart"/>
            <w:tcBorders>
              <w:top w:val="single" w:sz="4" w:space="0" w:color="auto"/>
              <w:left w:val="single" w:sz="4" w:space="0" w:color="auto"/>
              <w:right w:val="single" w:sz="4" w:space="0" w:color="auto"/>
            </w:tcBorders>
            <w:textDirection w:val="btLr"/>
            <w:vAlign w:val="center"/>
          </w:tcPr>
          <w:p w:rsidR="00017D49" w:rsidRPr="001A05F4" w:rsidRDefault="00017D49" w:rsidP="00284004">
            <w:pPr>
              <w:widowControl/>
              <w:ind w:left="113" w:right="113"/>
              <w:jc w:val="center"/>
              <w:rPr>
                <w:rFonts w:ascii="Arial Narrow" w:hAnsi="Arial Narrow" w:cs="Times New Roman"/>
                <w:snapToGrid/>
                <w:color w:val="333333"/>
                <w:sz w:val="18"/>
                <w:szCs w:val="18"/>
                <w:lang w:eastAsia="en-AU"/>
              </w:rPr>
            </w:pPr>
          </w:p>
        </w:tc>
        <w:tc>
          <w:tcPr>
            <w:tcW w:w="850" w:type="dxa"/>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iCs/>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hAnsi="Arial Narrow" w:cs="Times New Roman"/>
                <w:iCs/>
                <w:snapToGrid/>
                <w:color w:val="333333"/>
                <w:sz w:val="18"/>
                <w:szCs w:val="18"/>
                <w:lang w:eastAsia="en-AU"/>
              </w:rPr>
            </w:pPr>
            <w:r w:rsidRPr="001A05F4">
              <w:rPr>
                <w:rFonts w:ascii="Arial Narrow" w:hAnsi="Arial Narrow" w:cs="Times New Roman"/>
                <w:b/>
                <w:bCs/>
                <w:iCs/>
                <w:snapToGrid/>
                <w:color w:val="333333"/>
                <w:sz w:val="18"/>
                <w:szCs w:val="18"/>
                <w:lang w:eastAsia="en-AU"/>
              </w:rPr>
              <w:t>Administrative Advice:</w:t>
            </w:r>
            <w:r w:rsidRPr="001A05F4">
              <w:rPr>
                <w:rFonts w:ascii="Arial Narrow" w:hAnsi="Arial Narrow" w:cs="Times New Roman"/>
                <w:iCs/>
                <w:snapToGrid/>
                <w:color w:val="333333"/>
                <w:sz w:val="18"/>
                <w:szCs w:val="18"/>
                <w:lang w:eastAsia="en-AU"/>
              </w:rPr>
              <w:t xml:space="preserve"> No increase in the maximum quantity or number of units may be authorised.</w:t>
            </w:r>
          </w:p>
        </w:tc>
      </w:tr>
      <w:tr w:rsidR="00017D49" w:rsidRPr="001A05F4" w:rsidTr="00284004">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56"/>
        </w:trPr>
        <w:tc>
          <w:tcPr>
            <w:tcW w:w="284" w:type="dxa"/>
            <w:vMerge/>
            <w:tcBorders>
              <w:left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850" w:type="dxa"/>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hAnsi="Arial Narrow" w:cs="Times New Roman"/>
                <w:snapToGrid/>
                <w:color w:val="333333"/>
                <w:sz w:val="18"/>
                <w:szCs w:val="18"/>
                <w:lang w:eastAsia="en-AU"/>
              </w:rPr>
            </w:pPr>
            <w:r w:rsidRPr="001A05F4">
              <w:rPr>
                <w:rFonts w:ascii="Arial Narrow" w:hAnsi="Arial Narrow" w:cs="Times New Roman"/>
                <w:b/>
                <w:bCs/>
                <w:snapToGrid/>
                <w:color w:val="333333"/>
                <w:sz w:val="18"/>
                <w:szCs w:val="18"/>
                <w:lang w:eastAsia="en-AU"/>
              </w:rPr>
              <w:t>Administrative Advice:</w:t>
            </w:r>
            <w:r w:rsidRPr="001A05F4">
              <w:rPr>
                <w:rFonts w:ascii="Arial Narrow" w:hAnsi="Arial Narrow" w:cs="Times New Roman"/>
                <w:snapToGrid/>
                <w:color w:val="333333"/>
                <w:sz w:val="18"/>
                <w:szCs w:val="18"/>
                <w:lang w:eastAsia="en-AU"/>
              </w:rPr>
              <w:t xml:space="preserve"> No increase in the maximum number of repeats may be authorised.</w:t>
            </w:r>
          </w:p>
        </w:tc>
      </w:tr>
      <w:tr w:rsidR="00017D49" w:rsidRPr="001A05F4" w:rsidTr="00284004">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47"/>
        </w:trPr>
        <w:tc>
          <w:tcPr>
            <w:tcW w:w="284" w:type="dxa"/>
            <w:vMerge/>
            <w:tcBorders>
              <w:left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850" w:type="dxa"/>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hAnsi="Arial Narrow" w:cs="Times New Roman"/>
                <w:snapToGrid/>
                <w:color w:val="333333"/>
                <w:sz w:val="18"/>
                <w:szCs w:val="18"/>
                <w:lang w:eastAsia="en-AU"/>
              </w:rPr>
            </w:pPr>
            <w:r w:rsidRPr="001A05F4">
              <w:rPr>
                <w:rFonts w:ascii="Arial Narrow" w:hAnsi="Arial Narrow" w:cs="Times New Roman"/>
                <w:b/>
                <w:bCs/>
                <w:snapToGrid/>
                <w:color w:val="333333"/>
                <w:sz w:val="18"/>
                <w:szCs w:val="18"/>
                <w:lang w:eastAsia="en-AU"/>
              </w:rPr>
              <w:t>Administrative Advice:</w:t>
            </w:r>
            <w:r w:rsidRPr="001A05F4">
              <w:rPr>
                <w:rFonts w:ascii="Arial Narrow" w:hAnsi="Arial Narrow" w:cs="Times New Roman"/>
                <w:snapToGrid/>
                <w:color w:val="333333"/>
                <w:sz w:val="18"/>
                <w:szCs w:val="18"/>
                <w:lang w:eastAsia="en-AU"/>
              </w:rPr>
              <w:t xml:space="preserve"> Special Pricing Arrangements apply.</w:t>
            </w:r>
          </w:p>
        </w:tc>
      </w:tr>
      <w:tr w:rsidR="00017D49" w:rsidRPr="001A05F4" w:rsidTr="00284004">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47"/>
        </w:trPr>
        <w:tc>
          <w:tcPr>
            <w:tcW w:w="284" w:type="dxa"/>
            <w:vMerge/>
            <w:tcBorders>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850" w:type="dxa"/>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hAnsi="Arial Narrow" w:cs="Times New Roman"/>
                <w:b/>
                <w:bCs/>
                <w:snapToGrid/>
                <w:color w:val="333333"/>
                <w:sz w:val="18"/>
                <w:szCs w:val="18"/>
                <w:lang w:eastAsia="en-AU"/>
              </w:rPr>
            </w:pPr>
            <w:r w:rsidRPr="001A05F4">
              <w:rPr>
                <w:rFonts w:ascii="Arial Narrow" w:hAnsi="Arial Narrow" w:cs="Times New Roman"/>
                <w:b/>
                <w:bCs/>
                <w:snapToGrid/>
                <w:color w:val="333333"/>
                <w:sz w:val="18"/>
                <w:szCs w:val="18"/>
                <w:lang w:eastAsia="en-AU"/>
              </w:rPr>
              <w:t>Administrative Advice:</w:t>
            </w:r>
          </w:p>
          <w:p w:rsidR="00017D49" w:rsidRPr="001A05F4" w:rsidRDefault="00017D49" w:rsidP="00284004">
            <w:pPr>
              <w:widowControl/>
              <w:jc w:val="left"/>
              <w:rPr>
                <w:rFonts w:ascii="Arial Narrow" w:hAnsi="Arial Narrow" w:cs="Times New Roman"/>
                <w:snapToGrid/>
                <w:color w:val="333333"/>
                <w:sz w:val="18"/>
                <w:szCs w:val="18"/>
                <w:lang w:eastAsia="en-AU"/>
              </w:rPr>
            </w:pPr>
            <w:r w:rsidRPr="001A05F4">
              <w:rPr>
                <w:rFonts w:ascii="Arial Narrow" w:hAnsi="Arial Narrow" w:cs="Times New Roman"/>
                <w:snapToGrid/>
                <w:color w:val="333333"/>
                <w:sz w:val="18"/>
                <w:szCs w:val="18"/>
                <w:lang w:eastAsia="en-AU"/>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hAnsi="Arial Narrow" w:cs="Times New Roman"/>
                <w:i/>
                <w:snapToGrid/>
                <w:color w:val="333333"/>
                <w:sz w:val="18"/>
                <w:szCs w:val="18"/>
                <w:lang w:eastAsia="en-AU"/>
              </w:rPr>
            </w:pPr>
            <w:r w:rsidRPr="001A05F4">
              <w:rPr>
                <w:rFonts w:ascii="Arial Narrow" w:hAnsi="Arial Narrow" w:cs="Times New Roman"/>
                <w:b/>
                <w:bCs/>
                <w:snapToGrid/>
                <w:color w:val="333333"/>
                <w:sz w:val="18"/>
                <w:szCs w:val="18"/>
                <w:lang w:eastAsia="en-AU"/>
              </w:rPr>
              <w:t>Indication:</w:t>
            </w:r>
            <w:r w:rsidRPr="001A05F4">
              <w:rPr>
                <w:rFonts w:ascii="Arial Narrow" w:hAnsi="Arial Narrow" w:cs="Times New Roman"/>
                <w:snapToGrid/>
                <w:color w:val="333333"/>
                <w:sz w:val="18"/>
                <w:szCs w:val="18"/>
                <w:lang w:eastAsia="en-AU"/>
              </w:rPr>
              <w:t xml:space="preserve"> Spinal muscular atrophy (SMA)</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hAnsi="Arial Narrow" w:cs="Times New Roman"/>
                <w:snapToGrid/>
                <w:color w:val="333333"/>
                <w:sz w:val="18"/>
                <w:szCs w:val="18"/>
                <w:lang w:eastAsia="en-AU"/>
              </w:rPr>
            </w:pPr>
            <w:r w:rsidRPr="001A05F4">
              <w:rPr>
                <w:rFonts w:ascii="Arial Narrow" w:hAnsi="Arial Narrow" w:cs="Times New Roman"/>
                <w:b/>
                <w:bCs/>
                <w:snapToGrid/>
                <w:color w:val="333333"/>
                <w:sz w:val="18"/>
                <w:szCs w:val="18"/>
                <w:lang w:eastAsia="en-AU"/>
              </w:rPr>
              <w:t>Treatment Phase:</w:t>
            </w:r>
            <w:r w:rsidRPr="001A05F4">
              <w:rPr>
                <w:rFonts w:ascii="Arial Narrow" w:eastAsia="Calibri" w:hAnsi="Arial Narrow"/>
                <w:strike/>
                <w:snapToGrid/>
                <w:sz w:val="18"/>
                <w:szCs w:val="20"/>
                <w:lang w:eastAsia="en-AU"/>
              </w:rPr>
              <w:t xml:space="preserve"> </w:t>
            </w:r>
            <w:r w:rsidRPr="001A05F4">
              <w:rPr>
                <w:rFonts w:ascii="Arial Narrow" w:eastAsia="Calibri" w:hAnsi="Arial Narrow"/>
                <w:strike/>
                <w:snapToGrid/>
                <w:sz w:val="18"/>
                <w:szCs w:val="20"/>
                <w:lang w:eastAsia="en-AU"/>
              </w:rPr>
              <w:br/>
            </w:r>
            <w:r w:rsidRPr="001A05F4">
              <w:rPr>
                <w:rFonts w:ascii="Arial Narrow" w:eastAsia="Calibri" w:hAnsi="Arial Narrow"/>
                <w:snapToGrid/>
                <w:sz w:val="18"/>
                <w:szCs w:val="20"/>
                <w:lang w:eastAsia="en-AU"/>
              </w:rPr>
              <w:t>Continuing/maintenance treatment of either symptomatic Type I, II or III</w:t>
            </w:r>
            <w:r w:rsidRPr="001A05F4">
              <w:rPr>
                <w:rFonts w:ascii="Arial Narrow" w:eastAsia="Calibri" w:hAnsi="Arial Narrow"/>
                <w:strike/>
                <w:snapToGrid/>
                <w:sz w:val="18"/>
                <w:szCs w:val="20"/>
                <w:lang w:eastAsia="en-AU"/>
              </w:rPr>
              <w:t>a</w:t>
            </w:r>
            <w:r w:rsidRPr="001A05F4">
              <w:rPr>
                <w:rFonts w:ascii="Arial Narrow" w:eastAsia="Calibri" w:hAnsi="Arial Narrow"/>
                <w:snapToGrid/>
                <w:sz w:val="18"/>
                <w:szCs w:val="20"/>
                <w:lang w:eastAsia="en-AU"/>
              </w:rPr>
              <w:t xml:space="preserve"> SMA or of a patient commenced on this drug under the pre-symptomatic SMA listing</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hAnsi="Arial Narrow" w:cs="Times New Roman"/>
                <w:snapToGrid/>
                <w:color w:val="333333"/>
                <w:sz w:val="18"/>
                <w:szCs w:val="18"/>
                <w:lang w:eastAsia="en-AU"/>
              </w:rPr>
            </w:pPr>
            <w:r w:rsidRPr="001A05F4">
              <w:rPr>
                <w:rFonts w:ascii="Arial Narrow" w:hAnsi="Arial Narrow" w:cs="Times New Roman"/>
                <w:b/>
                <w:bCs/>
                <w:snapToGrid/>
                <w:color w:val="333333"/>
                <w:sz w:val="18"/>
                <w:szCs w:val="18"/>
                <w:lang w:eastAsia="en-AU"/>
              </w:rPr>
              <w:t>Treatment criteria:</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hAnsi="Arial Narrow" w:cs="Times New Roman"/>
                <w:snapToGrid/>
                <w:sz w:val="18"/>
                <w:szCs w:val="18"/>
                <w:lang w:eastAsia="en-AU"/>
              </w:rPr>
            </w:pPr>
            <w:r w:rsidRPr="001A05F4">
              <w:rPr>
                <w:rFonts w:ascii="Arial Narrow" w:hAnsi="Arial Narrow" w:cs="Times New Roman"/>
                <w:snapToGrid/>
                <w:sz w:val="18"/>
                <w:szCs w:val="18"/>
                <w:lang w:eastAsia="en-AU"/>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 or initiated by a specialist medical practitioner experienced in the diagnosis and management of SMA associated with a neuromuscular clinic of a recognised hospital in the management of SMA</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hAnsi="Arial Narrow" w:cs="Times New Roman"/>
                <w:snapToGrid/>
                <w:color w:val="333333"/>
                <w:sz w:val="18"/>
                <w:szCs w:val="18"/>
                <w:lang w:eastAsia="en-AU"/>
              </w:rPr>
            </w:pPr>
            <w:r w:rsidRPr="001A05F4">
              <w:rPr>
                <w:rFonts w:ascii="Arial Narrow" w:hAnsi="Arial Narrow" w:cs="Times New Roman"/>
                <w:b/>
                <w:bCs/>
                <w:snapToGrid/>
                <w:color w:val="333333"/>
                <w:sz w:val="18"/>
                <w:szCs w:val="18"/>
                <w:lang w:eastAsia="en-AU"/>
              </w:rPr>
              <w:t>AND</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hAnsi="Arial Narrow" w:cs="Times New Roman"/>
                <w:snapToGrid/>
                <w:color w:val="333333"/>
                <w:sz w:val="18"/>
                <w:szCs w:val="18"/>
                <w:lang w:eastAsia="en-AU"/>
              </w:rPr>
            </w:pPr>
            <w:r w:rsidRPr="001A05F4">
              <w:rPr>
                <w:rFonts w:ascii="Arial Narrow" w:hAnsi="Arial Narrow" w:cs="Times New Roman"/>
                <w:b/>
                <w:bCs/>
                <w:snapToGrid/>
                <w:color w:val="333333"/>
                <w:sz w:val="18"/>
                <w:szCs w:val="18"/>
                <w:lang w:eastAsia="en-AU"/>
              </w:rPr>
              <w:t>Clinical criteria:</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spacing w:line="276" w:lineRule="auto"/>
              <w:contextualSpacing/>
              <w:jc w:val="left"/>
              <w:rPr>
                <w:rFonts w:ascii="Arial Narrow" w:hAnsi="Arial Narrow"/>
                <w:snapToGrid/>
                <w:sz w:val="18"/>
                <w:szCs w:val="18"/>
                <w:lang w:eastAsia="en-AU"/>
              </w:rPr>
            </w:pPr>
            <w:r w:rsidRPr="001A05F4">
              <w:rPr>
                <w:rFonts w:ascii="Arial Narrow" w:hAnsi="Arial Narrow"/>
                <w:snapToGrid/>
                <w:sz w:val="18"/>
                <w:szCs w:val="18"/>
                <w:lang w:eastAsia="en-AU"/>
              </w:rPr>
              <w:t>Patient must have previously received PBS-subsidised treatment with this drug for this condition; or</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spacing w:line="276" w:lineRule="auto"/>
              <w:contextualSpacing/>
              <w:jc w:val="left"/>
              <w:rPr>
                <w:rFonts w:ascii="Arial Narrow" w:hAnsi="Arial Narrow"/>
                <w:snapToGrid/>
                <w:sz w:val="18"/>
                <w:szCs w:val="18"/>
                <w:lang w:eastAsia="en-AU"/>
              </w:rPr>
            </w:pPr>
            <w:r w:rsidRPr="001A05F4">
              <w:rPr>
                <w:rFonts w:ascii="Arial Narrow" w:hAnsi="Arial Narrow"/>
                <w:snapToGrid/>
                <w:sz w:val="18"/>
                <w:szCs w:val="18"/>
                <w:lang w:eastAsia="en-AU"/>
              </w:rPr>
              <w:t>Patient must be eligible for continuing PBS-subsidised treatment with risdiplam for this condition</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spacing w:line="276" w:lineRule="auto"/>
              <w:contextualSpacing/>
              <w:jc w:val="left"/>
              <w:rPr>
                <w:rFonts w:ascii="Arial Narrow" w:hAnsi="Arial Narrow"/>
                <w:snapToGrid/>
                <w:sz w:val="18"/>
                <w:szCs w:val="18"/>
                <w:lang w:eastAsia="en-AU"/>
              </w:rPr>
            </w:pPr>
            <w:r w:rsidRPr="001A05F4">
              <w:rPr>
                <w:rFonts w:ascii="Arial Narrow" w:hAnsi="Arial Narrow" w:cs="Times New Roman"/>
                <w:b/>
                <w:bCs/>
                <w:snapToGrid/>
                <w:color w:val="333333"/>
                <w:sz w:val="18"/>
                <w:szCs w:val="18"/>
                <w:lang w:eastAsia="en-AU"/>
              </w:rPr>
              <w:t>AND</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spacing w:line="276" w:lineRule="auto"/>
              <w:contextualSpacing/>
              <w:jc w:val="left"/>
              <w:rPr>
                <w:rFonts w:ascii="Arial Narrow" w:hAnsi="Arial Narrow"/>
                <w:snapToGrid/>
                <w:sz w:val="18"/>
                <w:szCs w:val="18"/>
                <w:lang w:eastAsia="en-AU"/>
              </w:rPr>
            </w:pPr>
            <w:r w:rsidRPr="001A05F4">
              <w:rPr>
                <w:rFonts w:ascii="Arial Narrow" w:hAnsi="Arial Narrow" w:cs="Times New Roman"/>
                <w:b/>
                <w:bCs/>
                <w:snapToGrid/>
                <w:color w:val="333333"/>
                <w:sz w:val="18"/>
                <w:szCs w:val="18"/>
                <w:lang w:eastAsia="en-AU"/>
              </w:rPr>
              <w:t>Clinical criteria:</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spacing w:line="276" w:lineRule="auto"/>
              <w:contextualSpacing/>
              <w:jc w:val="left"/>
              <w:rPr>
                <w:rFonts w:ascii="Arial Narrow" w:hAnsi="Arial Narrow"/>
                <w:snapToGrid/>
                <w:sz w:val="18"/>
                <w:szCs w:val="18"/>
                <w:lang w:eastAsia="en-AU"/>
              </w:rPr>
            </w:pPr>
            <w:r w:rsidRPr="001A05F4">
              <w:rPr>
                <w:rFonts w:ascii="Arial Narrow" w:hAnsi="Arial Narrow"/>
                <w:snapToGrid/>
                <w:sz w:val="18"/>
                <w:szCs w:val="18"/>
                <w:lang w:eastAsia="en-AU"/>
              </w:rPr>
              <w:t>The treatment must not be in combination with PBS-subsidised treatment with risdiplam for this condition</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hAnsi="Arial Narrow" w:cs="Times New Roman"/>
                <w:snapToGrid/>
                <w:color w:val="333333"/>
                <w:sz w:val="18"/>
                <w:szCs w:val="18"/>
                <w:lang w:eastAsia="en-AU"/>
              </w:rPr>
            </w:pPr>
            <w:r w:rsidRPr="001A05F4">
              <w:rPr>
                <w:rFonts w:ascii="Arial Narrow" w:hAnsi="Arial Narrow" w:cs="Times New Roman"/>
                <w:b/>
                <w:bCs/>
                <w:snapToGrid/>
                <w:color w:val="333333"/>
                <w:sz w:val="18"/>
                <w:szCs w:val="18"/>
                <w:lang w:eastAsia="en-AU"/>
              </w:rPr>
              <w:t>AND</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hAnsi="Arial Narrow" w:cs="Times New Roman"/>
                <w:snapToGrid/>
                <w:color w:val="333333"/>
                <w:sz w:val="18"/>
                <w:szCs w:val="18"/>
                <w:lang w:eastAsia="en-AU"/>
              </w:rPr>
            </w:pPr>
            <w:r w:rsidRPr="001A05F4">
              <w:rPr>
                <w:rFonts w:ascii="Arial Narrow" w:hAnsi="Arial Narrow" w:cs="Times New Roman"/>
                <w:b/>
                <w:bCs/>
                <w:snapToGrid/>
                <w:color w:val="333333"/>
                <w:sz w:val="18"/>
                <w:szCs w:val="18"/>
                <w:lang w:eastAsia="en-AU"/>
              </w:rPr>
              <w:t>Clinical criteria:</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BC3391" w:rsidRDefault="00017D49" w:rsidP="00284004">
            <w:pPr>
              <w:widowControl/>
              <w:jc w:val="left"/>
              <w:rPr>
                <w:rFonts w:ascii="Arial Narrow" w:hAnsi="Arial Narrow" w:cs="Times New Roman"/>
                <w:strike/>
                <w:snapToGrid/>
                <w:color w:val="333333"/>
                <w:sz w:val="18"/>
                <w:szCs w:val="18"/>
                <w:lang w:eastAsia="en-AU"/>
              </w:rPr>
            </w:pPr>
            <w:r w:rsidRPr="00BC3391">
              <w:rPr>
                <w:rFonts w:ascii="Arial Narrow" w:hAnsi="Arial Narrow" w:cs="Times New Roman"/>
                <w:strike/>
                <w:snapToGrid/>
                <w:color w:val="333333"/>
                <w:sz w:val="18"/>
                <w:szCs w:val="18"/>
                <w:lang w:eastAsia="en-AU"/>
              </w:rPr>
              <w:t>The treatment must be given concomitantly with standard of care for this condition</w:t>
            </w:r>
          </w:p>
        </w:tc>
      </w:tr>
      <w:tr w:rsidR="00BC3391"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BC3391" w:rsidRDefault="00BC3391"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BC3391" w:rsidRPr="00BC3391" w:rsidRDefault="00BC3391" w:rsidP="00284004">
            <w:pPr>
              <w:widowControl/>
              <w:jc w:val="left"/>
              <w:rPr>
                <w:rFonts w:ascii="Arial Narrow" w:hAnsi="Arial Narrow" w:cs="Times New Roman"/>
                <w:strike/>
                <w:snapToGrid/>
                <w:color w:val="333333"/>
                <w:sz w:val="18"/>
                <w:szCs w:val="18"/>
                <w:lang w:eastAsia="en-AU"/>
              </w:rPr>
            </w:pPr>
            <w:r w:rsidRPr="00BC3391">
              <w:rPr>
                <w:rFonts w:ascii="Arial Narrow" w:hAnsi="Arial Narrow"/>
                <w:snapToGrid/>
                <w:color w:val="333333"/>
                <w:sz w:val="18"/>
                <w:szCs w:val="18"/>
                <w:lang w:eastAsia="en-AU"/>
              </w:rPr>
              <w:t>The treatment must be given concomitantly with best supportive care for this condition</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hAnsi="Arial Narrow" w:cs="Times New Roman"/>
                <w:snapToGrid/>
                <w:color w:val="333333"/>
                <w:sz w:val="18"/>
                <w:szCs w:val="18"/>
                <w:lang w:eastAsia="en-AU"/>
              </w:rPr>
            </w:pPr>
            <w:r w:rsidRPr="001A05F4">
              <w:rPr>
                <w:rFonts w:ascii="Arial Narrow" w:hAnsi="Arial Narrow" w:cs="Times New Roman"/>
                <w:b/>
                <w:bCs/>
                <w:snapToGrid/>
                <w:color w:val="333333"/>
                <w:sz w:val="18"/>
                <w:szCs w:val="18"/>
                <w:lang w:eastAsia="en-AU"/>
              </w:rPr>
              <w:t>AND</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hAnsi="Arial Narrow" w:cs="Times New Roman"/>
                <w:snapToGrid/>
                <w:color w:val="333333"/>
                <w:sz w:val="18"/>
                <w:szCs w:val="18"/>
                <w:lang w:eastAsia="en-AU"/>
              </w:rPr>
            </w:pPr>
            <w:r w:rsidRPr="001A05F4">
              <w:rPr>
                <w:rFonts w:ascii="Arial Narrow" w:hAnsi="Arial Narrow" w:cs="Times New Roman"/>
                <w:b/>
                <w:bCs/>
                <w:snapToGrid/>
                <w:color w:val="333333"/>
                <w:sz w:val="18"/>
                <w:szCs w:val="18"/>
                <w:lang w:eastAsia="en-AU"/>
              </w:rPr>
              <w:t>Clinical criteria:</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hAnsi="Arial Narrow" w:cs="Times New Roman"/>
                <w:snapToGrid/>
                <w:sz w:val="18"/>
                <w:szCs w:val="18"/>
                <w:lang w:eastAsia="en-AU"/>
              </w:rPr>
            </w:pPr>
            <w:r w:rsidRPr="001A05F4">
              <w:rPr>
                <w:rFonts w:ascii="Arial Narrow" w:hAnsi="Arial Narrow" w:cs="Times New Roman"/>
                <w:snapToGrid/>
                <w:sz w:val="18"/>
                <w:szCs w:val="18"/>
                <w:lang w:eastAsia="en-AU"/>
              </w:rPr>
              <w:t>The treatment must be ceased when invasive permanent assisted ventilation is required in the absence of a potentially reversible cause while being treated with this drug</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hAnsi="Arial Narrow" w:cs="Times New Roman"/>
                <w:b/>
                <w:bCs/>
                <w:snapToGrid/>
                <w:color w:val="333333"/>
                <w:sz w:val="18"/>
                <w:szCs w:val="18"/>
                <w:lang w:eastAsia="en-AU"/>
              </w:rPr>
            </w:pPr>
            <w:r w:rsidRPr="001A05F4">
              <w:rPr>
                <w:rFonts w:ascii="Arial Narrow" w:hAnsi="Arial Narrow" w:cs="Times New Roman"/>
                <w:b/>
                <w:bCs/>
                <w:snapToGrid/>
                <w:color w:val="333333"/>
                <w:sz w:val="18"/>
                <w:szCs w:val="18"/>
                <w:lang w:eastAsia="en-AU"/>
              </w:rPr>
              <w:t>Prescribing Instructions:</w:t>
            </w:r>
          </w:p>
          <w:p w:rsidR="00017D49" w:rsidRPr="001A05F4" w:rsidRDefault="00017D49" w:rsidP="00284004">
            <w:pPr>
              <w:widowControl/>
              <w:jc w:val="left"/>
              <w:rPr>
                <w:rFonts w:ascii="Arial Narrow" w:hAnsi="Arial Narrow" w:cs="Times New Roman"/>
                <w:snapToGrid/>
                <w:color w:val="333333"/>
                <w:sz w:val="18"/>
                <w:szCs w:val="18"/>
                <w:lang w:eastAsia="en-AU"/>
              </w:rPr>
            </w:pPr>
            <w:r w:rsidRPr="001A05F4">
              <w:rPr>
                <w:rFonts w:ascii="Arial Narrow" w:hAnsi="Arial Narrow" w:cs="Times New Roman"/>
                <w:snapToGrid/>
                <w:sz w:val="18"/>
                <w:szCs w:val="18"/>
                <w:lang w:eastAsia="en-AU"/>
              </w:rPr>
              <w:t>Recognised hospitals in the management of SMA are Lady Cilento Children's Hospital (Brisbane), Royal Children's Hospital Melbourne, Monash Children's Hospital (Melbourne), John Hunter Hospital (Newcastle), Sydney Children's Hospital Randwick, Children's Hospital at Westmead, Adelaide Women and Children's Hospital and Perth Children's Hospital.</w:t>
            </w:r>
          </w:p>
        </w:tc>
      </w:tr>
      <w:tr w:rsidR="00017D49" w:rsidRPr="001A05F4" w:rsidTr="00190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017D49" w:rsidRPr="001A05F4" w:rsidRDefault="00017D49" w:rsidP="00284004">
            <w:pPr>
              <w:widowControl/>
              <w:jc w:val="left"/>
              <w:rPr>
                <w:rFonts w:ascii="Arial Narrow" w:hAnsi="Arial Narrow" w:cs="Times New Roman"/>
                <w:b/>
                <w:bCs/>
                <w:snapToGrid/>
                <w:color w:val="333333"/>
                <w:sz w:val="18"/>
                <w:szCs w:val="18"/>
                <w:lang w:eastAsia="en-AU"/>
              </w:rPr>
            </w:pPr>
            <w:r w:rsidRPr="001A05F4">
              <w:rPr>
                <w:rFonts w:ascii="Arial Narrow" w:hAnsi="Arial Narrow" w:cs="Times New Roman"/>
                <w:b/>
                <w:bCs/>
                <w:snapToGrid/>
                <w:color w:val="333333"/>
                <w:sz w:val="18"/>
                <w:szCs w:val="18"/>
                <w:lang w:eastAsia="en-AU"/>
              </w:rPr>
              <w:t>Prescribing Instructions:</w:t>
            </w:r>
          </w:p>
          <w:p w:rsidR="00017D49" w:rsidRPr="001A05F4" w:rsidRDefault="00017D49" w:rsidP="00284004">
            <w:pPr>
              <w:widowControl/>
              <w:jc w:val="left"/>
              <w:rPr>
                <w:rFonts w:ascii="Arial Narrow" w:hAnsi="Arial Narrow" w:cs="Times New Roman"/>
                <w:snapToGrid/>
                <w:color w:val="333333"/>
                <w:sz w:val="18"/>
                <w:szCs w:val="18"/>
                <w:lang w:eastAsia="en-AU"/>
              </w:rPr>
            </w:pPr>
            <w:r w:rsidRPr="001A05F4">
              <w:rPr>
                <w:rFonts w:ascii="Arial Narrow" w:hAnsi="Arial Narrow" w:cs="Times New Roman"/>
                <w:snapToGrid/>
                <w:sz w:val="18"/>
                <w:szCs w:val="18"/>
                <w:lang w:eastAsia="en-AU"/>
              </w:rPr>
              <w:t>Invasive permanent assisted ventilation means ventilation via tracheostomy tube for greater than or equal to 16 hours per day.</w:t>
            </w:r>
          </w:p>
        </w:tc>
      </w:tr>
      <w:tr w:rsidR="00017D49" w:rsidRPr="001A05F4" w:rsidTr="0028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134" w:type="dxa"/>
            <w:gridSpan w:val="2"/>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center"/>
              <w:rPr>
                <w:rFonts w:ascii="Arial Narrow" w:hAnsi="Arial Narrow" w:cs="Times New Roman"/>
                <w:snapToGrid/>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17D49" w:rsidRPr="001A05F4" w:rsidRDefault="00017D49" w:rsidP="00284004">
            <w:pPr>
              <w:widowControl/>
              <w:jc w:val="left"/>
              <w:rPr>
                <w:rFonts w:ascii="Arial Narrow" w:hAnsi="Arial Narrow" w:cs="Times New Roman"/>
                <w:b/>
                <w:bCs/>
                <w:snapToGrid/>
                <w:color w:val="333333"/>
                <w:sz w:val="18"/>
                <w:szCs w:val="18"/>
                <w:lang w:eastAsia="en-AU"/>
              </w:rPr>
            </w:pPr>
            <w:r w:rsidRPr="001A05F4">
              <w:rPr>
                <w:rFonts w:ascii="Arial Narrow" w:hAnsi="Arial Narrow" w:cs="Times New Roman"/>
                <w:b/>
                <w:bCs/>
                <w:snapToGrid/>
                <w:color w:val="333333"/>
                <w:sz w:val="18"/>
                <w:szCs w:val="18"/>
                <w:lang w:eastAsia="en-AU"/>
              </w:rPr>
              <w:t>Prescribing Instructions:</w:t>
            </w:r>
          </w:p>
          <w:p w:rsidR="00017D49" w:rsidRPr="001A05F4" w:rsidRDefault="00017D49" w:rsidP="00284004">
            <w:pPr>
              <w:widowControl/>
              <w:jc w:val="left"/>
              <w:rPr>
                <w:rFonts w:ascii="Arial Narrow" w:hAnsi="Arial Narrow" w:cs="Times New Roman"/>
                <w:snapToGrid/>
                <w:color w:val="333333"/>
                <w:sz w:val="18"/>
                <w:szCs w:val="18"/>
                <w:lang w:eastAsia="en-AU"/>
              </w:rPr>
            </w:pPr>
            <w:r w:rsidRPr="001A05F4">
              <w:rPr>
                <w:rFonts w:ascii="Arial Narrow" w:hAnsi="Arial Narrow" w:cs="Times New Roman"/>
                <w:snapToGrid/>
                <w:color w:val="333333"/>
                <w:sz w:val="18"/>
                <w:szCs w:val="18"/>
                <w:lang w:eastAsia="en-AU"/>
              </w:rPr>
              <w:t>In a patient who wishes to switch from PBS-subsidised risdiplam to PBS-subsidised nusinersen for this condition a wash out period may be required.</w:t>
            </w:r>
          </w:p>
        </w:tc>
      </w:tr>
    </w:tbl>
    <w:p w:rsidR="00017D49" w:rsidRPr="001A05F4" w:rsidRDefault="00017D49" w:rsidP="00017D49">
      <w:pPr>
        <w:pStyle w:val="ListParagraph"/>
        <w:widowControl/>
        <w:rPr>
          <w:iCs/>
        </w:rPr>
      </w:pPr>
    </w:p>
    <w:p w:rsidR="00017D49" w:rsidRPr="001A05F4" w:rsidRDefault="00923539" w:rsidP="00017D49">
      <w:pPr>
        <w:pStyle w:val="ListParagraph"/>
        <w:widowControl/>
        <w:numPr>
          <w:ilvl w:val="1"/>
          <w:numId w:val="2"/>
        </w:numPr>
        <w:rPr>
          <w:iCs/>
        </w:rPr>
      </w:pPr>
      <w:r w:rsidRPr="001A05F4">
        <w:rPr>
          <w:iCs/>
        </w:rPr>
        <w:t>Flow-on changes to the risdiplam restrictions to permit use of risdiplam for type IIIb and IIIc SMA, in addition to types I, II, and IIIa SMA as recommended by the PBAC in March 2021,</w:t>
      </w:r>
      <w:r w:rsidR="00BF1FE4" w:rsidRPr="001A05F4">
        <w:rPr>
          <w:iCs/>
        </w:rPr>
        <w:t>are not shown, but will be aligned with those appearing above in nusinersen’s restrictions</w:t>
      </w:r>
      <w:r w:rsidR="009128B0" w:rsidRPr="001A05F4">
        <w:rPr>
          <w:iCs/>
        </w:rPr>
        <w:t xml:space="preserve">. </w:t>
      </w:r>
    </w:p>
    <w:p w:rsidR="00A57B1B" w:rsidRPr="001A05F4" w:rsidRDefault="00A57B1B" w:rsidP="00A57B1B">
      <w:pPr>
        <w:widowControl/>
        <w:rPr>
          <w:iCs/>
        </w:rPr>
      </w:pPr>
    </w:p>
    <w:p w:rsidR="00A57B1B" w:rsidRPr="001A05F4" w:rsidRDefault="00A57B1B" w:rsidP="00A57B1B">
      <w:pPr>
        <w:widowControl/>
        <w:jc w:val="left"/>
        <w:rPr>
          <w:rFonts w:cs="Times New Roman"/>
          <w:snapToGrid/>
          <w:szCs w:val="24"/>
          <w:lang w:eastAsia="en-AU"/>
        </w:rPr>
      </w:pPr>
      <w:r w:rsidRPr="001A05F4">
        <w:rPr>
          <w:rFonts w:cs="Times New Roman"/>
          <w:b/>
          <w:bCs/>
          <w:i/>
          <w:snapToGrid/>
          <w:szCs w:val="24"/>
          <w:lang w:eastAsia="en-AU"/>
        </w:rPr>
        <w:t>This restriction may be subject to further editorial review. Should there be any changes made to the restriction the Sponsor will be informed.</w:t>
      </w:r>
    </w:p>
    <w:p w:rsidR="00131EC2" w:rsidRDefault="00131EC2" w:rsidP="00131EC2">
      <w:pPr>
        <w:pStyle w:val="2-SectionHeading"/>
        <w:numPr>
          <w:ilvl w:val="0"/>
          <w:numId w:val="2"/>
        </w:numPr>
        <w:rPr>
          <w:bCs/>
          <w:lang w:val="en-GB"/>
        </w:rPr>
      </w:pPr>
      <w:r w:rsidRPr="00C07617">
        <w:t>Context for Decision</w:t>
      </w:r>
    </w:p>
    <w:p w:rsidR="00131EC2" w:rsidRPr="007129F2" w:rsidRDefault="00131EC2" w:rsidP="00131EC2">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31EC2" w:rsidRPr="00C07617" w:rsidRDefault="00131EC2" w:rsidP="00131EC2">
      <w:pPr>
        <w:pStyle w:val="2-SectionHeading"/>
        <w:numPr>
          <w:ilvl w:val="0"/>
          <w:numId w:val="2"/>
        </w:numPr>
        <w:rPr>
          <w:b w:val="0"/>
        </w:rPr>
      </w:pPr>
      <w:r>
        <w:t>Sponsor’s Comment</w:t>
      </w:r>
    </w:p>
    <w:p w:rsidR="00B621EB" w:rsidRPr="00131EC2" w:rsidRDefault="00B621EB" w:rsidP="00B621EB">
      <w:pPr>
        <w:spacing w:after="120"/>
        <w:ind w:left="709"/>
        <w:rPr>
          <w:rFonts w:asciiTheme="minorHAnsi" w:hAnsiTheme="minorHAnsi"/>
          <w:bCs/>
        </w:rPr>
      </w:pPr>
      <w:r>
        <w:t>Biogen welcomes the PBAC’s decision to recommend nusinersen for paediatric patients with Type IIIb SMA who have experienced symptom onset between 3 and 18 years of age. Biogen is however deeply disappointed that the PBAC did not recommend nusinersen for adults with SMA aged over 18 years at treatment initiation who have experienced signs and symptoms of SMA prior to 19 years of age. Biogen believes that there is alignment with the PBAC that nusinersen is a novel medicine that provides a clinically relevant benefit for adult patients with SMA, and that there are no current PBS subsidised therapies available for these patients. Biogen is exploring all options available for reimbursement and will collaborate with stakeholders to find a suitable path forward as swiftly as possible. Biogen would like to take this opportunity to thank the SMA community and healthcare professionals who supported the submission.</w:t>
      </w:r>
    </w:p>
    <w:p w:rsidR="004E43B2" w:rsidRPr="00131EC2" w:rsidRDefault="004E43B2" w:rsidP="00B621EB">
      <w:pPr>
        <w:spacing w:after="120"/>
        <w:ind w:left="720"/>
        <w:rPr>
          <w:rFonts w:asciiTheme="minorHAnsi" w:hAnsiTheme="minorHAnsi"/>
          <w:bCs/>
        </w:rPr>
      </w:pPr>
    </w:p>
    <w:sectPr w:rsidR="004E43B2" w:rsidRPr="00131EC2" w:rsidSect="00EC78F1">
      <w:headerReference w:type="even" r:id="rId17"/>
      <w:headerReference w:type="default" r:id="rId18"/>
      <w:footerReference w:type="even" r:id="rId19"/>
      <w:footerReference w:type="default" r:id="rId20"/>
      <w:headerReference w:type="first" r:id="rId21"/>
      <w:footerReference w:type="first" r:id="rId22"/>
      <w:pgSz w:w="11907" w:h="16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2E8" w:rsidRDefault="007D52E8" w:rsidP="00124A51">
      <w:r>
        <w:separator/>
      </w:r>
    </w:p>
    <w:p w:rsidR="007D52E8" w:rsidRDefault="007D52E8"/>
  </w:endnote>
  <w:endnote w:type="continuationSeparator" w:id="0">
    <w:p w:rsidR="007D52E8" w:rsidRDefault="007D52E8" w:rsidP="00124A51">
      <w:r>
        <w:continuationSeparator/>
      </w:r>
    </w:p>
    <w:p w:rsidR="007D52E8" w:rsidRDefault="007D5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Yu Gothic"/>
    <w:panose1 w:val="00000000000000000000"/>
    <w:charset w:val="00"/>
    <w:family w:val="roman"/>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E8" w:rsidRDefault="007D5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E8" w:rsidRDefault="007D52E8" w:rsidP="00015886">
    <w:pPr>
      <w:ind w:right="360"/>
      <w:jc w:val="center"/>
      <w:rPr>
        <w:szCs w:val="24"/>
      </w:rPr>
    </w:pPr>
  </w:p>
  <w:p w:rsidR="007D52E8" w:rsidRPr="007C1CD9" w:rsidRDefault="007D52E8" w:rsidP="00015886">
    <w:pPr>
      <w:ind w:right="360"/>
      <w:jc w:val="center"/>
      <w:rPr>
        <w:szCs w:val="24"/>
      </w:rPr>
    </w:pPr>
    <w:r w:rsidRPr="00836F75">
      <w:rPr>
        <w:b/>
      </w:rPr>
      <w:fldChar w:fldCharType="begin"/>
    </w:r>
    <w:r w:rsidRPr="00836F75">
      <w:rPr>
        <w:b/>
      </w:rPr>
      <w:instrText xml:space="preserve"> PAGE   \* MERGEFORMAT </w:instrText>
    </w:r>
    <w:r w:rsidRPr="00836F75">
      <w:rPr>
        <w:b/>
      </w:rPr>
      <w:fldChar w:fldCharType="separate"/>
    </w:r>
    <w:r w:rsidR="00466FA7">
      <w:rPr>
        <w:b/>
        <w:noProof/>
      </w:rPr>
      <w:t>1</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E8" w:rsidRDefault="007D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2E8" w:rsidRDefault="007D52E8" w:rsidP="00124A51">
      <w:r>
        <w:separator/>
      </w:r>
    </w:p>
    <w:p w:rsidR="007D52E8" w:rsidRDefault="007D52E8"/>
  </w:footnote>
  <w:footnote w:type="continuationSeparator" w:id="0">
    <w:p w:rsidR="007D52E8" w:rsidRDefault="007D52E8" w:rsidP="00124A51">
      <w:r>
        <w:continuationSeparator/>
      </w:r>
    </w:p>
    <w:p w:rsidR="007D52E8" w:rsidRDefault="007D52E8"/>
  </w:footnote>
  <w:footnote w:id="1">
    <w:p w:rsidR="007D52E8" w:rsidRPr="00AD0B5A" w:rsidRDefault="007D52E8" w:rsidP="00AD0B5A">
      <w:pPr>
        <w:widowControl/>
        <w:shd w:val="clear" w:color="auto" w:fill="FFFFFF"/>
        <w:jc w:val="left"/>
        <w:rPr>
          <w:rFonts w:ascii="Segoe UI" w:hAnsi="Segoe UI" w:cs="Segoe UI"/>
          <w:i/>
          <w:snapToGrid/>
          <w:color w:val="5B616B"/>
          <w:szCs w:val="24"/>
          <w:lang w:eastAsia="en-AU"/>
        </w:rPr>
      </w:pPr>
      <w:r w:rsidRPr="00F03050">
        <w:rPr>
          <w:rStyle w:val="FootnoteReference"/>
          <w:rFonts w:asciiTheme="minorHAnsi" w:hAnsiTheme="minorHAnsi" w:cstheme="minorHAnsi"/>
          <w:b/>
          <w:caps/>
          <w:sz w:val="20"/>
          <w:szCs w:val="20"/>
        </w:rPr>
        <w:footnoteRef/>
      </w:r>
      <w:r w:rsidRPr="00F03050">
        <w:rPr>
          <w:rFonts w:asciiTheme="minorHAnsi" w:hAnsiTheme="minorHAnsi" w:cstheme="minorHAnsi"/>
          <w:b/>
          <w:caps/>
          <w:sz w:val="20"/>
          <w:szCs w:val="20"/>
        </w:rPr>
        <w:t xml:space="preserve"> </w:t>
      </w:r>
      <w:r w:rsidRPr="00F03050">
        <w:rPr>
          <w:rFonts w:asciiTheme="minorHAnsi" w:hAnsiTheme="minorHAnsi" w:cstheme="minorHAnsi"/>
          <w:sz w:val="20"/>
          <w:szCs w:val="20"/>
        </w:rPr>
        <w:t xml:space="preserve">De Wel et al </w:t>
      </w:r>
      <w:r>
        <w:rPr>
          <w:rFonts w:asciiTheme="minorHAnsi" w:hAnsiTheme="minorHAnsi" w:cstheme="minorHAnsi"/>
          <w:sz w:val="20"/>
          <w:szCs w:val="20"/>
        </w:rPr>
        <w:t>(</w:t>
      </w:r>
      <w:r w:rsidRPr="00F03050">
        <w:rPr>
          <w:rFonts w:asciiTheme="minorHAnsi" w:hAnsiTheme="minorHAnsi" w:cstheme="minorHAnsi"/>
          <w:sz w:val="20"/>
          <w:szCs w:val="20"/>
        </w:rPr>
        <w:t>2021</w:t>
      </w:r>
      <w:r>
        <w:rPr>
          <w:rFonts w:asciiTheme="minorHAnsi" w:hAnsiTheme="minorHAnsi" w:cstheme="minorHAnsi"/>
          <w:sz w:val="20"/>
          <w:szCs w:val="20"/>
        </w:rPr>
        <w:t>).</w:t>
      </w:r>
      <w:r w:rsidRPr="00F03050">
        <w:rPr>
          <w:rFonts w:asciiTheme="minorHAnsi" w:hAnsiTheme="minorHAnsi" w:cstheme="minorHAnsi"/>
          <w:sz w:val="20"/>
          <w:szCs w:val="20"/>
        </w:rPr>
        <w:t xml:space="preserve"> Nusinersen treatment significantly improves hand grip strength, hand motor function and MRC sum scores in adult patients with spinal muscular atrophy types 3 and 4. </w:t>
      </w:r>
      <w:r w:rsidRPr="00F03050">
        <w:rPr>
          <w:rFonts w:asciiTheme="minorHAnsi" w:hAnsiTheme="minorHAnsi" w:cstheme="minorHAnsi"/>
          <w:i/>
          <w:sz w:val="20"/>
          <w:szCs w:val="20"/>
        </w:rPr>
        <w:t xml:space="preserve">J Neurol </w:t>
      </w:r>
      <w:r w:rsidRPr="00F03050">
        <w:rPr>
          <w:rStyle w:val="cit"/>
          <w:rFonts w:asciiTheme="minorHAnsi" w:hAnsiTheme="minorHAnsi" w:cstheme="minorHAnsi"/>
          <w:i/>
          <w:sz w:val="20"/>
          <w:szCs w:val="20"/>
          <w:shd w:val="clear" w:color="auto" w:fill="FFFFFF"/>
        </w:rPr>
        <w:t>2021 Mar;268(3):923-935</w:t>
      </w:r>
      <w:r>
        <w:rPr>
          <w:rStyle w:val="cit"/>
          <w:rFonts w:asciiTheme="minorHAnsi" w:hAnsiTheme="minorHAnsi" w:cstheme="minorHAnsi"/>
          <w:i/>
          <w:sz w:val="20"/>
          <w:szCs w:val="20"/>
          <w:shd w:val="clear" w:color="auto" w:fill="FFFFFF"/>
        </w:rPr>
        <w:t>.</w:t>
      </w:r>
    </w:p>
  </w:footnote>
  <w:footnote w:id="2">
    <w:p w:rsidR="007D52E8" w:rsidRDefault="007D52E8">
      <w:pPr>
        <w:pStyle w:val="FootnoteText"/>
      </w:pPr>
      <w:r>
        <w:rPr>
          <w:rStyle w:val="FootnoteReference"/>
        </w:rPr>
        <w:footnoteRef/>
      </w:r>
      <w:r>
        <w:t xml:space="preserve"> The additional publication to Veerapandiyan (2019), as it is referred to in the submission (see Table 4). </w:t>
      </w:r>
    </w:p>
  </w:footnote>
  <w:footnote w:id="3">
    <w:p w:rsidR="007D52E8" w:rsidRDefault="007D52E8">
      <w:pPr>
        <w:pStyle w:val="FootnoteText"/>
      </w:pPr>
      <w:r>
        <w:rPr>
          <w:rStyle w:val="FootnoteReference"/>
        </w:rPr>
        <w:footnoteRef/>
      </w:r>
      <w:r>
        <w:t xml:space="preserve"> Eisheikh et al (2021). </w:t>
      </w:r>
      <w:r w:rsidRPr="00AD0B5A">
        <w:t xml:space="preserve">Safety, Tolerability, and Effect of Nusinersen in Non-ambulatory Adults With Spinal Muscular Atrophy. </w:t>
      </w:r>
      <w:r w:rsidRPr="00AD0B5A">
        <w:rPr>
          <w:i/>
        </w:rPr>
        <w:t>Front Neurol. 2021 Apr 16;12:650532.</w:t>
      </w:r>
    </w:p>
  </w:footnote>
  <w:footnote w:id="4">
    <w:p w:rsidR="007D52E8" w:rsidRPr="004D618A" w:rsidRDefault="007D52E8">
      <w:pPr>
        <w:pStyle w:val="FootnoteText"/>
        <w:rPr>
          <w:i/>
        </w:rPr>
      </w:pPr>
      <w:r>
        <w:rPr>
          <w:rStyle w:val="FootnoteReference"/>
        </w:rPr>
        <w:footnoteRef/>
      </w:r>
      <w:r>
        <w:t xml:space="preserve"> Wijngaarde et al (2002b). </w:t>
      </w:r>
      <w:r w:rsidRPr="004D618A">
        <w:t xml:space="preserve">Natural history of lung function in spinal muscular atrophy. </w:t>
      </w:r>
      <w:r w:rsidRPr="004D618A">
        <w:rPr>
          <w:i/>
        </w:rPr>
        <w:t>Orphanet J Rare Dis. 2020 Apr 10;15(1):88</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E8" w:rsidRDefault="007D5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E8" w:rsidRPr="00EE5BAA" w:rsidRDefault="007D52E8" w:rsidP="00EE5BAA">
    <w:pPr>
      <w:keepNext/>
      <w:widowControl/>
      <w:tabs>
        <w:tab w:val="center" w:pos="4153"/>
        <w:tab w:val="right" w:pos="8306"/>
      </w:tabs>
      <w:ind w:left="360"/>
      <w:jc w:val="center"/>
      <w:rPr>
        <w:rFonts w:asciiTheme="minorHAnsi" w:hAnsiTheme="minorHAnsi"/>
        <w:i/>
        <w:snapToGrid/>
        <w:color w:val="808080"/>
        <w:szCs w:val="24"/>
      </w:rPr>
    </w:pPr>
    <w:r>
      <w:rPr>
        <w:rFonts w:asciiTheme="minorHAnsi" w:hAnsiTheme="minorHAnsi"/>
        <w:i/>
        <w:snapToGrid/>
        <w:color w:val="808080"/>
        <w:szCs w:val="24"/>
      </w:rPr>
      <w:t>Public Summary Document</w:t>
    </w:r>
    <w:r w:rsidRPr="00EE5BAA">
      <w:rPr>
        <w:rFonts w:asciiTheme="minorHAnsi" w:hAnsiTheme="minorHAnsi"/>
        <w:i/>
        <w:snapToGrid/>
        <w:color w:val="808080"/>
        <w:szCs w:val="24"/>
      </w:rPr>
      <w:t xml:space="preserve"> – </w:t>
    </w:r>
    <w:r>
      <w:rPr>
        <w:rFonts w:asciiTheme="minorHAnsi" w:hAnsiTheme="minorHAnsi"/>
        <w:i/>
        <w:snapToGrid/>
        <w:color w:val="808080"/>
        <w:szCs w:val="24"/>
      </w:rPr>
      <w:t>July</w:t>
    </w:r>
    <w:r w:rsidRPr="00EE5BAA">
      <w:rPr>
        <w:rFonts w:asciiTheme="minorHAnsi" w:hAnsiTheme="minorHAnsi"/>
        <w:i/>
        <w:snapToGrid/>
        <w:color w:val="808080"/>
        <w:szCs w:val="24"/>
      </w:rPr>
      <w:t xml:space="preserve"> 2021 PBAC Meeting</w:t>
    </w:r>
  </w:p>
  <w:p w:rsidR="007D52E8" w:rsidRPr="008C7ECB" w:rsidRDefault="007D5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E8" w:rsidRDefault="007D5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87A"/>
    <w:multiLevelType w:val="hybridMultilevel"/>
    <w:tmpl w:val="0D9C9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272DEF"/>
    <w:multiLevelType w:val="hybridMultilevel"/>
    <w:tmpl w:val="794CC890"/>
    <w:lvl w:ilvl="0" w:tplc="EDA68638">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FA208F"/>
    <w:multiLevelType w:val="multilevel"/>
    <w:tmpl w:val="AEE40CE8"/>
    <w:styleLink w:val="Style1"/>
    <w:lvl w:ilvl="0">
      <w:start w:val="2"/>
      <w:numFmt w:val="upperLetter"/>
      <w:lvlText w:val="%1(i)."/>
      <w:lvlJc w:val="left"/>
      <w:pPr>
        <w:ind w:left="360" w:hanging="360"/>
      </w:pPr>
      <w:rPr>
        <w:rFonts w:ascii="Arial" w:hAnsi="Arial" w:hint="default"/>
        <w:b/>
        <w:sz w:val="22"/>
      </w:rPr>
    </w:lvl>
    <w:lvl w:ilvl="1">
      <w:start w:val="1"/>
      <w:numFmt w:val="decimal"/>
      <w:lvlText w:val="%1(i).%2."/>
      <w:lvlJc w:val="left"/>
      <w:pPr>
        <w:ind w:left="432" w:hanging="432"/>
      </w:pPr>
      <w:rPr>
        <w:rFonts w:ascii="Arial" w:hAnsi="Arial" w:hint="default"/>
        <w:b/>
        <w:sz w:val="22"/>
      </w:rPr>
    </w:lvl>
    <w:lvl w:ilvl="2">
      <w:start w:val="1"/>
      <w:numFmt w:val="decimal"/>
      <w:lvlText w:val="%1(i).%2.%3."/>
      <w:lvlJc w:val="left"/>
      <w:pPr>
        <w:ind w:left="504" w:hanging="504"/>
      </w:pPr>
      <w:rPr>
        <w:rFonts w:ascii="Arial" w:hAnsi="Arial" w:hint="default"/>
        <w:b/>
        <w:sz w:val="22"/>
      </w:rPr>
    </w:lvl>
    <w:lvl w:ilvl="3">
      <w:start w:val="1"/>
      <w:numFmt w:val="decimal"/>
      <w:lvlText w:val="%1(i).%2.%3.%4."/>
      <w:lvlJc w:val="left"/>
      <w:pPr>
        <w:ind w:left="648" w:hanging="648"/>
      </w:pPr>
      <w:rPr>
        <w:rFonts w:ascii="Arial" w:hAnsi="Arial" w:hint="default"/>
        <w:b/>
        <w:sz w:val="22"/>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2491102B"/>
    <w:multiLevelType w:val="hybridMultilevel"/>
    <w:tmpl w:val="EC8C6E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890DD6"/>
    <w:multiLevelType w:val="hybridMultilevel"/>
    <w:tmpl w:val="1166ECB6"/>
    <w:lvl w:ilvl="0" w:tplc="0C09000F">
      <w:start w:val="1"/>
      <w:numFmt w:val="decimal"/>
      <w:lvlText w:val="%1."/>
      <w:lvlJc w:val="left"/>
      <w:pPr>
        <w:ind w:left="3196" w:hanging="360"/>
      </w:pPr>
    </w:lvl>
    <w:lvl w:ilvl="1" w:tplc="0C090019" w:tentative="1">
      <w:start w:val="1"/>
      <w:numFmt w:val="lowerLetter"/>
      <w:lvlText w:val="%2."/>
      <w:lvlJc w:val="left"/>
      <w:pPr>
        <w:ind w:left="3916" w:hanging="360"/>
      </w:pPr>
    </w:lvl>
    <w:lvl w:ilvl="2" w:tplc="0C09001B" w:tentative="1">
      <w:start w:val="1"/>
      <w:numFmt w:val="lowerRoman"/>
      <w:lvlText w:val="%3."/>
      <w:lvlJc w:val="right"/>
      <w:pPr>
        <w:ind w:left="4636" w:hanging="180"/>
      </w:pPr>
    </w:lvl>
    <w:lvl w:ilvl="3" w:tplc="0C09000F" w:tentative="1">
      <w:start w:val="1"/>
      <w:numFmt w:val="decimal"/>
      <w:lvlText w:val="%4."/>
      <w:lvlJc w:val="left"/>
      <w:pPr>
        <w:ind w:left="5356" w:hanging="360"/>
      </w:pPr>
    </w:lvl>
    <w:lvl w:ilvl="4" w:tplc="0C090019" w:tentative="1">
      <w:start w:val="1"/>
      <w:numFmt w:val="lowerLetter"/>
      <w:lvlText w:val="%5."/>
      <w:lvlJc w:val="left"/>
      <w:pPr>
        <w:ind w:left="6076" w:hanging="360"/>
      </w:pPr>
    </w:lvl>
    <w:lvl w:ilvl="5" w:tplc="0C09001B" w:tentative="1">
      <w:start w:val="1"/>
      <w:numFmt w:val="lowerRoman"/>
      <w:lvlText w:val="%6."/>
      <w:lvlJc w:val="right"/>
      <w:pPr>
        <w:ind w:left="6796" w:hanging="180"/>
      </w:pPr>
    </w:lvl>
    <w:lvl w:ilvl="6" w:tplc="0C09000F" w:tentative="1">
      <w:start w:val="1"/>
      <w:numFmt w:val="decimal"/>
      <w:lvlText w:val="%7."/>
      <w:lvlJc w:val="left"/>
      <w:pPr>
        <w:ind w:left="7516" w:hanging="360"/>
      </w:pPr>
    </w:lvl>
    <w:lvl w:ilvl="7" w:tplc="0C090019" w:tentative="1">
      <w:start w:val="1"/>
      <w:numFmt w:val="lowerLetter"/>
      <w:lvlText w:val="%8."/>
      <w:lvlJc w:val="left"/>
      <w:pPr>
        <w:ind w:left="8236" w:hanging="360"/>
      </w:pPr>
    </w:lvl>
    <w:lvl w:ilvl="8" w:tplc="0C09001B" w:tentative="1">
      <w:start w:val="1"/>
      <w:numFmt w:val="lowerRoman"/>
      <w:lvlText w:val="%9."/>
      <w:lvlJc w:val="right"/>
      <w:pPr>
        <w:ind w:left="8956" w:hanging="180"/>
      </w:pPr>
    </w:lvl>
  </w:abstractNum>
  <w:abstractNum w:abstractNumId="5" w15:restartNumberingAfterBreak="0">
    <w:nsid w:val="2D584078"/>
    <w:multiLevelType w:val="hybridMultilevel"/>
    <w:tmpl w:val="DB528DBA"/>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6" w15:restartNumberingAfterBreak="0">
    <w:nsid w:val="31CA5D4F"/>
    <w:multiLevelType w:val="hybridMultilevel"/>
    <w:tmpl w:val="BA7A5482"/>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 w15:restartNumberingAfterBreak="0">
    <w:nsid w:val="393B5784"/>
    <w:multiLevelType w:val="multilevel"/>
    <w:tmpl w:val="6C7663B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iCs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4044DE"/>
    <w:multiLevelType w:val="hybridMultilevel"/>
    <w:tmpl w:val="62A0EE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B7C34E2"/>
    <w:multiLevelType w:val="hybridMultilevel"/>
    <w:tmpl w:val="1B8E60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E25C3E"/>
    <w:multiLevelType w:val="hybridMultilevel"/>
    <w:tmpl w:val="24CAB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E345F6"/>
    <w:multiLevelType w:val="hybridMultilevel"/>
    <w:tmpl w:val="580076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002E24"/>
    <w:multiLevelType w:val="hybridMultilevel"/>
    <w:tmpl w:val="8D7EB3CE"/>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8636E7"/>
    <w:multiLevelType w:val="hybridMultilevel"/>
    <w:tmpl w:val="2F568148"/>
    <w:lvl w:ilvl="0" w:tplc="4B1843C4">
      <w:start w:val="1"/>
      <w:numFmt w:val="lowerLetter"/>
      <w:lvlText w:val="%1)"/>
      <w:lvlJc w:val="left"/>
      <w:pPr>
        <w:ind w:left="1070" w:hanging="360"/>
      </w:pPr>
    </w:lvl>
    <w:lvl w:ilvl="1" w:tplc="0C090019">
      <w:start w:val="1"/>
      <w:numFmt w:val="lowerLetter"/>
      <w:lvlText w:val="%2."/>
      <w:lvlJc w:val="left"/>
      <w:pPr>
        <w:ind w:left="1790" w:hanging="360"/>
      </w:pPr>
    </w:lvl>
    <w:lvl w:ilvl="2" w:tplc="0C09001B">
      <w:start w:val="1"/>
      <w:numFmt w:val="lowerRoman"/>
      <w:lvlText w:val="%3."/>
      <w:lvlJc w:val="right"/>
      <w:pPr>
        <w:ind w:left="2510" w:hanging="180"/>
      </w:pPr>
    </w:lvl>
    <w:lvl w:ilvl="3" w:tplc="0C09000F">
      <w:start w:val="1"/>
      <w:numFmt w:val="decimal"/>
      <w:lvlText w:val="%4."/>
      <w:lvlJc w:val="left"/>
      <w:pPr>
        <w:ind w:left="3230" w:hanging="360"/>
      </w:pPr>
    </w:lvl>
    <w:lvl w:ilvl="4" w:tplc="0C090019">
      <w:start w:val="1"/>
      <w:numFmt w:val="lowerLetter"/>
      <w:lvlText w:val="%5."/>
      <w:lvlJc w:val="left"/>
      <w:pPr>
        <w:ind w:left="3950" w:hanging="360"/>
      </w:pPr>
    </w:lvl>
    <w:lvl w:ilvl="5" w:tplc="0C09001B">
      <w:start w:val="1"/>
      <w:numFmt w:val="lowerRoman"/>
      <w:lvlText w:val="%6."/>
      <w:lvlJc w:val="right"/>
      <w:pPr>
        <w:ind w:left="4670" w:hanging="180"/>
      </w:pPr>
    </w:lvl>
    <w:lvl w:ilvl="6" w:tplc="0C09000F">
      <w:start w:val="1"/>
      <w:numFmt w:val="decimal"/>
      <w:lvlText w:val="%7."/>
      <w:lvlJc w:val="left"/>
      <w:pPr>
        <w:ind w:left="5390" w:hanging="360"/>
      </w:pPr>
    </w:lvl>
    <w:lvl w:ilvl="7" w:tplc="0C090019">
      <w:start w:val="1"/>
      <w:numFmt w:val="lowerLetter"/>
      <w:lvlText w:val="%8."/>
      <w:lvlJc w:val="left"/>
      <w:pPr>
        <w:ind w:left="6110" w:hanging="360"/>
      </w:pPr>
    </w:lvl>
    <w:lvl w:ilvl="8" w:tplc="0C09001B">
      <w:start w:val="1"/>
      <w:numFmt w:val="lowerRoman"/>
      <w:lvlText w:val="%9."/>
      <w:lvlJc w:val="right"/>
      <w:pPr>
        <w:ind w:left="6830" w:hanging="180"/>
      </w:pPr>
    </w:lvl>
  </w:abstractNum>
  <w:abstractNum w:abstractNumId="15" w15:restartNumberingAfterBreak="0">
    <w:nsid w:val="546332AF"/>
    <w:multiLevelType w:val="hybridMultilevel"/>
    <w:tmpl w:val="47285D50"/>
    <w:lvl w:ilvl="0" w:tplc="1A52FD5C">
      <w:start w:val="1"/>
      <w:numFmt w:val="bullet"/>
      <w:pStyle w:val="Tablebullet"/>
      <w:lvlText w:val=""/>
      <w:lvlJc w:val="left"/>
      <w:pPr>
        <w:ind w:left="473" w:hanging="360"/>
      </w:pPr>
      <w:rPr>
        <w:rFonts w:ascii="Symbol" w:hAnsi="Symbol" w:hint="default"/>
      </w:rPr>
    </w:lvl>
    <w:lvl w:ilvl="1" w:tplc="0C090003">
      <w:start w:val="1"/>
      <w:numFmt w:val="bullet"/>
      <w:lvlText w:val="o"/>
      <w:lvlJc w:val="left"/>
      <w:pPr>
        <w:ind w:left="1193" w:hanging="360"/>
      </w:pPr>
      <w:rPr>
        <w:rFonts w:ascii="Courier New" w:hAnsi="Courier New" w:cs="Courier New" w:hint="default"/>
      </w:rPr>
    </w:lvl>
    <w:lvl w:ilvl="2" w:tplc="0C090005">
      <w:start w:val="1"/>
      <w:numFmt w:val="bullet"/>
      <w:lvlText w:val=""/>
      <w:lvlJc w:val="left"/>
      <w:pPr>
        <w:ind w:left="1913" w:hanging="360"/>
      </w:pPr>
      <w:rPr>
        <w:rFonts w:ascii="Wingdings" w:hAnsi="Wingdings" w:hint="default"/>
      </w:rPr>
    </w:lvl>
    <w:lvl w:ilvl="3" w:tplc="0C090001">
      <w:start w:val="1"/>
      <w:numFmt w:val="bullet"/>
      <w:lvlText w:val=""/>
      <w:lvlJc w:val="left"/>
      <w:pPr>
        <w:ind w:left="2633" w:hanging="360"/>
      </w:pPr>
      <w:rPr>
        <w:rFonts w:ascii="Symbol" w:hAnsi="Symbol" w:hint="default"/>
      </w:rPr>
    </w:lvl>
    <w:lvl w:ilvl="4" w:tplc="0C090003">
      <w:start w:val="1"/>
      <w:numFmt w:val="bullet"/>
      <w:lvlText w:val="o"/>
      <w:lvlJc w:val="left"/>
      <w:pPr>
        <w:ind w:left="3353" w:hanging="360"/>
      </w:pPr>
      <w:rPr>
        <w:rFonts w:ascii="Courier New" w:hAnsi="Courier New" w:cs="Courier New" w:hint="default"/>
      </w:rPr>
    </w:lvl>
    <w:lvl w:ilvl="5" w:tplc="0C090005">
      <w:start w:val="1"/>
      <w:numFmt w:val="bullet"/>
      <w:lvlText w:val=""/>
      <w:lvlJc w:val="left"/>
      <w:pPr>
        <w:ind w:left="4073" w:hanging="360"/>
      </w:pPr>
      <w:rPr>
        <w:rFonts w:ascii="Wingdings" w:hAnsi="Wingdings" w:hint="default"/>
      </w:rPr>
    </w:lvl>
    <w:lvl w:ilvl="6" w:tplc="0C090001">
      <w:start w:val="1"/>
      <w:numFmt w:val="bullet"/>
      <w:lvlText w:val=""/>
      <w:lvlJc w:val="left"/>
      <w:pPr>
        <w:ind w:left="4793" w:hanging="360"/>
      </w:pPr>
      <w:rPr>
        <w:rFonts w:ascii="Symbol" w:hAnsi="Symbol" w:hint="default"/>
      </w:rPr>
    </w:lvl>
    <w:lvl w:ilvl="7" w:tplc="0C090003">
      <w:start w:val="1"/>
      <w:numFmt w:val="bullet"/>
      <w:lvlText w:val="o"/>
      <w:lvlJc w:val="left"/>
      <w:pPr>
        <w:ind w:left="5513" w:hanging="360"/>
      </w:pPr>
      <w:rPr>
        <w:rFonts w:ascii="Courier New" w:hAnsi="Courier New" w:cs="Courier New" w:hint="default"/>
      </w:rPr>
    </w:lvl>
    <w:lvl w:ilvl="8" w:tplc="0C090005">
      <w:start w:val="1"/>
      <w:numFmt w:val="bullet"/>
      <w:lvlText w:val=""/>
      <w:lvlJc w:val="left"/>
      <w:pPr>
        <w:ind w:left="6233" w:hanging="360"/>
      </w:pPr>
      <w:rPr>
        <w:rFonts w:ascii="Wingdings" w:hAnsi="Wingdings" w:hint="default"/>
      </w:rPr>
    </w:lvl>
  </w:abstractNum>
  <w:abstractNum w:abstractNumId="16" w15:restartNumberingAfterBreak="0">
    <w:nsid w:val="6CFA1051"/>
    <w:multiLevelType w:val="hybridMultilevel"/>
    <w:tmpl w:val="59267C7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784D033C"/>
    <w:multiLevelType w:val="multilevel"/>
    <w:tmpl w:val="232475C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iCs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C24B76"/>
    <w:multiLevelType w:val="hybridMultilevel"/>
    <w:tmpl w:val="804A3A24"/>
    <w:lvl w:ilvl="0" w:tplc="C324F4FC">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E5D81A76">
      <w:start w:val="3"/>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9"/>
  </w:num>
  <w:num w:numId="2">
    <w:abstractNumId w:val="17"/>
  </w:num>
  <w:num w:numId="3">
    <w:abstractNumId w:val="12"/>
  </w:num>
  <w:num w:numId="4">
    <w:abstractNumId w:val="11"/>
  </w:num>
  <w:num w:numId="5">
    <w:abstractNumId w:val="15"/>
  </w:num>
  <w:num w:numId="6">
    <w:abstractNumId w:val="18"/>
  </w:num>
  <w:num w:numId="7">
    <w:abstractNumId w:val="2"/>
  </w:num>
  <w:num w:numId="8">
    <w:abstractNumId w:val="16"/>
  </w:num>
  <w:num w:numId="9">
    <w:abstractNumId w:val="8"/>
  </w:num>
  <w:num w:numId="10">
    <w:abstractNumId w:val="7"/>
  </w:num>
  <w:num w:numId="11">
    <w:abstractNumId w:val="3"/>
  </w:num>
  <w:num w:numId="12">
    <w:abstractNumId w:val="13"/>
  </w:num>
  <w:num w:numId="13">
    <w:abstractNumId w:val="0"/>
  </w:num>
  <w:num w:numId="14">
    <w:abstractNumId w:val="10"/>
  </w:num>
  <w:num w:numId="15">
    <w:abstractNumId w:val="4"/>
  </w:num>
  <w:num w:numId="16">
    <w:abstractNumId w:val="1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6"/>
  </w:num>
  <w:num w:numId="20">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removePersonalInformation/>
  <w:removeDateAndTime/>
  <w:doNotTrackFormatting/>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DDA"/>
    <w:rsid w:val="0000110B"/>
    <w:rsid w:val="0000120E"/>
    <w:rsid w:val="0000250F"/>
    <w:rsid w:val="00003499"/>
    <w:rsid w:val="000039B7"/>
    <w:rsid w:val="00004D1F"/>
    <w:rsid w:val="00006DA2"/>
    <w:rsid w:val="00010D4E"/>
    <w:rsid w:val="00010F6D"/>
    <w:rsid w:val="00013247"/>
    <w:rsid w:val="00014C05"/>
    <w:rsid w:val="00015886"/>
    <w:rsid w:val="000162EF"/>
    <w:rsid w:val="00017D49"/>
    <w:rsid w:val="00020203"/>
    <w:rsid w:val="000208B7"/>
    <w:rsid w:val="00020E85"/>
    <w:rsid w:val="000212DD"/>
    <w:rsid w:val="000218E9"/>
    <w:rsid w:val="0002225F"/>
    <w:rsid w:val="00023763"/>
    <w:rsid w:val="00025C5D"/>
    <w:rsid w:val="000269A6"/>
    <w:rsid w:val="00027AA4"/>
    <w:rsid w:val="00030523"/>
    <w:rsid w:val="00030CD6"/>
    <w:rsid w:val="00031E36"/>
    <w:rsid w:val="000326E5"/>
    <w:rsid w:val="00032F79"/>
    <w:rsid w:val="00033863"/>
    <w:rsid w:val="00033875"/>
    <w:rsid w:val="000343C7"/>
    <w:rsid w:val="00034D41"/>
    <w:rsid w:val="00035583"/>
    <w:rsid w:val="00035DC0"/>
    <w:rsid w:val="000364A6"/>
    <w:rsid w:val="00036829"/>
    <w:rsid w:val="00036871"/>
    <w:rsid w:val="000372CA"/>
    <w:rsid w:val="0004047D"/>
    <w:rsid w:val="00040895"/>
    <w:rsid w:val="0004282D"/>
    <w:rsid w:val="00042C72"/>
    <w:rsid w:val="00043C37"/>
    <w:rsid w:val="00045017"/>
    <w:rsid w:val="00045A2B"/>
    <w:rsid w:val="00046534"/>
    <w:rsid w:val="0004698F"/>
    <w:rsid w:val="00047173"/>
    <w:rsid w:val="000501EC"/>
    <w:rsid w:val="00052009"/>
    <w:rsid w:val="00052D82"/>
    <w:rsid w:val="000539D0"/>
    <w:rsid w:val="00054621"/>
    <w:rsid w:val="000546D7"/>
    <w:rsid w:val="00054794"/>
    <w:rsid w:val="00054C49"/>
    <w:rsid w:val="00055E61"/>
    <w:rsid w:val="000603E8"/>
    <w:rsid w:val="00060E30"/>
    <w:rsid w:val="00060EDE"/>
    <w:rsid w:val="00062030"/>
    <w:rsid w:val="0006303F"/>
    <w:rsid w:val="000636E3"/>
    <w:rsid w:val="00063B0E"/>
    <w:rsid w:val="0006452C"/>
    <w:rsid w:val="00066360"/>
    <w:rsid w:val="000708C0"/>
    <w:rsid w:val="00071248"/>
    <w:rsid w:val="0007168D"/>
    <w:rsid w:val="000720B9"/>
    <w:rsid w:val="00072524"/>
    <w:rsid w:val="00072957"/>
    <w:rsid w:val="00072D22"/>
    <w:rsid w:val="000737F7"/>
    <w:rsid w:val="0007672F"/>
    <w:rsid w:val="000774F0"/>
    <w:rsid w:val="00077502"/>
    <w:rsid w:val="00077E85"/>
    <w:rsid w:val="00080909"/>
    <w:rsid w:val="000812CA"/>
    <w:rsid w:val="00082140"/>
    <w:rsid w:val="0008258D"/>
    <w:rsid w:val="000839E0"/>
    <w:rsid w:val="00083E99"/>
    <w:rsid w:val="00084B27"/>
    <w:rsid w:val="000856C5"/>
    <w:rsid w:val="00087D96"/>
    <w:rsid w:val="00087F79"/>
    <w:rsid w:val="000900C7"/>
    <w:rsid w:val="00090C7E"/>
    <w:rsid w:val="00091B4B"/>
    <w:rsid w:val="00092008"/>
    <w:rsid w:val="00092600"/>
    <w:rsid w:val="0009262B"/>
    <w:rsid w:val="00093310"/>
    <w:rsid w:val="00093BF0"/>
    <w:rsid w:val="0009437B"/>
    <w:rsid w:val="0009445C"/>
    <w:rsid w:val="00095FE5"/>
    <w:rsid w:val="00096284"/>
    <w:rsid w:val="00096AF7"/>
    <w:rsid w:val="0009762B"/>
    <w:rsid w:val="000A2883"/>
    <w:rsid w:val="000A357C"/>
    <w:rsid w:val="000A42C0"/>
    <w:rsid w:val="000A4D14"/>
    <w:rsid w:val="000A69A8"/>
    <w:rsid w:val="000A6F50"/>
    <w:rsid w:val="000A7134"/>
    <w:rsid w:val="000A7630"/>
    <w:rsid w:val="000A7D08"/>
    <w:rsid w:val="000B0523"/>
    <w:rsid w:val="000B0670"/>
    <w:rsid w:val="000B0E75"/>
    <w:rsid w:val="000B2F53"/>
    <w:rsid w:val="000B306B"/>
    <w:rsid w:val="000B38CA"/>
    <w:rsid w:val="000B4448"/>
    <w:rsid w:val="000B5097"/>
    <w:rsid w:val="000B5C29"/>
    <w:rsid w:val="000B5D68"/>
    <w:rsid w:val="000B5E83"/>
    <w:rsid w:val="000B6CAC"/>
    <w:rsid w:val="000B6D42"/>
    <w:rsid w:val="000B7612"/>
    <w:rsid w:val="000C1745"/>
    <w:rsid w:val="000C19A4"/>
    <w:rsid w:val="000C20AF"/>
    <w:rsid w:val="000C290B"/>
    <w:rsid w:val="000C3DF9"/>
    <w:rsid w:val="000C6713"/>
    <w:rsid w:val="000C7654"/>
    <w:rsid w:val="000C7C1D"/>
    <w:rsid w:val="000D13F3"/>
    <w:rsid w:val="000D1BFC"/>
    <w:rsid w:val="000D1F82"/>
    <w:rsid w:val="000D20D5"/>
    <w:rsid w:val="000D259E"/>
    <w:rsid w:val="000D281A"/>
    <w:rsid w:val="000D326A"/>
    <w:rsid w:val="000D4F72"/>
    <w:rsid w:val="000D51FB"/>
    <w:rsid w:val="000D6692"/>
    <w:rsid w:val="000D75D4"/>
    <w:rsid w:val="000E036B"/>
    <w:rsid w:val="000E135D"/>
    <w:rsid w:val="000E24E7"/>
    <w:rsid w:val="000E3833"/>
    <w:rsid w:val="000E4477"/>
    <w:rsid w:val="000E521D"/>
    <w:rsid w:val="000E6116"/>
    <w:rsid w:val="000E6296"/>
    <w:rsid w:val="000E706D"/>
    <w:rsid w:val="000E7399"/>
    <w:rsid w:val="000E7EB7"/>
    <w:rsid w:val="000F0070"/>
    <w:rsid w:val="000F00BA"/>
    <w:rsid w:val="000F0228"/>
    <w:rsid w:val="000F0F50"/>
    <w:rsid w:val="000F1AA9"/>
    <w:rsid w:val="000F26F0"/>
    <w:rsid w:val="000F316A"/>
    <w:rsid w:val="000F35CB"/>
    <w:rsid w:val="000F3C74"/>
    <w:rsid w:val="000F4BB8"/>
    <w:rsid w:val="000F5249"/>
    <w:rsid w:val="000F5B17"/>
    <w:rsid w:val="000F6A62"/>
    <w:rsid w:val="000F7127"/>
    <w:rsid w:val="001002EE"/>
    <w:rsid w:val="00100F8A"/>
    <w:rsid w:val="001012F7"/>
    <w:rsid w:val="00104652"/>
    <w:rsid w:val="001048FA"/>
    <w:rsid w:val="00105050"/>
    <w:rsid w:val="00105AE2"/>
    <w:rsid w:val="00106505"/>
    <w:rsid w:val="00106A72"/>
    <w:rsid w:val="00106B80"/>
    <w:rsid w:val="0010754E"/>
    <w:rsid w:val="0011032E"/>
    <w:rsid w:val="0011348B"/>
    <w:rsid w:val="00113A7D"/>
    <w:rsid w:val="00113DDA"/>
    <w:rsid w:val="00113EA1"/>
    <w:rsid w:val="00114B89"/>
    <w:rsid w:val="00115017"/>
    <w:rsid w:val="00115157"/>
    <w:rsid w:val="00115982"/>
    <w:rsid w:val="00116C53"/>
    <w:rsid w:val="00120D51"/>
    <w:rsid w:val="00121799"/>
    <w:rsid w:val="001222FC"/>
    <w:rsid w:val="001225B8"/>
    <w:rsid w:val="001227C5"/>
    <w:rsid w:val="00123359"/>
    <w:rsid w:val="001233A5"/>
    <w:rsid w:val="00124A51"/>
    <w:rsid w:val="00126621"/>
    <w:rsid w:val="00126D0D"/>
    <w:rsid w:val="00126EE8"/>
    <w:rsid w:val="00127176"/>
    <w:rsid w:val="00127B26"/>
    <w:rsid w:val="001301E9"/>
    <w:rsid w:val="0013054C"/>
    <w:rsid w:val="00131D82"/>
    <w:rsid w:val="00131EC2"/>
    <w:rsid w:val="00132259"/>
    <w:rsid w:val="00133D36"/>
    <w:rsid w:val="0013641D"/>
    <w:rsid w:val="00137645"/>
    <w:rsid w:val="0014015A"/>
    <w:rsid w:val="00140DD2"/>
    <w:rsid w:val="00140E99"/>
    <w:rsid w:val="001416C8"/>
    <w:rsid w:val="00141B3F"/>
    <w:rsid w:val="00141E75"/>
    <w:rsid w:val="00142193"/>
    <w:rsid w:val="00143A08"/>
    <w:rsid w:val="00143B07"/>
    <w:rsid w:val="0014541D"/>
    <w:rsid w:val="00145540"/>
    <w:rsid w:val="001456B0"/>
    <w:rsid w:val="0015043C"/>
    <w:rsid w:val="001529C8"/>
    <w:rsid w:val="00152C45"/>
    <w:rsid w:val="00153E2E"/>
    <w:rsid w:val="001552AF"/>
    <w:rsid w:val="00155B81"/>
    <w:rsid w:val="00155F75"/>
    <w:rsid w:val="001568AD"/>
    <w:rsid w:val="00157130"/>
    <w:rsid w:val="001576B1"/>
    <w:rsid w:val="00157B68"/>
    <w:rsid w:val="00157BBF"/>
    <w:rsid w:val="0016024F"/>
    <w:rsid w:val="0016077E"/>
    <w:rsid w:val="00160A4C"/>
    <w:rsid w:val="00161C64"/>
    <w:rsid w:val="00162913"/>
    <w:rsid w:val="00163EFF"/>
    <w:rsid w:val="00164232"/>
    <w:rsid w:val="00164BF7"/>
    <w:rsid w:val="00164E95"/>
    <w:rsid w:val="001650C8"/>
    <w:rsid w:val="00165210"/>
    <w:rsid w:val="0016568B"/>
    <w:rsid w:val="001661FB"/>
    <w:rsid w:val="001703C3"/>
    <w:rsid w:val="001729D2"/>
    <w:rsid w:val="00173565"/>
    <w:rsid w:val="00173682"/>
    <w:rsid w:val="001737E9"/>
    <w:rsid w:val="00173B07"/>
    <w:rsid w:val="001747A7"/>
    <w:rsid w:val="001753E4"/>
    <w:rsid w:val="001766FC"/>
    <w:rsid w:val="00177133"/>
    <w:rsid w:val="00180CD3"/>
    <w:rsid w:val="00181D9C"/>
    <w:rsid w:val="001829DA"/>
    <w:rsid w:val="00182CDB"/>
    <w:rsid w:val="00182D75"/>
    <w:rsid w:val="0018323D"/>
    <w:rsid w:val="00183573"/>
    <w:rsid w:val="0018752F"/>
    <w:rsid w:val="00187C07"/>
    <w:rsid w:val="0019063F"/>
    <w:rsid w:val="00193476"/>
    <w:rsid w:val="00195222"/>
    <w:rsid w:val="00195F3A"/>
    <w:rsid w:val="0019740F"/>
    <w:rsid w:val="001975D8"/>
    <w:rsid w:val="00197646"/>
    <w:rsid w:val="001A000C"/>
    <w:rsid w:val="001A05F4"/>
    <w:rsid w:val="001A074D"/>
    <w:rsid w:val="001A219D"/>
    <w:rsid w:val="001A3666"/>
    <w:rsid w:val="001A43FA"/>
    <w:rsid w:val="001A498C"/>
    <w:rsid w:val="001A4CE3"/>
    <w:rsid w:val="001A5196"/>
    <w:rsid w:val="001A57D1"/>
    <w:rsid w:val="001A59FB"/>
    <w:rsid w:val="001A5E08"/>
    <w:rsid w:val="001A6354"/>
    <w:rsid w:val="001A6F19"/>
    <w:rsid w:val="001A7AE8"/>
    <w:rsid w:val="001B0A7F"/>
    <w:rsid w:val="001B105A"/>
    <w:rsid w:val="001B204E"/>
    <w:rsid w:val="001B31F6"/>
    <w:rsid w:val="001B3443"/>
    <w:rsid w:val="001B42A8"/>
    <w:rsid w:val="001B43FC"/>
    <w:rsid w:val="001B4D20"/>
    <w:rsid w:val="001B65FF"/>
    <w:rsid w:val="001B6D48"/>
    <w:rsid w:val="001B7DBC"/>
    <w:rsid w:val="001B7E1D"/>
    <w:rsid w:val="001C1385"/>
    <w:rsid w:val="001C1FE0"/>
    <w:rsid w:val="001C257C"/>
    <w:rsid w:val="001C2A9B"/>
    <w:rsid w:val="001C4299"/>
    <w:rsid w:val="001C533A"/>
    <w:rsid w:val="001C5992"/>
    <w:rsid w:val="001C5E3B"/>
    <w:rsid w:val="001C5F94"/>
    <w:rsid w:val="001C60C6"/>
    <w:rsid w:val="001C65B0"/>
    <w:rsid w:val="001C6A24"/>
    <w:rsid w:val="001C6E66"/>
    <w:rsid w:val="001C7025"/>
    <w:rsid w:val="001D0B07"/>
    <w:rsid w:val="001D10B7"/>
    <w:rsid w:val="001D24FC"/>
    <w:rsid w:val="001D29F6"/>
    <w:rsid w:val="001D34EE"/>
    <w:rsid w:val="001D48C7"/>
    <w:rsid w:val="001D5691"/>
    <w:rsid w:val="001E238E"/>
    <w:rsid w:val="001E2483"/>
    <w:rsid w:val="001E2B1E"/>
    <w:rsid w:val="001E30D4"/>
    <w:rsid w:val="001E3C92"/>
    <w:rsid w:val="001E47AF"/>
    <w:rsid w:val="001E52EB"/>
    <w:rsid w:val="001E5B6A"/>
    <w:rsid w:val="001E5E28"/>
    <w:rsid w:val="001E61D2"/>
    <w:rsid w:val="001E7366"/>
    <w:rsid w:val="001E740C"/>
    <w:rsid w:val="001E79E9"/>
    <w:rsid w:val="001F0C41"/>
    <w:rsid w:val="001F1235"/>
    <w:rsid w:val="001F1CB3"/>
    <w:rsid w:val="001F38B5"/>
    <w:rsid w:val="001F3DDC"/>
    <w:rsid w:val="001F4DB8"/>
    <w:rsid w:val="001F5714"/>
    <w:rsid w:val="001F64E7"/>
    <w:rsid w:val="001F7361"/>
    <w:rsid w:val="001F76ED"/>
    <w:rsid w:val="00200B93"/>
    <w:rsid w:val="002011B0"/>
    <w:rsid w:val="002028BD"/>
    <w:rsid w:val="00202C82"/>
    <w:rsid w:val="00203181"/>
    <w:rsid w:val="00203783"/>
    <w:rsid w:val="0020385F"/>
    <w:rsid w:val="00203DBF"/>
    <w:rsid w:val="00204036"/>
    <w:rsid w:val="00204552"/>
    <w:rsid w:val="00205D81"/>
    <w:rsid w:val="00207021"/>
    <w:rsid w:val="0020732F"/>
    <w:rsid w:val="0020756D"/>
    <w:rsid w:val="00207D00"/>
    <w:rsid w:val="00210494"/>
    <w:rsid w:val="002105C1"/>
    <w:rsid w:val="002107CB"/>
    <w:rsid w:val="00212D1C"/>
    <w:rsid w:val="002135C8"/>
    <w:rsid w:val="00214BAA"/>
    <w:rsid w:val="00215BDB"/>
    <w:rsid w:val="00215C07"/>
    <w:rsid w:val="00216963"/>
    <w:rsid w:val="00216D6B"/>
    <w:rsid w:val="00221A34"/>
    <w:rsid w:val="002236D7"/>
    <w:rsid w:val="00223B49"/>
    <w:rsid w:val="0022402D"/>
    <w:rsid w:val="0022463A"/>
    <w:rsid w:val="00224DD4"/>
    <w:rsid w:val="00226C0A"/>
    <w:rsid w:val="002309CC"/>
    <w:rsid w:val="00230E75"/>
    <w:rsid w:val="002313EA"/>
    <w:rsid w:val="00232064"/>
    <w:rsid w:val="0023209F"/>
    <w:rsid w:val="00233FB6"/>
    <w:rsid w:val="00234D0D"/>
    <w:rsid w:val="0023548D"/>
    <w:rsid w:val="00235B6F"/>
    <w:rsid w:val="00235DDC"/>
    <w:rsid w:val="0023629D"/>
    <w:rsid w:val="0023676C"/>
    <w:rsid w:val="00237255"/>
    <w:rsid w:val="00237B87"/>
    <w:rsid w:val="00240144"/>
    <w:rsid w:val="002404F2"/>
    <w:rsid w:val="00240C77"/>
    <w:rsid w:val="002418A0"/>
    <w:rsid w:val="002424AF"/>
    <w:rsid w:val="0024323C"/>
    <w:rsid w:val="002439DC"/>
    <w:rsid w:val="002443FB"/>
    <w:rsid w:val="00244DC8"/>
    <w:rsid w:val="002458BA"/>
    <w:rsid w:val="00245E80"/>
    <w:rsid w:val="00246092"/>
    <w:rsid w:val="0024636C"/>
    <w:rsid w:val="00246986"/>
    <w:rsid w:val="0024724E"/>
    <w:rsid w:val="00247925"/>
    <w:rsid w:val="002500AF"/>
    <w:rsid w:val="00250167"/>
    <w:rsid w:val="00250698"/>
    <w:rsid w:val="002520D9"/>
    <w:rsid w:val="00252D10"/>
    <w:rsid w:val="00253FB8"/>
    <w:rsid w:val="002546B3"/>
    <w:rsid w:val="00254DCF"/>
    <w:rsid w:val="0025534B"/>
    <w:rsid w:val="00255BB7"/>
    <w:rsid w:val="00255FCA"/>
    <w:rsid w:val="00256131"/>
    <w:rsid w:val="00256249"/>
    <w:rsid w:val="00256596"/>
    <w:rsid w:val="00257089"/>
    <w:rsid w:val="00257541"/>
    <w:rsid w:val="00261E07"/>
    <w:rsid w:val="00262253"/>
    <w:rsid w:val="0026229C"/>
    <w:rsid w:val="00262A1A"/>
    <w:rsid w:val="00262A87"/>
    <w:rsid w:val="00264D26"/>
    <w:rsid w:val="00264DFE"/>
    <w:rsid w:val="00266286"/>
    <w:rsid w:val="00267642"/>
    <w:rsid w:val="00267AEA"/>
    <w:rsid w:val="00267DE8"/>
    <w:rsid w:val="002700E6"/>
    <w:rsid w:val="00270170"/>
    <w:rsid w:val="00271CC1"/>
    <w:rsid w:val="00271E2C"/>
    <w:rsid w:val="0027294B"/>
    <w:rsid w:val="00272F45"/>
    <w:rsid w:val="00273145"/>
    <w:rsid w:val="00275C5A"/>
    <w:rsid w:val="0027780F"/>
    <w:rsid w:val="00281014"/>
    <w:rsid w:val="00281603"/>
    <w:rsid w:val="00281867"/>
    <w:rsid w:val="00284004"/>
    <w:rsid w:val="00284FBA"/>
    <w:rsid w:val="00285A5B"/>
    <w:rsid w:val="00286A89"/>
    <w:rsid w:val="00287D02"/>
    <w:rsid w:val="002913D8"/>
    <w:rsid w:val="002929C7"/>
    <w:rsid w:val="00293324"/>
    <w:rsid w:val="002953D1"/>
    <w:rsid w:val="002A14AB"/>
    <w:rsid w:val="002A245D"/>
    <w:rsid w:val="002A2B5A"/>
    <w:rsid w:val="002A2F50"/>
    <w:rsid w:val="002A525D"/>
    <w:rsid w:val="002A6449"/>
    <w:rsid w:val="002A64CA"/>
    <w:rsid w:val="002A6A5F"/>
    <w:rsid w:val="002B09A4"/>
    <w:rsid w:val="002B1C1F"/>
    <w:rsid w:val="002B22FB"/>
    <w:rsid w:val="002B275D"/>
    <w:rsid w:val="002B3883"/>
    <w:rsid w:val="002B3C64"/>
    <w:rsid w:val="002B432F"/>
    <w:rsid w:val="002B451A"/>
    <w:rsid w:val="002B4D87"/>
    <w:rsid w:val="002B588E"/>
    <w:rsid w:val="002B5E92"/>
    <w:rsid w:val="002B62B3"/>
    <w:rsid w:val="002B64C1"/>
    <w:rsid w:val="002B64F7"/>
    <w:rsid w:val="002B6589"/>
    <w:rsid w:val="002B6754"/>
    <w:rsid w:val="002B6CCE"/>
    <w:rsid w:val="002C05AE"/>
    <w:rsid w:val="002C0866"/>
    <w:rsid w:val="002C100B"/>
    <w:rsid w:val="002C1B19"/>
    <w:rsid w:val="002C2510"/>
    <w:rsid w:val="002C2775"/>
    <w:rsid w:val="002C27C1"/>
    <w:rsid w:val="002C34D8"/>
    <w:rsid w:val="002C4B50"/>
    <w:rsid w:val="002C4CFD"/>
    <w:rsid w:val="002C5099"/>
    <w:rsid w:val="002C538F"/>
    <w:rsid w:val="002C5889"/>
    <w:rsid w:val="002C6405"/>
    <w:rsid w:val="002C71CE"/>
    <w:rsid w:val="002C7A53"/>
    <w:rsid w:val="002D23E9"/>
    <w:rsid w:val="002D5283"/>
    <w:rsid w:val="002D577C"/>
    <w:rsid w:val="002D6B5C"/>
    <w:rsid w:val="002D7D7F"/>
    <w:rsid w:val="002E0BB2"/>
    <w:rsid w:val="002E1068"/>
    <w:rsid w:val="002E15B9"/>
    <w:rsid w:val="002E1B02"/>
    <w:rsid w:val="002E2158"/>
    <w:rsid w:val="002E3B49"/>
    <w:rsid w:val="002E3D46"/>
    <w:rsid w:val="002E54EE"/>
    <w:rsid w:val="002E5583"/>
    <w:rsid w:val="002E5DA7"/>
    <w:rsid w:val="002E5F4A"/>
    <w:rsid w:val="002E69DB"/>
    <w:rsid w:val="002E6D64"/>
    <w:rsid w:val="002E6DD5"/>
    <w:rsid w:val="002E7722"/>
    <w:rsid w:val="002F02B9"/>
    <w:rsid w:val="002F07BA"/>
    <w:rsid w:val="002F0DA9"/>
    <w:rsid w:val="002F215D"/>
    <w:rsid w:val="002F58BC"/>
    <w:rsid w:val="002F5BAC"/>
    <w:rsid w:val="002F643C"/>
    <w:rsid w:val="002F70A9"/>
    <w:rsid w:val="002F71C0"/>
    <w:rsid w:val="00301017"/>
    <w:rsid w:val="0030155F"/>
    <w:rsid w:val="00302317"/>
    <w:rsid w:val="00302441"/>
    <w:rsid w:val="0030285F"/>
    <w:rsid w:val="00302F19"/>
    <w:rsid w:val="00303202"/>
    <w:rsid w:val="003046A4"/>
    <w:rsid w:val="0030587B"/>
    <w:rsid w:val="00306D98"/>
    <w:rsid w:val="00306E10"/>
    <w:rsid w:val="0030786C"/>
    <w:rsid w:val="00310015"/>
    <w:rsid w:val="00310092"/>
    <w:rsid w:val="0031031A"/>
    <w:rsid w:val="00310981"/>
    <w:rsid w:val="003112AE"/>
    <w:rsid w:val="00311A02"/>
    <w:rsid w:val="00313196"/>
    <w:rsid w:val="003138D0"/>
    <w:rsid w:val="00315210"/>
    <w:rsid w:val="00315460"/>
    <w:rsid w:val="00315498"/>
    <w:rsid w:val="003203EB"/>
    <w:rsid w:val="00320B0D"/>
    <w:rsid w:val="00321039"/>
    <w:rsid w:val="00321075"/>
    <w:rsid w:val="00322107"/>
    <w:rsid w:val="003221CD"/>
    <w:rsid w:val="00322846"/>
    <w:rsid w:val="00324037"/>
    <w:rsid w:val="00324444"/>
    <w:rsid w:val="00326DA7"/>
    <w:rsid w:val="003270E4"/>
    <w:rsid w:val="00330E2D"/>
    <w:rsid w:val="00330F5C"/>
    <w:rsid w:val="003329F4"/>
    <w:rsid w:val="003331E5"/>
    <w:rsid w:val="003354A3"/>
    <w:rsid w:val="00335738"/>
    <w:rsid w:val="003366C9"/>
    <w:rsid w:val="00336D3D"/>
    <w:rsid w:val="003371B0"/>
    <w:rsid w:val="00337A95"/>
    <w:rsid w:val="00337D71"/>
    <w:rsid w:val="00337D72"/>
    <w:rsid w:val="00340DF1"/>
    <w:rsid w:val="0034170F"/>
    <w:rsid w:val="0034190C"/>
    <w:rsid w:val="00344B38"/>
    <w:rsid w:val="00344D62"/>
    <w:rsid w:val="003452C2"/>
    <w:rsid w:val="00345CA1"/>
    <w:rsid w:val="0034739E"/>
    <w:rsid w:val="00350089"/>
    <w:rsid w:val="00350231"/>
    <w:rsid w:val="00350A82"/>
    <w:rsid w:val="003517F9"/>
    <w:rsid w:val="00351A72"/>
    <w:rsid w:val="00351FF9"/>
    <w:rsid w:val="0035400C"/>
    <w:rsid w:val="0035437E"/>
    <w:rsid w:val="00355C9A"/>
    <w:rsid w:val="00356087"/>
    <w:rsid w:val="0035620E"/>
    <w:rsid w:val="00356473"/>
    <w:rsid w:val="0035742A"/>
    <w:rsid w:val="00357604"/>
    <w:rsid w:val="003603D1"/>
    <w:rsid w:val="003624C4"/>
    <w:rsid w:val="00362E38"/>
    <w:rsid w:val="003635F9"/>
    <w:rsid w:val="00364C43"/>
    <w:rsid w:val="003654AC"/>
    <w:rsid w:val="003655BA"/>
    <w:rsid w:val="00365CBD"/>
    <w:rsid w:val="00367BD8"/>
    <w:rsid w:val="003710CF"/>
    <w:rsid w:val="0037176C"/>
    <w:rsid w:val="0037213A"/>
    <w:rsid w:val="003728AE"/>
    <w:rsid w:val="00372CC3"/>
    <w:rsid w:val="0037358A"/>
    <w:rsid w:val="00373C1A"/>
    <w:rsid w:val="003750F6"/>
    <w:rsid w:val="003760FC"/>
    <w:rsid w:val="00376678"/>
    <w:rsid w:val="00380820"/>
    <w:rsid w:val="003823CD"/>
    <w:rsid w:val="00382E40"/>
    <w:rsid w:val="00383054"/>
    <w:rsid w:val="00383220"/>
    <w:rsid w:val="0038365C"/>
    <w:rsid w:val="0038369B"/>
    <w:rsid w:val="00383B78"/>
    <w:rsid w:val="0038437A"/>
    <w:rsid w:val="00385A9D"/>
    <w:rsid w:val="00385E88"/>
    <w:rsid w:val="00387480"/>
    <w:rsid w:val="003902B1"/>
    <w:rsid w:val="00390A85"/>
    <w:rsid w:val="00392E54"/>
    <w:rsid w:val="00393D37"/>
    <w:rsid w:val="0039406D"/>
    <w:rsid w:val="00395398"/>
    <w:rsid w:val="0039587D"/>
    <w:rsid w:val="00396896"/>
    <w:rsid w:val="00396FD0"/>
    <w:rsid w:val="00397138"/>
    <w:rsid w:val="003A04D1"/>
    <w:rsid w:val="003A0BDB"/>
    <w:rsid w:val="003A13DA"/>
    <w:rsid w:val="003A1A7A"/>
    <w:rsid w:val="003A2392"/>
    <w:rsid w:val="003A2831"/>
    <w:rsid w:val="003A3812"/>
    <w:rsid w:val="003A3867"/>
    <w:rsid w:val="003A3ED1"/>
    <w:rsid w:val="003A6CA0"/>
    <w:rsid w:val="003B0DD3"/>
    <w:rsid w:val="003B13F2"/>
    <w:rsid w:val="003B3E7F"/>
    <w:rsid w:val="003B5B61"/>
    <w:rsid w:val="003B5C6C"/>
    <w:rsid w:val="003C0BC0"/>
    <w:rsid w:val="003C1654"/>
    <w:rsid w:val="003C18A7"/>
    <w:rsid w:val="003C1C9F"/>
    <w:rsid w:val="003C1D8C"/>
    <w:rsid w:val="003C2DA5"/>
    <w:rsid w:val="003C7D19"/>
    <w:rsid w:val="003D041E"/>
    <w:rsid w:val="003D0C3B"/>
    <w:rsid w:val="003D102F"/>
    <w:rsid w:val="003D1828"/>
    <w:rsid w:val="003D1DE4"/>
    <w:rsid w:val="003D1EC2"/>
    <w:rsid w:val="003D2422"/>
    <w:rsid w:val="003D39A1"/>
    <w:rsid w:val="003D3B68"/>
    <w:rsid w:val="003D3F8C"/>
    <w:rsid w:val="003D3FBF"/>
    <w:rsid w:val="003D420A"/>
    <w:rsid w:val="003D4A30"/>
    <w:rsid w:val="003D559F"/>
    <w:rsid w:val="003D79BB"/>
    <w:rsid w:val="003D7C98"/>
    <w:rsid w:val="003D7D56"/>
    <w:rsid w:val="003E0543"/>
    <w:rsid w:val="003E226D"/>
    <w:rsid w:val="003E31D2"/>
    <w:rsid w:val="003E3C5E"/>
    <w:rsid w:val="003E4BB0"/>
    <w:rsid w:val="003E4E61"/>
    <w:rsid w:val="003E62B1"/>
    <w:rsid w:val="003F0444"/>
    <w:rsid w:val="003F0953"/>
    <w:rsid w:val="003F138E"/>
    <w:rsid w:val="003F175D"/>
    <w:rsid w:val="003F18D3"/>
    <w:rsid w:val="003F1C00"/>
    <w:rsid w:val="003F23E8"/>
    <w:rsid w:val="003F4156"/>
    <w:rsid w:val="003F4FD1"/>
    <w:rsid w:val="003F6090"/>
    <w:rsid w:val="00400658"/>
    <w:rsid w:val="0040080F"/>
    <w:rsid w:val="004008EA"/>
    <w:rsid w:val="00400B29"/>
    <w:rsid w:val="004012F0"/>
    <w:rsid w:val="004018C0"/>
    <w:rsid w:val="004020AA"/>
    <w:rsid w:val="00402B47"/>
    <w:rsid w:val="00402FE9"/>
    <w:rsid w:val="00403BFF"/>
    <w:rsid w:val="0040504B"/>
    <w:rsid w:val="004100B9"/>
    <w:rsid w:val="00410708"/>
    <w:rsid w:val="00410EC7"/>
    <w:rsid w:val="00411B39"/>
    <w:rsid w:val="00411D0F"/>
    <w:rsid w:val="004120C3"/>
    <w:rsid w:val="00413385"/>
    <w:rsid w:val="00413A1E"/>
    <w:rsid w:val="00414476"/>
    <w:rsid w:val="00414C2E"/>
    <w:rsid w:val="004151CF"/>
    <w:rsid w:val="0041558A"/>
    <w:rsid w:val="00416364"/>
    <w:rsid w:val="004165CE"/>
    <w:rsid w:val="00416859"/>
    <w:rsid w:val="00420AA6"/>
    <w:rsid w:val="00420B9F"/>
    <w:rsid w:val="00420F78"/>
    <w:rsid w:val="004215B6"/>
    <w:rsid w:val="00422260"/>
    <w:rsid w:val="004240C7"/>
    <w:rsid w:val="0042413F"/>
    <w:rsid w:val="00424684"/>
    <w:rsid w:val="00424878"/>
    <w:rsid w:val="004258E0"/>
    <w:rsid w:val="0042645F"/>
    <w:rsid w:val="004265F3"/>
    <w:rsid w:val="00430C4E"/>
    <w:rsid w:val="004319F8"/>
    <w:rsid w:val="00431E55"/>
    <w:rsid w:val="004321B6"/>
    <w:rsid w:val="004321F6"/>
    <w:rsid w:val="004329F5"/>
    <w:rsid w:val="00433044"/>
    <w:rsid w:val="00434407"/>
    <w:rsid w:val="00434DBF"/>
    <w:rsid w:val="00437244"/>
    <w:rsid w:val="004375B9"/>
    <w:rsid w:val="004428D0"/>
    <w:rsid w:val="0044343D"/>
    <w:rsid w:val="004438ED"/>
    <w:rsid w:val="004443A7"/>
    <w:rsid w:val="0044442C"/>
    <w:rsid w:val="004445E7"/>
    <w:rsid w:val="0044481F"/>
    <w:rsid w:val="0044512A"/>
    <w:rsid w:val="00445790"/>
    <w:rsid w:val="00445941"/>
    <w:rsid w:val="00445D3E"/>
    <w:rsid w:val="004464EB"/>
    <w:rsid w:val="0044678E"/>
    <w:rsid w:val="00447D26"/>
    <w:rsid w:val="00450D70"/>
    <w:rsid w:val="00451559"/>
    <w:rsid w:val="00452E01"/>
    <w:rsid w:val="00453CF0"/>
    <w:rsid w:val="00455BFB"/>
    <w:rsid w:val="00455D45"/>
    <w:rsid w:val="004603B3"/>
    <w:rsid w:val="0046129C"/>
    <w:rsid w:val="00461920"/>
    <w:rsid w:val="00463D53"/>
    <w:rsid w:val="00464595"/>
    <w:rsid w:val="00464D49"/>
    <w:rsid w:val="004651D1"/>
    <w:rsid w:val="00466FA7"/>
    <w:rsid w:val="0047017B"/>
    <w:rsid w:val="00472A79"/>
    <w:rsid w:val="00472B8E"/>
    <w:rsid w:val="004737BF"/>
    <w:rsid w:val="00473A62"/>
    <w:rsid w:val="00473BE2"/>
    <w:rsid w:val="00473F19"/>
    <w:rsid w:val="0047490E"/>
    <w:rsid w:val="00475E22"/>
    <w:rsid w:val="004763F8"/>
    <w:rsid w:val="00476A12"/>
    <w:rsid w:val="0048088E"/>
    <w:rsid w:val="00481A01"/>
    <w:rsid w:val="00482720"/>
    <w:rsid w:val="00482CBB"/>
    <w:rsid w:val="00483434"/>
    <w:rsid w:val="004835E7"/>
    <w:rsid w:val="00483E65"/>
    <w:rsid w:val="0048449B"/>
    <w:rsid w:val="004852CB"/>
    <w:rsid w:val="004867E2"/>
    <w:rsid w:val="00486FCE"/>
    <w:rsid w:val="00487C46"/>
    <w:rsid w:val="00490959"/>
    <w:rsid w:val="00491B3A"/>
    <w:rsid w:val="00492305"/>
    <w:rsid w:val="00492CFD"/>
    <w:rsid w:val="00493597"/>
    <w:rsid w:val="00494DD5"/>
    <w:rsid w:val="004959EA"/>
    <w:rsid w:val="004962D2"/>
    <w:rsid w:val="00496DBE"/>
    <w:rsid w:val="00497D2D"/>
    <w:rsid w:val="004A0DA1"/>
    <w:rsid w:val="004A0E79"/>
    <w:rsid w:val="004A160C"/>
    <w:rsid w:val="004A1B80"/>
    <w:rsid w:val="004A3454"/>
    <w:rsid w:val="004A4B93"/>
    <w:rsid w:val="004A52E9"/>
    <w:rsid w:val="004A6597"/>
    <w:rsid w:val="004A7848"/>
    <w:rsid w:val="004A797C"/>
    <w:rsid w:val="004B1A1D"/>
    <w:rsid w:val="004B1CB4"/>
    <w:rsid w:val="004B2F18"/>
    <w:rsid w:val="004B323F"/>
    <w:rsid w:val="004B35BB"/>
    <w:rsid w:val="004B3B8E"/>
    <w:rsid w:val="004B3DDB"/>
    <w:rsid w:val="004B44FD"/>
    <w:rsid w:val="004B5087"/>
    <w:rsid w:val="004B5880"/>
    <w:rsid w:val="004B5CFC"/>
    <w:rsid w:val="004B774D"/>
    <w:rsid w:val="004B7A0A"/>
    <w:rsid w:val="004B7BFE"/>
    <w:rsid w:val="004C4599"/>
    <w:rsid w:val="004C4AED"/>
    <w:rsid w:val="004C4DFE"/>
    <w:rsid w:val="004C5000"/>
    <w:rsid w:val="004C52F7"/>
    <w:rsid w:val="004C5373"/>
    <w:rsid w:val="004C6FA6"/>
    <w:rsid w:val="004D2872"/>
    <w:rsid w:val="004D2C2D"/>
    <w:rsid w:val="004D43DC"/>
    <w:rsid w:val="004D4F43"/>
    <w:rsid w:val="004D4F7C"/>
    <w:rsid w:val="004D618A"/>
    <w:rsid w:val="004D63F7"/>
    <w:rsid w:val="004D7227"/>
    <w:rsid w:val="004D78EF"/>
    <w:rsid w:val="004E005F"/>
    <w:rsid w:val="004E023A"/>
    <w:rsid w:val="004E0E7F"/>
    <w:rsid w:val="004E0EB8"/>
    <w:rsid w:val="004E11E4"/>
    <w:rsid w:val="004E2ADC"/>
    <w:rsid w:val="004E43B2"/>
    <w:rsid w:val="004E46BF"/>
    <w:rsid w:val="004E622B"/>
    <w:rsid w:val="004E624E"/>
    <w:rsid w:val="004E6588"/>
    <w:rsid w:val="004E7ADD"/>
    <w:rsid w:val="004F1D02"/>
    <w:rsid w:val="004F2679"/>
    <w:rsid w:val="004F2F21"/>
    <w:rsid w:val="004F45E4"/>
    <w:rsid w:val="004F540C"/>
    <w:rsid w:val="004F65B7"/>
    <w:rsid w:val="004F6913"/>
    <w:rsid w:val="004F7865"/>
    <w:rsid w:val="00500792"/>
    <w:rsid w:val="005017C8"/>
    <w:rsid w:val="0050219B"/>
    <w:rsid w:val="00503F17"/>
    <w:rsid w:val="0050606D"/>
    <w:rsid w:val="0050687B"/>
    <w:rsid w:val="00506928"/>
    <w:rsid w:val="00506CDF"/>
    <w:rsid w:val="005071AD"/>
    <w:rsid w:val="005078DB"/>
    <w:rsid w:val="00512ECB"/>
    <w:rsid w:val="00514920"/>
    <w:rsid w:val="005152B5"/>
    <w:rsid w:val="005173B8"/>
    <w:rsid w:val="00517C13"/>
    <w:rsid w:val="00520567"/>
    <w:rsid w:val="00521319"/>
    <w:rsid w:val="00522916"/>
    <w:rsid w:val="00522BC8"/>
    <w:rsid w:val="00523C28"/>
    <w:rsid w:val="00523D15"/>
    <w:rsid w:val="005256EB"/>
    <w:rsid w:val="00525A7C"/>
    <w:rsid w:val="00527C3B"/>
    <w:rsid w:val="005330C2"/>
    <w:rsid w:val="005343F1"/>
    <w:rsid w:val="00534FC7"/>
    <w:rsid w:val="005355DD"/>
    <w:rsid w:val="005356EA"/>
    <w:rsid w:val="005358B1"/>
    <w:rsid w:val="00536F42"/>
    <w:rsid w:val="00537182"/>
    <w:rsid w:val="00537890"/>
    <w:rsid w:val="00541560"/>
    <w:rsid w:val="005417BE"/>
    <w:rsid w:val="00542743"/>
    <w:rsid w:val="00542C2D"/>
    <w:rsid w:val="005432FB"/>
    <w:rsid w:val="00543D8F"/>
    <w:rsid w:val="00543F7C"/>
    <w:rsid w:val="00544E2D"/>
    <w:rsid w:val="00546F67"/>
    <w:rsid w:val="00546FBD"/>
    <w:rsid w:val="00547115"/>
    <w:rsid w:val="00547C4A"/>
    <w:rsid w:val="005501B0"/>
    <w:rsid w:val="00551985"/>
    <w:rsid w:val="00551A62"/>
    <w:rsid w:val="005523E3"/>
    <w:rsid w:val="00552BD3"/>
    <w:rsid w:val="00553211"/>
    <w:rsid w:val="0055457D"/>
    <w:rsid w:val="00554789"/>
    <w:rsid w:val="00554E25"/>
    <w:rsid w:val="00555109"/>
    <w:rsid w:val="00561DEB"/>
    <w:rsid w:val="0056242F"/>
    <w:rsid w:val="00563789"/>
    <w:rsid w:val="00563CB6"/>
    <w:rsid w:val="00564CB1"/>
    <w:rsid w:val="005650FC"/>
    <w:rsid w:val="00566686"/>
    <w:rsid w:val="0056696F"/>
    <w:rsid w:val="0056736B"/>
    <w:rsid w:val="005678EE"/>
    <w:rsid w:val="005700F5"/>
    <w:rsid w:val="0057036B"/>
    <w:rsid w:val="00572269"/>
    <w:rsid w:val="0057244A"/>
    <w:rsid w:val="005729A3"/>
    <w:rsid w:val="0057317E"/>
    <w:rsid w:val="00575D8D"/>
    <w:rsid w:val="00576592"/>
    <w:rsid w:val="00576972"/>
    <w:rsid w:val="00577B16"/>
    <w:rsid w:val="0058088A"/>
    <w:rsid w:val="00583699"/>
    <w:rsid w:val="00585CDD"/>
    <w:rsid w:val="00587058"/>
    <w:rsid w:val="00587B0D"/>
    <w:rsid w:val="00591957"/>
    <w:rsid w:val="00592D9D"/>
    <w:rsid w:val="00594CCE"/>
    <w:rsid w:val="0059534F"/>
    <w:rsid w:val="00595355"/>
    <w:rsid w:val="00595843"/>
    <w:rsid w:val="00595955"/>
    <w:rsid w:val="00596D4E"/>
    <w:rsid w:val="0059714B"/>
    <w:rsid w:val="00597BF9"/>
    <w:rsid w:val="005A2F3D"/>
    <w:rsid w:val="005A373D"/>
    <w:rsid w:val="005A3B39"/>
    <w:rsid w:val="005A684B"/>
    <w:rsid w:val="005A6CFB"/>
    <w:rsid w:val="005A6DBC"/>
    <w:rsid w:val="005B01B9"/>
    <w:rsid w:val="005B04F9"/>
    <w:rsid w:val="005B1D4E"/>
    <w:rsid w:val="005B1E8E"/>
    <w:rsid w:val="005B22F4"/>
    <w:rsid w:val="005B5857"/>
    <w:rsid w:val="005B5941"/>
    <w:rsid w:val="005B60CF"/>
    <w:rsid w:val="005C0FD6"/>
    <w:rsid w:val="005C1B83"/>
    <w:rsid w:val="005C24B4"/>
    <w:rsid w:val="005C2D55"/>
    <w:rsid w:val="005C346B"/>
    <w:rsid w:val="005C3861"/>
    <w:rsid w:val="005C3E7C"/>
    <w:rsid w:val="005C3F4D"/>
    <w:rsid w:val="005C49B3"/>
    <w:rsid w:val="005C4A4E"/>
    <w:rsid w:val="005C4AC6"/>
    <w:rsid w:val="005C4E7A"/>
    <w:rsid w:val="005C594E"/>
    <w:rsid w:val="005C6522"/>
    <w:rsid w:val="005C7276"/>
    <w:rsid w:val="005C75AB"/>
    <w:rsid w:val="005C79A6"/>
    <w:rsid w:val="005D002E"/>
    <w:rsid w:val="005D044D"/>
    <w:rsid w:val="005D0ABD"/>
    <w:rsid w:val="005D105B"/>
    <w:rsid w:val="005D18AD"/>
    <w:rsid w:val="005D20FB"/>
    <w:rsid w:val="005D26B4"/>
    <w:rsid w:val="005D290A"/>
    <w:rsid w:val="005D4F9D"/>
    <w:rsid w:val="005D5201"/>
    <w:rsid w:val="005D5266"/>
    <w:rsid w:val="005E0979"/>
    <w:rsid w:val="005E52D2"/>
    <w:rsid w:val="005E5D1B"/>
    <w:rsid w:val="005E6180"/>
    <w:rsid w:val="005E6CBC"/>
    <w:rsid w:val="005E73C0"/>
    <w:rsid w:val="005F08A3"/>
    <w:rsid w:val="005F1BDF"/>
    <w:rsid w:val="005F2706"/>
    <w:rsid w:val="005F43B7"/>
    <w:rsid w:val="005F45F4"/>
    <w:rsid w:val="005F5B6F"/>
    <w:rsid w:val="005F6A8F"/>
    <w:rsid w:val="005F6E44"/>
    <w:rsid w:val="005F7080"/>
    <w:rsid w:val="006016C9"/>
    <w:rsid w:val="00602A94"/>
    <w:rsid w:val="006034FB"/>
    <w:rsid w:val="00603DB9"/>
    <w:rsid w:val="0060576A"/>
    <w:rsid w:val="0060699B"/>
    <w:rsid w:val="00607669"/>
    <w:rsid w:val="00607913"/>
    <w:rsid w:val="00607AFD"/>
    <w:rsid w:val="00607B79"/>
    <w:rsid w:val="006103E3"/>
    <w:rsid w:val="00611994"/>
    <w:rsid w:val="00612084"/>
    <w:rsid w:val="00612A2D"/>
    <w:rsid w:val="00612F97"/>
    <w:rsid w:val="0061345D"/>
    <w:rsid w:val="006148A0"/>
    <w:rsid w:val="00614A3E"/>
    <w:rsid w:val="00614A46"/>
    <w:rsid w:val="00615B07"/>
    <w:rsid w:val="00616137"/>
    <w:rsid w:val="006161B2"/>
    <w:rsid w:val="00616472"/>
    <w:rsid w:val="00616802"/>
    <w:rsid w:val="00617E12"/>
    <w:rsid w:val="00617E13"/>
    <w:rsid w:val="00620147"/>
    <w:rsid w:val="0062088B"/>
    <w:rsid w:val="00621477"/>
    <w:rsid w:val="00621F9F"/>
    <w:rsid w:val="00622221"/>
    <w:rsid w:val="00623D0D"/>
    <w:rsid w:val="0062427B"/>
    <w:rsid w:val="00624371"/>
    <w:rsid w:val="0062553B"/>
    <w:rsid w:val="0062653F"/>
    <w:rsid w:val="00626CC7"/>
    <w:rsid w:val="00627F30"/>
    <w:rsid w:val="00630678"/>
    <w:rsid w:val="0063073E"/>
    <w:rsid w:val="00631565"/>
    <w:rsid w:val="0063158F"/>
    <w:rsid w:val="00631D6B"/>
    <w:rsid w:val="00632F28"/>
    <w:rsid w:val="006330A1"/>
    <w:rsid w:val="0063479F"/>
    <w:rsid w:val="00634D03"/>
    <w:rsid w:val="006353F0"/>
    <w:rsid w:val="006364A1"/>
    <w:rsid w:val="00636E33"/>
    <w:rsid w:val="00637BFD"/>
    <w:rsid w:val="00637C5A"/>
    <w:rsid w:val="0064125F"/>
    <w:rsid w:val="00641444"/>
    <w:rsid w:val="0064160D"/>
    <w:rsid w:val="00641A13"/>
    <w:rsid w:val="00641C4E"/>
    <w:rsid w:val="00642C51"/>
    <w:rsid w:val="006438D6"/>
    <w:rsid w:val="00643932"/>
    <w:rsid w:val="00643AC7"/>
    <w:rsid w:val="00643E02"/>
    <w:rsid w:val="006458E3"/>
    <w:rsid w:val="00646CC8"/>
    <w:rsid w:val="006471CC"/>
    <w:rsid w:val="0065079F"/>
    <w:rsid w:val="00650C13"/>
    <w:rsid w:val="0065140E"/>
    <w:rsid w:val="00651A38"/>
    <w:rsid w:val="0065379F"/>
    <w:rsid w:val="00654DE0"/>
    <w:rsid w:val="0065529D"/>
    <w:rsid w:val="00655FF6"/>
    <w:rsid w:val="00656C7D"/>
    <w:rsid w:val="00657A2D"/>
    <w:rsid w:val="00660A94"/>
    <w:rsid w:val="00660B5F"/>
    <w:rsid w:val="00661C6B"/>
    <w:rsid w:val="00661FFF"/>
    <w:rsid w:val="00662273"/>
    <w:rsid w:val="00663857"/>
    <w:rsid w:val="00664999"/>
    <w:rsid w:val="00665E04"/>
    <w:rsid w:val="00667205"/>
    <w:rsid w:val="00671348"/>
    <w:rsid w:val="00671B75"/>
    <w:rsid w:val="00671E84"/>
    <w:rsid w:val="00674169"/>
    <w:rsid w:val="00674E42"/>
    <w:rsid w:val="00675C37"/>
    <w:rsid w:val="00675E46"/>
    <w:rsid w:val="00676709"/>
    <w:rsid w:val="006770AA"/>
    <w:rsid w:val="00682112"/>
    <w:rsid w:val="006829E4"/>
    <w:rsid w:val="00683790"/>
    <w:rsid w:val="00683E90"/>
    <w:rsid w:val="00684E12"/>
    <w:rsid w:val="00686957"/>
    <w:rsid w:val="0068712C"/>
    <w:rsid w:val="006872BA"/>
    <w:rsid w:val="00687994"/>
    <w:rsid w:val="006879A6"/>
    <w:rsid w:val="006901F6"/>
    <w:rsid w:val="00690B88"/>
    <w:rsid w:val="006913C8"/>
    <w:rsid w:val="00691648"/>
    <w:rsid w:val="006917D7"/>
    <w:rsid w:val="00691A75"/>
    <w:rsid w:val="00693CB6"/>
    <w:rsid w:val="00694F44"/>
    <w:rsid w:val="0069658D"/>
    <w:rsid w:val="00696B85"/>
    <w:rsid w:val="00697AE3"/>
    <w:rsid w:val="006A1B7B"/>
    <w:rsid w:val="006A254F"/>
    <w:rsid w:val="006A2FCB"/>
    <w:rsid w:val="006A5664"/>
    <w:rsid w:val="006A628A"/>
    <w:rsid w:val="006A720D"/>
    <w:rsid w:val="006A7E5F"/>
    <w:rsid w:val="006B05CB"/>
    <w:rsid w:val="006B0D96"/>
    <w:rsid w:val="006B0E16"/>
    <w:rsid w:val="006B1609"/>
    <w:rsid w:val="006B1973"/>
    <w:rsid w:val="006B261B"/>
    <w:rsid w:val="006B2C90"/>
    <w:rsid w:val="006B3F8E"/>
    <w:rsid w:val="006B5702"/>
    <w:rsid w:val="006B58CE"/>
    <w:rsid w:val="006B6DD0"/>
    <w:rsid w:val="006C12BD"/>
    <w:rsid w:val="006C2A8E"/>
    <w:rsid w:val="006C2F60"/>
    <w:rsid w:val="006C3DC5"/>
    <w:rsid w:val="006C3E9E"/>
    <w:rsid w:val="006C4365"/>
    <w:rsid w:val="006C4495"/>
    <w:rsid w:val="006C47C8"/>
    <w:rsid w:val="006C481D"/>
    <w:rsid w:val="006C6BAF"/>
    <w:rsid w:val="006D2330"/>
    <w:rsid w:val="006D2E60"/>
    <w:rsid w:val="006D3C7D"/>
    <w:rsid w:val="006D5D5F"/>
    <w:rsid w:val="006D73CD"/>
    <w:rsid w:val="006E19A7"/>
    <w:rsid w:val="006E1B28"/>
    <w:rsid w:val="006E22B1"/>
    <w:rsid w:val="006E2AE4"/>
    <w:rsid w:val="006E2B51"/>
    <w:rsid w:val="006E31D0"/>
    <w:rsid w:val="006E3DF7"/>
    <w:rsid w:val="006E45C1"/>
    <w:rsid w:val="006E63AE"/>
    <w:rsid w:val="006E64B5"/>
    <w:rsid w:val="006F0277"/>
    <w:rsid w:val="006F0D36"/>
    <w:rsid w:val="006F26C4"/>
    <w:rsid w:val="006F306C"/>
    <w:rsid w:val="006F31D8"/>
    <w:rsid w:val="006F3D9D"/>
    <w:rsid w:val="006F63A5"/>
    <w:rsid w:val="0070057E"/>
    <w:rsid w:val="0070060C"/>
    <w:rsid w:val="0070068B"/>
    <w:rsid w:val="0070142B"/>
    <w:rsid w:val="0070276E"/>
    <w:rsid w:val="00702F8F"/>
    <w:rsid w:val="0070604C"/>
    <w:rsid w:val="00707637"/>
    <w:rsid w:val="00711445"/>
    <w:rsid w:val="00711A36"/>
    <w:rsid w:val="00711B25"/>
    <w:rsid w:val="007129A4"/>
    <w:rsid w:val="0071335C"/>
    <w:rsid w:val="0071529C"/>
    <w:rsid w:val="007172AD"/>
    <w:rsid w:val="0072182D"/>
    <w:rsid w:val="00722B1B"/>
    <w:rsid w:val="0072416F"/>
    <w:rsid w:val="007244EE"/>
    <w:rsid w:val="00724F7B"/>
    <w:rsid w:val="00725BB7"/>
    <w:rsid w:val="00726ABC"/>
    <w:rsid w:val="00727C94"/>
    <w:rsid w:val="00731EAE"/>
    <w:rsid w:val="00731F2E"/>
    <w:rsid w:val="007326C2"/>
    <w:rsid w:val="0073296B"/>
    <w:rsid w:val="00732BE2"/>
    <w:rsid w:val="00733EAB"/>
    <w:rsid w:val="00734082"/>
    <w:rsid w:val="00735033"/>
    <w:rsid w:val="00735099"/>
    <w:rsid w:val="00735328"/>
    <w:rsid w:val="00735EA6"/>
    <w:rsid w:val="00736637"/>
    <w:rsid w:val="0073685B"/>
    <w:rsid w:val="0074124D"/>
    <w:rsid w:val="007414E1"/>
    <w:rsid w:val="007418B7"/>
    <w:rsid w:val="007427CE"/>
    <w:rsid w:val="007427E3"/>
    <w:rsid w:val="007444C7"/>
    <w:rsid w:val="007444E5"/>
    <w:rsid w:val="00744D4C"/>
    <w:rsid w:val="007459B9"/>
    <w:rsid w:val="007460AC"/>
    <w:rsid w:val="007464E5"/>
    <w:rsid w:val="00752142"/>
    <w:rsid w:val="007523F9"/>
    <w:rsid w:val="00755CA9"/>
    <w:rsid w:val="00756906"/>
    <w:rsid w:val="00756FBE"/>
    <w:rsid w:val="007573E8"/>
    <w:rsid w:val="00757531"/>
    <w:rsid w:val="00760C4E"/>
    <w:rsid w:val="00761613"/>
    <w:rsid w:val="00764C23"/>
    <w:rsid w:val="00765B1A"/>
    <w:rsid w:val="00765FF2"/>
    <w:rsid w:val="00766496"/>
    <w:rsid w:val="00766C84"/>
    <w:rsid w:val="00767E44"/>
    <w:rsid w:val="00767FE3"/>
    <w:rsid w:val="007708F6"/>
    <w:rsid w:val="00771295"/>
    <w:rsid w:val="00771875"/>
    <w:rsid w:val="00777A43"/>
    <w:rsid w:val="0078156C"/>
    <w:rsid w:val="007815A6"/>
    <w:rsid w:val="00781D50"/>
    <w:rsid w:val="00781FDD"/>
    <w:rsid w:val="00783564"/>
    <w:rsid w:val="00783D4B"/>
    <w:rsid w:val="007843F2"/>
    <w:rsid w:val="00785EF2"/>
    <w:rsid w:val="00786A66"/>
    <w:rsid w:val="00790257"/>
    <w:rsid w:val="00792E65"/>
    <w:rsid w:val="00792F98"/>
    <w:rsid w:val="00793A1F"/>
    <w:rsid w:val="00794DED"/>
    <w:rsid w:val="00796245"/>
    <w:rsid w:val="007967E3"/>
    <w:rsid w:val="0079696E"/>
    <w:rsid w:val="007A07D0"/>
    <w:rsid w:val="007A0A12"/>
    <w:rsid w:val="007A132D"/>
    <w:rsid w:val="007A14EB"/>
    <w:rsid w:val="007A1657"/>
    <w:rsid w:val="007A1B02"/>
    <w:rsid w:val="007A206E"/>
    <w:rsid w:val="007A2FE4"/>
    <w:rsid w:val="007A36BD"/>
    <w:rsid w:val="007A377B"/>
    <w:rsid w:val="007A514F"/>
    <w:rsid w:val="007A5B19"/>
    <w:rsid w:val="007A5DB8"/>
    <w:rsid w:val="007A6384"/>
    <w:rsid w:val="007B0D68"/>
    <w:rsid w:val="007B11AE"/>
    <w:rsid w:val="007B11FD"/>
    <w:rsid w:val="007B251D"/>
    <w:rsid w:val="007B4F58"/>
    <w:rsid w:val="007B528D"/>
    <w:rsid w:val="007B6533"/>
    <w:rsid w:val="007B690E"/>
    <w:rsid w:val="007B77D1"/>
    <w:rsid w:val="007C0D39"/>
    <w:rsid w:val="007C1CD9"/>
    <w:rsid w:val="007C2AD8"/>
    <w:rsid w:val="007C361D"/>
    <w:rsid w:val="007C3788"/>
    <w:rsid w:val="007C3E98"/>
    <w:rsid w:val="007C46D0"/>
    <w:rsid w:val="007C4B84"/>
    <w:rsid w:val="007C6D5B"/>
    <w:rsid w:val="007C72CB"/>
    <w:rsid w:val="007C784C"/>
    <w:rsid w:val="007D004F"/>
    <w:rsid w:val="007D02BD"/>
    <w:rsid w:val="007D0519"/>
    <w:rsid w:val="007D0B38"/>
    <w:rsid w:val="007D0C75"/>
    <w:rsid w:val="007D1649"/>
    <w:rsid w:val="007D1750"/>
    <w:rsid w:val="007D17BB"/>
    <w:rsid w:val="007D1C17"/>
    <w:rsid w:val="007D24A5"/>
    <w:rsid w:val="007D465E"/>
    <w:rsid w:val="007D4E2A"/>
    <w:rsid w:val="007D4E98"/>
    <w:rsid w:val="007D52E8"/>
    <w:rsid w:val="007D5440"/>
    <w:rsid w:val="007D7375"/>
    <w:rsid w:val="007E14DD"/>
    <w:rsid w:val="007E1B6F"/>
    <w:rsid w:val="007E401C"/>
    <w:rsid w:val="007E5C0C"/>
    <w:rsid w:val="007E5EE7"/>
    <w:rsid w:val="007E6F7D"/>
    <w:rsid w:val="007F072F"/>
    <w:rsid w:val="007F1017"/>
    <w:rsid w:val="007F161B"/>
    <w:rsid w:val="007F17D2"/>
    <w:rsid w:val="007F2A88"/>
    <w:rsid w:val="007F2AE3"/>
    <w:rsid w:val="007F44B6"/>
    <w:rsid w:val="007F4A3F"/>
    <w:rsid w:val="007F4A61"/>
    <w:rsid w:val="007F55AF"/>
    <w:rsid w:val="007F5AC0"/>
    <w:rsid w:val="007F5C3D"/>
    <w:rsid w:val="007F6176"/>
    <w:rsid w:val="007F61C2"/>
    <w:rsid w:val="007F762C"/>
    <w:rsid w:val="007F7B4C"/>
    <w:rsid w:val="00800E2A"/>
    <w:rsid w:val="00801DA4"/>
    <w:rsid w:val="008025F1"/>
    <w:rsid w:val="008027D1"/>
    <w:rsid w:val="00802CF4"/>
    <w:rsid w:val="00802E2B"/>
    <w:rsid w:val="0080328F"/>
    <w:rsid w:val="0080441E"/>
    <w:rsid w:val="00805142"/>
    <w:rsid w:val="0080594D"/>
    <w:rsid w:val="00807A8B"/>
    <w:rsid w:val="00811383"/>
    <w:rsid w:val="00811541"/>
    <w:rsid w:val="00811AB1"/>
    <w:rsid w:val="00812149"/>
    <w:rsid w:val="00812415"/>
    <w:rsid w:val="00812CAC"/>
    <w:rsid w:val="00813640"/>
    <w:rsid w:val="00813B51"/>
    <w:rsid w:val="00815A72"/>
    <w:rsid w:val="0081625F"/>
    <w:rsid w:val="008166EF"/>
    <w:rsid w:val="008171A6"/>
    <w:rsid w:val="008205FD"/>
    <w:rsid w:val="00821C4F"/>
    <w:rsid w:val="00824AA5"/>
    <w:rsid w:val="00825751"/>
    <w:rsid w:val="00825E37"/>
    <w:rsid w:val="008264EB"/>
    <w:rsid w:val="0082740C"/>
    <w:rsid w:val="00827570"/>
    <w:rsid w:val="00830431"/>
    <w:rsid w:val="00832D2C"/>
    <w:rsid w:val="00832D70"/>
    <w:rsid w:val="00833B05"/>
    <w:rsid w:val="00833B84"/>
    <w:rsid w:val="00833C4C"/>
    <w:rsid w:val="00834A06"/>
    <w:rsid w:val="0083562C"/>
    <w:rsid w:val="008361C3"/>
    <w:rsid w:val="008362B4"/>
    <w:rsid w:val="0084081E"/>
    <w:rsid w:val="00840CA2"/>
    <w:rsid w:val="00841083"/>
    <w:rsid w:val="0084146B"/>
    <w:rsid w:val="00843426"/>
    <w:rsid w:val="0084374F"/>
    <w:rsid w:val="00844811"/>
    <w:rsid w:val="0084674D"/>
    <w:rsid w:val="00847DF5"/>
    <w:rsid w:val="008514DF"/>
    <w:rsid w:val="00851533"/>
    <w:rsid w:val="008516FC"/>
    <w:rsid w:val="008516FF"/>
    <w:rsid w:val="0085309D"/>
    <w:rsid w:val="008547BF"/>
    <w:rsid w:val="00854CD7"/>
    <w:rsid w:val="00856897"/>
    <w:rsid w:val="00856E9A"/>
    <w:rsid w:val="00857EC2"/>
    <w:rsid w:val="00857ECA"/>
    <w:rsid w:val="0086075D"/>
    <w:rsid w:val="00862130"/>
    <w:rsid w:val="00862502"/>
    <w:rsid w:val="00862E90"/>
    <w:rsid w:val="0086491B"/>
    <w:rsid w:val="00865B95"/>
    <w:rsid w:val="00865D8C"/>
    <w:rsid w:val="008660D4"/>
    <w:rsid w:val="00866CAC"/>
    <w:rsid w:val="0086797A"/>
    <w:rsid w:val="00871FA9"/>
    <w:rsid w:val="008728E9"/>
    <w:rsid w:val="00873870"/>
    <w:rsid w:val="008747EC"/>
    <w:rsid w:val="00874BCB"/>
    <w:rsid w:val="00874FDE"/>
    <w:rsid w:val="008757B7"/>
    <w:rsid w:val="008776A1"/>
    <w:rsid w:val="008779D7"/>
    <w:rsid w:val="00877AE2"/>
    <w:rsid w:val="00877E5C"/>
    <w:rsid w:val="008806E7"/>
    <w:rsid w:val="00880803"/>
    <w:rsid w:val="008815B3"/>
    <w:rsid w:val="00882874"/>
    <w:rsid w:val="00883787"/>
    <w:rsid w:val="008847E3"/>
    <w:rsid w:val="00884D9E"/>
    <w:rsid w:val="00886706"/>
    <w:rsid w:val="00886CD2"/>
    <w:rsid w:val="00887389"/>
    <w:rsid w:val="00890630"/>
    <w:rsid w:val="0089121A"/>
    <w:rsid w:val="008915F7"/>
    <w:rsid w:val="00892786"/>
    <w:rsid w:val="00892A36"/>
    <w:rsid w:val="00893239"/>
    <w:rsid w:val="00893EAD"/>
    <w:rsid w:val="00893FCE"/>
    <w:rsid w:val="00894489"/>
    <w:rsid w:val="008963A5"/>
    <w:rsid w:val="00896D2B"/>
    <w:rsid w:val="008A0E31"/>
    <w:rsid w:val="008A1C56"/>
    <w:rsid w:val="008A209E"/>
    <w:rsid w:val="008A27E6"/>
    <w:rsid w:val="008A3363"/>
    <w:rsid w:val="008A3371"/>
    <w:rsid w:val="008A3C3E"/>
    <w:rsid w:val="008A4F19"/>
    <w:rsid w:val="008A5648"/>
    <w:rsid w:val="008A63B8"/>
    <w:rsid w:val="008A6B8F"/>
    <w:rsid w:val="008A756B"/>
    <w:rsid w:val="008A79DE"/>
    <w:rsid w:val="008B0E22"/>
    <w:rsid w:val="008B163F"/>
    <w:rsid w:val="008B1757"/>
    <w:rsid w:val="008B1C1A"/>
    <w:rsid w:val="008B1C3D"/>
    <w:rsid w:val="008B5EB7"/>
    <w:rsid w:val="008B7D7E"/>
    <w:rsid w:val="008C1B21"/>
    <w:rsid w:val="008C1B3A"/>
    <w:rsid w:val="008C225F"/>
    <w:rsid w:val="008C2C00"/>
    <w:rsid w:val="008C33B2"/>
    <w:rsid w:val="008C484C"/>
    <w:rsid w:val="008C4855"/>
    <w:rsid w:val="008C4B3C"/>
    <w:rsid w:val="008C564F"/>
    <w:rsid w:val="008C5966"/>
    <w:rsid w:val="008C71BE"/>
    <w:rsid w:val="008C7ECB"/>
    <w:rsid w:val="008D08DB"/>
    <w:rsid w:val="008D1195"/>
    <w:rsid w:val="008D15F8"/>
    <w:rsid w:val="008D2D22"/>
    <w:rsid w:val="008D410A"/>
    <w:rsid w:val="008D4185"/>
    <w:rsid w:val="008D4755"/>
    <w:rsid w:val="008D4C3D"/>
    <w:rsid w:val="008D571A"/>
    <w:rsid w:val="008D5721"/>
    <w:rsid w:val="008D5A43"/>
    <w:rsid w:val="008D5FD5"/>
    <w:rsid w:val="008D738E"/>
    <w:rsid w:val="008E08FC"/>
    <w:rsid w:val="008E09AC"/>
    <w:rsid w:val="008E0D3C"/>
    <w:rsid w:val="008E1B9E"/>
    <w:rsid w:val="008E1EB4"/>
    <w:rsid w:val="008E24FB"/>
    <w:rsid w:val="008E27E5"/>
    <w:rsid w:val="008E4096"/>
    <w:rsid w:val="008E4642"/>
    <w:rsid w:val="008E5362"/>
    <w:rsid w:val="008E55AB"/>
    <w:rsid w:val="008E580C"/>
    <w:rsid w:val="008E616A"/>
    <w:rsid w:val="008E738A"/>
    <w:rsid w:val="008F044B"/>
    <w:rsid w:val="008F10C5"/>
    <w:rsid w:val="008F120A"/>
    <w:rsid w:val="008F27E0"/>
    <w:rsid w:val="008F3D34"/>
    <w:rsid w:val="008F48EB"/>
    <w:rsid w:val="008F4DDB"/>
    <w:rsid w:val="008F4F0B"/>
    <w:rsid w:val="008F5BE0"/>
    <w:rsid w:val="008F7505"/>
    <w:rsid w:val="008F79AC"/>
    <w:rsid w:val="00900950"/>
    <w:rsid w:val="00900ABB"/>
    <w:rsid w:val="00901205"/>
    <w:rsid w:val="0090191F"/>
    <w:rsid w:val="009028DA"/>
    <w:rsid w:val="00902904"/>
    <w:rsid w:val="00902D08"/>
    <w:rsid w:val="009046C4"/>
    <w:rsid w:val="009062A5"/>
    <w:rsid w:val="0091018C"/>
    <w:rsid w:val="00911272"/>
    <w:rsid w:val="009128B0"/>
    <w:rsid w:val="00913280"/>
    <w:rsid w:val="009135D6"/>
    <w:rsid w:val="00914C77"/>
    <w:rsid w:val="00915064"/>
    <w:rsid w:val="009167E4"/>
    <w:rsid w:val="00917E1A"/>
    <w:rsid w:val="0092304D"/>
    <w:rsid w:val="00923539"/>
    <w:rsid w:val="0092369B"/>
    <w:rsid w:val="009240F0"/>
    <w:rsid w:val="0092538B"/>
    <w:rsid w:val="00925D9B"/>
    <w:rsid w:val="00926CD7"/>
    <w:rsid w:val="00926D1E"/>
    <w:rsid w:val="00927040"/>
    <w:rsid w:val="0092785D"/>
    <w:rsid w:val="00930E03"/>
    <w:rsid w:val="00930EB3"/>
    <w:rsid w:val="00931033"/>
    <w:rsid w:val="00931B95"/>
    <w:rsid w:val="009374F1"/>
    <w:rsid w:val="00937AC2"/>
    <w:rsid w:val="0094020C"/>
    <w:rsid w:val="00940903"/>
    <w:rsid w:val="009416A0"/>
    <w:rsid w:val="0094282D"/>
    <w:rsid w:val="00942C6C"/>
    <w:rsid w:val="009440D8"/>
    <w:rsid w:val="009458B7"/>
    <w:rsid w:val="009461F9"/>
    <w:rsid w:val="0094670C"/>
    <w:rsid w:val="00947A1C"/>
    <w:rsid w:val="00947C51"/>
    <w:rsid w:val="009504CE"/>
    <w:rsid w:val="009510A2"/>
    <w:rsid w:val="009515C1"/>
    <w:rsid w:val="00952067"/>
    <w:rsid w:val="00952F0E"/>
    <w:rsid w:val="0095318A"/>
    <w:rsid w:val="00953257"/>
    <w:rsid w:val="0095488A"/>
    <w:rsid w:val="009548A1"/>
    <w:rsid w:val="00955346"/>
    <w:rsid w:val="009559F1"/>
    <w:rsid w:val="00957515"/>
    <w:rsid w:val="009612AE"/>
    <w:rsid w:val="00962441"/>
    <w:rsid w:val="0096269D"/>
    <w:rsid w:val="009628D6"/>
    <w:rsid w:val="00962CB9"/>
    <w:rsid w:val="00963066"/>
    <w:rsid w:val="00964312"/>
    <w:rsid w:val="0096437E"/>
    <w:rsid w:val="0096568C"/>
    <w:rsid w:val="00965B8A"/>
    <w:rsid w:val="00965E8A"/>
    <w:rsid w:val="00967A03"/>
    <w:rsid w:val="00967BB3"/>
    <w:rsid w:val="0097010B"/>
    <w:rsid w:val="009717AC"/>
    <w:rsid w:val="00972796"/>
    <w:rsid w:val="009729CC"/>
    <w:rsid w:val="00972C20"/>
    <w:rsid w:val="00972FD1"/>
    <w:rsid w:val="0097304C"/>
    <w:rsid w:val="00973A61"/>
    <w:rsid w:val="009758C5"/>
    <w:rsid w:val="00975BEB"/>
    <w:rsid w:val="00976479"/>
    <w:rsid w:val="00976FED"/>
    <w:rsid w:val="00977420"/>
    <w:rsid w:val="009804BA"/>
    <w:rsid w:val="00980C45"/>
    <w:rsid w:val="00980D8E"/>
    <w:rsid w:val="00983E57"/>
    <w:rsid w:val="00984AC0"/>
    <w:rsid w:val="009853C1"/>
    <w:rsid w:val="00985910"/>
    <w:rsid w:val="0098675D"/>
    <w:rsid w:val="009900B7"/>
    <w:rsid w:val="00992BA7"/>
    <w:rsid w:val="009966D8"/>
    <w:rsid w:val="00996B1A"/>
    <w:rsid w:val="009A0750"/>
    <w:rsid w:val="009A0B89"/>
    <w:rsid w:val="009A3227"/>
    <w:rsid w:val="009A3D9F"/>
    <w:rsid w:val="009A5E29"/>
    <w:rsid w:val="009A65A1"/>
    <w:rsid w:val="009A6640"/>
    <w:rsid w:val="009A6DA1"/>
    <w:rsid w:val="009A7C1B"/>
    <w:rsid w:val="009A7EA7"/>
    <w:rsid w:val="009A7F10"/>
    <w:rsid w:val="009B0E37"/>
    <w:rsid w:val="009B26A4"/>
    <w:rsid w:val="009B28DB"/>
    <w:rsid w:val="009B2E68"/>
    <w:rsid w:val="009B3714"/>
    <w:rsid w:val="009B3E26"/>
    <w:rsid w:val="009B4153"/>
    <w:rsid w:val="009B4D7A"/>
    <w:rsid w:val="009B75DD"/>
    <w:rsid w:val="009B776F"/>
    <w:rsid w:val="009B7DCB"/>
    <w:rsid w:val="009C0CA0"/>
    <w:rsid w:val="009C28D4"/>
    <w:rsid w:val="009C6CEA"/>
    <w:rsid w:val="009C70B3"/>
    <w:rsid w:val="009C7B85"/>
    <w:rsid w:val="009D08D6"/>
    <w:rsid w:val="009D151D"/>
    <w:rsid w:val="009D3437"/>
    <w:rsid w:val="009D43E8"/>
    <w:rsid w:val="009D4FD5"/>
    <w:rsid w:val="009D514E"/>
    <w:rsid w:val="009D598E"/>
    <w:rsid w:val="009D5B91"/>
    <w:rsid w:val="009D792E"/>
    <w:rsid w:val="009D7AA6"/>
    <w:rsid w:val="009E0720"/>
    <w:rsid w:val="009E0DFE"/>
    <w:rsid w:val="009E4C07"/>
    <w:rsid w:val="009E540B"/>
    <w:rsid w:val="009E60CF"/>
    <w:rsid w:val="009E628F"/>
    <w:rsid w:val="009E6DA1"/>
    <w:rsid w:val="009F1117"/>
    <w:rsid w:val="009F1C91"/>
    <w:rsid w:val="009F2019"/>
    <w:rsid w:val="009F2453"/>
    <w:rsid w:val="009F2C0D"/>
    <w:rsid w:val="009F4BCC"/>
    <w:rsid w:val="009F583C"/>
    <w:rsid w:val="009F59D7"/>
    <w:rsid w:val="009F6F41"/>
    <w:rsid w:val="009F74BA"/>
    <w:rsid w:val="009F7909"/>
    <w:rsid w:val="00A000AD"/>
    <w:rsid w:val="00A00842"/>
    <w:rsid w:val="00A01184"/>
    <w:rsid w:val="00A014F9"/>
    <w:rsid w:val="00A01E33"/>
    <w:rsid w:val="00A0363E"/>
    <w:rsid w:val="00A03D43"/>
    <w:rsid w:val="00A04380"/>
    <w:rsid w:val="00A05354"/>
    <w:rsid w:val="00A1042F"/>
    <w:rsid w:val="00A10A39"/>
    <w:rsid w:val="00A10A71"/>
    <w:rsid w:val="00A10DD6"/>
    <w:rsid w:val="00A11A54"/>
    <w:rsid w:val="00A11CD0"/>
    <w:rsid w:val="00A120A5"/>
    <w:rsid w:val="00A12603"/>
    <w:rsid w:val="00A13948"/>
    <w:rsid w:val="00A13D5B"/>
    <w:rsid w:val="00A1555B"/>
    <w:rsid w:val="00A155C5"/>
    <w:rsid w:val="00A163DA"/>
    <w:rsid w:val="00A16595"/>
    <w:rsid w:val="00A16AD8"/>
    <w:rsid w:val="00A202FD"/>
    <w:rsid w:val="00A20619"/>
    <w:rsid w:val="00A20CDB"/>
    <w:rsid w:val="00A20F3A"/>
    <w:rsid w:val="00A21CF3"/>
    <w:rsid w:val="00A21EC0"/>
    <w:rsid w:val="00A22033"/>
    <w:rsid w:val="00A22D66"/>
    <w:rsid w:val="00A22E61"/>
    <w:rsid w:val="00A231E3"/>
    <w:rsid w:val="00A23E40"/>
    <w:rsid w:val="00A25242"/>
    <w:rsid w:val="00A25EC6"/>
    <w:rsid w:val="00A27748"/>
    <w:rsid w:val="00A27AEC"/>
    <w:rsid w:val="00A3136F"/>
    <w:rsid w:val="00A315C6"/>
    <w:rsid w:val="00A320A7"/>
    <w:rsid w:val="00A320DB"/>
    <w:rsid w:val="00A33C34"/>
    <w:rsid w:val="00A35B74"/>
    <w:rsid w:val="00A35D16"/>
    <w:rsid w:val="00A36C43"/>
    <w:rsid w:val="00A37BCD"/>
    <w:rsid w:val="00A41E04"/>
    <w:rsid w:val="00A42189"/>
    <w:rsid w:val="00A43C59"/>
    <w:rsid w:val="00A44626"/>
    <w:rsid w:val="00A44786"/>
    <w:rsid w:val="00A46740"/>
    <w:rsid w:val="00A47693"/>
    <w:rsid w:val="00A478BA"/>
    <w:rsid w:val="00A50ECD"/>
    <w:rsid w:val="00A515FF"/>
    <w:rsid w:val="00A51782"/>
    <w:rsid w:val="00A518F3"/>
    <w:rsid w:val="00A52729"/>
    <w:rsid w:val="00A532D9"/>
    <w:rsid w:val="00A53675"/>
    <w:rsid w:val="00A540EE"/>
    <w:rsid w:val="00A554CB"/>
    <w:rsid w:val="00A564D7"/>
    <w:rsid w:val="00A56B6A"/>
    <w:rsid w:val="00A578DC"/>
    <w:rsid w:val="00A57B1B"/>
    <w:rsid w:val="00A605AC"/>
    <w:rsid w:val="00A64276"/>
    <w:rsid w:val="00A64B51"/>
    <w:rsid w:val="00A66CF0"/>
    <w:rsid w:val="00A6725B"/>
    <w:rsid w:val="00A67F06"/>
    <w:rsid w:val="00A705B6"/>
    <w:rsid w:val="00A70605"/>
    <w:rsid w:val="00A71F99"/>
    <w:rsid w:val="00A72293"/>
    <w:rsid w:val="00A73134"/>
    <w:rsid w:val="00A74004"/>
    <w:rsid w:val="00A75FF8"/>
    <w:rsid w:val="00A76970"/>
    <w:rsid w:val="00A76995"/>
    <w:rsid w:val="00A76F9B"/>
    <w:rsid w:val="00A777B2"/>
    <w:rsid w:val="00A81EED"/>
    <w:rsid w:val="00A833C5"/>
    <w:rsid w:val="00A845EC"/>
    <w:rsid w:val="00A85563"/>
    <w:rsid w:val="00A86E8B"/>
    <w:rsid w:val="00A86F33"/>
    <w:rsid w:val="00A87164"/>
    <w:rsid w:val="00A8749D"/>
    <w:rsid w:val="00A87A0D"/>
    <w:rsid w:val="00A87A52"/>
    <w:rsid w:val="00A911C2"/>
    <w:rsid w:val="00A919BA"/>
    <w:rsid w:val="00A92A38"/>
    <w:rsid w:val="00A93072"/>
    <w:rsid w:val="00A9318C"/>
    <w:rsid w:val="00A93953"/>
    <w:rsid w:val="00A9446F"/>
    <w:rsid w:val="00A959D8"/>
    <w:rsid w:val="00A9697F"/>
    <w:rsid w:val="00A978FB"/>
    <w:rsid w:val="00A979AD"/>
    <w:rsid w:val="00AA113D"/>
    <w:rsid w:val="00AA248D"/>
    <w:rsid w:val="00AA3248"/>
    <w:rsid w:val="00AA3A22"/>
    <w:rsid w:val="00AA3A64"/>
    <w:rsid w:val="00AA4C6F"/>
    <w:rsid w:val="00AA6C7D"/>
    <w:rsid w:val="00AA6EB5"/>
    <w:rsid w:val="00AA76F6"/>
    <w:rsid w:val="00AA7FD6"/>
    <w:rsid w:val="00AB042A"/>
    <w:rsid w:val="00AB123C"/>
    <w:rsid w:val="00AB2248"/>
    <w:rsid w:val="00AB2645"/>
    <w:rsid w:val="00AB2D34"/>
    <w:rsid w:val="00AB3430"/>
    <w:rsid w:val="00AB3E0A"/>
    <w:rsid w:val="00AB400D"/>
    <w:rsid w:val="00AB4AD1"/>
    <w:rsid w:val="00AB61C2"/>
    <w:rsid w:val="00AB7CFA"/>
    <w:rsid w:val="00AC04D7"/>
    <w:rsid w:val="00AC0977"/>
    <w:rsid w:val="00AC4935"/>
    <w:rsid w:val="00AC5B48"/>
    <w:rsid w:val="00AC7D51"/>
    <w:rsid w:val="00AD0356"/>
    <w:rsid w:val="00AD0363"/>
    <w:rsid w:val="00AD0B5A"/>
    <w:rsid w:val="00AD1AFC"/>
    <w:rsid w:val="00AD1DDD"/>
    <w:rsid w:val="00AD2FF6"/>
    <w:rsid w:val="00AD375B"/>
    <w:rsid w:val="00AD37D8"/>
    <w:rsid w:val="00AD42B6"/>
    <w:rsid w:val="00AD43CD"/>
    <w:rsid w:val="00AD4767"/>
    <w:rsid w:val="00AD617F"/>
    <w:rsid w:val="00AD6272"/>
    <w:rsid w:val="00AD6502"/>
    <w:rsid w:val="00AD7D88"/>
    <w:rsid w:val="00AE0F5E"/>
    <w:rsid w:val="00AE1D5E"/>
    <w:rsid w:val="00AE285E"/>
    <w:rsid w:val="00AE2951"/>
    <w:rsid w:val="00AE4CDA"/>
    <w:rsid w:val="00AE5A70"/>
    <w:rsid w:val="00AE5E09"/>
    <w:rsid w:val="00AE6BAD"/>
    <w:rsid w:val="00AF09DA"/>
    <w:rsid w:val="00AF11B5"/>
    <w:rsid w:val="00AF1315"/>
    <w:rsid w:val="00AF19BF"/>
    <w:rsid w:val="00AF2BA5"/>
    <w:rsid w:val="00AF2DC3"/>
    <w:rsid w:val="00AF3676"/>
    <w:rsid w:val="00AF36DB"/>
    <w:rsid w:val="00AF50C1"/>
    <w:rsid w:val="00AF5588"/>
    <w:rsid w:val="00AF5CB1"/>
    <w:rsid w:val="00AF63C0"/>
    <w:rsid w:val="00AF66CA"/>
    <w:rsid w:val="00AF6E1D"/>
    <w:rsid w:val="00AF791C"/>
    <w:rsid w:val="00B00373"/>
    <w:rsid w:val="00B02125"/>
    <w:rsid w:val="00B02576"/>
    <w:rsid w:val="00B030F0"/>
    <w:rsid w:val="00B033E5"/>
    <w:rsid w:val="00B03A63"/>
    <w:rsid w:val="00B0446C"/>
    <w:rsid w:val="00B04FD8"/>
    <w:rsid w:val="00B05766"/>
    <w:rsid w:val="00B10FF6"/>
    <w:rsid w:val="00B112E5"/>
    <w:rsid w:val="00B122F6"/>
    <w:rsid w:val="00B16021"/>
    <w:rsid w:val="00B168C7"/>
    <w:rsid w:val="00B17006"/>
    <w:rsid w:val="00B201A4"/>
    <w:rsid w:val="00B213A6"/>
    <w:rsid w:val="00B21C5B"/>
    <w:rsid w:val="00B22230"/>
    <w:rsid w:val="00B231A6"/>
    <w:rsid w:val="00B24DF6"/>
    <w:rsid w:val="00B256DC"/>
    <w:rsid w:val="00B259C9"/>
    <w:rsid w:val="00B30E67"/>
    <w:rsid w:val="00B32B9F"/>
    <w:rsid w:val="00B33DB9"/>
    <w:rsid w:val="00B34FE2"/>
    <w:rsid w:val="00B3553A"/>
    <w:rsid w:val="00B357D8"/>
    <w:rsid w:val="00B36677"/>
    <w:rsid w:val="00B3688B"/>
    <w:rsid w:val="00B37BFC"/>
    <w:rsid w:val="00B40358"/>
    <w:rsid w:val="00B41614"/>
    <w:rsid w:val="00B42851"/>
    <w:rsid w:val="00B42A98"/>
    <w:rsid w:val="00B42E39"/>
    <w:rsid w:val="00B42F80"/>
    <w:rsid w:val="00B435CB"/>
    <w:rsid w:val="00B4493C"/>
    <w:rsid w:val="00B44F1A"/>
    <w:rsid w:val="00B47871"/>
    <w:rsid w:val="00B50A09"/>
    <w:rsid w:val="00B50DB8"/>
    <w:rsid w:val="00B51621"/>
    <w:rsid w:val="00B521CF"/>
    <w:rsid w:val="00B53654"/>
    <w:rsid w:val="00B53905"/>
    <w:rsid w:val="00B53A2E"/>
    <w:rsid w:val="00B540DA"/>
    <w:rsid w:val="00B5459C"/>
    <w:rsid w:val="00B54B5B"/>
    <w:rsid w:val="00B5562E"/>
    <w:rsid w:val="00B56460"/>
    <w:rsid w:val="00B566C7"/>
    <w:rsid w:val="00B57000"/>
    <w:rsid w:val="00B60939"/>
    <w:rsid w:val="00B60AFD"/>
    <w:rsid w:val="00B61AF0"/>
    <w:rsid w:val="00B621EB"/>
    <w:rsid w:val="00B62715"/>
    <w:rsid w:val="00B640B7"/>
    <w:rsid w:val="00B6587E"/>
    <w:rsid w:val="00B65B76"/>
    <w:rsid w:val="00B65DB8"/>
    <w:rsid w:val="00B66324"/>
    <w:rsid w:val="00B67250"/>
    <w:rsid w:val="00B70735"/>
    <w:rsid w:val="00B70D6E"/>
    <w:rsid w:val="00B73777"/>
    <w:rsid w:val="00B7582A"/>
    <w:rsid w:val="00B75B62"/>
    <w:rsid w:val="00B77FE2"/>
    <w:rsid w:val="00B818A4"/>
    <w:rsid w:val="00B82426"/>
    <w:rsid w:val="00B84117"/>
    <w:rsid w:val="00B85AA2"/>
    <w:rsid w:val="00B85B9C"/>
    <w:rsid w:val="00B860E6"/>
    <w:rsid w:val="00B861B3"/>
    <w:rsid w:val="00B862BE"/>
    <w:rsid w:val="00B8649C"/>
    <w:rsid w:val="00B8723D"/>
    <w:rsid w:val="00B87F0A"/>
    <w:rsid w:val="00B905ED"/>
    <w:rsid w:val="00B918AC"/>
    <w:rsid w:val="00B92D0B"/>
    <w:rsid w:val="00B93177"/>
    <w:rsid w:val="00B9368E"/>
    <w:rsid w:val="00B94945"/>
    <w:rsid w:val="00B94D69"/>
    <w:rsid w:val="00B95481"/>
    <w:rsid w:val="00B9566A"/>
    <w:rsid w:val="00B95B28"/>
    <w:rsid w:val="00B95C49"/>
    <w:rsid w:val="00B964F1"/>
    <w:rsid w:val="00B96B59"/>
    <w:rsid w:val="00BA1837"/>
    <w:rsid w:val="00BA200B"/>
    <w:rsid w:val="00BA2197"/>
    <w:rsid w:val="00BA2BCA"/>
    <w:rsid w:val="00BA322D"/>
    <w:rsid w:val="00BA40A3"/>
    <w:rsid w:val="00BA41D7"/>
    <w:rsid w:val="00BA5DB4"/>
    <w:rsid w:val="00BA71CC"/>
    <w:rsid w:val="00BA7264"/>
    <w:rsid w:val="00BA7C79"/>
    <w:rsid w:val="00BA7E11"/>
    <w:rsid w:val="00BB0BDD"/>
    <w:rsid w:val="00BB238C"/>
    <w:rsid w:val="00BB2A73"/>
    <w:rsid w:val="00BB336D"/>
    <w:rsid w:val="00BB4A3E"/>
    <w:rsid w:val="00BB4ACC"/>
    <w:rsid w:val="00BB576C"/>
    <w:rsid w:val="00BB6DB7"/>
    <w:rsid w:val="00BB703E"/>
    <w:rsid w:val="00BB7405"/>
    <w:rsid w:val="00BB7709"/>
    <w:rsid w:val="00BC2D8D"/>
    <w:rsid w:val="00BC2F70"/>
    <w:rsid w:val="00BC3391"/>
    <w:rsid w:val="00BC3631"/>
    <w:rsid w:val="00BC560C"/>
    <w:rsid w:val="00BC7C70"/>
    <w:rsid w:val="00BD06CC"/>
    <w:rsid w:val="00BD1BF3"/>
    <w:rsid w:val="00BD23D0"/>
    <w:rsid w:val="00BD255B"/>
    <w:rsid w:val="00BD3189"/>
    <w:rsid w:val="00BD4193"/>
    <w:rsid w:val="00BD4497"/>
    <w:rsid w:val="00BD4AF0"/>
    <w:rsid w:val="00BD575C"/>
    <w:rsid w:val="00BD68A3"/>
    <w:rsid w:val="00BD6938"/>
    <w:rsid w:val="00BD6CF3"/>
    <w:rsid w:val="00BD78DE"/>
    <w:rsid w:val="00BE2180"/>
    <w:rsid w:val="00BE21F2"/>
    <w:rsid w:val="00BE244A"/>
    <w:rsid w:val="00BE33CF"/>
    <w:rsid w:val="00BE4275"/>
    <w:rsid w:val="00BE4ACE"/>
    <w:rsid w:val="00BE5236"/>
    <w:rsid w:val="00BF0F95"/>
    <w:rsid w:val="00BF159A"/>
    <w:rsid w:val="00BF1C11"/>
    <w:rsid w:val="00BF1FE4"/>
    <w:rsid w:val="00BF2433"/>
    <w:rsid w:val="00BF2947"/>
    <w:rsid w:val="00BF32F7"/>
    <w:rsid w:val="00BF3CE4"/>
    <w:rsid w:val="00BF3F00"/>
    <w:rsid w:val="00BF430D"/>
    <w:rsid w:val="00BF48E0"/>
    <w:rsid w:val="00BF61C9"/>
    <w:rsid w:val="00BF63C8"/>
    <w:rsid w:val="00BF6895"/>
    <w:rsid w:val="00BF6C94"/>
    <w:rsid w:val="00BF6DFE"/>
    <w:rsid w:val="00BF6F0B"/>
    <w:rsid w:val="00C0034D"/>
    <w:rsid w:val="00C00424"/>
    <w:rsid w:val="00C01739"/>
    <w:rsid w:val="00C02B93"/>
    <w:rsid w:val="00C0485F"/>
    <w:rsid w:val="00C05F2D"/>
    <w:rsid w:val="00C07369"/>
    <w:rsid w:val="00C0797C"/>
    <w:rsid w:val="00C07ACF"/>
    <w:rsid w:val="00C10888"/>
    <w:rsid w:val="00C10AEB"/>
    <w:rsid w:val="00C12210"/>
    <w:rsid w:val="00C12C14"/>
    <w:rsid w:val="00C13167"/>
    <w:rsid w:val="00C13D62"/>
    <w:rsid w:val="00C14025"/>
    <w:rsid w:val="00C157B8"/>
    <w:rsid w:val="00C16935"/>
    <w:rsid w:val="00C17462"/>
    <w:rsid w:val="00C200AA"/>
    <w:rsid w:val="00C21582"/>
    <w:rsid w:val="00C21990"/>
    <w:rsid w:val="00C22933"/>
    <w:rsid w:val="00C22F7B"/>
    <w:rsid w:val="00C237ED"/>
    <w:rsid w:val="00C24632"/>
    <w:rsid w:val="00C251E4"/>
    <w:rsid w:val="00C25418"/>
    <w:rsid w:val="00C25AF9"/>
    <w:rsid w:val="00C25D9C"/>
    <w:rsid w:val="00C2600A"/>
    <w:rsid w:val="00C26F6E"/>
    <w:rsid w:val="00C2778B"/>
    <w:rsid w:val="00C31649"/>
    <w:rsid w:val="00C34345"/>
    <w:rsid w:val="00C3438E"/>
    <w:rsid w:val="00C347F5"/>
    <w:rsid w:val="00C34FD4"/>
    <w:rsid w:val="00C35794"/>
    <w:rsid w:val="00C40375"/>
    <w:rsid w:val="00C40385"/>
    <w:rsid w:val="00C4193E"/>
    <w:rsid w:val="00C44B9D"/>
    <w:rsid w:val="00C45381"/>
    <w:rsid w:val="00C45813"/>
    <w:rsid w:val="00C461A4"/>
    <w:rsid w:val="00C475AA"/>
    <w:rsid w:val="00C508D4"/>
    <w:rsid w:val="00C50C3D"/>
    <w:rsid w:val="00C52B2D"/>
    <w:rsid w:val="00C56097"/>
    <w:rsid w:val="00C56CAF"/>
    <w:rsid w:val="00C65576"/>
    <w:rsid w:val="00C658A5"/>
    <w:rsid w:val="00C66165"/>
    <w:rsid w:val="00C663F3"/>
    <w:rsid w:val="00C66569"/>
    <w:rsid w:val="00C669DF"/>
    <w:rsid w:val="00C66BE6"/>
    <w:rsid w:val="00C701B0"/>
    <w:rsid w:val="00C70AB5"/>
    <w:rsid w:val="00C70B0A"/>
    <w:rsid w:val="00C7116A"/>
    <w:rsid w:val="00C7151A"/>
    <w:rsid w:val="00C7155E"/>
    <w:rsid w:val="00C71F60"/>
    <w:rsid w:val="00C72241"/>
    <w:rsid w:val="00C750C8"/>
    <w:rsid w:val="00C752B8"/>
    <w:rsid w:val="00C7560F"/>
    <w:rsid w:val="00C75EA7"/>
    <w:rsid w:val="00C769DE"/>
    <w:rsid w:val="00C76A04"/>
    <w:rsid w:val="00C770C3"/>
    <w:rsid w:val="00C77AA9"/>
    <w:rsid w:val="00C802EE"/>
    <w:rsid w:val="00C80A0E"/>
    <w:rsid w:val="00C81DB3"/>
    <w:rsid w:val="00C8213F"/>
    <w:rsid w:val="00C83882"/>
    <w:rsid w:val="00C83F9F"/>
    <w:rsid w:val="00C84063"/>
    <w:rsid w:val="00C85BC2"/>
    <w:rsid w:val="00C864CA"/>
    <w:rsid w:val="00C8692E"/>
    <w:rsid w:val="00C86CC7"/>
    <w:rsid w:val="00C8797A"/>
    <w:rsid w:val="00C900B8"/>
    <w:rsid w:val="00C90C71"/>
    <w:rsid w:val="00C914B5"/>
    <w:rsid w:val="00C91556"/>
    <w:rsid w:val="00C919C9"/>
    <w:rsid w:val="00C91FDA"/>
    <w:rsid w:val="00C9276B"/>
    <w:rsid w:val="00C931CF"/>
    <w:rsid w:val="00C938CF"/>
    <w:rsid w:val="00C93B35"/>
    <w:rsid w:val="00C9538D"/>
    <w:rsid w:val="00C959EF"/>
    <w:rsid w:val="00C9624D"/>
    <w:rsid w:val="00C969DA"/>
    <w:rsid w:val="00C975B7"/>
    <w:rsid w:val="00CA0B2E"/>
    <w:rsid w:val="00CA1292"/>
    <w:rsid w:val="00CA2C77"/>
    <w:rsid w:val="00CA444F"/>
    <w:rsid w:val="00CA49C7"/>
    <w:rsid w:val="00CA5245"/>
    <w:rsid w:val="00CA55E2"/>
    <w:rsid w:val="00CA71F4"/>
    <w:rsid w:val="00CA7B09"/>
    <w:rsid w:val="00CB09F1"/>
    <w:rsid w:val="00CB1721"/>
    <w:rsid w:val="00CB299A"/>
    <w:rsid w:val="00CB2F2A"/>
    <w:rsid w:val="00CB3D14"/>
    <w:rsid w:val="00CB5B1A"/>
    <w:rsid w:val="00CB6B22"/>
    <w:rsid w:val="00CB6EE9"/>
    <w:rsid w:val="00CB70E6"/>
    <w:rsid w:val="00CB740B"/>
    <w:rsid w:val="00CB7F5F"/>
    <w:rsid w:val="00CC1192"/>
    <w:rsid w:val="00CC1B39"/>
    <w:rsid w:val="00CC2DD6"/>
    <w:rsid w:val="00CC416C"/>
    <w:rsid w:val="00CC46E9"/>
    <w:rsid w:val="00CC5A9C"/>
    <w:rsid w:val="00CC5FB0"/>
    <w:rsid w:val="00CC6319"/>
    <w:rsid w:val="00CC7CA7"/>
    <w:rsid w:val="00CD128F"/>
    <w:rsid w:val="00CD206D"/>
    <w:rsid w:val="00CD4ED9"/>
    <w:rsid w:val="00CD5128"/>
    <w:rsid w:val="00CD5707"/>
    <w:rsid w:val="00CD5C93"/>
    <w:rsid w:val="00CD6ADC"/>
    <w:rsid w:val="00CE1489"/>
    <w:rsid w:val="00CE22CE"/>
    <w:rsid w:val="00CE25B4"/>
    <w:rsid w:val="00CE297D"/>
    <w:rsid w:val="00CE417D"/>
    <w:rsid w:val="00CE55DC"/>
    <w:rsid w:val="00CE5862"/>
    <w:rsid w:val="00CE5B40"/>
    <w:rsid w:val="00CE6274"/>
    <w:rsid w:val="00CF0A72"/>
    <w:rsid w:val="00CF2B8D"/>
    <w:rsid w:val="00CF456B"/>
    <w:rsid w:val="00CF4B89"/>
    <w:rsid w:val="00CF5A22"/>
    <w:rsid w:val="00CF62D3"/>
    <w:rsid w:val="00CF788C"/>
    <w:rsid w:val="00D004CB"/>
    <w:rsid w:val="00D01067"/>
    <w:rsid w:val="00D0262E"/>
    <w:rsid w:val="00D02C15"/>
    <w:rsid w:val="00D038C8"/>
    <w:rsid w:val="00D03E0F"/>
    <w:rsid w:val="00D03F98"/>
    <w:rsid w:val="00D04691"/>
    <w:rsid w:val="00D064A2"/>
    <w:rsid w:val="00D067D2"/>
    <w:rsid w:val="00D07158"/>
    <w:rsid w:val="00D074A3"/>
    <w:rsid w:val="00D07FFC"/>
    <w:rsid w:val="00D110BD"/>
    <w:rsid w:val="00D12E1C"/>
    <w:rsid w:val="00D13626"/>
    <w:rsid w:val="00D13675"/>
    <w:rsid w:val="00D141E1"/>
    <w:rsid w:val="00D14FB0"/>
    <w:rsid w:val="00D168C5"/>
    <w:rsid w:val="00D17B84"/>
    <w:rsid w:val="00D17D6C"/>
    <w:rsid w:val="00D20222"/>
    <w:rsid w:val="00D223FF"/>
    <w:rsid w:val="00D230AA"/>
    <w:rsid w:val="00D23496"/>
    <w:rsid w:val="00D25036"/>
    <w:rsid w:val="00D2525F"/>
    <w:rsid w:val="00D26990"/>
    <w:rsid w:val="00D2754D"/>
    <w:rsid w:val="00D27B27"/>
    <w:rsid w:val="00D3152F"/>
    <w:rsid w:val="00D332B6"/>
    <w:rsid w:val="00D33BE9"/>
    <w:rsid w:val="00D33F38"/>
    <w:rsid w:val="00D3508C"/>
    <w:rsid w:val="00D355E6"/>
    <w:rsid w:val="00D355EC"/>
    <w:rsid w:val="00D357FF"/>
    <w:rsid w:val="00D4095D"/>
    <w:rsid w:val="00D41323"/>
    <w:rsid w:val="00D41A10"/>
    <w:rsid w:val="00D424C7"/>
    <w:rsid w:val="00D4271E"/>
    <w:rsid w:val="00D42F2F"/>
    <w:rsid w:val="00D43B2A"/>
    <w:rsid w:val="00D43C23"/>
    <w:rsid w:val="00D4422B"/>
    <w:rsid w:val="00D45171"/>
    <w:rsid w:val="00D467A9"/>
    <w:rsid w:val="00D4754F"/>
    <w:rsid w:val="00D47575"/>
    <w:rsid w:val="00D5017A"/>
    <w:rsid w:val="00D517B2"/>
    <w:rsid w:val="00D51EA3"/>
    <w:rsid w:val="00D54219"/>
    <w:rsid w:val="00D5467F"/>
    <w:rsid w:val="00D54BF5"/>
    <w:rsid w:val="00D54C76"/>
    <w:rsid w:val="00D55FD8"/>
    <w:rsid w:val="00D56091"/>
    <w:rsid w:val="00D562F7"/>
    <w:rsid w:val="00D60BF7"/>
    <w:rsid w:val="00D60EF4"/>
    <w:rsid w:val="00D621F3"/>
    <w:rsid w:val="00D62518"/>
    <w:rsid w:val="00D63ABC"/>
    <w:rsid w:val="00D70574"/>
    <w:rsid w:val="00D70F16"/>
    <w:rsid w:val="00D717E4"/>
    <w:rsid w:val="00D71A3C"/>
    <w:rsid w:val="00D75D1C"/>
    <w:rsid w:val="00D75DAE"/>
    <w:rsid w:val="00D7686C"/>
    <w:rsid w:val="00D76A44"/>
    <w:rsid w:val="00D80CE4"/>
    <w:rsid w:val="00D815EF"/>
    <w:rsid w:val="00D830F3"/>
    <w:rsid w:val="00D875C6"/>
    <w:rsid w:val="00D90FEB"/>
    <w:rsid w:val="00D91923"/>
    <w:rsid w:val="00D91B2F"/>
    <w:rsid w:val="00D93499"/>
    <w:rsid w:val="00D93753"/>
    <w:rsid w:val="00D937E8"/>
    <w:rsid w:val="00D9779E"/>
    <w:rsid w:val="00DA3167"/>
    <w:rsid w:val="00DA4DC3"/>
    <w:rsid w:val="00DA5648"/>
    <w:rsid w:val="00DA6D99"/>
    <w:rsid w:val="00DA77A5"/>
    <w:rsid w:val="00DB337F"/>
    <w:rsid w:val="00DB3EDA"/>
    <w:rsid w:val="00DB484F"/>
    <w:rsid w:val="00DB7B7C"/>
    <w:rsid w:val="00DC04F6"/>
    <w:rsid w:val="00DC3C57"/>
    <w:rsid w:val="00DC4370"/>
    <w:rsid w:val="00DC509A"/>
    <w:rsid w:val="00DC5501"/>
    <w:rsid w:val="00DC63FF"/>
    <w:rsid w:val="00DC6834"/>
    <w:rsid w:val="00DD2363"/>
    <w:rsid w:val="00DD273C"/>
    <w:rsid w:val="00DD282A"/>
    <w:rsid w:val="00DD379C"/>
    <w:rsid w:val="00DD3B78"/>
    <w:rsid w:val="00DD3C53"/>
    <w:rsid w:val="00DD3F28"/>
    <w:rsid w:val="00DD4537"/>
    <w:rsid w:val="00DD47A4"/>
    <w:rsid w:val="00DD4E15"/>
    <w:rsid w:val="00DD6ACC"/>
    <w:rsid w:val="00DD6AF0"/>
    <w:rsid w:val="00DE1DCD"/>
    <w:rsid w:val="00DE2E90"/>
    <w:rsid w:val="00DE3138"/>
    <w:rsid w:val="00DE335A"/>
    <w:rsid w:val="00DE37F8"/>
    <w:rsid w:val="00DE3AED"/>
    <w:rsid w:val="00DE4FCB"/>
    <w:rsid w:val="00DE6A30"/>
    <w:rsid w:val="00DE7832"/>
    <w:rsid w:val="00DE7EF3"/>
    <w:rsid w:val="00DF08C8"/>
    <w:rsid w:val="00DF18FC"/>
    <w:rsid w:val="00DF2694"/>
    <w:rsid w:val="00DF2E0D"/>
    <w:rsid w:val="00DF3661"/>
    <w:rsid w:val="00DF4829"/>
    <w:rsid w:val="00DF5D2B"/>
    <w:rsid w:val="00DF6B79"/>
    <w:rsid w:val="00E00E8E"/>
    <w:rsid w:val="00E021BF"/>
    <w:rsid w:val="00E0262E"/>
    <w:rsid w:val="00E05630"/>
    <w:rsid w:val="00E06820"/>
    <w:rsid w:val="00E06B9E"/>
    <w:rsid w:val="00E06DBB"/>
    <w:rsid w:val="00E077BE"/>
    <w:rsid w:val="00E10149"/>
    <w:rsid w:val="00E116C5"/>
    <w:rsid w:val="00E11FF2"/>
    <w:rsid w:val="00E12AFB"/>
    <w:rsid w:val="00E146EE"/>
    <w:rsid w:val="00E150BB"/>
    <w:rsid w:val="00E15FEC"/>
    <w:rsid w:val="00E16372"/>
    <w:rsid w:val="00E20393"/>
    <w:rsid w:val="00E20E4D"/>
    <w:rsid w:val="00E20ED6"/>
    <w:rsid w:val="00E21358"/>
    <w:rsid w:val="00E21AA6"/>
    <w:rsid w:val="00E2244D"/>
    <w:rsid w:val="00E2249B"/>
    <w:rsid w:val="00E22921"/>
    <w:rsid w:val="00E22A0D"/>
    <w:rsid w:val="00E24B8A"/>
    <w:rsid w:val="00E25BB2"/>
    <w:rsid w:val="00E2771E"/>
    <w:rsid w:val="00E277AE"/>
    <w:rsid w:val="00E30B82"/>
    <w:rsid w:val="00E30FC4"/>
    <w:rsid w:val="00E31A23"/>
    <w:rsid w:val="00E32193"/>
    <w:rsid w:val="00E3358C"/>
    <w:rsid w:val="00E336EA"/>
    <w:rsid w:val="00E34087"/>
    <w:rsid w:val="00E34948"/>
    <w:rsid w:val="00E35CFD"/>
    <w:rsid w:val="00E37569"/>
    <w:rsid w:val="00E379CE"/>
    <w:rsid w:val="00E403B2"/>
    <w:rsid w:val="00E40CA1"/>
    <w:rsid w:val="00E4170A"/>
    <w:rsid w:val="00E41727"/>
    <w:rsid w:val="00E41933"/>
    <w:rsid w:val="00E41E30"/>
    <w:rsid w:val="00E43D70"/>
    <w:rsid w:val="00E442F0"/>
    <w:rsid w:val="00E4491E"/>
    <w:rsid w:val="00E463A8"/>
    <w:rsid w:val="00E463C4"/>
    <w:rsid w:val="00E466F3"/>
    <w:rsid w:val="00E474C5"/>
    <w:rsid w:val="00E47B2C"/>
    <w:rsid w:val="00E47DC2"/>
    <w:rsid w:val="00E50EAD"/>
    <w:rsid w:val="00E50F0E"/>
    <w:rsid w:val="00E51560"/>
    <w:rsid w:val="00E5346C"/>
    <w:rsid w:val="00E54347"/>
    <w:rsid w:val="00E54EB1"/>
    <w:rsid w:val="00E55424"/>
    <w:rsid w:val="00E55BB5"/>
    <w:rsid w:val="00E55DB9"/>
    <w:rsid w:val="00E60A8E"/>
    <w:rsid w:val="00E630CF"/>
    <w:rsid w:val="00E63406"/>
    <w:rsid w:val="00E636ED"/>
    <w:rsid w:val="00E64F56"/>
    <w:rsid w:val="00E653CE"/>
    <w:rsid w:val="00E65E79"/>
    <w:rsid w:val="00E66BA2"/>
    <w:rsid w:val="00E67416"/>
    <w:rsid w:val="00E718B6"/>
    <w:rsid w:val="00E71D97"/>
    <w:rsid w:val="00E723BA"/>
    <w:rsid w:val="00E72BEA"/>
    <w:rsid w:val="00E73581"/>
    <w:rsid w:val="00E73E65"/>
    <w:rsid w:val="00E75348"/>
    <w:rsid w:val="00E76141"/>
    <w:rsid w:val="00E80039"/>
    <w:rsid w:val="00E81862"/>
    <w:rsid w:val="00E8193B"/>
    <w:rsid w:val="00E82576"/>
    <w:rsid w:val="00E8297F"/>
    <w:rsid w:val="00E82C17"/>
    <w:rsid w:val="00E82D68"/>
    <w:rsid w:val="00E833F7"/>
    <w:rsid w:val="00E83BDF"/>
    <w:rsid w:val="00E8418C"/>
    <w:rsid w:val="00E85947"/>
    <w:rsid w:val="00E87A1D"/>
    <w:rsid w:val="00E9216E"/>
    <w:rsid w:val="00E926A5"/>
    <w:rsid w:val="00E9326F"/>
    <w:rsid w:val="00E93AB5"/>
    <w:rsid w:val="00E942A0"/>
    <w:rsid w:val="00E945B6"/>
    <w:rsid w:val="00E966F2"/>
    <w:rsid w:val="00E96895"/>
    <w:rsid w:val="00E96A45"/>
    <w:rsid w:val="00E96FBB"/>
    <w:rsid w:val="00E979B5"/>
    <w:rsid w:val="00EA0F51"/>
    <w:rsid w:val="00EA150C"/>
    <w:rsid w:val="00EA17C3"/>
    <w:rsid w:val="00EA18C4"/>
    <w:rsid w:val="00EA1F3A"/>
    <w:rsid w:val="00EA2CAA"/>
    <w:rsid w:val="00EA2E9E"/>
    <w:rsid w:val="00EA31C8"/>
    <w:rsid w:val="00EA3864"/>
    <w:rsid w:val="00EA3D91"/>
    <w:rsid w:val="00EA4B74"/>
    <w:rsid w:val="00EB045D"/>
    <w:rsid w:val="00EB15B6"/>
    <w:rsid w:val="00EB1BB7"/>
    <w:rsid w:val="00EB349C"/>
    <w:rsid w:val="00EB3FD7"/>
    <w:rsid w:val="00EB4916"/>
    <w:rsid w:val="00EB58E1"/>
    <w:rsid w:val="00EB62EA"/>
    <w:rsid w:val="00EC00C9"/>
    <w:rsid w:val="00EC0681"/>
    <w:rsid w:val="00EC21D0"/>
    <w:rsid w:val="00EC2649"/>
    <w:rsid w:val="00EC376A"/>
    <w:rsid w:val="00EC4BB8"/>
    <w:rsid w:val="00EC5636"/>
    <w:rsid w:val="00EC62F2"/>
    <w:rsid w:val="00EC6F32"/>
    <w:rsid w:val="00EC7000"/>
    <w:rsid w:val="00EC71DC"/>
    <w:rsid w:val="00EC78F1"/>
    <w:rsid w:val="00ED19DC"/>
    <w:rsid w:val="00ED32E5"/>
    <w:rsid w:val="00ED4DF6"/>
    <w:rsid w:val="00ED5669"/>
    <w:rsid w:val="00ED57EA"/>
    <w:rsid w:val="00ED637D"/>
    <w:rsid w:val="00ED6411"/>
    <w:rsid w:val="00ED78C9"/>
    <w:rsid w:val="00EE07D3"/>
    <w:rsid w:val="00EE22A6"/>
    <w:rsid w:val="00EE22AF"/>
    <w:rsid w:val="00EE32AB"/>
    <w:rsid w:val="00EE3561"/>
    <w:rsid w:val="00EE5BAA"/>
    <w:rsid w:val="00EE68C8"/>
    <w:rsid w:val="00EE6C53"/>
    <w:rsid w:val="00EE6C6D"/>
    <w:rsid w:val="00EF0171"/>
    <w:rsid w:val="00EF1B25"/>
    <w:rsid w:val="00EF2140"/>
    <w:rsid w:val="00EF3E6A"/>
    <w:rsid w:val="00EF4747"/>
    <w:rsid w:val="00EF4781"/>
    <w:rsid w:val="00EF4BF8"/>
    <w:rsid w:val="00EF6767"/>
    <w:rsid w:val="00F00687"/>
    <w:rsid w:val="00F02253"/>
    <w:rsid w:val="00F03050"/>
    <w:rsid w:val="00F0373C"/>
    <w:rsid w:val="00F03C2E"/>
    <w:rsid w:val="00F03E75"/>
    <w:rsid w:val="00F048B8"/>
    <w:rsid w:val="00F04A66"/>
    <w:rsid w:val="00F04ADE"/>
    <w:rsid w:val="00F050CA"/>
    <w:rsid w:val="00F0516C"/>
    <w:rsid w:val="00F061F2"/>
    <w:rsid w:val="00F067A2"/>
    <w:rsid w:val="00F077D9"/>
    <w:rsid w:val="00F07B7E"/>
    <w:rsid w:val="00F07D79"/>
    <w:rsid w:val="00F114BB"/>
    <w:rsid w:val="00F12289"/>
    <w:rsid w:val="00F1263A"/>
    <w:rsid w:val="00F127F8"/>
    <w:rsid w:val="00F12D5E"/>
    <w:rsid w:val="00F1383A"/>
    <w:rsid w:val="00F13F1C"/>
    <w:rsid w:val="00F15502"/>
    <w:rsid w:val="00F15AA2"/>
    <w:rsid w:val="00F164FC"/>
    <w:rsid w:val="00F16D30"/>
    <w:rsid w:val="00F2027B"/>
    <w:rsid w:val="00F21DCC"/>
    <w:rsid w:val="00F22662"/>
    <w:rsid w:val="00F22DD5"/>
    <w:rsid w:val="00F23377"/>
    <w:rsid w:val="00F24837"/>
    <w:rsid w:val="00F2575F"/>
    <w:rsid w:val="00F25821"/>
    <w:rsid w:val="00F27565"/>
    <w:rsid w:val="00F30379"/>
    <w:rsid w:val="00F310D4"/>
    <w:rsid w:val="00F31D5A"/>
    <w:rsid w:val="00F33DE9"/>
    <w:rsid w:val="00F35C51"/>
    <w:rsid w:val="00F35D38"/>
    <w:rsid w:val="00F3619A"/>
    <w:rsid w:val="00F366CD"/>
    <w:rsid w:val="00F409FE"/>
    <w:rsid w:val="00F40AAA"/>
    <w:rsid w:val="00F40BA7"/>
    <w:rsid w:val="00F40EA6"/>
    <w:rsid w:val="00F42598"/>
    <w:rsid w:val="00F4274F"/>
    <w:rsid w:val="00F4311A"/>
    <w:rsid w:val="00F46CB6"/>
    <w:rsid w:val="00F47DE3"/>
    <w:rsid w:val="00F47DE8"/>
    <w:rsid w:val="00F50731"/>
    <w:rsid w:val="00F5368B"/>
    <w:rsid w:val="00F542C1"/>
    <w:rsid w:val="00F55E73"/>
    <w:rsid w:val="00F55EDA"/>
    <w:rsid w:val="00F56671"/>
    <w:rsid w:val="00F5778A"/>
    <w:rsid w:val="00F6005A"/>
    <w:rsid w:val="00F60092"/>
    <w:rsid w:val="00F60CA2"/>
    <w:rsid w:val="00F615DA"/>
    <w:rsid w:val="00F627DF"/>
    <w:rsid w:val="00F6426E"/>
    <w:rsid w:val="00F65F4B"/>
    <w:rsid w:val="00F675E0"/>
    <w:rsid w:val="00F70C9D"/>
    <w:rsid w:val="00F70CC5"/>
    <w:rsid w:val="00F71813"/>
    <w:rsid w:val="00F71E2F"/>
    <w:rsid w:val="00F724CB"/>
    <w:rsid w:val="00F74CD9"/>
    <w:rsid w:val="00F75411"/>
    <w:rsid w:val="00F757E6"/>
    <w:rsid w:val="00F764C5"/>
    <w:rsid w:val="00F802F8"/>
    <w:rsid w:val="00F8059E"/>
    <w:rsid w:val="00F80A7B"/>
    <w:rsid w:val="00F80E5D"/>
    <w:rsid w:val="00F824E8"/>
    <w:rsid w:val="00F826E7"/>
    <w:rsid w:val="00F833A1"/>
    <w:rsid w:val="00F83D63"/>
    <w:rsid w:val="00F8459C"/>
    <w:rsid w:val="00F851CE"/>
    <w:rsid w:val="00F854AD"/>
    <w:rsid w:val="00F86097"/>
    <w:rsid w:val="00F870B4"/>
    <w:rsid w:val="00F90127"/>
    <w:rsid w:val="00F91219"/>
    <w:rsid w:val="00F91944"/>
    <w:rsid w:val="00F921AE"/>
    <w:rsid w:val="00F927FB"/>
    <w:rsid w:val="00F936E5"/>
    <w:rsid w:val="00F9436F"/>
    <w:rsid w:val="00F9646C"/>
    <w:rsid w:val="00F97A78"/>
    <w:rsid w:val="00FA0B20"/>
    <w:rsid w:val="00FA24E7"/>
    <w:rsid w:val="00FA29A1"/>
    <w:rsid w:val="00FA2D55"/>
    <w:rsid w:val="00FA3836"/>
    <w:rsid w:val="00FA39FD"/>
    <w:rsid w:val="00FA3D5E"/>
    <w:rsid w:val="00FA3F6C"/>
    <w:rsid w:val="00FA4C31"/>
    <w:rsid w:val="00FB151C"/>
    <w:rsid w:val="00FB2FCB"/>
    <w:rsid w:val="00FB39F9"/>
    <w:rsid w:val="00FB409F"/>
    <w:rsid w:val="00FB40EC"/>
    <w:rsid w:val="00FB5800"/>
    <w:rsid w:val="00FB5B34"/>
    <w:rsid w:val="00FB61CC"/>
    <w:rsid w:val="00FB729F"/>
    <w:rsid w:val="00FB75D7"/>
    <w:rsid w:val="00FB7662"/>
    <w:rsid w:val="00FC03E0"/>
    <w:rsid w:val="00FC0FEC"/>
    <w:rsid w:val="00FC1074"/>
    <w:rsid w:val="00FC1884"/>
    <w:rsid w:val="00FC35BF"/>
    <w:rsid w:val="00FC371D"/>
    <w:rsid w:val="00FC4700"/>
    <w:rsid w:val="00FC4D80"/>
    <w:rsid w:val="00FC5C7E"/>
    <w:rsid w:val="00FC5F0B"/>
    <w:rsid w:val="00FD0FFA"/>
    <w:rsid w:val="00FD2100"/>
    <w:rsid w:val="00FD3BC6"/>
    <w:rsid w:val="00FD41A9"/>
    <w:rsid w:val="00FD436C"/>
    <w:rsid w:val="00FD446D"/>
    <w:rsid w:val="00FD4504"/>
    <w:rsid w:val="00FD463C"/>
    <w:rsid w:val="00FD5731"/>
    <w:rsid w:val="00FD5ACE"/>
    <w:rsid w:val="00FD6394"/>
    <w:rsid w:val="00FD7684"/>
    <w:rsid w:val="00FE0330"/>
    <w:rsid w:val="00FE0E6C"/>
    <w:rsid w:val="00FE1A64"/>
    <w:rsid w:val="00FE289F"/>
    <w:rsid w:val="00FE2FDB"/>
    <w:rsid w:val="00FE4F03"/>
    <w:rsid w:val="00FE567A"/>
    <w:rsid w:val="00FE67C0"/>
    <w:rsid w:val="00FE70C3"/>
    <w:rsid w:val="00FF12B9"/>
    <w:rsid w:val="00FF1B58"/>
    <w:rsid w:val="00FF1D2D"/>
    <w:rsid w:val="00FF25F7"/>
    <w:rsid w:val="00FF2708"/>
    <w:rsid w:val="00FF3C98"/>
    <w:rsid w:val="00FF3DCF"/>
    <w:rsid w:val="00FF3FB2"/>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E19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9EA"/>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aliases w:val="4 Subsection Heading"/>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4 Subsection Heading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ody Text Bullet Points,Bullet point,List Paragraph11,Recommendation,Section heading,Footnote,Figure_name,Numbered Indented Text,Bullet- First level,List NUmber,Listenabsatz1,lp1,Style 2"/>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ody Text Bullet Points Char,Bullet point Char,List Paragraph11 Char,Recommendation Char,Section heading Char,Footnote Char,Figure_name Char,Numbered Indented Text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qFormat/>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RTI AMCP Table,new style,ASD Table,PBAC table,HTAtableplain,CMA Table Template,Dossier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1 Char,Comment Text Char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1 Char Char,Comment Text Char Char Char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5F1BDF"/>
    <w:pPr>
      <w:keepNext/>
      <w:widowControl/>
      <w:spacing w:before="40" w:after="40"/>
      <w:jc w:val="left"/>
    </w:pPr>
    <w:rPr>
      <w:rFonts w:ascii="Arial Narrow" w:eastAsiaTheme="minorHAnsi" w:hAnsi="Arial Narrow" w:cstheme="minorBidi"/>
      <w:snapToGrid/>
      <w:sz w:val="20"/>
    </w:rPr>
  </w:style>
  <w:style w:type="paragraph" w:customStyle="1" w:styleId="1-MainHeading">
    <w:name w:val="1-Main Heading"/>
    <w:link w:val="1-MainHeadingChar"/>
    <w:qFormat/>
    <w:rsid w:val="00A605AC"/>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A605AC"/>
    <w:rPr>
      <w:rFonts w:asciiTheme="minorHAnsi" w:eastAsiaTheme="majorEastAsia" w:hAnsiTheme="minorHAnsi" w:cstheme="majorBidi"/>
      <w:b/>
      <w:spacing w:val="5"/>
      <w:kern w:val="28"/>
      <w:sz w:val="36"/>
      <w:szCs w:val="36"/>
    </w:rPr>
  </w:style>
  <w:style w:type="paragraph" w:customStyle="1" w:styleId="BodyText1">
    <w:name w:val="Body Text1"/>
    <w:basedOn w:val="Normal"/>
    <w:link w:val="BodytextChar0"/>
    <w:rsid w:val="00902D08"/>
    <w:pPr>
      <w:widowControl/>
      <w:spacing w:after="120" w:line="300" w:lineRule="auto"/>
    </w:pPr>
    <w:rPr>
      <w:rFonts w:ascii="Arial" w:hAnsi="Arial" w:cs="Times New Roman"/>
      <w:snapToGrid/>
      <w:sz w:val="22"/>
      <w:szCs w:val="24"/>
    </w:rPr>
  </w:style>
  <w:style w:type="character" w:customStyle="1" w:styleId="BodytextChar0">
    <w:name w:val="Body text Char"/>
    <w:link w:val="BodyText1"/>
    <w:locked/>
    <w:rsid w:val="00902D08"/>
    <w:rPr>
      <w:rFonts w:ascii="Arial" w:hAnsi="Arial"/>
      <w:sz w:val="22"/>
      <w:szCs w:val="24"/>
      <w:lang w:eastAsia="en-US"/>
    </w:rPr>
  </w:style>
  <w:style w:type="paragraph" w:customStyle="1" w:styleId="V50Instructions">
    <w:name w:val="V5.0 Instructions"/>
    <w:basedOn w:val="Normal"/>
    <w:link w:val="V50InstructionsChar"/>
    <w:qFormat/>
    <w:rsid w:val="0023676C"/>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23676C"/>
    <w:rPr>
      <w:rFonts w:asciiTheme="minorHAnsi" w:eastAsiaTheme="minorHAnsi" w:hAnsiTheme="minorHAnsi" w:cstheme="minorBidi"/>
      <w:color w:val="4BACC6" w:themeColor="accent5"/>
      <w:sz w:val="24"/>
      <w:szCs w:val="22"/>
      <w:lang w:eastAsia="en-US"/>
    </w:rPr>
  </w:style>
  <w:style w:type="paragraph" w:customStyle="1" w:styleId="Default">
    <w:name w:val="Default"/>
    <w:rsid w:val="0023676C"/>
    <w:pPr>
      <w:autoSpaceDE w:val="0"/>
      <w:autoSpaceDN w:val="0"/>
      <w:adjustRightInd w:val="0"/>
    </w:pPr>
    <w:rPr>
      <w:rFonts w:ascii="Calibri" w:eastAsiaTheme="minorHAnsi" w:hAnsi="Calibri" w:cs="Calibri"/>
      <w:color w:val="000000"/>
      <w:sz w:val="24"/>
      <w:szCs w:val="24"/>
      <w:lang w:val="en-US" w:eastAsia="en-US"/>
    </w:rPr>
  </w:style>
  <w:style w:type="character" w:customStyle="1" w:styleId="TableTextChar0">
    <w:name w:val="Table Text Char"/>
    <w:link w:val="TableText0"/>
    <w:rsid w:val="00641444"/>
    <w:rPr>
      <w:rFonts w:ascii="Arial Narrow" w:eastAsiaTheme="minorHAnsi" w:hAnsi="Arial Narrow" w:cstheme="minorBidi"/>
      <w:szCs w:val="22"/>
      <w:lang w:eastAsia="en-US"/>
    </w:rPr>
  </w:style>
  <w:style w:type="paragraph" w:customStyle="1" w:styleId="TableNotes">
    <w:name w:val="Table Notes"/>
    <w:basedOn w:val="Normal"/>
    <w:next w:val="Normal"/>
    <w:qFormat/>
    <w:rsid w:val="00641444"/>
    <w:pPr>
      <w:keepNext/>
      <w:keepLines/>
      <w:widowControl/>
      <w:spacing w:before="60" w:after="240"/>
      <w:contextualSpacing/>
      <w:jc w:val="left"/>
    </w:pPr>
    <w:rPr>
      <w:rFonts w:ascii="Arial" w:hAnsi="Arial" w:cs="Times New Roman"/>
      <w:snapToGrid/>
      <w:sz w:val="16"/>
      <w:szCs w:val="16"/>
      <w:lang w:eastAsia="en-AU"/>
    </w:rPr>
  </w:style>
  <w:style w:type="paragraph" w:customStyle="1" w:styleId="TableH1">
    <w:name w:val="Table H1"/>
    <w:basedOn w:val="BodyText"/>
    <w:uiPriority w:val="4"/>
    <w:qFormat/>
    <w:rsid w:val="00D074A3"/>
    <w:pPr>
      <w:keepNext/>
      <w:widowControl/>
      <w:tabs>
        <w:tab w:val="left" w:pos="416"/>
        <w:tab w:val="left" w:pos="582"/>
        <w:tab w:val="left" w:pos="1134"/>
      </w:tabs>
      <w:spacing w:after="240"/>
    </w:pPr>
    <w:rPr>
      <w:rFonts w:cs="Times New Roman"/>
      <w:b/>
      <w:snapToGrid/>
      <w:sz w:val="20"/>
      <w:szCs w:val="20"/>
      <w:lang w:val="en-US"/>
    </w:rPr>
  </w:style>
  <w:style w:type="paragraph" w:styleId="EndnoteText">
    <w:name w:val="endnote text"/>
    <w:basedOn w:val="Normal"/>
    <w:link w:val="EndnoteTextChar"/>
    <w:uiPriority w:val="99"/>
    <w:semiHidden/>
    <w:unhideWhenUsed/>
    <w:rsid w:val="0071335C"/>
    <w:rPr>
      <w:sz w:val="20"/>
      <w:szCs w:val="20"/>
    </w:rPr>
  </w:style>
  <w:style w:type="character" w:customStyle="1" w:styleId="EndnoteTextChar">
    <w:name w:val="Endnote Text Char"/>
    <w:basedOn w:val="DefaultParagraphFont"/>
    <w:link w:val="EndnoteText"/>
    <w:uiPriority w:val="99"/>
    <w:semiHidden/>
    <w:rsid w:val="0071335C"/>
    <w:rPr>
      <w:rFonts w:ascii="Calibri" w:hAnsi="Calibri" w:cs="Arial"/>
      <w:snapToGrid w:val="0"/>
      <w:lang w:eastAsia="en-US"/>
    </w:rPr>
  </w:style>
  <w:style w:type="character" w:styleId="EndnoteReference">
    <w:name w:val="endnote reference"/>
    <w:basedOn w:val="DefaultParagraphFont"/>
    <w:semiHidden/>
    <w:unhideWhenUsed/>
    <w:rsid w:val="0071335C"/>
    <w:rPr>
      <w:vertAlign w:val="superscript"/>
    </w:rPr>
  </w:style>
  <w:style w:type="paragraph" w:styleId="FootnoteText">
    <w:name w:val="footnote text"/>
    <w:aliases w:val="Char"/>
    <w:basedOn w:val="Normal"/>
    <w:link w:val="FootnoteTextChar"/>
    <w:semiHidden/>
    <w:unhideWhenUsed/>
    <w:rsid w:val="0071335C"/>
    <w:rPr>
      <w:sz w:val="20"/>
      <w:szCs w:val="20"/>
    </w:rPr>
  </w:style>
  <w:style w:type="character" w:customStyle="1" w:styleId="FootnoteTextChar">
    <w:name w:val="Footnote Text Char"/>
    <w:aliases w:val="Char Char"/>
    <w:basedOn w:val="DefaultParagraphFont"/>
    <w:link w:val="FootnoteText"/>
    <w:semiHidden/>
    <w:rsid w:val="0071335C"/>
    <w:rPr>
      <w:rFonts w:ascii="Calibri" w:hAnsi="Calibri" w:cs="Arial"/>
      <w:snapToGrid w:val="0"/>
      <w:lang w:eastAsia="en-US"/>
    </w:rPr>
  </w:style>
  <w:style w:type="character" w:styleId="FootnoteReference">
    <w:name w:val="footnote reference"/>
    <w:basedOn w:val="DefaultParagraphFont"/>
    <w:semiHidden/>
    <w:unhideWhenUsed/>
    <w:rsid w:val="0071335C"/>
    <w:rPr>
      <w:vertAlign w:val="superscript"/>
    </w:rPr>
  </w:style>
  <w:style w:type="paragraph" w:customStyle="1" w:styleId="2-SectionHeading">
    <w:name w:val="2-Section Heading"/>
    <w:qFormat/>
    <w:rsid w:val="0016077E"/>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16077E"/>
    <w:pPr>
      <w:widowControl/>
      <w:spacing w:after="120"/>
      <w:ind w:hanging="720"/>
    </w:pPr>
    <w:rPr>
      <w:rFonts w:asciiTheme="minorHAnsi" w:hAnsiTheme="minorHAnsi"/>
      <w:szCs w:val="24"/>
      <w:lang w:eastAsia="en-AU"/>
    </w:rPr>
  </w:style>
  <w:style w:type="paragraph" w:customStyle="1" w:styleId="4-SubsectionHeading">
    <w:name w:val="4-Subsection Heading"/>
    <w:basedOn w:val="Heading2"/>
    <w:next w:val="3-BodyText"/>
    <w:link w:val="4-SubsectionHeadingChar"/>
    <w:qFormat/>
    <w:rsid w:val="00B860E6"/>
    <w:pPr>
      <w:keepNext/>
      <w:widowControl/>
      <w:spacing w:before="120" w:after="120"/>
    </w:pPr>
    <w:rPr>
      <w:rFonts w:asciiTheme="minorHAnsi" w:eastAsiaTheme="majorEastAsia" w:hAnsiTheme="minorHAnsi" w:cstheme="majorBidi"/>
      <w:snapToGrid/>
      <w:spacing w:val="5"/>
      <w:kern w:val="28"/>
      <w:szCs w:val="36"/>
    </w:rPr>
  </w:style>
  <w:style w:type="character" w:customStyle="1" w:styleId="4-SubsectionHeadingChar">
    <w:name w:val="4-Subsection Heading Char"/>
    <w:basedOn w:val="Heading2Char"/>
    <w:link w:val="4-SubsectionHeading"/>
    <w:rsid w:val="00B860E6"/>
    <w:rPr>
      <w:rFonts w:asciiTheme="minorHAnsi" w:eastAsiaTheme="majorEastAsia" w:hAnsiTheme="minorHAnsi" w:cstheme="majorBidi"/>
      <w:b/>
      <w:i/>
      <w:snapToGrid/>
      <w:spacing w:val="5"/>
      <w:kern w:val="28"/>
      <w:sz w:val="28"/>
      <w:szCs w:val="36"/>
      <w:lang w:eastAsia="en-US"/>
    </w:rPr>
  </w:style>
  <w:style w:type="character" w:customStyle="1" w:styleId="3-BodyTextChar">
    <w:name w:val="3-Body Text Char"/>
    <w:basedOn w:val="ListParagraphChar"/>
    <w:link w:val="3-BodyText"/>
    <w:rsid w:val="00B860E6"/>
    <w:rPr>
      <w:rFonts w:asciiTheme="minorHAnsi" w:hAnsiTheme="minorHAnsi" w:cs="Arial"/>
      <w:snapToGrid w:val="0"/>
      <w:sz w:val="24"/>
      <w:szCs w:val="24"/>
      <w:lang w:eastAsia="en-US"/>
    </w:rPr>
  </w:style>
  <w:style w:type="character" w:customStyle="1" w:styleId="UnresolvedMention1">
    <w:name w:val="Unresolved Mention1"/>
    <w:basedOn w:val="DefaultParagraphFont"/>
    <w:uiPriority w:val="99"/>
    <w:semiHidden/>
    <w:unhideWhenUsed/>
    <w:rsid w:val="00AD37D8"/>
    <w:rPr>
      <w:color w:val="605E5C"/>
      <w:shd w:val="clear" w:color="auto" w:fill="E1DFDD"/>
    </w:rPr>
  </w:style>
  <w:style w:type="paragraph" w:customStyle="1" w:styleId="Tablebullet">
    <w:name w:val="Table bullet"/>
    <w:uiPriority w:val="4"/>
    <w:rsid w:val="00BD4AF0"/>
    <w:pPr>
      <w:numPr>
        <w:numId w:val="5"/>
      </w:numPr>
      <w:spacing w:before="40" w:after="60"/>
      <w:ind w:left="426" w:hanging="357"/>
    </w:pPr>
    <w:rPr>
      <w:rFonts w:ascii="Calibri" w:hAnsi="Calibri" w:cs="Calibri"/>
      <w:bCs/>
      <w:color w:val="000000"/>
      <w:sz w:val="16"/>
      <w:szCs w:val="26"/>
      <w:lang w:eastAsia="en-US"/>
    </w:rPr>
  </w:style>
  <w:style w:type="paragraph" w:customStyle="1" w:styleId="StyleTablebullet9pt">
    <w:name w:val="Style Table bullet + 9 pt"/>
    <w:basedOn w:val="Tablebullet"/>
    <w:uiPriority w:val="99"/>
    <w:rsid w:val="00BD4AF0"/>
    <w:pPr>
      <w:ind w:left="473" w:hanging="360"/>
    </w:pPr>
    <w:rPr>
      <w:bCs w:val="0"/>
      <w:sz w:val="18"/>
    </w:rPr>
  </w:style>
  <w:style w:type="paragraph" w:customStyle="1" w:styleId="TableFigureFooter">
    <w:name w:val="Table/Figure Footer"/>
    <w:basedOn w:val="Normal"/>
    <w:link w:val="TableFigureFooterChar"/>
    <w:qFormat/>
    <w:rsid w:val="002500AF"/>
    <w:pPr>
      <w:widowControl/>
      <w:spacing w:after="120"/>
      <w:contextualSpacing/>
    </w:pPr>
    <w:rPr>
      <w:rFonts w:ascii="Arial Narrow" w:hAnsi="Arial Narrow"/>
      <w:sz w:val="18"/>
      <w:lang w:eastAsia="en-AU"/>
    </w:rPr>
  </w:style>
  <w:style w:type="character" w:customStyle="1" w:styleId="TableFigureFooterChar">
    <w:name w:val="Table/Figure Footer Char"/>
    <w:link w:val="TableFigureFooter"/>
    <w:rsid w:val="002500AF"/>
    <w:rPr>
      <w:rFonts w:ascii="Arial Narrow" w:hAnsi="Arial Narrow" w:cs="Arial"/>
      <w:snapToGrid w:val="0"/>
      <w:sz w:val="18"/>
      <w:szCs w:val="22"/>
    </w:rPr>
  </w:style>
  <w:style w:type="paragraph" w:customStyle="1" w:styleId="TableFigureHeading">
    <w:name w:val="Table/Figure Heading"/>
    <w:next w:val="Normal"/>
    <w:link w:val="TableFigureHeadingChar"/>
    <w:qFormat/>
    <w:rsid w:val="00CC7CA7"/>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CC7CA7"/>
    <w:rPr>
      <w:rFonts w:ascii="Arial Narrow" w:eastAsiaTheme="majorEastAsia" w:hAnsi="Arial Narrow" w:cstheme="majorBidi"/>
      <w:b/>
      <w:bCs/>
      <w:szCs w:val="24"/>
    </w:rPr>
  </w:style>
  <w:style w:type="character" w:customStyle="1" w:styleId="apple-converted-space">
    <w:name w:val="apple-converted-space"/>
    <w:basedOn w:val="DefaultParagraphFont"/>
    <w:rsid w:val="00B93177"/>
  </w:style>
  <w:style w:type="paragraph" w:customStyle="1" w:styleId="In-tableHeading">
    <w:name w:val="In-table Heading"/>
    <w:qFormat/>
    <w:rsid w:val="008D571A"/>
    <w:pPr>
      <w:keepNext/>
    </w:pPr>
    <w:rPr>
      <w:rFonts w:ascii="Arial Narrow" w:eastAsiaTheme="majorEastAsia" w:hAnsi="Arial Narrow"/>
      <w:b/>
      <w:szCs w:val="24"/>
      <w:lang w:val="en-US"/>
    </w:rPr>
  </w:style>
  <w:style w:type="paragraph" w:customStyle="1" w:styleId="Source">
    <w:name w:val="Source"/>
    <w:basedOn w:val="Normal"/>
    <w:uiPriority w:val="35"/>
    <w:qFormat/>
    <w:rsid w:val="00CB70E6"/>
    <w:pPr>
      <w:keepNext/>
      <w:keepLines/>
      <w:widowControl/>
      <w:tabs>
        <w:tab w:val="left" w:pos="284"/>
      </w:tabs>
      <w:spacing w:before="60" w:after="60"/>
      <w:ind w:left="57" w:right="57"/>
      <w:contextualSpacing/>
      <w:jc w:val="left"/>
    </w:pPr>
    <w:rPr>
      <w:rFonts w:ascii="Arial" w:eastAsiaTheme="minorHAnsi" w:hAnsi="Arial" w:cstheme="minorBidi"/>
      <w:snapToGrid/>
      <w:sz w:val="20"/>
      <w:szCs w:val="20"/>
    </w:rPr>
  </w:style>
  <w:style w:type="table" w:customStyle="1" w:styleId="MSDAustralia">
    <w:name w:val="MSD Australia"/>
    <w:basedOn w:val="TableGrid"/>
    <w:uiPriority w:val="99"/>
    <w:rsid w:val="00246092"/>
    <w:pPr>
      <w:spacing w:before="57"/>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numbering" w:customStyle="1" w:styleId="Style1">
    <w:name w:val="Style1"/>
    <w:uiPriority w:val="99"/>
    <w:rsid w:val="00B73777"/>
    <w:pPr>
      <w:numPr>
        <w:numId w:val="7"/>
      </w:numPr>
    </w:pPr>
  </w:style>
  <w:style w:type="paragraph" w:customStyle="1" w:styleId="Bodytextsinglespace">
    <w:name w:val="Body text +single space"/>
    <w:basedOn w:val="Normal"/>
    <w:link w:val="BodytextsinglespaceChar"/>
    <w:qFormat/>
    <w:rsid w:val="00520567"/>
    <w:pPr>
      <w:widowControl/>
      <w:spacing w:after="120"/>
      <w:jc w:val="left"/>
    </w:pPr>
    <w:rPr>
      <w:rFonts w:cs="Times New Roman"/>
      <w:snapToGrid/>
      <w:sz w:val="22"/>
      <w:szCs w:val="24"/>
    </w:rPr>
  </w:style>
  <w:style w:type="character" w:customStyle="1" w:styleId="BodytextsinglespaceChar">
    <w:name w:val="Body text +single space Char"/>
    <w:basedOn w:val="DefaultParagraphFont"/>
    <w:link w:val="Bodytextsinglespace"/>
    <w:rsid w:val="00520567"/>
    <w:rPr>
      <w:rFonts w:ascii="Calibri" w:hAnsi="Calibri"/>
      <w:sz w:val="22"/>
      <w:szCs w:val="24"/>
      <w:lang w:eastAsia="en-US"/>
    </w:rPr>
  </w:style>
  <w:style w:type="character" w:customStyle="1" w:styleId="Heading1Char">
    <w:name w:val="Heading 1 Char"/>
    <w:basedOn w:val="DefaultParagraphFont"/>
    <w:link w:val="Heading1"/>
    <w:rsid w:val="002C100B"/>
    <w:rPr>
      <w:rFonts w:ascii="Calibri" w:hAnsi="Calibri" w:cs="Arial"/>
      <w:b/>
      <w:caps/>
      <w:snapToGrid w:val="0"/>
      <w:sz w:val="32"/>
      <w:szCs w:val="22"/>
      <w:lang w:eastAsia="en-US"/>
    </w:rPr>
  </w:style>
  <w:style w:type="character" w:customStyle="1" w:styleId="Heading3Char">
    <w:name w:val="Heading 3 Char"/>
    <w:basedOn w:val="DefaultParagraphFont"/>
    <w:link w:val="Heading3"/>
    <w:uiPriority w:val="9"/>
    <w:rsid w:val="002C100B"/>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2C100B"/>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2C100B"/>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2C100B"/>
    <w:rPr>
      <w:rFonts w:ascii="Calibri" w:hAnsi="Calibri" w:cs="Arial"/>
      <w:b/>
      <w:bCs/>
      <w:i/>
      <w:snapToGrid w:val="0"/>
      <w:sz w:val="24"/>
      <w:szCs w:val="22"/>
      <w:lang w:eastAsia="en-US"/>
    </w:rPr>
  </w:style>
  <w:style w:type="character" w:customStyle="1" w:styleId="Heading2Char1">
    <w:name w:val="Heading 2 Char1"/>
    <w:aliases w:val="4 Subsection Heading Char1"/>
    <w:basedOn w:val="DefaultParagraphFont"/>
    <w:semiHidden/>
    <w:rsid w:val="002C100B"/>
    <w:rPr>
      <w:rFonts w:asciiTheme="majorHAnsi" w:eastAsiaTheme="majorEastAsia" w:hAnsiTheme="majorHAnsi" w:cstheme="majorBidi"/>
      <w:color w:val="365F91" w:themeColor="accent1" w:themeShade="BF"/>
      <w:sz w:val="26"/>
      <w:szCs w:val="26"/>
      <w:lang w:eastAsia="en-US"/>
    </w:rPr>
  </w:style>
  <w:style w:type="paragraph" w:customStyle="1" w:styleId="msonormal0">
    <w:name w:val="msonormal"/>
    <w:basedOn w:val="Normal"/>
    <w:uiPriority w:val="99"/>
    <w:rsid w:val="002C100B"/>
    <w:pPr>
      <w:widowControl/>
      <w:spacing w:before="100" w:after="100"/>
      <w:jc w:val="left"/>
    </w:pPr>
    <w:rPr>
      <w:rFonts w:ascii="Times New Roman" w:hAnsi="Times New Roman" w:cs="Times New Roman"/>
      <w:snapToGrid/>
      <w:lang w:val="en-GB"/>
    </w:rPr>
  </w:style>
  <w:style w:type="character" w:customStyle="1" w:styleId="FootnoteTextChar1">
    <w:name w:val="Footnote Text Char1"/>
    <w:aliases w:val="Char Char1"/>
    <w:basedOn w:val="DefaultParagraphFont"/>
    <w:semiHidden/>
    <w:rsid w:val="002C100B"/>
    <w:rPr>
      <w:rFonts w:ascii="Calibri" w:hAnsi="Calibri" w:cs="Arial"/>
      <w:lang w:eastAsia="en-US"/>
    </w:rPr>
  </w:style>
  <w:style w:type="character" w:customStyle="1" w:styleId="HeaderChar1">
    <w:name w:val="Header Char1"/>
    <w:aliases w:val="Page Header Char1,Header title Char1,he=header Char1,cntr/bld Char1"/>
    <w:basedOn w:val="DefaultParagraphFont"/>
    <w:uiPriority w:val="99"/>
    <w:semiHidden/>
    <w:rsid w:val="002C100B"/>
    <w:rPr>
      <w:rFonts w:ascii="Calibri" w:hAnsi="Calibri" w:cs="Arial"/>
      <w:sz w:val="24"/>
      <w:szCs w:val="22"/>
      <w:lang w:eastAsia="en-US"/>
    </w:rPr>
  </w:style>
  <w:style w:type="table" w:customStyle="1" w:styleId="ASDTable17">
    <w:name w:val="ASD Table17"/>
    <w:basedOn w:val="TableNormal"/>
    <w:rsid w:val="002C100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8">
    <w:name w:val="ASD Table18"/>
    <w:basedOn w:val="TableNormal"/>
    <w:rsid w:val="002C100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od">
    <w:name w:val="period"/>
    <w:basedOn w:val="DefaultParagraphFont"/>
    <w:rsid w:val="00F03050"/>
  </w:style>
  <w:style w:type="character" w:customStyle="1" w:styleId="cit">
    <w:name w:val="cit"/>
    <w:basedOn w:val="DefaultParagraphFont"/>
    <w:rsid w:val="00F03050"/>
  </w:style>
  <w:style w:type="paragraph" w:customStyle="1" w:styleId="2Sections">
    <w:name w:val="2. Sections"/>
    <w:qFormat/>
    <w:rsid w:val="00232064"/>
    <w:pPr>
      <w:snapToGrid w:val="0"/>
      <w:spacing w:before="240" w:after="120"/>
      <w:ind w:left="720" w:hanging="720"/>
      <w:outlineLvl w:val="0"/>
    </w:pPr>
    <w:rPr>
      <w:rFonts w:ascii="Calibri" w:hAnsi="Calibri" w:cs="Arial"/>
      <w:b/>
      <w:sz w:val="32"/>
      <w:szCs w:val="32"/>
      <w:lang w:eastAsia="en-US"/>
    </w:rPr>
  </w:style>
  <w:style w:type="paragraph" w:customStyle="1" w:styleId="3Bodytext">
    <w:name w:val="3. Body text"/>
    <w:basedOn w:val="ListParagraph"/>
    <w:qFormat/>
    <w:rsid w:val="00232064"/>
    <w:pPr>
      <w:widowControl/>
      <w:tabs>
        <w:tab w:val="num" w:pos="360"/>
      </w:tabs>
      <w:spacing w:after="120"/>
    </w:pPr>
    <w:rPr>
      <w:rFonts w:eastAsia="Calibri" w:cs="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4039">
      <w:bodyDiv w:val="1"/>
      <w:marLeft w:val="0"/>
      <w:marRight w:val="0"/>
      <w:marTop w:val="0"/>
      <w:marBottom w:val="0"/>
      <w:divBdr>
        <w:top w:val="none" w:sz="0" w:space="0" w:color="auto"/>
        <w:left w:val="none" w:sz="0" w:space="0" w:color="auto"/>
        <w:bottom w:val="none" w:sz="0" w:space="0" w:color="auto"/>
        <w:right w:val="none" w:sz="0" w:space="0" w:color="auto"/>
      </w:divBdr>
    </w:div>
    <w:div w:id="20402130">
      <w:bodyDiv w:val="1"/>
      <w:marLeft w:val="0"/>
      <w:marRight w:val="0"/>
      <w:marTop w:val="0"/>
      <w:marBottom w:val="0"/>
      <w:divBdr>
        <w:top w:val="none" w:sz="0" w:space="0" w:color="auto"/>
        <w:left w:val="none" w:sz="0" w:space="0" w:color="auto"/>
        <w:bottom w:val="none" w:sz="0" w:space="0" w:color="auto"/>
        <w:right w:val="none" w:sz="0" w:space="0" w:color="auto"/>
      </w:divBdr>
    </w:div>
    <w:div w:id="89545266">
      <w:bodyDiv w:val="1"/>
      <w:marLeft w:val="0"/>
      <w:marRight w:val="0"/>
      <w:marTop w:val="0"/>
      <w:marBottom w:val="0"/>
      <w:divBdr>
        <w:top w:val="none" w:sz="0" w:space="0" w:color="auto"/>
        <w:left w:val="none" w:sz="0" w:space="0" w:color="auto"/>
        <w:bottom w:val="none" w:sz="0" w:space="0" w:color="auto"/>
        <w:right w:val="none" w:sz="0" w:space="0" w:color="auto"/>
      </w:divBdr>
    </w:div>
    <w:div w:id="167182820">
      <w:bodyDiv w:val="1"/>
      <w:marLeft w:val="0"/>
      <w:marRight w:val="0"/>
      <w:marTop w:val="0"/>
      <w:marBottom w:val="0"/>
      <w:divBdr>
        <w:top w:val="none" w:sz="0" w:space="0" w:color="auto"/>
        <w:left w:val="none" w:sz="0" w:space="0" w:color="auto"/>
        <w:bottom w:val="none" w:sz="0" w:space="0" w:color="auto"/>
        <w:right w:val="none" w:sz="0" w:space="0" w:color="auto"/>
      </w:divBdr>
    </w:div>
    <w:div w:id="303434313">
      <w:bodyDiv w:val="1"/>
      <w:marLeft w:val="0"/>
      <w:marRight w:val="0"/>
      <w:marTop w:val="0"/>
      <w:marBottom w:val="0"/>
      <w:divBdr>
        <w:top w:val="none" w:sz="0" w:space="0" w:color="auto"/>
        <w:left w:val="none" w:sz="0" w:space="0" w:color="auto"/>
        <w:bottom w:val="none" w:sz="0" w:space="0" w:color="auto"/>
        <w:right w:val="none" w:sz="0" w:space="0" w:color="auto"/>
      </w:divBdr>
    </w:div>
    <w:div w:id="310840043">
      <w:bodyDiv w:val="1"/>
      <w:marLeft w:val="0"/>
      <w:marRight w:val="0"/>
      <w:marTop w:val="0"/>
      <w:marBottom w:val="0"/>
      <w:divBdr>
        <w:top w:val="none" w:sz="0" w:space="0" w:color="auto"/>
        <w:left w:val="none" w:sz="0" w:space="0" w:color="auto"/>
        <w:bottom w:val="none" w:sz="0" w:space="0" w:color="auto"/>
        <w:right w:val="none" w:sz="0" w:space="0" w:color="auto"/>
      </w:divBdr>
    </w:div>
    <w:div w:id="408115286">
      <w:bodyDiv w:val="1"/>
      <w:marLeft w:val="0"/>
      <w:marRight w:val="0"/>
      <w:marTop w:val="0"/>
      <w:marBottom w:val="0"/>
      <w:divBdr>
        <w:top w:val="none" w:sz="0" w:space="0" w:color="auto"/>
        <w:left w:val="none" w:sz="0" w:space="0" w:color="auto"/>
        <w:bottom w:val="none" w:sz="0" w:space="0" w:color="auto"/>
        <w:right w:val="none" w:sz="0" w:space="0" w:color="auto"/>
      </w:divBdr>
      <w:divsChild>
        <w:div w:id="672998707">
          <w:marLeft w:val="0"/>
          <w:marRight w:val="0"/>
          <w:marTop w:val="0"/>
          <w:marBottom w:val="0"/>
          <w:divBdr>
            <w:top w:val="none" w:sz="0" w:space="0" w:color="auto"/>
            <w:left w:val="none" w:sz="0" w:space="0" w:color="auto"/>
            <w:bottom w:val="none" w:sz="0" w:space="0" w:color="auto"/>
            <w:right w:val="none" w:sz="0" w:space="0" w:color="auto"/>
          </w:divBdr>
          <w:divsChild>
            <w:div w:id="198661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04042">
      <w:bodyDiv w:val="1"/>
      <w:marLeft w:val="0"/>
      <w:marRight w:val="0"/>
      <w:marTop w:val="0"/>
      <w:marBottom w:val="0"/>
      <w:divBdr>
        <w:top w:val="none" w:sz="0" w:space="0" w:color="auto"/>
        <w:left w:val="none" w:sz="0" w:space="0" w:color="auto"/>
        <w:bottom w:val="none" w:sz="0" w:space="0" w:color="auto"/>
        <w:right w:val="none" w:sz="0" w:space="0" w:color="auto"/>
      </w:divBdr>
    </w:div>
    <w:div w:id="436945769">
      <w:bodyDiv w:val="1"/>
      <w:marLeft w:val="0"/>
      <w:marRight w:val="0"/>
      <w:marTop w:val="0"/>
      <w:marBottom w:val="0"/>
      <w:divBdr>
        <w:top w:val="none" w:sz="0" w:space="0" w:color="auto"/>
        <w:left w:val="none" w:sz="0" w:space="0" w:color="auto"/>
        <w:bottom w:val="none" w:sz="0" w:space="0" w:color="auto"/>
        <w:right w:val="none" w:sz="0" w:space="0" w:color="auto"/>
      </w:divBdr>
    </w:div>
    <w:div w:id="516045106">
      <w:bodyDiv w:val="1"/>
      <w:marLeft w:val="0"/>
      <w:marRight w:val="0"/>
      <w:marTop w:val="0"/>
      <w:marBottom w:val="0"/>
      <w:divBdr>
        <w:top w:val="none" w:sz="0" w:space="0" w:color="auto"/>
        <w:left w:val="none" w:sz="0" w:space="0" w:color="auto"/>
        <w:bottom w:val="none" w:sz="0" w:space="0" w:color="auto"/>
        <w:right w:val="none" w:sz="0" w:space="0" w:color="auto"/>
      </w:divBdr>
    </w:div>
    <w:div w:id="540480189">
      <w:bodyDiv w:val="1"/>
      <w:marLeft w:val="0"/>
      <w:marRight w:val="0"/>
      <w:marTop w:val="0"/>
      <w:marBottom w:val="0"/>
      <w:divBdr>
        <w:top w:val="none" w:sz="0" w:space="0" w:color="auto"/>
        <w:left w:val="none" w:sz="0" w:space="0" w:color="auto"/>
        <w:bottom w:val="none" w:sz="0" w:space="0" w:color="auto"/>
        <w:right w:val="none" w:sz="0" w:space="0" w:color="auto"/>
      </w:divBdr>
    </w:div>
    <w:div w:id="557473118">
      <w:bodyDiv w:val="1"/>
      <w:marLeft w:val="0"/>
      <w:marRight w:val="0"/>
      <w:marTop w:val="0"/>
      <w:marBottom w:val="0"/>
      <w:divBdr>
        <w:top w:val="none" w:sz="0" w:space="0" w:color="auto"/>
        <w:left w:val="none" w:sz="0" w:space="0" w:color="auto"/>
        <w:bottom w:val="none" w:sz="0" w:space="0" w:color="auto"/>
        <w:right w:val="none" w:sz="0" w:space="0" w:color="auto"/>
      </w:divBdr>
    </w:div>
    <w:div w:id="678897804">
      <w:bodyDiv w:val="1"/>
      <w:marLeft w:val="0"/>
      <w:marRight w:val="0"/>
      <w:marTop w:val="0"/>
      <w:marBottom w:val="0"/>
      <w:divBdr>
        <w:top w:val="none" w:sz="0" w:space="0" w:color="auto"/>
        <w:left w:val="none" w:sz="0" w:space="0" w:color="auto"/>
        <w:bottom w:val="none" w:sz="0" w:space="0" w:color="auto"/>
        <w:right w:val="none" w:sz="0" w:space="0" w:color="auto"/>
      </w:divBdr>
    </w:div>
    <w:div w:id="694768306">
      <w:bodyDiv w:val="1"/>
      <w:marLeft w:val="0"/>
      <w:marRight w:val="0"/>
      <w:marTop w:val="0"/>
      <w:marBottom w:val="0"/>
      <w:divBdr>
        <w:top w:val="none" w:sz="0" w:space="0" w:color="auto"/>
        <w:left w:val="none" w:sz="0" w:space="0" w:color="auto"/>
        <w:bottom w:val="none" w:sz="0" w:space="0" w:color="auto"/>
        <w:right w:val="none" w:sz="0" w:space="0" w:color="auto"/>
      </w:divBdr>
    </w:div>
    <w:div w:id="696276501">
      <w:bodyDiv w:val="1"/>
      <w:marLeft w:val="0"/>
      <w:marRight w:val="0"/>
      <w:marTop w:val="0"/>
      <w:marBottom w:val="0"/>
      <w:divBdr>
        <w:top w:val="none" w:sz="0" w:space="0" w:color="auto"/>
        <w:left w:val="none" w:sz="0" w:space="0" w:color="auto"/>
        <w:bottom w:val="none" w:sz="0" w:space="0" w:color="auto"/>
        <w:right w:val="none" w:sz="0" w:space="0" w:color="auto"/>
      </w:divBdr>
    </w:div>
    <w:div w:id="701058334">
      <w:bodyDiv w:val="1"/>
      <w:marLeft w:val="0"/>
      <w:marRight w:val="0"/>
      <w:marTop w:val="0"/>
      <w:marBottom w:val="0"/>
      <w:divBdr>
        <w:top w:val="none" w:sz="0" w:space="0" w:color="auto"/>
        <w:left w:val="none" w:sz="0" w:space="0" w:color="auto"/>
        <w:bottom w:val="none" w:sz="0" w:space="0" w:color="auto"/>
        <w:right w:val="none" w:sz="0" w:space="0" w:color="auto"/>
      </w:divBdr>
    </w:div>
    <w:div w:id="740442620">
      <w:bodyDiv w:val="1"/>
      <w:marLeft w:val="0"/>
      <w:marRight w:val="0"/>
      <w:marTop w:val="0"/>
      <w:marBottom w:val="0"/>
      <w:divBdr>
        <w:top w:val="none" w:sz="0" w:space="0" w:color="auto"/>
        <w:left w:val="none" w:sz="0" w:space="0" w:color="auto"/>
        <w:bottom w:val="none" w:sz="0" w:space="0" w:color="auto"/>
        <w:right w:val="none" w:sz="0" w:space="0" w:color="auto"/>
      </w:divBdr>
    </w:div>
    <w:div w:id="771975473">
      <w:bodyDiv w:val="1"/>
      <w:marLeft w:val="0"/>
      <w:marRight w:val="0"/>
      <w:marTop w:val="0"/>
      <w:marBottom w:val="0"/>
      <w:divBdr>
        <w:top w:val="none" w:sz="0" w:space="0" w:color="auto"/>
        <w:left w:val="none" w:sz="0" w:space="0" w:color="auto"/>
        <w:bottom w:val="none" w:sz="0" w:space="0" w:color="auto"/>
        <w:right w:val="none" w:sz="0" w:space="0" w:color="auto"/>
      </w:divBdr>
    </w:div>
    <w:div w:id="921721272">
      <w:bodyDiv w:val="1"/>
      <w:marLeft w:val="0"/>
      <w:marRight w:val="0"/>
      <w:marTop w:val="0"/>
      <w:marBottom w:val="0"/>
      <w:divBdr>
        <w:top w:val="none" w:sz="0" w:space="0" w:color="auto"/>
        <w:left w:val="none" w:sz="0" w:space="0" w:color="auto"/>
        <w:bottom w:val="none" w:sz="0" w:space="0" w:color="auto"/>
        <w:right w:val="none" w:sz="0" w:space="0" w:color="auto"/>
      </w:divBdr>
    </w:div>
    <w:div w:id="990015843">
      <w:bodyDiv w:val="1"/>
      <w:marLeft w:val="0"/>
      <w:marRight w:val="0"/>
      <w:marTop w:val="0"/>
      <w:marBottom w:val="0"/>
      <w:divBdr>
        <w:top w:val="none" w:sz="0" w:space="0" w:color="auto"/>
        <w:left w:val="none" w:sz="0" w:space="0" w:color="auto"/>
        <w:bottom w:val="none" w:sz="0" w:space="0" w:color="auto"/>
        <w:right w:val="none" w:sz="0" w:space="0" w:color="auto"/>
      </w:divBdr>
    </w:div>
    <w:div w:id="1010135666">
      <w:bodyDiv w:val="1"/>
      <w:marLeft w:val="0"/>
      <w:marRight w:val="0"/>
      <w:marTop w:val="0"/>
      <w:marBottom w:val="0"/>
      <w:divBdr>
        <w:top w:val="none" w:sz="0" w:space="0" w:color="auto"/>
        <w:left w:val="none" w:sz="0" w:space="0" w:color="auto"/>
        <w:bottom w:val="none" w:sz="0" w:space="0" w:color="auto"/>
        <w:right w:val="none" w:sz="0" w:space="0" w:color="auto"/>
      </w:divBdr>
    </w:div>
    <w:div w:id="1032263532">
      <w:bodyDiv w:val="1"/>
      <w:marLeft w:val="0"/>
      <w:marRight w:val="0"/>
      <w:marTop w:val="0"/>
      <w:marBottom w:val="0"/>
      <w:divBdr>
        <w:top w:val="none" w:sz="0" w:space="0" w:color="auto"/>
        <w:left w:val="none" w:sz="0" w:space="0" w:color="auto"/>
        <w:bottom w:val="none" w:sz="0" w:space="0" w:color="auto"/>
        <w:right w:val="none" w:sz="0" w:space="0" w:color="auto"/>
      </w:divBdr>
    </w:div>
    <w:div w:id="1057823132">
      <w:bodyDiv w:val="1"/>
      <w:marLeft w:val="0"/>
      <w:marRight w:val="0"/>
      <w:marTop w:val="0"/>
      <w:marBottom w:val="0"/>
      <w:divBdr>
        <w:top w:val="none" w:sz="0" w:space="0" w:color="auto"/>
        <w:left w:val="none" w:sz="0" w:space="0" w:color="auto"/>
        <w:bottom w:val="none" w:sz="0" w:space="0" w:color="auto"/>
        <w:right w:val="none" w:sz="0" w:space="0" w:color="auto"/>
      </w:divBdr>
    </w:div>
    <w:div w:id="1127312463">
      <w:bodyDiv w:val="1"/>
      <w:marLeft w:val="0"/>
      <w:marRight w:val="0"/>
      <w:marTop w:val="0"/>
      <w:marBottom w:val="0"/>
      <w:divBdr>
        <w:top w:val="none" w:sz="0" w:space="0" w:color="auto"/>
        <w:left w:val="none" w:sz="0" w:space="0" w:color="auto"/>
        <w:bottom w:val="none" w:sz="0" w:space="0" w:color="auto"/>
        <w:right w:val="none" w:sz="0" w:space="0" w:color="auto"/>
      </w:divBdr>
    </w:div>
    <w:div w:id="1167674073">
      <w:bodyDiv w:val="1"/>
      <w:marLeft w:val="0"/>
      <w:marRight w:val="0"/>
      <w:marTop w:val="0"/>
      <w:marBottom w:val="0"/>
      <w:divBdr>
        <w:top w:val="none" w:sz="0" w:space="0" w:color="auto"/>
        <w:left w:val="none" w:sz="0" w:space="0" w:color="auto"/>
        <w:bottom w:val="none" w:sz="0" w:space="0" w:color="auto"/>
        <w:right w:val="none" w:sz="0" w:space="0" w:color="auto"/>
      </w:divBdr>
    </w:div>
    <w:div w:id="1228539239">
      <w:bodyDiv w:val="1"/>
      <w:marLeft w:val="0"/>
      <w:marRight w:val="0"/>
      <w:marTop w:val="0"/>
      <w:marBottom w:val="0"/>
      <w:divBdr>
        <w:top w:val="none" w:sz="0" w:space="0" w:color="auto"/>
        <w:left w:val="none" w:sz="0" w:space="0" w:color="auto"/>
        <w:bottom w:val="none" w:sz="0" w:space="0" w:color="auto"/>
        <w:right w:val="none" w:sz="0" w:space="0" w:color="auto"/>
      </w:divBdr>
    </w:div>
    <w:div w:id="1288047554">
      <w:bodyDiv w:val="1"/>
      <w:marLeft w:val="0"/>
      <w:marRight w:val="0"/>
      <w:marTop w:val="0"/>
      <w:marBottom w:val="0"/>
      <w:divBdr>
        <w:top w:val="none" w:sz="0" w:space="0" w:color="auto"/>
        <w:left w:val="none" w:sz="0" w:space="0" w:color="auto"/>
        <w:bottom w:val="none" w:sz="0" w:space="0" w:color="auto"/>
        <w:right w:val="none" w:sz="0" w:space="0" w:color="auto"/>
      </w:divBdr>
    </w:div>
    <w:div w:id="1310285210">
      <w:bodyDiv w:val="1"/>
      <w:marLeft w:val="0"/>
      <w:marRight w:val="0"/>
      <w:marTop w:val="0"/>
      <w:marBottom w:val="0"/>
      <w:divBdr>
        <w:top w:val="none" w:sz="0" w:space="0" w:color="auto"/>
        <w:left w:val="none" w:sz="0" w:space="0" w:color="auto"/>
        <w:bottom w:val="none" w:sz="0" w:space="0" w:color="auto"/>
        <w:right w:val="none" w:sz="0" w:space="0" w:color="auto"/>
      </w:divBdr>
    </w:div>
    <w:div w:id="1319966313">
      <w:bodyDiv w:val="1"/>
      <w:marLeft w:val="0"/>
      <w:marRight w:val="0"/>
      <w:marTop w:val="0"/>
      <w:marBottom w:val="0"/>
      <w:divBdr>
        <w:top w:val="none" w:sz="0" w:space="0" w:color="auto"/>
        <w:left w:val="none" w:sz="0" w:space="0" w:color="auto"/>
        <w:bottom w:val="none" w:sz="0" w:space="0" w:color="auto"/>
        <w:right w:val="none" w:sz="0" w:space="0" w:color="auto"/>
      </w:divBdr>
    </w:div>
    <w:div w:id="1447040101">
      <w:bodyDiv w:val="1"/>
      <w:marLeft w:val="0"/>
      <w:marRight w:val="0"/>
      <w:marTop w:val="0"/>
      <w:marBottom w:val="0"/>
      <w:divBdr>
        <w:top w:val="none" w:sz="0" w:space="0" w:color="auto"/>
        <w:left w:val="none" w:sz="0" w:space="0" w:color="auto"/>
        <w:bottom w:val="none" w:sz="0" w:space="0" w:color="auto"/>
        <w:right w:val="none" w:sz="0" w:space="0" w:color="auto"/>
      </w:divBdr>
    </w:div>
    <w:div w:id="1575121345">
      <w:bodyDiv w:val="1"/>
      <w:marLeft w:val="0"/>
      <w:marRight w:val="0"/>
      <w:marTop w:val="0"/>
      <w:marBottom w:val="0"/>
      <w:divBdr>
        <w:top w:val="none" w:sz="0" w:space="0" w:color="auto"/>
        <w:left w:val="none" w:sz="0" w:space="0" w:color="auto"/>
        <w:bottom w:val="none" w:sz="0" w:space="0" w:color="auto"/>
        <w:right w:val="none" w:sz="0" w:space="0" w:color="auto"/>
      </w:divBdr>
    </w:div>
    <w:div w:id="1718159704">
      <w:bodyDiv w:val="1"/>
      <w:marLeft w:val="0"/>
      <w:marRight w:val="0"/>
      <w:marTop w:val="0"/>
      <w:marBottom w:val="0"/>
      <w:divBdr>
        <w:top w:val="none" w:sz="0" w:space="0" w:color="auto"/>
        <w:left w:val="none" w:sz="0" w:space="0" w:color="auto"/>
        <w:bottom w:val="none" w:sz="0" w:space="0" w:color="auto"/>
        <w:right w:val="none" w:sz="0" w:space="0" w:color="auto"/>
      </w:divBdr>
    </w:div>
    <w:div w:id="1939025264">
      <w:bodyDiv w:val="1"/>
      <w:marLeft w:val="0"/>
      <w:marRight w:val="0"/>
      <w:marTop w:val="0"/>
      <w:marBottom w:val="0"/>
      <w:divBdr>
        <w:top w:val="none" w:sz="0" w:space="0" w:color="auto"/>
        <w:left w:val="none" w:sz="0" w:space="0" w:color="auto"/>
        <w:bottom w:val="none" w:sz="0" w:space="0" w:color="auto"/>
        <w:right w:val="none" w:sz="0" w:space="0" w:color="auto"/>
      </w:divBdr>
    </w:div>
    <w:div w:id="2029670573">
      <w:bodyDiv w:val="1"/>
      <w:marLeft w:val="0"/>
      <w:marRight w:val="0"/>
      <w:marTop w:val="0"/>
      <w:marBottom w:val="0"/>
      <w:divBdr>
        <w:top w:val="none" w:sz="0" w:space="0" w:color="auto"/>
        <w:left w:val="none" w:sz="0" w:space="0" w:color="auto"/>
        <w:bottom w:val="none" w:sz="0" w:space="0" w:color="auto"/>
        <w:right w:val="none" w:sz="0" w:space="0" w:color="auto"/>
      </w:divBdr>
    </w:div>
    <w:div w:id="2104254535">
      <w:bodyDiv w:val="1"/>
      <w:marLeft w:val="0"/>
      <w:marRight w:val="0"/>
      <w:marTop w:val="0"/>
      <w:marBottom w:val="0"/>
      <w:divBdr>
        <w:top w:val="none" w:sz="0" w:space="0" w:color="auto"/>
        <w:left w:val="none" w:sz="0" w:space="0" w:color="auto"/>
        <w:bottom w:val="none" w:sz="0" w:space="0" w:color="auto"/>
        <w:right w:val="none" w:sz="0" w:space="0" w:color="auto"/>
      </w:divBdr>
    </w:div>
    <w:div w:id="211381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sv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E6257-0A54-43F9-9862-92C99DB0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22443</Words>
  <Characters>123620</Characters>
  <Application>Microsoft Office Word</Application>
  <DocSecurity>0</DocSecurity>
  <Lines>1030</Lines>
  <Paragraphs>291</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7.03	NUSINERSEN, Solution for injection 12.6 mg in 5 mL, Spinraza®,  Biogen Aust</vt:lpstr>
      <vt:lpstr>Purpose of resubmission</vt:lpstr>
      <vt:lpstr>Background</vt:lpstr>
      <vt:lpstr>    Registration status</vt:lpstr>
      <vt:lpstr>    Previous PBAC consideration</vt:lpstr>
      <vt:lpstr>Requested listing</vt:lpstr>
      <vt:lpstr>Population and disease</vt:lpstr>
      <vt:lpstr>Comparator</vt:lpstr>
      <vt:lpstr>Consideration of the evidence</vt:lpstr>
      <vt:lpstr>    Sponsor hearings </vt:lpstr>
      <vt:lpstr>    Consumer comments </vt:lpstr>
      <vt:lpstr>    Clinical trials</vt:lpstr>
      <vt:lpstr>    Comparative effectiveness</vt:lpstr>
      <vt:lpstr>    Comparative harms</vt:lpstr>
      <vt:lpstr>    Benefits/harms</vt:lpstr>
      <vt:lpstr>    Clinical claim</vt:lpstr>
      <vt:lpstr>    Economic analysis </vt:lpstr>
    </vt:vector>
  </TitlesOfParts>
  <Company/>
  <LinksUpToDate>false</LinksUpToDate>
  <CharactersWithSpaces>145772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2021-10-25T04:35:00Z</dcterms:created>
  <dcterms:modified xsi:type="dcterms:W3CDTF">2021-10-25T04:45:00Z</dcterms:modified>
</cp:coreProperties>
</file>