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29D" w:rsidRPr="00A862C6" w:rsidRDefault="00EE229D" w:rsidP="00FE04DE">
      <w:pPr>
        <w:pStyle w:val="Heading1"/>
        <w:rPr>
          <w:sz w:val="36"/>
          <w:szCs w:val="36"/>
        </w:rPr>
      </w:pPr>
      <w:bookmarkStart w:id="0" w:name="_Toc72263289"/>
      <w:r w:rsidRPr="00A862C6">
        <w:rPr>
          <w:sz w:val="36"/>
          <w:szCs w:val="36"/>
        </w:rPr>
        <w:t>6.05</w:t>
      </w:r>
      <w:r w:rsidRPr="00A862C6">
        <w:tab/>
      </w:r>
      <w:r w:rsidR="00DB34F6" w:rsidRPr="00A862C6">
        <w:rPr>
          <w:sz w:val="36"/>
          <w:szCs w:val="36"/>
        </w:rPr>
        <w:t>N</w:t>
      </w:r>
      <w:r w:rsidRPr="00A862C6">
        <w:rPr>
          <w:sz w:val="36"/>
          <w:szCs w:val="36"/>
        </w:rPr>
        <w:t>IVOLUMAB</w:t>
      </w:r>
      <w:r w:rsidR="00B60939" w:rsidRPr="00A862C6">
        <w:t>,</w:t>
      </w:r>
      <w:bookmarkEnd w:id="0"/>
      <w:r w:rsidR="00B60939" w:rsidRPr="00A862C6">
        <w:t xml:space="preserve"> </w:t>
      </w:r>
    </w:p>
    <w:p w:rsidR="00BE612A" w:rsidRPr="00A862C6" w:rsidRDefault="00BE612A" w:rsidP="00BE612A">
      <w:pPr>
        <w:ind w:firstLine="720"/>
        <w:jc w:val="left"/>
        <w:rPr>
          <w:b/>
          <w:sz w:val="36"/>
          <w:szCs w:val="36"/>
        </w:rPr>
      </w:pPr>
      <w:r w:rsidRPr="00A862C6">
        <w:rPr>
          <w:b/>
          <w:sz w:val="36"/>
          <w:szCs w:val="36"/>
        </w:rPr>
        <w:t>I</w:t>
      </w:r>
      <w:r w:rsidR="00F66E04" w:rsidRPr="00A862C6">
        <w:rPr>
          <w:b/>
          <w:sz w:val="36"/>
          <w:szCs w:val="36"/>
        </w:rPr>
        <w:t>njection</w:t>
      </w:r>
      <w:r w:rsidRPr="00A862C6">
        <w:rPr>
          <w:b/>
          <w:sz w:val="36"/>
          <w:szCs w:val="36"/>
        </w:rPr>
        <w:t xml:space="preserve"> </w:t>
      </w:r>
      <w:r w:rsidRPr="00A862C6">
        <w:rPr>
          <w:rFonts w:asciiTheme="minorHAnsi" w:hAnsiTheme="minorHAnsi"/>
          <w:b/>
          <w:sz w:val="36"/>
          <w:szCs w:val="36"/>
        </w:rPr>
        <w:t>concentrate for I.V. infusion 40 mg in 4 mL</w:t>
      </w:r>
      <w:r w:rsidR="00B60939" w:rsidRPr="00A862C6">
        <w:rPr>
          <w:b/>
          <w:sz w:val="36"/>
          <w:szCs w:val="36"/>
        </w:rPr>
        <w:t>,</w:t>
      </w:r>
    </w:p>
    <w:p w:rsidR="00BE612A" w:rsidRPr="00A862C6" w:rsidRDefault="000E2A77" w:rsidP="00BE612A">
      <w:pPr>
        <w:ind w:firstLine="720"/>
        <w:jc w:val="left"/>
        <w:rPr>
          <w:b/>
          <w:sz w:val="36"/>
          <w:szCs w:val="36"/>
        </w:rPr>
      </w:pPr>
      <w:r w:rsidRPr="00A862C6">
        <w:rPr>
          <w:b/>
          <w:sz w:val="36"/>
          <w:szCs w:val="36"/>
        </w:rPr>
        <w:t xml:space="preserve">Injection concentrate for I.V. infusion </w:t>
      </w:r>
      <w:r w:rsidR="003727C5" w:rsidRPr="00A862C6">
        <w:rPr>
          <w:b/>
          <w:sz w:val="36"/>
          <w:szCs w:val="36"/>
        </w:rPr>
        <w:t>100 mg in 10 mL</w:t>
      </w:r>
      <w:r w:rsidR="00B60939" w:rsidRPr="00A862C6">
        <w:rPr>
          <w:b/>
          <w:sz w:val="36"/>
          <w:szCs w:val="36"/>
        </w:rPr>
        <w:t xml:space="preserve">, </w:t>
      </w:r>
    </w:p>
    <w:p w:rsidR="00BE612A" w:rsidRPr="00A862C6" w:rsidRDefault="00DB34F6" w:rsidP="00EE229D">
      <w:pPr>
        <w:ind w:firstLine="720"/>
        <w:rPr>
          <w:b/>
          <w:sz w:val="36"/>
          <w:szCs w:val="36"/>
        </w:rPr>
      </w:pPr>
      <w:r w:rsidRPr="00A862C6">
        <w:rPr>
          <w:b/>
          <w:sz w:val="36"/>
          <w:szCs w:val="36"/>
        </w:rPr>
        <w:t>Opdivo</w:t>
      </w:r>
      <w:r w:rsidR="00B60939" w:rsidRPr="00A862C6">
        <w:rPr>
          <w:b/>
          <w:sz w:val="36"/>
          <w:szCs w:val="36"/>
          <w:vertAlign w:val="superscript"/>
        </w:rPr>
        <w:t>®</w:t>
      </w:r>
      <w:r w:rsidR="00B60939" w:rsidRPr="00A862C6">
        <w:rPr>
          <w:b/>
          <w:sz w:val="36"/>
          <w:szCs w:val="36"/>
        </w:rPr>
        <w:t xml:space="preserve">, </w:t>
      </w:r>
    </w:p>
    <w:p w:rsidR="009F1FD5" w:rsidRPr="00A862C6" w:rsidRDefault="00F66E04" w:rsidP="007F100A">
      <w:pPr>
        <w:ind w:firstLine="720"/>
        <w:rPr>
          <w:b/>
          <w:sz w:val="36"/>
          <w:szCs w:val="36"/>
        </w:rPr>
      </w:pPr>
      <w:r w:rsidRPr="00A862C6">
        <w:rPr>
          <w:b/>
          <w:sz w:val="36"/>
          <w:szCs w:val="36"/>
        </w:rPr>
        <w:t>Bristol-Myers Squibb</w:t>
      </w:r>
      <w:r w:rsidR="00BE612A" w:rsidRPr="00A862C6">
        <w:rPr>
          <w:b/>
          <w:sz w:val="36"/>
          <w:szCs w:val="36"/>
        </w:rPr>
        <w:t xml:space="preserve"> </w:t>
      </w:r>
      <w:r w:rsidR="00BE612A" w:rsidRPr="00A862C6">
        <w:rPr>
          <w:rFonts w:asciiTheme="minorHAnsi" w:hAnsiTheme="minorHAnsi"/>
          <w:b/>
          <w:sz w:val="36"/>
          <w:szCs w:val="36"/>
        </w:rPr>
        <w:t>Australia Pty Ltd</w:t>
      </w:r>
      <w:bookmarkStart w:id="1" w:name="_Toc72263290"/>
      <w:r w:rsidR="007F100A" w:rsidRPr="00A862C6">
        <w:rPr>
          <w:b/>
          <w:sz w:val="36"/>
          <w:szCs w:val="36"/>
        </w:rPr>
        <w:t>.</w:t>
      </w:r>
    </w:p>
    <w:p w:rsidR="007F100A" w:rsidRPr="00A862C6" w:rsidRDefault="007F100A" w:rsidP="00285BEE">
      <w:pPr>
        <w:pStyle w:val="Heading2"/>
        <w:rPr>
          <w:highlight w:val="yellow"/>
        </w:rPr>
      </w:pPr>
    </w:p>
    <w:p w:rsidR="00285CB1" w:rsidRPr="00A862C6" w:rsidRDefault="00285CB1" w:rsidP="00E65129">
      <w:pPr>
        <w:pStyle w:val="PBACHeading1"/>
      </w:pPr>
      <w:bookmarkStart w:id="2" w:name="_Toc72263291"/>
      <w:bookmarkStart w:id="3" w:name="_Toc341702043"/>
      <w:bookmarkStart w:id="4" w:name="_Toc380742621"/>
      <w:bookmarkStart w:id="5" w:name="_Toc380746188"/>
      <w:bookmarkStart w:id="6" w:name="_Toc380746314"/>
      <w:bookmarkStart w:id="7" w:name="_Toc380746595"/>
      <w:bookmarkStart w:id="8" w:name="_Toc380746195"/>
      <w:bookmarkStart w:id="9" w:name="_Toc380746321"/>
      <w:bookmarkStart w:id="10" w:name="_Toc380746602"/>
      <w:bookmarkEnd w:id="1"/>
      <w:r w:rsidRPr="00A862C6">
        <w:t>Purpose of Application</w:t>
      </w:r>
      <w:bookmarkEnd w:id="2"/>
    </w:p>
    <w:p w:rsidR="00285CB1" w:rsidRPr="00A862C6" w:rsidRDefault="00285CB1" w:rsidP="00285CB1"/>
    <w:p w:rsidR="00285CB1" w:rsidRPr="00A862C6" w:rsidRDefault="00285CB1" w:rsidP="00DD46F0">
      <w:pPr>
        <w:pStyle w:val="ListParagraph"/>
        <w:widowControl/>
        <w:numPr>
          <w:ilvl w:val="1"/>
          <w:numId w:val="2"/>
        </w:numPr>
      </w:pPr>
      <w:r w:rsidRPr="00A862C6">
        <w:t xml:space="preserve">The </w:t>
      </w:r>
      <w:r w:rsidR="00F71DE4">
        <w:t xml:space="preserve">Category 1 </w:t>
      </w:r>
      <w:r w:rsidRPr="00A862C6">
        <w:t>submission requested an Authority Required (Streamlined) listing for nivolumab for treatment of advanced or metastatic oesophageal squamous cell carcinoma (OSCC)</w:t>
      </w:r>
      <w:r w:rsidR="006C11FC" w:rsidRPr="00A862C6">
        <w:t xml:space="preserve"> in patients</w:t>
      </w:r>
      <w:r w:rsidRPr="00A862C6">
        <w:t xml:space="preserve"> who have failed one</w:t>
      </w:r>
      <w:r w:rsidR="00DA7B4B" w:rsidRPr="00A862C6">
        <w:t xml:space="preserve"> fluoropyrimidine and platinum</w:t>
      </w:r>
      <w:r w:rsidRPr="00A862C6">
        <w:t xml:space="preserve"> </w:t>
      </w:r>
      <w:r w:rsidR="00DA7B4B" w:rsidRPr="00A862C6">
        <w:t>(</w:t>
      </w:r>
      <w:r w:rsidR="006116DD" w:rsidRPr="00A862C6">
        <w:t>FP</w:t>
      </w:r>
      <w:r w:rsidR="00DA7B4B" w:rsidRPr="00A862C6">
        <w:t>)</w:t>
      </w:r>
      <w:r w:rsidRPr="00A862C6">
        <w:t xml:space="preserve">-based chemotherapy treatment regimen, with </w:t>
      </w:r>
      <w:r w:rsidR="0067630A" w:rsidRPr="00A862C6">
        <w:t xml:space="preserve">a </w:t>
      </w:r>
      <w:r w:rsidR="001E5CF3" w:rsidRPr="00A862C6">
        <w:t>World Health Organisation (</w:t>
      </w:r>
      <w:r w:rsidR="0067630A" w:rsidRPr="00A862C6">
        <w:t>WHO</w:t>
      </w:r>
      <w:r w:rsidR="001E5CF3" w:rsidRPr="00A862C6">
        <w:t>)</w:t>
      </w:r>
      <w:r w:rsidRPr="00A862C6">
        <w:t xml:space="preserve"> performance status (PS) of 0 or 1. </w:t>
      </w:r>
    </w:p>
    <w:p w:rsidR="00285CB1" w:rsidRPr="00A862C6" w:rsidRDefault="00285CB1" w:rsidP="00DD46F0">
      <w:pPr>
        <w:pStyle w:val="ListParagraph"/>
        <w:widowControl/>
        <w:numPr>
          <w:ilvl w:val="1"/>
          <w:numId w:val="2"/>
        </w:numPr>
        <w:spacing w:after="120"/>
      </w:pPr>
      <w:r w:rsidRPr="00A862C6">
        <w:t>The requested basis for listing is a cost-effectiveness analysis compared to</w:t>
      </w:r>
      <w:r w:rsidR="00864247" w:rsidRPr="00A862C6">
        <w:t xml:space="preserve"> single agent chemotherapy </w:t>
      </w:r>
      <w:r w:rsidRPr="00A862C6">
        <w:t>of docetaxel</w:t>
      </w:r>
      <w:r w:rsidR="00864247" w:rsidRPr="00A862C6">
        <w:t xml:space="preserve">, </w:t>
      </w:r>
      <w:r w:rsidRPr="00A862C6">
        <w:t>paclitaxel</w:t>
      </w:r>
      <w:r w:rsidR="00864247" w:rsidRPr="00A862C6">
        <w:t xml:space="preserve"> or irinotecan</w:t>
      </w:r>
      <w:r w:rsidR="005C7257" w:rsidRPr="00A862C6">
        <w:t xml:space="preserve"> (Table 1)</w:t>
      </w:r>
      <w:r w:rsidR="00864247" w:rsidRPr="00A862C6">
        <w:t>. The submission referred to monotherapy with docetaxel or paclitaxel as investigator’s choice (IC) and this terminology will be used herein for consistency</w:t>
      </w:r>
      <w:r w:rsidRPr="00A862C6">
        <w:t xml:space="preserve">. Despite irinotecan being nominated as one of the main comparators, the submission did </w:t>
      </w:r>
      <w:r w:rsidRPr="003621C6">
        <w:t xml:space="preserve">not </w:t>
      </w:r>
      <w:r w:rsidR="003621C6" w:rsidRPr="003621C6">
        <w:t xml:space="preserve">present any clinical evidence comparing nivolumab to irinotecan nor include irinotecan in the economic analysis </w:t>
      </w:r>
      <w:r w:rsidR="00904A5E" w:rsidRPr="003621C6">
        <w:t>(</w:t>
      </w:r>
      <w:r w:rsidR="00904A5E" w:rsidRPr="00F71DE4">
        <w:t>paragraph 5.2</w:t>
      </w:r>
      <w:r w:rsidR="00904A5E" w:rsidRPr="003621C6">
        <w:t>)</w:t>
      </w:r>
      <w:r w:rsidRPr="003621C6">
        <w:t>.</w:t>
      </w:r>
      <w:r w:rsidR="002D5C83" w:rsidRPr="00A862C6">
        <w:rPr>
          <w:i/>
        </w:rPr>
        <w:t xml:space="preserve"> </w:t>
      </w:r>
    </w:p>
    <w:p w:rsidR="00285CB1" w:rsidRPr="00A862C6" w:rsidRDefault="00285CB1" w:rsidP="00864247">
      <w:pPr>
        <w:pStyle w:val="Caption"/>
        <w:keepNext/>
        <w:keepLines/>
        <w:spacing w:after="0"/>
        <w:rPr>
          <w:rStyle w:val="CommentReference"/>
          <w:color w:val="auto"/>
        </w:rPr>
      </w:pPr>
      <w:r w:rsidRPr="00A862C6">
        <w:rPr>
          <w:rStyle w:val="CommentReference"/>
          <w:b/>
          <w:bCs w:val="0"/>
          <w:color w:val="auto"/>
        </w:rPr>
        <w:t xml:space="preserve">Table </w:t>
      </w:r>
      <w:r w:rsidR="00F71DE4">
        <w:rPr>
          <w:rStyle w:val="CommentReference"/>
          <w:b/>
          <w:bCs w:val="0"/>
          <w:noProof/>
          <w:color w:val="auto"/>
        </w:rPr>
        <w:t>1</w:t>
      </w:r>
      <w:r w:rsidRPr="00A862C6">
        <w:rPr>
          <w:rStyle w:val="CommentReference"/>
          <w:b/>
          <w:bCs w:val="0"/>
          <w:color w:val="auto"/>
        </w:rPr>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7765"/>
      </w:tblGrid>
      <w:tr w:rsidR="00285CB1" w:rsidRPr="00A862C6" w:rsidTr="005C7257">
        <w:tc>
          <w:tcPr>
            <w:tcW w:w="694" w:type="pct"/>
            <w:vAlign w:val="center"/>
          </w:tcPr>
          <w:p w:rsidR="00285CB1" w:rsidRPr="00A862C6" w:rsidRDefault="00285CB1" w:rsidP="00864247">
            <w:pPr>
              <w:pStyle w:val="Tabletext"/>
              <w:keepNext/>
              <w:keepLines/>
              <w:rPr>
                <w:b/>
              </w:rPr>
            </w:pPr>
            <w:r w:rsidRPr="00A862C6">
              <w:rPr>
                <w:b/>
              </w:rPr>
              <w:t>Component</w:t>
            </w:r>
          </w:p>
        </w:tc>
        <w:tc>
          <w:tcPr>
            <w:tcW w:w="4306" w:type="pct"/>
            <w:vAlign w:val="center"/>
          </w:tcPr>
          <w:p w:rsidR="00285CB1" w:rsidRPr="00A862C6" w:rsidRDefault="00285CB1" w:rsidP="00864247">
            <w:pPr>
              <w:pStyle w:val="Tabletext"/>
              <w:keepNext/>
              <w:keepLines/>
              <w:jc w:val="center"/>
              <w:rPr>
                <w:b/>
              </w:rPr>
            </w:pPr>
            <w:r w:rsidRPr="00A862C6">
              <w:rPr>
                <w:b/>
              </w:rPr>
              <w:t>Description</w:t>
            </w:r>
          </w:p>
        </w:tc>
      </w:tr>
      <w:tr w:rsidR="00285CB1" w:rsidRPr="00A862C6" w:rsidTr="005C7257">
        <w:tc>
          <w:tcPr>
            <w:tcW w:w="694" w:type="pct"/>
            <w:vAlign w:val="center"/>
          </w:tcPr>
          <w:p w:rsidR="00285CB1" w:rsidRPr="00A862C6" w:rsidRDefault="00285CB1" w:rsidP="00864247">
            <w:pPr>
              <w:pStyle w:val="Tabletext"/>
              <w:keepNext/>
              <w:keepLines/>
            </w:pPr>
            <w:r w:rsidRPr="00A862C6">
              <w:t>Population</w:t>
            </w:r>
          </w:p>
        </w:tc>
        <w:tc>
          <w:tcPr>
            <w:tcW w:w="4306" w:type="pct"/>
            <w:vAlign w:val="center"/>
          </w:tcPr>
          <w:p w:rsidR="00285CB1" w:rsidRPr="00A862C6" w:rsidRDefault="00285CB1" w:rsidP="00864247">
            <w:pPr>
              <w:pStyle w:val="Tabletext"/>
              <w:keepNext/>
              <w:keepLines/>
            </w:pPr>
            <w:r w:rsidRPr="00A862C6">
              <w:t>Patients with oesophageal squamous cell carcinoma refractory to prior fluoropyrimidine and platinum-based chemotherapy.</w:t>
            </w:r>
          </w:p>
        </w:tc>
      </w:tr>
      <w:tr w:rsidR="00285CB1" w:rsidRPr="00A862C6" w:rsidTr="005C7257">
        <w:tc>
          <w:tcPr>
            <w:tcW w:w="694" w:type="pct"/>
            <w:vAlign w:val="center"/>
          </w:tcPr>
          <w:p w:rsidR="00285CB1" w:rsidRPr="00A862C6" w:rsidRDefault="00285CB1" w:rsidP="00864247">
            <w:pPr>
              <w:pStyle w:val="Tabletext"/>
              <w:keepNext/>
              <w:keepLines/>
            </w:pPr>
            <w:r w:rsidRPr="00A862C6">
              <w:t>Intervention</w:t>
            </w:r>
          </w:p>
        </w:tc>
        <w:tc>
          <w:tcPr>
            <w:tcW w:w="4306" w:type="pct"/>
            <w:vAlign w:val="center"/>
          </w:tcPr>
          <w:p w:rsidR="00285CB1" w:rsidRPr="00A862C6" w:rsidRDefault="00285CB1" w:rsidP="00D94657">
            <w:pPr>
              <w:pStyle w:val="Tabletext"/>
              <w:keepNext/>
              <w:keepLines/>
            </w:pPr>
            <w:r w:rsidRPr="00A862C6">
              <w:t>Nivolumab (NIVO) 240</w:t>
            </w:r>
            <w:r w:rsidR="006C11FC" w:rsidRPr="00A862C6">
              <w:t xml:space="preserve"> </w:t>
            </w:r>
            <w:r w:rsidRPr="00A862C6">
              <w:t xml:space="preserve">mg administered as an IV infusion over 30 minutes at </w:t>
            </w:r>
            <w:r w:rsidR="00A862C6" w:rsidRPr="00A862C6">
              <w:t>2-week</w:t>
            </w:r>
            <w:r w:rsidRPr="00A862C6">
              <w:t xml:space="preserve"> intervals; or NIVO 480</w:t>
            </w:r>
            <w:r w:rsidR="006C11FC" w:rsidRPr="00A862C6">
              <w:t xml:space="preserve"> </w:t>
            </w:r>
            <w:r w:rsidRPr="00A862C6">
              <w:t xml:space="preserve">mg administered as an IV infusion over 30 minutes at 4 week intervals. Treatment </w:t>
            </w:r>
            <w:r w:rsidR="00D94657" w:rsidRPr="00A862C6">
              <w:t xml:space="preserve">to </w:t>
            </w:r>
            <w:r w:rsidRPr="00A862C6">
              <w:t>be continued until progressive disease as assessed according to the RECIST guidelines.</w:t>
            </w:r>
          </w:p>
        </w:tc>
      </w:tr>
      <w:tr w:rsidR="00285CB1" w:rsidRPr="00A862C6" w:rsidTr="005C7257">
        <w:tc>
          <w:tcPr>
            <w:tcW w:w="694" w:type="pct"/>
            <w:vAlign w:val="center"/>
          </w:tcPr>
          <w:p w:rsidR="00285CB1" w:rsidRPr="00A862C6" w:rsidRDefault="00285CB1" w:rsidP="00864247">
            <w:pPr>
              <w:pStyle w:val="Tabletext"/>
              <w:keepNext/>
              <w:keepLines/>
            </w:pPr>
            <w:r w:rsidRPr="00A862C6">
              <w:t>Comparator</w:t>
            </w:r>
          </w:p>
        </w:tc>
        <w:tc>
          <w:tcPr>
            <w:tcW w:w="4306" w:type="pct"/>
            <w:vAlign w:val="center"/>
          </w:tcPr>
          <w:p w:rsidR="00285CB1" w:rsidRPr="00A862C6" w:rsidRDefault="00864247" w:rsidP="00864247">
            <w:pPr>
              <w:pStyle w:val="Tabletext"/>
              <w:keepNext/>
              <w:keepLines/>
            </w:pPr>
            <w:r w:rsidRPr="00A862C6">
              <w:t>S</w:t>
            </w:r>
            <w:r w:rsidR="00285CB1" w:rsidRPr="00A862C6">
              <w:t>ingle agent chemotherapy (docetaxel/paclitaxel/irinotecan).</w:t>
            </w:r>
          </w:p>
        </w:tc>
      </w:tr>
      <w:tr w:rsidR="00285CB1" w:rsidRPr="00A862C6" w:rsidTr="005C7257">
        <w:tc>
          <w:tcPr>
            <w:tcW w:w="694" w:type="pct"/>
            <w:vAlign w:val="center"/>
          </w:tcPr>
          <w:p w:rsidR="00285CB1" w:rsidRPr="00A862C6" w:rsidRDefault="00285CB1" w:rsidP="00864247">
            <w:pPr>
              <w:pStyle w:val="Tabletext"/>
              <w:keepNext/>
              <w:keepLines/>
            </w:pPr>
            <w:r w:rsidRPr="00A862C6">
              <w:t>Outcomes</w:t>
            </w:r>
          </w:p>
        </w:tc>
        <w:tc>
          <w:tcPr>
            <w:tcW w:w="4306" w:type="pct"/>
            <w:vAlign w:val="center"/>
          </w:tcPr>
          <w:p w:rsidR="00285CB1" w:rsidRPr="00A862C6" w:rsidRDefault="00285CB1" w:rsidP="00864247">
            <w:pPr>
              <w:pStyle w:val="Tabletext"/>
              <w:keepNext/>
              <w:keepLines/>
            </w:pPr>
            <w:r w:rsidRPr="00A862C6">
              <w:t xml:space="preserve">Overall survival, progression free survival, objective response rate. Quality of life during treatment. </w:t>
            </w:r>
          </w:p>
          <w:p w:rsidR="00285CB1" w:rsidRPr="00A862C6" w:rsidRDefault="00285CB1" w:rsidP="00864247">
            <w:pPr>
              <w:pStyle w:val="Tabletext"/>
              <w:keepNext/>
              <w:keepLines/>
            </w:pPr>
            <w:r w:rsidRPr="00A862C6">
              <w:t>Safety was based on frequency of deaths, AEs, SAEs, AEs leading to discontinuation.</w:t>
            </w:r>
          </w:p>
        </w:tc>
      </w:tr>
      <w:tr w:rsidR="00285CB1" w:rsidRPr="00A862C6" w:rsidTr="005C7257">
        <w:tc>
          <w:tcPr>
            <w:tcW w:w="694" w:type="pct"/>
            <w:vAlign w:val="center"/>
          </w:tcPr>
          <w:p w:rsidR="00285CB1" w:rsidRPr="00A862C6" w:rsidRDefault="00285CB1" w:rsidP="00864247">
            <w:pPr>
              <w:pStyle w:val="Tabletext"/>
              <w:keepNext/>
              <w:keepLines/>
            </w:pPr>
            <w:r w:rsidRPr="00A862C6">
              <w:t>Clinical claim</w:t>
            </w:r>
          </w:p>
        </w:tc>
        <w:tc>
          <w:tcPr>
            <w:tcW w:w="4306" w:type="pct"/>
            <w:vAlign w:val="center"/>
          </w:tcPr>
          <w:p w:rsidR="00285CB1" w:rsidRPr="00A862C6" w:rsidRDefault="00285CB1" w:rsidP="00864247">
            <w:pPr>
              <w:pStyle w:val="Tabletext"/>
              <w:keepNext/>
              <w:keepLines/>
            </w:pPr>
            <w:r w:rsidRPr="00A862C6">
              <w:t xml:space="preserve">NIVO is superior in terms of efficacy compared to </w:t>
            </w:r>
            <w:r w:rsidR="00864247" w:rsidRPr="00A862C6">
              <w:t xml:space="preserve">single agent chemotherapy </w:t>
            </w:r>
            <w:r w:rsidRPr="00A862C6">
              <w:t>and has a favourable safety profile for the treatment of refractory oesophageal squamous cell carcinoma after prior fluoropyrimidine and platinum-based chemotherapy.</w:t>
            </w:r>
          </w:p>
        </w:tc>
      </w:tr>
    </w:tbl>
    <w:p w:rsidR="00285CB1" w:rsidRPr="00A862C6" w:rsidRDefault="00285CB1" w:rsidP="00864247">
      <w:pPr>
        <w:pStyle w:val="TableFooter"/>
        <w:keepNext/>
        <w:keepLines/>
      </w:pPr>
      <w:r w:rsidRPr="00A862C6">
        <w:t>Source: Table 1, p12 of the submission.</w:t>
      </w:r>
    </w:p>
    <w:p w:rsidR="00285CB1" w:rsidRPr="00A862C6" w:rsidRDefault="00285CB1" w:rsidP="00864247">
      <w:pPr>
        <w:pStyle w:val="TableFooter"/>
        <w:keepNext/>
        <w:keepLines/>
      </w:pPr>
      <w:r w:rsidRPr="00A862C6">
        <w:t>AE = adverse event; SAE = serious adverse event; IV = intravenous; NIVO = nivolumab; RECIST</w:t>
      </w:r>
      <w:r w:rsidR="00F2215C">
        <w:t>=</w:t>
      </w:r>
      <w:r w:rsidRPr="00A862C6">
        <w:t xml:space="preserve"> Response Evaluation Criteria in Solid Tumour</w:t>
      </w:r>
    </w:p>
    <w:p w:rsidR="00CA1323" w:rsidRPr="00A862C6" w:rsidRDefault="00CA1323">
      <w:pPr>
        <w:widowControl/>
        <w:jc w:val="left"/>
      </w:pPr>
    </w:p>
    <w:p w:rsidR="009F1FD5" w:rsidRPr="00A862C6" w:rsidRDefault="009F1FD5" w:rsidP="009F1FD5">
      <w:pPr>
        <w:pStyle w:val="PBACHeading1"/>
      </w:pPr>
      <w:bookmarkStart w:id="11" w:name="_Toc72263293"/>
      <w:r w:rsidRPr="00A862C6">
        <w:t>Background</w:t>
      </w:r>
      <w:bookmarkEnd w:id="11"/>
    </w:p>
    <w:p w:rsidR="009F1FD5" w:rsidRPr="00A862C6" w:rsidRDefault="009F1FD5" w:rsidP="009F1FD5"/>
    <w:p w:rsidR="009F1FD5" w:rsidRPr="00A862C6" w:rsidRDefault="009F1FD5" w:rsidP="009F1FD5">
      <w:pPr>
        <w:rPr>
          <w:b/>
          <w:i/>
          <w:sz w:val="28"/>
          <w:szCs w:val="28"/>
        </w:rPr>
      </w:pPr>
      <w:r w:rsidRPr="00A862C6">
        <w:rPr>
          <w:b/>
          <w:i/>
          <w:sz w:val="28"/>
          <w:szCs w:val="28"/>
        </w:rPr>
        <w:t>Registration status</w:t>
      </w:r>
    </w:p>
    <w:p w:rsidR="009F1FD5" w:rsidRPr="00A862C6" w:rsidRDefault="009F1FD5" w:rsidP="009F1FD5"/>
    <w:p w:rsidR="009F1FD5" w:rsidRPr="00A862C6" w:rsidRDefault="009F1FD5" w:rsidP="00DD46F0">
      <w:pPr>
        <w:pStyle w:val="ListParagraph"/>
        <w:widowControl/>
        <w:numPr>
          <w:ilvl w:val="1"/>
          <w:numId w:val="2"/>
        </w:numPr>
      </w:pPr>
      <w:r w:rsidRPr="00A862C6">
        <w:t xml:space="preserve">Nivolumab was TGA registered on 22 February 2021 for the following indication: </w:t>
      </w:r>
    </w:p>
    <w:p w:rsidR="009F1FD5" w:rsidRPr="00A862C6" w:rsidRDefault="009F1FD5" w:rsidP="009F1FD5">
      <w:pPr>
        <w:pStyle w:val="ListParagraph"/>
        <w:widowControl/>
      </w:pPr>
      <w:r w:rsidRPr="00A862C6">
        <w:lastRenderedPageBreak/>
        <w:t>OPDIVO, as monotherapy, is indicated for the treatment of patients with unresectable advanced, recurrent or metastatic oesophageal squamous cell carcinoma after prior FP</w:t>
      </w:r>
      <w:r w:rsidR="00293B97" w:rsidRPr="00A862C6">
        <w:t>-</w:t>
      </w:r>
      <w:r w:rsidRPr="00A862C6">
        <w:t>based chemotherapy.</w:t>
      </w:r>
    </w:p>
    <w:p w:rsidR="00ED4926" w:rsidRPr="00A862C6" w:rsidRDefault="00ED4926" w:rsidP="00ED4926">
      <w:pPr>
        <w:pStyle w:val="ListParagraph"/>
        <w:widowControl/>
        <w:ind w:left="0"/>
        <w:rPr>
          <w:b/>
          <w:bCs/>
          <w:i/>
          <w:iCs/>
          <w:sz w:val="28"/>
          <w:szCs w:val="28"/>
        </w:rPr>
      </w:pPr>
      <w:r w:rsidRPr="00A862C6">
        <w:rPr>
          <w:b/>
          <w:bCs/>
          <w:i/>
          <w:iCs/>
          <w:sz w:val="28"/>
          <w:szCs w:val="28"/>
        </w:rPr>
        <w:t>Previous PBAC consideration</w:t>
      </w:r>
    </w:p>
    <w:p w:rsidR="00ED4926" w:rsidRPr="00A862C6" w:rsidRDefault="00ED4926" w:rsidP="00DD46F0">
      <w:pPr>
        <w:pStyle w:val="ListParagraph"/>
        <w:widowControl/>
        <w:numPr>
          <w:ilvl w:val="1"/>
          <w:numId w:val="2"/>
        </w:numPr>
      </w:pPr>
      <w:r w:rsidRPr="00A862C6">
        <w:t xml:space="preserve">This was the first submission for OSCC. Nivolumab is currently PBS listed for non-small lung cancer, renal cell carcinoma, malignant melanoma, and carcinoma of the oral cavity, pharynx or larynx. </w:t>
      </w:r>
    </w:p>
    <w:p w:rsidR="00285CB1" w:rsidRPr="00A862C6" w:rsidRDefault="00285CB1" w:rsidP="00930194">
      <w:pPr>
        <w:pStyle w:val="PBACHeading1"/>
        <w:keepNext/>
        <w:keepLines/>
      </w:pPr>
      <w:bookmarkStart w:id="12" w:name="_Toc72263292"/>
      <w:r w:rsidRPr="00A862C6">
        <w:t>Requested listing</w:t>
      </w:r>
      <w:bookmarkEnd w:id="12"/>
    </w:p>
    <w:p w:rsidR="009F1FD5" w:rsidRPr="00A862C6" w:rsidRDefault="009F1FD5" w:rsidP="00A6764F"/>
    <w:p w:rsidR="009F1FD5" w:rsidRPr="00A862C6" w:rsidRDefault="00954B90" w:rsidP="00DD46F0">
      <w:pPr>
        <w:pStyle w:val="ListParagraph"/>
        <w:widowControl/>
        <w:numPr>
          <w:ilvl w:val="1"/>
          <w:numId w:val="2"/>
        </w:numPr>
        <w:rPr>
          <w:i/>
        </w:rPr>
      </w:pPr>
      <w:r w:rsidRPr="00A862C6">
        <w:t>The requested listing for nivolumab is provided below. Suggested additions are in italics and deletions are in strikethrough.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701"/>
        <w:gridCol w:w="1933"/>
      </w:tblGrid>
      <w:tr w:rsidR="00954B90" w:rsidRPr="00A862C6" w:rsidTr="0040023A">
        <w:tc>
          <w:tcPr>
            <w:tcW w:w="2830" w:type="dxa"/>
            <w:shd w:val="clear" w:color="auto" w:fill="auto"/>
          </w:tcPr>
          <w:p w:rsidR="00954B90" w:rsidRPr="00A862C6" w:rsidRDefault="00954B90" w:rsidP="00ED4926">
            <w:pPr>
              <w:pStyle w:val="Tabletext"/>
              <w:ind w:left="-57"/>
              <w:rPr>
                <w:b/>
              </w:rPr>
            </w:pPr>
            <w:r w:rsidRPr="00A862C6">
              <w:rPr>
                <w:b/>
              </w:rPr>
              <w:t>MEDICINAL PRODUCT</w:t>
            </w:r>
          </w:p>
          <w:p w:rsidR="00954B90" w:rsidRPr="00A862C6" w:rsidRDefault="00954B90" w:rsidP="00ED4926">
            <w:pPr>
              <w:pStyle w:val="Tabletext"/>
              <w:ind w:left="-57"/>
            </w:pPr>
            <w:r w:rsidRPr="00A862C6">
              <w:rPr>
                <w:b/>
              </w:rPr>
              <w:t>Form</w:t>
            </w:r>
          </w:p>
        </w:tc>
        <w:tc>
          <w:tcPr>
            <w:tcW w:w="2552" w:type="dxa"/>
            <w:shd w:val="clear" w:color="auto" w:fill="auto"/>
          </w:tcPr>
          <w:p w:rsidR="00954B90" w:rsidRPr="00A862C6" w:rsidRDefault="00954B90" w:rsidP="0040023A">
            <w:pPr>
              <w:pStyle w:val="Tabletext"/>
              <w:jc w:val="center"/>
              <w:rPr>
                <w:rFonts w:cs="Arial"/>
                <w:b/>
                <w:sz w:val="18"/>
                <w:szCs w:val="18"/>
              </w:rPr>
            </w:pPr>
            <w:r w:rsidRPr="00A862C6">
              <w:rPr>
                <w:rFonts w:cs="Arial"/>
                <w:b/>
                <w:sz w:val="18"/>
                <w:szCs w:val="18"/>
              </w:rPr>
              <w:t>PBS item code</w:t>
            </w:r>
          </w:p>
        </w:tc>
        <w:tc>
          <w:tcPr>
            <w:tcW w:w="1701" w:type="dxa"/>
            <w:shd w:val="clear" w:color="auto" w:fill="auto"/>
          </w:tcPr>
          <w:p w:rsidR="00954B90" w:rsidRPr="00A862C6" w:rsidRDefault="00954B90" w:rsidP="0040023A">
            <w:pPr>
              <w:pStyle w:val="Tabletext"/>
              <w:jc w:val="center"/>
              <w:rPr>
                <w:rFonts w:cs="Arial"/>
                <w:b/>
                <w:sz w:val="18"/>
                <w:szCs w:val="18"/>
              </w:rPr>
            </w:pPr>
            <w:r w:rsidRPr="00A862C6">
              <w:rPr>
                <w:rFonts w:cs="Arial"/>
                <w:b/>
                <w:sz w:val="18"/>
                <w:szCs w:val="18"/>
              </w:rPr>
              <w:t>Maximum amount</w:t>
            </w:r>
          </w:p>
        </w:tc>
        <w:tc>
          <w:tcPr>
            <w:tcW w:w="1933" w:type="dxa"/>
            <w:shd w:val="clear" w:color="auto" w:fill="auto"/>
          </w:tcPr>
          <w:p w:rsidR="00954B90" w:rsidRPr="00A862C6" w:rsidRDefault="00954B90" w:rsidP="0040023A">
            <w:pPr>
              <w:pStyle w:val="Tabletext"/>
              <w:jc w:val="center"/>
              <w:rPr>
                <w:rFonts w:cs="Arial"/>
                <w:b/>
                <w:sz w:val="18"/>
                <w:szCs w:val="18"/>
              </w:rPr>
            </w:pPr>
            <w:r w:rsidRPr="00A862C6">
              <w:rPr>
                <w:rFonts w:cs="Arial"/>
                <w:b/>
                <w:sz w:val="18"/>
                <w:szCs w:val="18"/>
              </w:rPr>
              <w:t>No. of Repeats</w:t>
            </w:r>
          </w:p>
        </w:tc>
      </w:tr>
      <w:tr w:rsidR="00954B90" w:rsidRPr="00A862C6" w:rsidTr="0040023A">
        <w:tc>
          <w:tcPr>
            <w:tcW w:w="2830" w:type="dxa"/>
          </w:tcPr>
          <w:p w:rsidR="00954B90" w:rsidRPr="00A862C6" w:rsidRDefault="00954B90" w:rsidP="0040023A">
            <w:pPr>
              <w:pStyle w:val="Tabletext"/>
              <w:ind w:left="-57"/>
              <w:rPr>
                <w:rFonts w:cs="Arial"/>
                <w:sz w:val="18"/>
                <w:szCs w:val="18"/>
              </w:rPr>
            </w:pPr>
            <w:r w:rsidRPr="00A862C6">
              <w:rPr>
                <w:rFonts w:cs="Arial"/>
                <w:sz w:val="18"/>
                <w:szCs w:val="18"/>
              </w:rPr>
              <w:t>NIVOLUMAB</w:t>
            </w:r>
          </w:p>
          <w:p w:rsidR="00954B90" w:rsidRPr="00A862C6" w:rsidRDefault="00954B90" w:rsidP="0040023A">
            <w:pPr>
              <w:pStyle w:val="Tabletext"/>
              <w:ind w:left="-57"/>
              <w:rPr>
                <w:rFonts w:cs="Arial"/>
                <w:sz w:val="18"/>
                <w:szCs w:val="18"/>
              </w:rPr>
            </w:pPr>
            <w:r w:rsidRPr="00A862C6">
              <w:rPr>
                <w:rFonts w:cs="Arial"/>
                <w:sz w:val="18"/>
                <w:szCs w:val="18"/>
              </w:rPr>
              <w:t>Injection</w:t>
            </w:r>
          </w:p>
          <w:p w:rsidR="00954B90" w:rsidRPr="00A862C6" w:rsidRDefault="00954B90" w:rsidP="0040023A">
            <w:pPr>
              <w:pStyle w:val="Tabletext"/>
              <w:ind w:left="-57"/>
              <w:rPr>
                <w:rFonts w:cs="Arial"/>
                <w:sz w:val="18"/>
                <w:szCs w:val="18"/>
              </w:rPr>
            </w:pPr>
          </w:p>
        </w:tc>
        <w:tc>
          <w:tcPr>
            <w:tcW w:w="2552" w:type="dxa"/>
            <w:vAlign w:val="center"/>
          </w:tcPr>
          <w:p w:rsidR="00954B90" w:rsidRPr="00A862C6" w:rsidRDefault="00954B90" w:rsidP="0040023A">
            <w:pPr>
              <w:pStyle w:val="Tabletext"/>
              <w:jc w:val="center"/>
              <w:rPr>
                <w:rFonts w:cs="Arial"/>
                <w:sz w:val="18"/>
                <w:szCs w:val="18"/>
              </w:rPr>
            </w:pPr>
            <w:r w:rsidRPr="00A862C6">
              <w:rPr>
                <w:rFonts w:cs="Arial"/>
                <w:sz w:val="18"/>
                <w:szCs w:val="18"/>
              </w:rPr>
              <w:t>New (Public)</w:t>
            </w:r>
          </w:p>
          <w:p w:rsidR="00954B90" w:rsidRPr="00A862C6" w:rsidRDefault="00954B90" w:rsidP="0040023A">
            <w:pPr>
              <w:pStyle w:val="Tabletext"/>
              <w:jc w:val="center"/>
              <w:rPr>
                <w:rFonts w:cs="Arial"/>
                <w:sz w:val="18"/>
                <w:szCs w:val="18"/>
              </w:rPr>
            </w:pPr>
            <w:r w:rsidRPr="00A862C6">
              <w:rPr>
                <w:rFonts w:cs="Arial"/>
                <w:sz w:val="18"/>
                <w:szCs w:val="18"/>
              </w:rPr>
              <w:t>New (Private)</w:t>
            </w:r>
          </w:p>
        </w:tc>
        <w:tc>
          <w:tcPr>
            <w:tcW w:w="1701" w:type="dxa"/>
            <w:vAlign w:val="center"/>
          </w:tcPr>
          <w:p w:rsidR="00954B90" w:rsidRPr="00A862C6" w:rsidRDefault="00954B90" w:rsidP="0040023A">
            <w:pPr>
              <w:pStyle w:val="Tabletext"/>
              <w:jc w:val="center"/>
              <w:rPr>
                <w:rFonts w:cs="Arial"/>
                <w:sz w:val="18"/>
                <w:szCs w:val="18"/>
              </w:rPr>
            </w:pPr>
            <w:r w:rsidRPr="00A862C6">
              <w:rPr>
                <w:rFonts w:cs="Arial"/>
                <w:sz w:val="18"/>
                <w:szCs w:val="18"/>
              </w:rPr>
              <w:t>480 mg</w:t>
            </w:r>
          </w:p>
        </w:tc>
        <w:tc>
          <w:tcPr>
            <w:tcW w:w="1933" w:type="dxa"/>
            <w:vAlign w:val="center"/>
          </w:tcPr>
          <w:p w:rsidR="00954B90" w:rsidRPr="00A862C6" w:rsidRDefault="00954B90" w:rsidP="0040023A">
            <w:pPr>
              <w:pStyle w:val="Tabletext"/>
              <w:jc w:val="center"/>
              <w:rPr>
                <w:rFonts w:cs="Arial"/>
                <w:sz w:val="18"/>
                <w:szCs w:val="18"/>
              </w:rPr>
            </w:pPr>
            <w:r w:rsidRPr="00A862C6">
              <w:rPr>
                <w:rFonts w:cs="Arial"/>
                <w:sz w:val="18"/>
                <w:szCs w:val="18"/>
              </w:rPr>
              <w:t>8</w:t>
            </w:r>
          </w:p>
        </w:tc>
      </w:tr>
      <w:tr w:rsidR="00954B90" w:rsidRPr="00A862C6" w:rsidTr="0040023A">
        <w:tc>
          <w:tcPr>
            <w:tcW w:w="9016" w:type="dxa"/>
            <w:gridSpan w:val="4"/>
            <w:shd w:val="clear" w:color="auto" w:fill="auto"/>
          </w:tcPr>
          <w:p w:rsidR="00954B90" w:rsidRPr="00A862C6" w:rsidRDefault="00954B90" w:rsidP="0040023A">
            <w:pPr>
              <w:pStyle w:val="Tabletext"/>
              <w:ind w:left="-57"/>
              <w:rPr>
                <w:rFonts w:cs="Arial"/>
                <w:b/>
                <w:sz w:val="18"/>
                <w:szCs w:val="18"/>
              </w:rPr>
            </w:pPr>
            <w:r w:rsidRPr="00A862C6">
              <w:rPr>
                <w:rFonts w:cs="Arial"/>
                <w:b/>
                <w:sz w:val="18"/>
                <w:szCs w:val="18"/>
              </w:rPr>
              <w:t>Available brands</w:t>
            </w:r>
          </w:p>
        </w:tc>
      </w:tr>
      <w:tr w:rsidR="00954B90" w:rsidRPr="00A862C6" w:rsidTr="0040023A">
        <w:tc>
          <w:tcPr>
            <w:tcW w:w="9016" w:type="dxa"/>
            <w:gridSpan w:val="4"/>
            <w:shd w:val="clear" w:color="auto" w:fill="auto"/>
          </w:tcPr>
          <w:p w:rsidR="00954B90" w:rsidRPr="00A862C6" w:rsidRDefault="00954B90" w:rsidP="0040023A">
            <w:pPr>
              <w:pStyle w:val="Tabletext"/>
              <w:ind w:left="-57"/>
              <w:rPr>
                <w:rFonts w:cs="Arial"/>
                <w:sz w:val="18"/>
                <w:szCs w:val="18"/>
              </w:rPr>
            </w:pPr>
            <w:r w:rsidRPr="00A862C6">
              <w:rPr>
                <w:rFonts w:cs="Arial"/>
                <w:sz w:val="18"/>
                <w:szCs w:val="18"/>
              </w:rPr>
              <w:t>Opdivo</w:t>
            </w:r>
          </w:p>
          <w:p w:rsidR="00954B90" w:rsidRPr="00A862C6" w:rsidRDefault="00954B90" w:rsidP="0040023A">
            <w:pPr>
              <w:pStyle w:val="Tabletext"/>
              <w:ind w:left="-57"/>
              <w:rPr>
                <w:rFonts w:cs="Arial"/>
                <w:sz w:val="18"/>
                <w:szCs w:val="18"/>
              </w:rPr>
            </w:pPr>
            <w:r w:rsidRPr="00A862C6">
              <w:rPr>
                <w:rFonts w:cs="Arial"/>
                <w:sz w:val="18"/>
                <w:szCs w:val="18"/>
              </w:rPr>
              <w:t>(nivolumab 40 mg/4 mL injection, 4 mL vial)</w:t>
            </w:r>
          </w:p>
        </w:tc>
      </w:tr>
      <w:tr w:rsidR="00954B90" w:rsidRPr="00A862C6" w:rsidTr="0040023A">
        <w:tc>
          <w:tcPr>
            <w:tcW w:w="9016" w:type="dxa"/>
            <w:gridSpan w:val="4"/>
            <w:shd w:val="clear" w:color="auto" w:fill="auto"/>
          </w:tcPr>
          <w:p w:rsidR="00954B90" w:rsidRPr="00A862C6" w:rsidRDefault="00954B90" w:rsidP="0040023A">
            <w:pPr>
              <w:pStyle w:val="Tabletext"/>
              <w:ind w:left="-57"/>
              <w:rPr>
                <w:rFonts w:cs="Arial"/>
                <w:sz w:val="18"/>
                <w:szCs w:val="18"/>
              </w:rPr>
            </w:pPr>
            <w:r w:rsidRPr="00A862C6">
              <w:rPr>
                <w:rFonts w:cs="Arial"/>
                <w:sz w:val="18"/>
                <w:szCs w:val="18"/>
              </w:rPr>
              <w:t>Opdivo</w:t>
            </w:r>
          </w:p>
          <w:p w:rsidR="00954B90" w:rsidRPr="00A862C6" w:rsidRDefault="00954B90" w:rsidP="0040023A">
            <w:pPr>
              <w:pStyle w:val="Tabletext"/>
              <w:ind w:left="-57"/>
              <w:rPr>
                <w:rFonts w:cs="Arial"/>
                <w:sz w:val="18"/>
                <w:szCs w:val="18"/>
              </w:rPr>
            </w:pPr>
            <w:r w:rsidRPr="00A862C6">
              <w:rPr>
                <w:rFonts w:cs="Arial"/>
                <w:sz w:val="18"/>
                <w:szCs w:val="18"/>
              </w:rPr>
              <w:t>(nivolumab 100 mg/10 mL injection, 10 mL vial)</w:t>
            </w:r>
          </w:p>
        </w:tc>
      </w:tr>
      <w:tr w:rsidR="00954B90" w:rsidRPr="00A862C6" w:rsidTr="0040023A">
        <w:tc>
          <w:tcPr>
            <w:tcW w:w="9016" w:type="dxa"/>
            <w:gridSpan w:val="4"/>
            <w:shd w:val="clear" w:color="auto" w:fill="auto"/>
          </w:tcPr>
          <w:p w:rsidR="00954B90" w:rsidRPr="00A862C6" w:rsidRDefault="00954B90" w:rsidP="0040023A">
            <w:pPr>
              <w:pStyle w:val="Tabletext"/>
              <w:ind w:left="-57"/>
              <w:rPr>
                <w:rFonts w:cs="Arial"/>
                <w:sz w:val="18"/>
                <w:szCs w:val="18"/>
              </w:rPr>
            </w:pPr>
          </w:p>
        </w:tc>
      </w:tr>
    </w:tbl>
    <w:tbl>
      <w:tblPr>
        <w:tblStyle w:val="TableGrid"/>
        <w:tblW w:w="5000" w:type="pct"/>
        <w:tblLook w:val="04A0" w:firstRow="1" w:lastRow="0" w:firstColumn="1" w:lastColumn="0" w:noHBand="0" w:noVBand="1"/>
        <w:tblCaption w:val="requested listing"/>
      </w:tblPr>
      <w:tblGrid>
        <w:gridCol w:w="9017"/>
      </w:tblGrid>
      <w:tr w:rsidR="00B91F7E" w:rsidRPr="00A862C6" w:rsidTr="00E45BC9">
        <w:trPr>
          <w:tblHeader/>
        </w:trPr>
        <w:tc>
          <w:tcPr>
            <w:tcW w:w="5000" w:type="pct"/>
            <w:tcBorders>
              <w:top w:val="single" w:sz="4" w:space="0" w:color="auto"/>
              <w:left w:val="single" w:sz="4" w:space="0" w:color="auto"/>
              <w:bottom w:val="single" w:sz="4" w:space="0" w:color="auto"/>
              <w:right w:val="single" w:sz="4" w:space="0" w:color="auto"/>
            </w:tcBorders>
          </w:tcPr>
          <w:p w:rsidR="00B91F7E" w:rsidRPr="00A862C6" w:rsidRDefault="00B91F7E" w:rsidP="0040023A">
            <w:pPr>
              <w:ind w:left="-57"/>
              <w:rPr>
                <w:rFonts w:ascii="Arial Narrow" w:hAnsi="Arial Narrow"/>
                <w:b/>
                <w:bCs/>
                <w:sz w:val="18"/>
                <w:szCs w:val="18"/>
                <w:lang w:eastAsia="en-AU"/>
              </w:rPr>
            </w:pPr>
            <w:r w:rsidRPr="00A862C6">
              <w:rPr>
                <w:rFonts w:ascii="Arial Narrow" w:hAnsi="Arial Narrow"/>
                <w:b/>
                <w:sz w:val="18"/>
                <w:szCs w:val="18"/>
              </w:rPr>
              <w:t xml:space="preserve">Category / Program: </w:t>
            </w:r>
            <w:r w:rsidRPr="00A862C6">
              <w:rPr>
                <w:rFonts w:ascii="Arial Narrow" w:hAnsi="Arial Narrow"/>
                <w:sz w:val="18"/>
                <w:szCs w:val="18"/>
              </w:rPr>
              <w:t>Section 100 – Efficient Funding of Chemotherapy Public/Private hospitals</w:t>
            </w:r>
          </w:p>
        </w:tc>
      </w:tr>
      <w:tr w:rsidR="00B91F7E" w:rsidRPr="00A862C6" w:rsidTr="00B91F7E">
        <w:tc>
          <w:tcPr>
            <w:tcW w:w="5000" w:type="pct"/>
            <w:tcBorders>
              <w:top w:val="single" w:sz="4" w:space="0" w:color="auto"/>
              <w:left w:val="single" w:sz="4" w:space="0" w:color="auto"/>
              <w:bottom w:val="single" w:sz="4" w:space="0" w:color="auto"/>
              <w:right w:val="single" w:sz="4" w:space="0" w:color="auto"/>
            </w:tcBorders>
          </w:tcPr>
          <w:p w:rsidR="00B91F7E" w:rsidRPr="00A862C6" w:rsidRDefault="00B91F7E" w:rsidP="0040023A">
            <w:pPr>
              <w:ind w:left="-57"/>
              <w:rPr>
                <w:rFonts w:ascii="Arial Narrow" w:hAnsi="Arial Narrow"/>
                <w:b/>
                <w:bCs/>
                <w:sz w:val="18"/>
                <w:szCs w:val="18"/>
                <w:lang w:eastAsia="en-AU"/>
              </w:rPr>
            </w:pPr>
            <w:r w:rsidRPr="00A862C6">
              <w:rPr>
                <w:rFonts w:ascii="Arial Narrow" w:hAnsi="Arial Narrow"/>
                <w:b/>
                <w:sz w:val="18"/>
                <w:szCs w:val="18"/>
              </w:rPr>
              <w:t xml:space="preserve">Prescriber type:   </w:t>
            </w:r>
            <w:r w:rsidRPr="00A862C6">
              <w:rPr>
                <w:rFonts w:ascii="Arial Narrow" w:hAnsi="Arial Narrow"/>
                <w:i/>
                <w:sz w:val="18"/>
                <w:szCs w:val="18"/>
              </w:rPr>
              <w:fldChar w:fldCharType="begin">
                <w:ffData>
                  <w:name w:val=""/>
                  <w:enabled/>
                  <w:calcOnExit w:val="0"/>
                  <w:checkBox>
                    <w:sizeAuto/>
                    <w:default w:val="1"/>
                  </w:checkBox>
                </w:ffData>
              </w:fldChar>
            </w:r>
            <w:r w:rsidRPr="00A862C6">
              <w:rPr>
                <w:rFonts w:ascii="Arial Narrow" w:hAnsi="Arial Narrow"/>
                <w:i/>
                <w:sz w:val="18"/>
                <w:szCs w:val="18"/>
              </w:rPr>
              <w:instrText xml:space="preserve"> FORMCHECKBOX </w:instrText>
            </w:r>
            <w:r w:rsidR="00980A9E">
              <w:rPr>
                <w:rFonts w:ascii="Arial Narrow" w:hAnsi="Arial Narrow"/>
                <w:i/>
                <w:sz w:val="18"/>
                <w:szCs w:val="18"/>
              </w:rPr>
            </w:r>
            <w:r w:rsidR="00980A9E">
              <w:rPr>
                <w:rFonts w:ascii="Arial Narrow" w:hAnsi="Arial Narrow"/>
                <w:i/>
                <w:sz w:val="18"/>
                <w:szCs w:val="18"/>
              </w:rPr>
              <w:fldChar w:fldCharType="separate"/>
            </w:r>
            <w:r w:rsidRPr="00A862C6">
              <w:rPr>
                <w:rFonts w:ascii="Arial Narrow" w:hAnsi="Arial Narrow"/>
                <w:i/>
                <w:sz w:val="18"/>
                <w:szCs w:val="18"/>
              </w:rPr>
              <w:fldChar w:fldCharType="end"/>
            </w:r>
            <w:r w:rsidRPr="00A862C6">
              <w:rPr>
                <w:rFonts w:ascii="Arial Narrow" w:hAnsi="Arial Narrow"/>
                <w:i/>
                <w:sz w:val="18"/>
                <w:szCs w:val="18"/>
              </w:rPr>
              <w:t xml:space="preserve"> Medical Practitioners</w:t>
            </w:r>
            <w:r w:rsidRPr="00A862C6">
              <w:rPr>
                <w:rFonts w:ascii="Arial Narrow" w:hAnsi="Arial Narrow"/>
                <w:sz w:val="18"/>
                <w:szCs w:val="18"/>
              </w:rPr>
              <w:t xml:space="preserve">    </w:t>
            </w:r>
          </w:p>
        </w:tc>
      </w:tr>
      <w:tr w:rsidR="00B91F7E" w:rsidRPr="00A862C6" w:rsidTr="00B91F7E">
        <w:tc>
          <w:tcPr>
            <w:tcW w:w="5000" w:type="pct"/>
            <w:tcBorders>
              <w:top w:val="single" w:sz="4" w:space="0" w:color="auto"/>
              <w:left w:val="single" w:sz="4" w:space="0" w:color="auto"/>
              <w:bottom w:val="single" w:sz="4" w:space="0" w:color="auto"/>
              <w:right w:val="single" w:sz="4" w:space="0" w:color="auto"/>
            </w:tcBorders>
          </w:tcPr>
          <w:p w:rsidR="00B91F7E" w:rsidRPr="00A862C6" w:rsidRDefault="00B91F7E" w:rsidP="0040023A">
            <w:pPr>
              <w:ind w:left="-57"/>
              <w:rPr>
                <w:rFonts w:ascii="Arial Narrow" w:eastAsia="Calibri" w:hAnsi="Arial Narrow"/>
                <w:sz w:val="18"/>
                <w:szCs w:val="18"/>
              </w:rPr>
            </w:pPr>
            <w:r w:rsidRPr="00A862C6">
              <w:rPr>
                <w:rFonts w:ascii="Arial Narrow" w:hAnsi="Arial Narrow"/>
                <w:b/>
                <w:sz w:val="18"/>
                <w:szCs w:val="18"/>
              </w:rPr>
              <w:t xml:space="preserve">Restriction type: </w:t>
            </w:r>
            <w:r w:rsidRPr="00A862C6">
              <w:rPr>
                <w:rFonts w:ascii="Arial Narrow" w:eastAsia="Calibri" w:hAnsi="Arial Narrow"/>
                <w:sz w:val="18"/>
                <w:szCs w:val="18"/>
              </w:rPr>
              <w:fldChar w:fldCharType="begin">
                <w:ffData>
                  <w:name w:val=""/>
                  <w:enabled/>
                  <w:calcOnExit w:val="0"/>
                  <w:checkBox>
                    <w:sizeAuto/>
                    <w:default w:val="1"/>
                  </w:checkBox>
                </w:ffData>
              </w:fldChar>
            </w:r>
            <w:r w:rsidRPr="00A862C6">
              <w:rPr>
                <w:rFonts w:ascii="Arial Narrow" w:eastAsia="Calibri" w:hAnsi="Arial Narrow"/>
                <w:sz w:val="18"/>
                <w:szCs w:val="18"/>
              </w:rPr>
              <w:instrText xml:space="preserve"> FORMCHECKBOX </w:instrText>
            </w:r>
            <w:r w:rsidR="00980A9E">
              <w:rPr>
                <w:rFonts w:ascii="Arial Narrow" w:eastAsia="Calibri" w:hAnsi="Arial Narrow"/>
                <w:sz w:val="18"/>
                <w:szCs w:val="18"/>
              </w:rPr>
            </w:r>
            <w:r w:rsidR="00980A9E">
              <w:rPr>
                <w:rFonts w:ascii="Arial Narrow" w:eastAsia="Calibri" w:hAnsi="Arial Narrow"/>
                <w:sz w:val="18"/>
                <w:szCs w:val="18"/>
              </w:rPr>
              <w:fldChar w:fldCharType="separate"/>
            </w:r>
            <w:r w:rsidRPr="00A862C6">
              <w:rPr>
                <w:rFonts w:ascii="Arial Narrow" w:eastAsia="Calibri" w:hAnsi="Arial Narrow"/>
                <w:sz w:val="18"/>
                <w:szCs w:val="18"/>
              </w:rPr>
              <w:fldChar w:fldCharType="end"/>
            </w:r>
            <w:r w:rsidRPr="00A862C6">
              <w:rPr>
                <w:rFonts w:ascii="Arial Narrow" w:eastAsia="Calibri" w:hAnsi="Arial Narrow"/>
                <w:sz w:val="18"/>
                <w:szCs w:val="18"/>
              </w:rPr>
              <w:t>Authority Required – Streamlined [New 2]</w:t>
            </w:r>
          </w:p>
        </w:tc>
      </w:tr>
      <w:tr w:rsidR="00B91F7E" w:rsidRPr="00A862C6" w:rsidTr="00B91F7E">
        <w:trPr>
          <w:trHeight w:val="221"/>
        </w:trPr>
        <w:tc>
          <w:tcPr>
            <w:tcW w:w="5000" w:type="pct"/>
            <w:hideMark/>
          </w:tcPr>
          <w:p w:rsidR="00B91F7E" w:rsidRPr="00A862C6" w:rsidRDefault="00B91F7E" w:rsidP="000B7578">
            <w:pPr>
              <w:ind w:left="-57"/>
              <w:rPr>
                <w:rFonts w:ascii="Arial Narrow" w:hAnsi="Arial Narrow"/>
                <w:strike/>
                <w:sz w:val="18"/>
                <w:szCs w:val="18"/>
                <w:lang w:eastAsia="en-AU"/>
              </w:rPr>
            </w:pPr>
            <w:r w:rsidRPr="00A862C6">
              <w:rPr>
                <w:rFonts w:ascii="Arial Narrow" w:hAnsi="Arial Narrow"/>
                <w:b/>
                <w:bCs/>
                <w:strike/>
                <w:sz w:val="18"/>
                <w:szCs w:val="18"/>
                <w:lang w:eastAsia="en-AU"/>
              </w:rPr>
              <w:t xml:space="preserve">Administrative Advice: </w:t>
            </w:r>
            <w:r w:rsidRPr="00A862C6">
              <w:rPr>
                <w:rFonts w:ascii="Arial Narrow" w:hAnsi="Arial Narrow"/>
                <w:strike/>
                <w:sz w:val="18"/>
                <w:szCs w:val="18"/>
                <w:lang w:eastAsia="en-AU"/>
              </w:rPr>
              <w:t>No increase in the maximum number of repeats may be authorised.</w:t>
            </w:r>
          </w:p>
        </w:tc>
      </w:tr>
      <w:tr w:rsidR="00B91F7E" w:rsidRPr="00A862C6" w:rsidTr="00B91F7E">
        <w:tc>
          <w:tcPr>
            <w:tcW w:w="5000" w:type="pct"/>
            <w:hideMark/>
          </w:tcPr>
          <w:p w:rsidR="00B91F7E" w:rsidRPr="00A862C6" w:rsidRDefault="00B91F7E" w:rsidP="0040023A">
            <w:pPr>
              <w:ind w:left="-57"/>
              <w:rPr>
                <w:rFonts w:ascii="Arial Narrow" w:hAnsi="Arial Narrow"/>
                <w:sz w:val="18"/>
                <w:szCs w:val="18"/>
                <w:lang w:eastAsia="en-AU"/>
              </w:rPr>
            </w:pPr>
            <w:r w:rsidRPr="00A862C6">
              <w:rPr>
                <w:rFonts w:ascii="Arial Narrow" w:hAnsi="Arial Narrow"/>
                <w:b/>
                <w:bCs/>
                <w:sz w:val="18"/>
                <w:szCs w:val="18"/>
                <w:lang w:eastAsia="en-AU"/>
              </w:rPr>
              <w:t xml:space="preserve">Administrative Advice: </w:t>
            </w:r>
            <w:r w:rsidRPr="00A862C6">
              <w:rPr>
                <w:rFonts w:ascii="Arial Narrow" w:hAnsi="Arial Narrow"/>
                <w:sz w:val="18"/>
                <w:szCs w:val="18"/>
                <w:lang w:eastAsia="en-AU"/>
              </w:rPr>
              <w:t>Special Pricing Arrangements apply.</w:t>
            </w:r>
          </w:p>
        </w:tc>
      </w:tr>
      <w:tr w:rsidR="00B91F7E" w:rsidRPr="00A862C6" w:rsidTr="00B91F7E">
        <w:tc>
          <w:tcPr>
            <w:tcW w:w="5000" w:type="pct"/>
            <w:vAlign w:val="center"/>
          </w:tcPr>
          <w:p w:rsidR="00B91F7E" w:rsidRPr="00A862C6" w:rsidRDefault="00B91F7E" w:rsidP="0040023A">
            <w:pPr>
              <w:ind w:left="-57"/>
              <w:rPr>
                <w:rFonts w:ascii="Arial Narrow" w:hAnsi="Arial Narrow"/>
                <w:b/>
                <w:bCs/>
                <w:sz w:val="18"/>
                <w:szCs w:val="18"/>
                <w:lang w:eastAsia="en-AU"/>
              </w:rPr>
            </w:pPr>
            <w:r w:rsidRPr="00A862C6">
              <w:rPr>
                <w:rFonts w:ascii="Arial Narrow" w:hAnsi="Arial Narrow"/>
                <w:b/>
                <w:bCs/>
                <w:sz w:val="18"/>
                <w:szCs w:val="18"/>
                <w:lang w:eastAsia="en-AU"/>
              </w:rPr>
              <w:t xml:space="preserve">Episodicity: </w:t>
            </w:r>
            <w:r w:rsidRPr="00A862C6">
              <w:rPr>
                <w:rFonts w:ascii="Arial Narrow" w:hAnsi="Arial Narrow"/>
                <w:bCs/>
                <w:sz w:val="18"/>
                <w:szCs w:val="18"/>
                <w:lang w:eastAsia="en-AU"/>
              </w:rPr>
              <w:t>[blank]</w:t>
            </w:r>
          </w:p>
        </w:tc>
      </w:tr>
      <w:tr w:rsidR="00B91F7E" w:rsidRPr="00A862C6" w:rsidTr="00B91F7E">
        <w:tc>
          <w:tcPr>
            <w:tcW w:w="5000" w:type="pct"/>
            <w:vAlign w:val="center"/>
          </w:tcPr>
          <w:p w:rsidR="00B91F7E" w:rsidRPr="00A862C6" w:rsidRDefault="00B91F7E" w:rsidP="0040023A">
            <w:pPr>
              <w:ind w:left="-57"/>
              <w:rPr>
                <w:rFonts w:ascii="Arial Narrow" w:hAnsi="Arial Narrow"/>
                <w:bCs/>
                <w:sz w:val="18"/>
                <w:szCs w:val="18"/>
                <w:lang w:eastAsia="en-AU"/>
              </w:rPr>
            </w:pPr>
            <w:r w:rsidRPr="00A862C6">
              <w:rPr>
                <w:rFonts w:ascii="Arial Narrow" w:hAnsi="Arial Narrow"/>
                <w:b/>
                <w:bCs/>
                <w:sz w:val="18"/>
                <w:szCs w:val="18"/>
                <w:lang w:eastAsia="en-AU"/>
              </w:rPr>
              <w:t xml:space="preserve">Severity: </w:t>
            </w:r>
            <w:r w:rsidRPr="00A862C6">
              <w:rPr>
                <w:rFonts w:ascii="Arial Narrow" w:hAnsi="Arial Narrow"/>
                <w:bCs/>
                <w:sz w:val="18"/>
                <w:szCs w:val="18"/>
                <w:lang w:eastAsia="en-AU"/>
              </w:rPr>
              <w:t>Advanced or metastatic</w:t>
            </w:r>
            <w:r w:rsidRPr="00A862C6">
              <w:rPr>
                <w:rFonts w:ascii="Arial Narrow" w:hAnsi="Arial Narrow"/>
                <w:b/>
                <w:bCs/>
                <w:sz w:val="18"/>
                <w:szCs w:val="18"/>
                <w:lang w:eastAsia="en-AU"/>
              </w:rPr>
              <w:t xml:space="preserve"> </w:t>
            </w:r>
          </w:p>
        </w:tc>
      </w:tr>
      <w:tr w:rsidR="00B91F7E" w:rsidRPr="00A862C6" w:rsidTr="00B91F7E">
        <w:tc>
          <w:tcPr>
            <w:tcW w:w="5000" w:type="pct"/>
            <w:vAlign w:val="center"/>
          </w:tcPr>
          <w:p w:rsidR="00B91F7E" w:rsidRPr="00A862C6" w:rsidRDefault="00B91F7E" w:rsidP="0040023A">
            <w:pPr>
              <w:ind w:left="-57"/>
              <w:rPr>
                <w:rFonts w:ascii="Arial Narrow" w:hAnsi="Arial Narrow"/>
                <w:b/>
                <w:bCs/>
                <w:i/>
                <w:sz w:val="18"/>
                <w:szCs w:val="18"/>
                <w:lang w:eastAsia="en-AU"/>
              </w:rPr>
            </w:pPr>
            <w:r w:rsidRPr="00A862C6">
              <w:rPr>
                <w:rFonts w:ascii="Arial Narrow" w:hAnsi="Arial Narrow"/>
                <w:b/>
                <w:bCs/>
                <w:sz w:val="18"/>
                <w:szCs w:val="18"/>
                <w:lang w:eastAsia="en-AU"/>
              </w:rPr>
              <w:t xml:space="preserve">Condition: </w:t>
            </w:r>
            <w:r w:rsidRPr="00A862C6">
              <w:rPr>
                <w:rFonts w:ascii="Arial Narrow" w:hAnsi="Arial Narrow"/>
                <w:bCs/>
                <w:strike/>
                <w:sz w:val="18"/>
                <w:szCs w:val="18"/>
                <w:lang w:eastAsia="en-AU"/>
              </w:rPr>
              <w:t xml:space="preserve">oesophageal </w:t>
            </w:r>
            <w:r w:rsidRPr="00A862C6">
              <w:rPr>
                <w:rFonts w:ascii="Arial Narrow" w:hAnsi="Arial Narrow"/>
                <w:bCs/>
                <w:sz w:val="18"/>
                <w:szCs w:val="18"/>
                <w:lang w:eastAsia="en-AU"/>
              </w:rPr>
              <w:t xml:space="preserve">squamous cell carcinoma </w:t>
            </w:r>
            <w:r w:rsidRPr="00A862C6">
              <w:rPr>
                <w:rFonts w:ascii="Arial Narrow" w:hAnsi="Arial Narrow"/>
                <w:bCs/>
                <w:i/>
                <w:sz w:val="18"/>
                <w:szCs w:val="18"/>
                <w:lang w:eastAsia="en-AU"/>
              </w:rPr>
              <w:t xml:space="preserve">of oesophagus </w:t>
            </w:r>
          </w:p>
        </w:tc>
      </w:tr>
      <w:tr w:rsidR="00B91F7E" w:rsidRPr="00A862C6" w:rsidTr="00B91F7E">
        <w:tc>
          <w:tcPr>
            <w:tcW w:w="5000" w:type="pct"/>
            <w:hideMark/>
          </w:tcPr>
          <w:p w:rsidR="00B91F7E" w:rsidRPr="00A862C6" w:rsidRDefault="00B91F7E" w:rsidP="0040023A">
            <w:pPr>
              <w:ind w:left="-57"/>
              <w:rPr>
                <w:rFonts w:ascii="Arial Narrow" w:hAnsi="Arial Narrow"/>
                <w:i/>
                <w:sz w:val="18"/>
                <w:szCs w:val="18"/>
                <w:lang w:eastAsia="en-AU"/>
              </w:rPr>
            </w:pPr>
            <w:r w:rsidRPr="00A862C6">
              <w:rPr>
                <w:rFonts w:ascii="Arial Narrow" w:hAnsi="Arial Narrow"/>
                <w:b/>
                <w:bCs/>
                <w:sz w:val="18"/>
                <w:szCs w:val="18"/>
                <w:lang w:eastAsia="en-AU"/>
              </w:rPr>
              <w:t xml:space="preserve">Indication: </w:t>
            </w:r>
            <w:r w:rsidRPr="00A862C6">
              <w:rPr>
                <w:rFonts w:ascii="Arial Narrow" w:hAnsi="Arial Narrow"/>
                <w:sz w:val="18"/>
                <w:szCs w:val="18"/>
                <w:lang w:eastAsia="en-AU"/>
              </w:rPr>
              <w:t xml:space="preserve">Advanced or metastatic </w:t>
            </w:r>
            <w:r w:rsidRPr="00A862C6">
              <w:rPr>
                <w:rFonts w:ascii="Arial Narrow" w:hAnsi="Arial Narrow"/>
                <w:strike/>
                <w:sz w:val="18"/>
                <w:szCs w:val="18"/>
                <w:lang w:eastAsia="en-AU"/>
              </w:rPr>
              <w:t xml:space="preserve">oesophageal </w:t>
            </w:r>
            <w:r w:rsidRPr="00A862C6">
              <w:rPr>
                <w:rFonts w:ascii="Arial Narrow" w:hAnsi="Arial Narrow"/>
                <w:sz w:val="18"/>
                <w:szCs w:val="18"/>
                <w:lang w:eastAsia="en-AU"/>
              </w:rPr>
              <w:t>squamous cell carcinoma</w:t>
            </w:r>
            <w:r w:rsidRPr="00A862C6">
              <w:rPr>
                <w:rFonts w:ascii="Arial Narrow" w:hAnsi="Arial Narrow"/>
                <w:i/>
                <w:sz w:val="18"/>
                <w:szCs w:val="18"/>
                <w:lang w:eastAsia="en-AU"/>
              </w:rPr>
              <w:t xml:space="preserve"> of oesophagus</w:t>
            </w:r>
          </w:p>
        </w:tc>
      </w:tr>
      <w:tr w:rsidR="00B91F7E" w:rsidRPr="00A862C6" w:rsidTr="00B91F7E">
        <w:tc>
          <w:tcPr>
            <w:tcW w:w="5000" w:type="pct"/>
            <w:hideMark/>
          </w:tcPr>
          <w:p w:rsidR="00B91F7E" w:rsidRPr="00A862C6" w:rsidRDefault="00B91F7E" w:rsidP="0040023A">
            <w:pPr>
              <w:ind w:left="-57"/>
              <w:rPr>
                <w:rFonts w:ascii="Arial Narrow" w:hAnsi="Arial Narrow"/>
                <w:sz w:val="18"/>
                <w:szCs w:val="18"/>
                <w:lang w:eastAsia="en-AU"/>
              </w:rPr>
            </w:pPr>
            <w:r w:rsidRPr="00A862C6">
              <w:rPr>
                <w:rFonts w:ascii="Arial Narrow" w:hAnsi="Arial Narrow"/>
                <w:b/>
                <w:bCs/>
                <w:sz w:val="18"/>
                <w:szCs w:val="18"/>
                <w:lang w:eastAsia="en-AU"/>
              </w:rPr>
              <w:t xml:space="preserve">Treatment Phase: </w:t>
            </w:r>
            <w:r w:rsidRPr="00A862C6">
              <w:rPr>
                <w:rFonts w:ascii="Arial Narrow" w:hAnsi="Arial Narrow"/>
                <w:sz w:val="18"/>
                <w:szCs w:val="18"/>
                <w:lang w:eastAsia="en-AU"/>
              </w:rPr>
              <w:t xml:space="preserve">Initial treatment </w:t>
            </w:r>
          </w:p>
        </w:tc>
      </w:tr>
      <w:tr w:rsidR="00B91F7E" w:rsidRPr="00A862C6" w:rsidTr="00B91F7E">
        <w:tc>
          <w:tcPr>
            <w:tcW w:w="5000" w:type="pct"/>
            <w:hideMark/>
          </w:tcPr>
          <w:p w:rsidR="00B91F7E" w:rsidRPr="00A862C6" w:rsidRDefault="00B91F7E" w:rsidP="0040023A">
            <w:pPr>
              <w:ind w:left="-57"/>
              <w:rPr>
                <w:rFonts w:ascii="Arial Narrow" w:hAnsi="Arial Narrow"/>
                <w:b/>
                <w:sz w:val="18"/>
                <w:szCs w:val="18"/>
                <w:lang w:eastAsia="en-AU"/>
              </w:rPr>
            </w:pPr>
            <w:r w:rsidRPr="00A862C6">
              <w:rPr>
                <w:rFonts w:ascii="Arial Narrow" w:hAnsi="Arial Narrow"/>
                <w:b/>
                <w:strike/>
                <w:sz w:val="18"/>
                <w:szCs w:val="18"/>
                <w:lang w:eastAsia="en-AU"/>
              </w:rPr>
              <w:t>Clinical criteria</w:t>
            </w:r>
            <w:r w:rsidRPr="00A862C6">
              <w:rPr>
                <w:rFonts w:ascii="Arial Narrow" w:hAnsi="Arial Narrow"/>
                <w:b/>
                <w:sz w:val="18"/>
                <w:szCs w:val="18"/>
                <w:lang w:eastAsia="en-AU"/>
              </w:rPr>
              <w:t>:</w:t>
            </w:r>
          </w:p>
        </w:tc>
      </w:tr>
      <w:tr w:rsidR="00B91F7E" w:rsidRPr="00A862C6" w:rsidTr="00B91F7E">
        <w:tc>
          <w:tcPr>
            <w:tcW w:w="5000" w:type="pct"/>
            <w:hideMark/>
          </w:tcPr>
          <w:p w:rsidR="00B91F7E" w:rsidRPr="00A862C6" w:rsidRDefault="00B91F7E" w:rsidP="0040023A">
            <w:pPr>
              <w:ind w:left="-57"/>
              <w:rPr>
                <w:rFonts w:ascii="Arial Narrow" w:hAnsi="Arial Narrow"/>
                <w:strike/>
                <w:sz w:val="18"/>
                <w:szCs w:val="18"/>
                <w:lang w:eastAsia="en-AU"/>
              </w:rPr>
            </w:pPr>
            <w:r w:rsidRPr="00A862C6">
              <w:rPr>
                <w:rFonts w:ascii="Arial Narrow" w:hAnsi="Arial Narrow"/>
                <w:strike/>
                <w:sz w:val="18"/>
                <w:szCs w:val="18"/>
                <w:lang w:eastAsia="en-AU"/>
              </w:rPr>
              <w:t>Patient must have failed one fluoropyrimidine and platinum-based chemotherapy treatment regimen</w:t>
            </w:r>
          </w:p>
        </w:tc>
      </w:tr>
      <w:tr w:rsidR="00B91F7E" w:rsidRPr="00A862C6" w:rsidTr="00B91F7E">
        <w:tc>
          <w:tcPr>
            <w:tcW w:w="5000" w:type="pct"/>
          </w:tcPr>
          <w:p w:rsidR="00B91F7E" w:rsidRPr="00A862C6" w:rsidRDefault="00B91F7E" w:rsidP="0040023A">
            <w:pPr>
              <w:ind w:left="-57"/>
              <w:rPr>
                <w:rFonts w:ascii="Arial Narrow" w:hAnsi="Arial Narrow"/>
                <w:b/>
                <w:strike/>
                <w:sz w:val="18"/>
                <w:szCs w:val="18"/>
                <w:lang w:eastAsia="en-AU"/>
              </w:rPr>
            </w:pPr>
            <w:r w:rsidRPr="00A862C6">
              <w:rPr>
                <w:rFonts w:ascii="Arial Narrow" w:hAnsi="Arial Narrow"/>
                <w:b/>
                <w:strike/>
                <w:sz w:val="18"/>
                <w:szCs w:val="18"/>
                <w:lang w:eastAsia="en-AU"/>
              </w:rPr>
              <w:t>AND</w:t>
            </w:r>
          </w:p>
        </w:tc>
      </w:tr>
      <w:tr w:rsidR="00B91F7E" w:rsidRPr="00A862C6" w:rsidTr="00B91F7E">
        <w:tc>
          <w:tcPr>
            <w:tcW w:w="5000" w:type="pct"/>
            <w:hideMark/>
          </w:tcPr>
          <w:p w:rsidR="00B91F7E" w:rsidRPr="00A862C6" w:rsidRDefault="00B91F7E" w:rsidP="0040023A">
            <w:pPr>
              <w:ind w:left="-57"/>
              <w:rPr>
                <w:rFonts w:ascii="Arial Narrow" w:hAnsi="Arial Narrow"/>
                <w:sz w:val="18"/>
                <w:szCs w:val="18"/>
                <w:lang w:eastAsia="en-AU"/>
              </w:rPr>
            </w:pPr>
            <w:r w:rsidRPr="00A862C6">
              <w:rPr>
                <w:rFonts w:ascii="Arial Narrow" w:hAnsi="Arial Narrow"/>
                <w:b/>
                <w:bCs/>
                <w:sz w:val="18"/>
                <w:szCs w:val="18"/>
                <w:lang w:eastAsia="en-AU"/>
              </w:rPr>
              <w:t>Clinical criteria:</w:t>
            </w:r>
          </w:p>
        </w:tc>
      </w:tr>
      <w:tr w:rsidR="00B91F7E" w:rsidRPr="00A862C6" w:rsidTr="00B91F7E">
        <w:tc>
          <w:tcPr>
            <w:tcW w:w="5000" w:type="pct"/>
          </w:tcPr>
          <w:p w:rsidR="00B91F7E" w:rsidRPr="00A862C6" w:rsidRDefault="00B91F7E" w:rsidP="0040023A">
            <w:pPr>
              <w:ind w:left="-57"/>
              <w:rPr>
                <w:rFonts w:ascii="Arial Narrow" w:hAnsi="Arial Narrow"/>
                <w:strike/>
                <w:sz w:val="18"/>
                <w:szCs w:val="18"/>
                <w:lang w:eastAsia="en-AU"/>
              </w:rPr>
            </w:pPr>
            <w:r w:rsidRPr="00A862C6">
              <w:rPr>
                <w:rFonts w:ascii="Arial Narrow" w:hAnsi="Arial Narrow"/>
                <w:sz w:val="18"/>
                <w:szCs w:val="18"/>
                <w:lang w:eastAsia="en-AU"/>
              </w:rPr>
              <w:t>Patient must have a WHO performance status of 0 or 1</w:t>
            </w:r>
          </w:p>
        </w:tc>
      </w:tr>
      <w:tr w:rsidR="00B91F7E" w:rsidRPr="00A862C6" w:rsidTr="00B91F7E">
        <w:tc>
          <w:tcPr>
            <w:tcW w:w="5000" w:type="pct"/>
            <w:hideMark/>
          </w:tcPr>
          <w:p w:rsidR="00B91F7E" w:rsidRPr="00A862C6" w:rsidRDefault="00B91F7E" w:rsidP="0040023A">
            <w:pPr>
              <w:ind w:left="-57"/>
              <w:rPr>
                <w:rFonts w:ascii="Arial Narrow" w:hAnsi="Arial Narrow"/>
                <w:sz w:val="18"/>
                <w:szCs w:val="18"/>
                <w:lang w:eastAsia="en-AU"/>
              </w:rPr>
            </w:pPr>
            <w:r w:rsidRPr="00A862C6">
              <w:rPr>
                <w:rFonts w:ascii="Arial Narrow" w:hAnsi="Arial Narrow"/>
                <w:b/>
                <w:bCs/>
                <w:sz w:val="18"/>
                <w:szCs w:val="18"/>
                <w:lang w:eastAsia="en-AU"/>
              </w:rPr>
              <w:t>AND</w:t>
            </w:r>
          </w:p>
        </w:tc>
      </w:tr>
      <w:tr w:rsidR="00B91F7E" w:rsidRPr="00A862C6" w:rsidTr="00B91F7E">
        <w:tc>
          <w:tcPr>
            <w:tcW w:w="5000" w:type="pct"/>
          </w:tcPr>
          <w:p w:rsidR="00B91F7E" w:rsidRPr="00A862C6" w:rsidRDefault="00B91F7E" w:rsidP="0040023A">
            <w:pPr>
              <w:ind w:left="-57"/>
              <w:rPr>
                <w:rFonts w:ascii="Arial Narrow" w:hAnsi="Arial Narrow"/>
                <w:bCs/>
                <w:sz w:val="18"/>
                <w:szCs w:val="18"/>
                <w:lang w:eastAsia="en-AU"/>
              </w:rPr>
            </w:pPr>
            <w:r w:rsidRPr="00A862C6">
              <w:rPr>
                <w:rFonts w:ascii="Arial Narrow" w:hAnsi="Arial Narrow"/>
                <w:b/>
                <w:bCs/>
                <w:strike/>
                <w:sz w:val="18"/>
                <w:szCs w:val="18"/>
                <w:lang w:eastAsia="en-AU"/>
              </w:rPr>
              <w:t xml:space="preserve">Clinical criteria: </w:t>
            </w:r>
          </w:p>
        </w:tc>
      </w:tr>
      <w:tr w:rsidR="00B91F7E" w:rsidRPr="00A862C6" w:rsidTr="00B91F7E">
        <w:tc>
          <w:tcPr>
            <w:tcW w:w="5000" w:type="pct"/>
          </w:tcPr>
          <w:p w:rsidR="00B91F7E" w:rsidRPr="00A862C6" w:rsidRDefault="00B91F7E" w:rsidP="0040023A">
            <w:pPr>
              <w:pStyle w:val="Tabletext"/>
              <w:keepNext/>
              <w:ind w:left="-57"/>
              <w:rPr>
                <w:bCs/>
                <w:strike/>
                <w:sz w:val="18"/>
                <w:szCs w:val="18"/>
                <w:lang w:eastAsia="en-AU"/>
              </w:rPr>
            </w:pPr>
            <w:r w:rsidRPr="00A862C6">
              <w:rPr>
                <w:bCs/>
                <w:strike/>
                <w:sz w:val="18"/>
                <w:szCs w:val="18"/>
                <w:lang w:eastAsia="en-AU"/>
              </w:rPr>
              <w:t>The treatment must be the sole PBS-subsidised therapy for this condition</w:t>
            </w:r>
          </w:p>
        </w:tc>
      </w:tr>
      <w:tr w:rsidR="00B91F7E" w:rsidRPr="00A862C6" w:rsidTr="00B91F7E">
        <w:tc>
          <w:tcPr>
            <w:tcW w:w="5000" w:type="pct"/>
          </w:tcPr>
          <w:p w:rsidR="00B91F7E" w:rsidRPr="00A862C6" w:rsidRDefault="00B91F7E" w:rsidP="0040023A">
            <w:pPr>
              <w:ind w:left="-57"/>
              <w:rPr>
                <w:rFonts w:ascii="Arial Narrow" w:hAnsi="Arial Narrow"/>
                <w:strike/>
                <w:sz w:val="18"/>
                <w:szCs w:val="18"/>
                <w:lang w:eastAsia="en-AU"/>
              </w:rPr>
            </w:pPr>
            <w:r w:rsidRPr="00A862C6">
              <w:rPr>
                <w:rFonts w:ascii="Arial Narrow" w:hAnsi="Arial Narrow"/>
                <w:strike/>
                <w:sz w:val="18"/>
                <w:szCs w:val="18"/>
                <w:lang w:eastAsia="en-AU"/>
              </w:rPr>
              <w:t>Patient must not have received prior PBS funded treatment with a programmed cell death-1 (PD-1) inhibitor for this condition.</w:t>
            </w:r>
          </w:p>
        </w:tc>
      </w:tr>
      <w:tr w:rsidR="00B91F7E" w:rsidRPr="00A862C6" w:rsidTr="00B91F7E">
        <w:tc>
          <w:tcPr>
            <w:tcW w:w="5000" w:type="pct"/>
          </w:tcPr>
          <w:p w:rsidR="00B91F7E" w:rsidRPr="00A862C6" w:rsidRDefault="00B91F7E" w:rsidP="0040023A">
            <w:pPr>
              <w:ind w:left="-57"/>
              <w:rPr>
                <w:rFonts w:ascii="Arial Narrow" w:hAnsi="Arial Narrow"/>
                <w:i/>
                <w:sz w:val="18"/>
                <w:szCs w:val="18"/>
                <w:lang w:eastAsia="en-AU"/>
              </w:rPr>
            </w:pPr>
            <w:r w:rsidRPr="00A862C6">
              <w:rPr>
                <w:rFonts w:ascii="Arial Narrow" w:hAnsi="Arial Narrow"/>
                <w:i/>
                <w:sz w:val="18"/>
                <w:szCs w:val="18"/>
                <w:lang w:eastAsia="en-AU"/>
              </w:rPr>
              <w:t>Patient must not have received prior treatment with a programmed cell death-1 (PD-1) inhibitor or a programmed cell death ligand-1 (PD-L1) inhibitor for this condition.</w:t>
            </w:r>
          </w:p>
        </w:tc>
      </w:tr>
      <w:tr w:rsidR="00B91F7E" w:rsidRPr="00A862C6" w:rsidTr="00B91F7E">
        <w:tc>
          <w:tcPr>
            <w:tcW w:w="5000" w:type="pct"/>
          </w:tcPr>
          <w:p w:rsidR="00B91F7E" w:rsidRPr="00A862C6" w:rsidRDefault="00B91F7E" w:rsidP="0040023A">
            <w:pPr>
              <w:ind w:left="-57"/>
              <w:rPr>
                <w:rFonts w:ascii="Arial Narrow" w:hAnsi="Arial Narrow"/>
                <w:b/>
                <w:sz w:val="18"/>
                <w:szCs w:val="18"/>
                <w:lang w:eastAsia="en-AU"/>
              </w:rPr>
            </w:pPr>
            <w:r w:rsidRPr="00A862C6">
              <w:rPr>
                <w:rFonts w:ascii="Arial Narrow" w:hAnsi="Arial Narrow"/>
                <w:b/>
                <w:sz w:val="18"/>
                <w:szCs w:val="18"/>
                <w:lang w:eastAsia="en-AU"/>
              </w:rPr>
              <w:t>AND</w:t>
            </w:r>
          </w:p>
        </w:tc>
      </w:tr>
      <w:tr w:rsidR="00B91F7E" w:rsidRPr="00A862C6" w:rsidTr="00B91F7E">
        <w:tc>
          <w:tcPr>
            <w:tcW w:w="5000" w:type="pct"/>
          </w:tcPr>
          <w:p w:rsidR="00B91F7E" w:rsidRPr="00A862C6" w:rsidRDefault="00B91F7E" w:rsidP="0040023A">
            <w:pPr>
              <w:pStyle w:val="Tabletext"/>
              <w:keepNext/>
              <w:ind w:left="-57"/>
              <w:rPr>
                <w:b/>
                <w:bCs/>
                <w:i/>
                <w:sz w:val="18"/>
                <w:szCs w:val="18"/>
                <w:lang w:eastAsia="en-AU"/>
              </w:rPr>
            </w:pPr>
            <w:r w:rsidRPr="00A862C6">
              <w:rPr>
                <w:b/>
                <w:bCs/>
                <w:i/>
                <w:sz w:val="18"/>
                <w:szCs w:val="18"/>
                <w:lang w:eastAsia="en-AU"/>
              </w:rPr>
              <w:t>Treatment criteria:</w:t>
            </w:r>
          </w:p>
        </w:tc>
      </w:tr>
      <w:tr w:rsidR="00B91F7E" w:rsidRPr="00A862C6" w:rsidTr="00B91F7E">
        <w:trPr>
          <w:trHeight w:val="201"/>
        </w:trPr>
        <w:tc>
          <w:tcPr>
            <w:tcW w:w="5000" w:type="pct"/>
          </w:tcPr>
          <w:p w:rsidR="00B91F7E" w:rsidRPr="00A862C6" w:rsidRDefault="00B91F7E" w:rsidP="0040023A">
            <w:pPr>
              <w:pStyle w:val="Tabletext"/>
              <w:keepNext/>
              <w:ind w:left="-57"/>
              <w:rPr>
                <w:bCs/>
                <w:i/>
                <w:sz w:val="18"/>
                <w:szCs w:val="18"/>
                <w:lang w:eastAsia="en-AU"/>
              </w:rPr>
            </w:pPr>
            <w:r w:rsidRPr="00A862C6">
              <w:rPr>
                <w:bCs/>
                <w:i/>
                <w:sz w:val="18"/>
                <w:szCs w:val="18"/>
                <w:lang w:eastAsia="en-AU"/>
              </w:rPr>
              <w:t>Patient must be undergoing treatment with this drug only after having disease progression/recurrence following treatment with chemotherapy that contains at least each of: (i) a platinum drug, (ii) a fluoropyrimidine drug</w:t>
            </w:r>
          </w:p>
        </w:tc>
      </w:tr>
      <w:tr w:rsidR="00B91F7E" w:rsidRPr="00A862C6" w:rsidTr="00B91F7E">
        <w:tc>
          <w:tcPr>
            <w:tcW w:w="5000" w:type="pct"/>
          </w:tcPr>
          <w:p w:rsidR="00B91F7E" w:rsidRPr="00A862C6" w:rsidRDefault="00B91F7E" w:rsidP="0040023A">
            <w:pPr>
              <w:pStyle w:val="Tabletext"/>
              <w:keepNext/>
              <w:ind w:left="-57"/>
              <w:rPr>
                <w:b/>
                <w:bCs/>
                <w:i/>
                <w:sz w:val="18"/>
                <w:szCs w:val="18"/>
                <w:lang w:eastAsia="en-AU"/>
              </w:rPr>
            </w:pPr>
            <w:r w:rsidRPr="00A862C6">
              <w:rPr>
                <w:b/>
                <w:bCs/>
                <w:i/>
                <w:sz w:val="18"/>
                <w:szCs w:val="18"/>
                <w:lang w:eastAsia="en-AU"/>
              </w:rPr>
              <w:t xml:space="preserve">AND </w:t>
            </w:r>
          </w:p>
        </w:tc>
      </w:tr>
      <w:tr w:rsidR="00B91F7E" w:rsidRPr="00A862C6" w:rsidTr="00B91F7E">
        <w:tc>
          <w:tcPr>
            <w:tcW w:w="5000" w:type="pct"/>
          </w:tcPr>
          <w:p w:rsidR="00B91F7E" w:rsidRPr="00A862C6" w:rsidRDefault="00B91F7E" w:rsidP="0040023A">
            <w:pPr>
              <w:pStyle w:val="Tabletext"/>
              <w:keepNext/>
              <w:ind w:left="-57"/>
              <w:rPr>
                <w:b/>
                <w:bCs/>
                <w:i/>
                <w:sz w:val="18"/>
                <w:szCs w:val="18"/>
                <w:lang w:eastAsia="en-AU"/>
              </w:rPr>
            </w:pPr>
            <w:r w:rsidRPr="00A862C6">
              <w:rPr>
                <w:b/>
                <w:bCs/>
                <w:i/>
                <w:sz w:val="18"/>
                <w:szCs w:val="18"/>
                <w:lang w:eastAsia="en-AU"/>
              </w:rPr>
              <w:t>Treatment criteria:</w:t>
            </w:r>
          </w:p>
        </w:tc>
      </w:tr>
      <w:tr w:rsidR="00B91F7E" w:rsidRPr="00A862C6" w:rsidTr="00B91F7E">
        <w:tc>
          <w:tcPr>
            <w:tcW w:w="5000" w:type="pct"/>
          </w:tcPr>
          <w:p w:rsidR="00B91F7E" w:rsidRPr="00A862C6" w:rsidRDefault="00B91F7E" w:rsidP="0040023A">
            <w:pPr>
              <w:pStyle w:val="Tabletext"/>
              <w:keepNext/>
              <w:ind w:left="-57"/>
              <w:rPr>
                <w:bCs/>
                <w:i/>
                <w:sz w:val="18"/>
                <w:szCs w:val="18"/>
                <w:lang w:eastAsia="en-AU"/>
              </w:rPr>
            </w:pPr>
            <w:r w:rsidRPr="00A862C6">
              <w:rPr>
                <w:bCs/>
                <w:i/>
                <w:sz w:val="18"/>
                <w:szCs w:val="18"/>
                <w:lang w:eastAsia="en-AU"/>
              </w:rPr>
              <w:t>Patient must be undergoing treatment with this drug as the sole PBS-subsidised therapy for this PBS indication</w:t>
            </w:r>
          </w:p>
        </w:tc>
      </w:tr>
      <w:tr w:rsidR="00B91F7E" w:rsidRPr="00A862C6" w:rsidTr="00B91F7E">
        <w:tc>
          <w:tcPr>
            <w:tcW w:w="5000" w:type="pct"/>
            <w:hideMark/>
          </w:tcPr>
          <w:p w:rsidR="00B91F7E" w:rsidRPr="00A862C6" w:rsidRDefault="00B91F7E" w:rsidP="0040023A">
            <w:pPr>
              <w:ind w:left="-57"/>
              <w:rPr>
                <w:rFonts w:ascii="Arial Narrow" w:hAnsi="Arial Narrow"/>
                <w:b/>
                <w:bCs/>
                <w:i/>
                <w:sz w:val="18"/>
                <w:szCs w:val="18"/>
                <w:lang w:eastAsia="en-AU"/>
              </w:rPr>
            </w:pPr>
            <w:r w:rsidRPr="00A862C6">
              <w:rPr>
                <w:rFonts w:ascii="Arial Narrow" w:hAnsi="Arial Narrow"/>
                <w:b/>
                <w:bCs/>
                <w:i/>
                <w:sz w:val="18"/>
                <w:szCs w:val="18"/>
                <w:lang w:eastAsia="en-AU"/>
              </w:rPr>
              <w:t xml:space="preserve">Administrative Advice: </w:t>
            </w:r>
          </w:p>
          <w:p w:rsidR="00B91F7E" w:rsidRPr="00A862C6" w:rsidRDefault="00B91F7E" w:rsidP="0040023A">
            <w:pPr>
              <w:ind w:left="-57"/>
              <w:rPr>
                <w:rFonts w:ascii="Arial Narrow" w:hAnsi="Arial Narrow"/>
                <w:sz w:val="18"/>
                <w:szCs w:val="18"/>
                <w:lang w:eastAsia="en-AU"/>
              </w:rPr>
            </w:pPr>
            <w:r w:rsidRPr="00A862C6">
              <w:rPr>
                <w:rFonts w:ascii="Arial Narrow" w:hAnsi="Arial Narrow"/>
                <w:i/>
                <w:sz w:val="18"/>
                <w:szCs w:val="18"/>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91F7E" w:rsidRPr="00A862C6" w:rsidTr="00B91F7E">
        <w:tc>
          <w:tcPr>
            <w:tcW w:w="5000" w:type="pct"/>
          </w:tcPr>
          <w:p w:rsidR="00B91F7E" w:rsidRPr="00A862C6" w:rsidRDefault="00B91F7E" w:rsidP="0040023A">
            <w:pPr>
              <w:ind w:left="-57"/>
              <w:rPr>
                <w:rFonts w:ascii="Arial Narrow" w:hAnsi="Arial Narrow"/>
                <w:b/>
                <w:bCs/>
                <w:i/>
                <w:sz w:val="18"/>
                <w:szCs w:val="18"/>
                <w:lang w:eastAsia="en-AU"/>
              </w:rPr>
            </w:pPr>
            <w:r w:rsidRPr="00A862C6">
              <w:rPr>
                <w:rFonts w:ascii="Arial Narrow" w:hAnsi="Arial Narrow"/>
                <w:b/>
                <w:bCs/>
                <w:i/>
                <w:sz w:val="18"/>
                <w:szCs w:val="18"/>
                <w:lang w:eastAsia="en-AU"/>
              </w:rPr>
              <w:t xml:space="preserve">Administrative Advice: </w:t>
            </w:r>
            <w:r w:rsidRPr="00A862C6">
              <w:rPr>
                <w:rFonts w:ascii="Arial Narrow" w:hAnsi="Arial Narrow"/>
                <w:bCs/>
                <w:i/>
                <w:sz w:val="18"/>
                <w:szCs w:val="18"/>
                <w:lang w:eastAsia="en-AU"/>
              </w:rPr>
              <w:t xml:space="preserve">Up to 17 repeats may be sought if dosing at 240 mg every 2 weeks. Where an increase is sought, the benefit is no longer a Streamlined benefit. Seek approval prior to issuing the prescription. </w:t>
            </w:r>
          </w:p>
        </w:tc>
      </w:tr>
    </w:tbl>
    <w:p w:rsidR="00954B90" w:rsidRPr="00A862C6" w:rsidRDefault="00954B90" w:rsidP="00954B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701"/>
        <w:gridCol w:w="1933"/>
      </w:tblGrid>
      <w:tr w:rsidR="00954B90" w:rsidRPr="00A862C6" w:rsidTr="0040023A">
        <w:tc>
          <w:tcPr>
            <w:tcW w:w="2830" w:type="dxa"/>
            <w:shd w:val="clear" w:color="auto" w:fill="auto"/>
          </w:tcPr>
          <w:p w:rsidR="00954B90" w:rsidRPr="00A862C6" w:rsidRDefault="00954B90" w:rsidP="0040023A">
            <w:pPr>
              <w:pStyle w:val="Tabletext"/>
              <w:ind w:left="-57"/>
              <w:rPr>
                <w:rFonts w:cs="Arial"/>
                <w:b/>
                <w:sz w:val="18"/>
                <w:szCs w:val="18"/>
              </w:rPr>
            </w:pPr>
            <w:r w:rsidRPr="00A862C6">
              <w:rPr>
                <w:rFonts w:cs="Arial"/>
                <w:b/>
                <w:sz w:val="18"/>
                <w:szCs w:val="18"/>
              </w:rPr>
              <w:t>MEDICINAL PRODUCT</w:t>
            </w:r>
          </w:p>
          <w:p w:rsidR="00954B90" w:rsidRPr="00A862C6" w:rsidRDefault="00954B90" w:rsidP="0040023A">
            <w:pPr>
              <w:pStyle w:val="Tabletext"/>
              <w:ind w:left="-57"/>
              <w:rPr>
                <w:rFonts w:cs="Arial"/>
                <w:b/>
                <w:sz w:val="18"/>
                <w:szCs w:val="18"/>
              </w:rPr>
            </w:pPr>
            <w:r w:rsidRPr="00A862C6">
              <w:rPr>
                <w:rFonts w:cs="Arial"/>
                <w:b/>
                <w:sz w:val="18"/>
                <w:szCs w:val="18"/>
              </w:rPr>
              <w:t>Form</w:t>
            </w:r>
          </w:p>
        </w:tc>
        <w:tc>
          <w:tcPr>
            <w:tcW w:w="2552" w:type="dxa"/>
            <w:shd w:val="clear" w:color="auto" w:fill="auto"/>
          </w:tcPr>
          <w:p w:rsidR="00954B90" w:rsidRPr="00A862C6" w:rsidRDefault="00954B90" w:rsidP="0040023A">
            <w:pPr>
              <w:pStyle w:val="Tabletext"/>
              <w:jc w:val="center"/>
              <w:rPr>
                <w:rFonts w:cs="Arial"/>
                <w:b/>
                <w:sz w:val="18"/>
                <w:szCs w:val="18"/>
              </w:rPr>
            </w:pPr>
            <w:r w:rsidRPr="00A862C6">
              <w:rPr>
                <w:rFonts w:cs="Arial"/>
                <w:b/>
                <w:sz w:val="18"/>
                <w:szCs w:val="18"/>
              </w:rPr>
              <w:t>PBS item code</w:t>
            </w:r>
          </w:p>
        </w:tc>
        <w:tc>
          <w:tcPr>
            <w:tcW w:w="1701" w:type="dxa"/>
            <w:shd w:val="clear" w:color="auto" w:fill="auto"/>
          </w:tcPr>
          <w:p w:rsidR="00954B90" w:rsidRPr="00A862C6" w:rsidRDefault="00954B90" w:rsidP="0040023A">
            <w:pPr>
              <w:pStyle w:val="Tabletext"/>
              <w:jc w:val="center"/>
              <w:rPr>
                <w:rFonts w:cs="Arial"/>
                <w:b/>
                <w:sz w:val="18"/>
                <w:szCs w:val="18"/>
              </w:rPr>
            </w:pPr>
            <w:r w:rsidRPr="00A862C6">
              <w:rPr>
                <w:rFonts w:cs="Arial"/>
                <w:b/>
                <w:sz w:val="18"/>
                <w:szCs w:val="18"/>
              </w:rPr>
              <w:t>Maximum amount</w:t>
            </w:r>
          </w:p>
        </w:tc>
        <w:tc>
          <w:tcPr>
            <w:tcW w:w="1933" w:type="dxa"/>
            <w:shd w:val="clear" w:color="auto" w:fill="auto"/>
          </w:tcPr>
          <w:p w:rsidR="00954B90" w:rsidRPr="00A862C6" w:rsidRDefault="00954B90" w:rsidP="0040023A">
            <w:pPr>
              <w:pStyle w:val="Tabletext"/>
              <w:jc w:val="center"/>
              <w:rPr>
                <w:rFonts w:cs="Arial"/>
                <w:b/>
                <w:sz w:val="18"/>
                <w:szCs w:val="18"/>
              </w:rPr>
            </w:pPr>
            <w:r w:rsidRPr="00A862C6">
              <w:rPr>
                <w:rFonts w:cs="Arial"/>
                <w:b/>
                <w:sz w:val="18"/>
                <w:szCs w:val="18"/>
              </w:rPr>
              <w:t>No. of Repeats</w:t>
            </w:r>
          </w:p>
        </w:tc>
      </w:tr>
      <w:tr w:rsidR="00954B90" w:rsidRPr="00A862C6" w:rsidTr="0040023A">
        <w:tc>
          <w:tcPr>
            <w:tcW w:w="2830" w:type="dxa"/>
          </w:tcPr>
          <w:p w:rsidR="00954B90" w:rsidRPr="00A862C6" w:rsidRDefault="00954B90" w:rsidP="0040023A">
            <w:pPr>
              <w:pStyle w:val="Tabletext"/>
              <w:ind w:left="-57"/>
              <w:rPr>
                <w:rFonts w:cs="Arial"/>
                <w:sz w:val="18"/>
                <w:szCs w:val="18"/>
              </w:rPr>
            </w:pPr>
            <w:r w:rsidRPr="00A862C6">
              <w:rPr>
                <w:rFonts w:cs="Arial"/>
                <w:sz w:val="18"/>
                <w:szCs w:val="18"/>
              </w:rPr>
              <w:t>NIVOLUMAB</w:t>
            </w:r>
          </w:p>
          <w:p w:rsidR="00954B90" w:rsidRPr="00A862C6" w:rsidRDefault="00954B90" w:rsidP="0040023A">
            <w:pPr>
              <w:pStyle w:val="Tabletext"/>
              <w:ind w:left="-57"/>
              <w:rPr>
                <w:rFonts w:cs="Arial"/>
                <w:sz w:val="18"/>
                <w:szCs w:val="18"/>
              </w:rPr>
            </w:pPr>
            <w:r w:rsidRPr="00A862C6">
              <w:rPr>
                <w:rFonts w:cs="Arial"/>
                <w:sz w:val="18"/>
                <w:szCs w:val="18"/>
              </w:rPr>
              <w:t>Injection</w:t>
            </w:r>
          </w:p>
          <w:p w:rsidR="00954B90" w:rsidRPr="00A862C6" w:rsidRDefault="00954B90" w:rsidP="0040023A">
            <w:pPr>
              <w:pStyle w:val="Tabletext"/>
              <w:ind w:left="-57"/>
              <w:rPr>
                <w:rFonts w:cs="Arial"/>
                <w:sz w:val="18"/>
                <w:szCs w:val="18"/>
              </w:rPr>
            </w:pPr>
          </w:p>
        </w:tc>
        <w:tc>
          <w:tcPr>
            <w:tcW w:w="2552" w:type="dxa"/>
            <w:vAlign w:val="center"/>
          </w:tcPr>
          <w:p w:rsidR="00954B90" w:rsidRPr="00A862C6" w:rsidRDefault="00954B90" w:rsidP="0040023A">
            <w:pPr>
              <w:pStyle w:val="Tabletext"/>
              <w:jc w:val="center"/>
              <w:rPr>
                <w:rFonts w:cs="Arial"/>
                <w:sz w:val="18"/>
                <w:szCs w:val="18"/>
              </w:rPr>
            </w:pPr>
            <w:r w:rsidRPr="00A862C6">
              <w:rPr>
                <w:rFonts w:cs="Arial"/>
                <w:sz w:val="18"/>
                <w:szCs w:val="18"/>
              </w:rPr>
              <w:t>New (Public)</w:t>
            </w:r>
          </w:p>
          <w:p w:rsidR="00954B90" w:rsidRPr="00A862C6" w:rsidRDefault="00954B90" w:rsidP="0040023A">
            <w:pPr>
              <w:pStyle w:val="Tabletext"/>
              <w:jc w:val="center"/>
              <w:rPr>
                <w:rFonts w:cs="Arial"/>
                <w:sz w:val="18"/>
                <w:szCs w:val="18"/>
              </w:rPr>
            </w:pPr>
            <w:r w:rsidRPr="00A862C6">
              <w:rPr>
                <w:rFonts w:cs="Arial"/>
                <w:sz w:val="18"/>
                <w:szCs w:val="18"/>
              </w:rPr>
              <w:t>New (Private)</w:t>
            </w:r>
          </w:p>
        </w:tc>
        <w:tc>
          <w:tcPr>
            <w:tcW w:w="1701" w:type="dxa"/>
            <w:vAlign w:val="center"/>
          </w:tcPr>
          <w:p w:rsidR="00954B90" w:rsidRPr="00A862C6" w:rsidRDefault="00954B90" w:rsidP="0040023A">
            <w:pPr>
              <w:pStyle w:val="Tabletext"/>
              <w:jc w:val="center"/>
              <w:rPr>
                <w:rFonts w:cs="Arial"/>
                <w:sz w:val="18"/>
                <w:szCs w:val="18"/>
              </w:rPr>
            </w:pPr>
            <w:r w:rsidRPr="00A862C6">
              <w:rPr>
                <w:rFonts w:cs="Arial"/>
                <w:sz w:val="18"/>
                <w:szCs w:val="18"/>
              </w:rPr>
              <w:t>480 mg</w:t>
            </w:r>
          </w:p>
        </w:tc>
        <w:tc>
          <w:tcPr>
            <w:tcW w:w="1933" w:type="dxa"/>
            <w:vAlign w:val="center"/>
          </w:tcPr>
          <w:p w:rsidR="00954B90" w:rsidRPr="00A862C6" w:rsidRDefault="00954B90" w:rsidP="0040023A">
            <w:pPr>
              <w:pStyle w:val="Tabletext"/>
              <w:jc w:val="center"/>
              <w:rPr>
                <w:rFonts w:cs="Arial"/>
                <w:sz w:val="18"/>
                <w:szCs w:val="18"/>
              </w:rPr>
            </w:pPr>
            <w:r w:rsidRPr="00A862C6">
              <w:rPr>
                <w:rFonts w:cs="Arial"/>
                <w:sz w:val="18"/>
                <w:szCs w:val="18"/>
              </w:rPr>
              <w:t>11</w:t>
            </w:r>
          </w:p>
        </w:tc>
      </w:tr>
      <w:tr w:rsidR="00954B90" w:rsidRPr="00A862C6" w:rsidTr="0040023A">
        <w:tc>
          <w:tcPr>
            <w:tcW w:w="9016" w:type="dxa"/>
            <w:gridSpan w:val="4"/>
            <w:shd w:val="clear" w:color="auto" w:fill="auto"/>
          </w:tcPr>
          <w:p w:rsidR="00954B90" w:rsidRPr="00A862C6" w:rsidRDefault="00954B90" w:rsidP="0040023A">
            <w:pPr>
              <w:pStyle w:val="Tabletext"/>
              <w:ind w:left="-57"/>
              <w:rPr>
                <w:rFonts w:cs="Arial"/>
                <w:b/>
                <w:sz w:val="18"/>
                <w:szCs w:val="18"/>
              </w:rPr>
            </w:pPr>
            <w:r w:rsidRPr="00A862C6">
              <w:rPr>
                <w:rFonts w:cs="Arial"/>
                <w:b/>
                <w:sz w:val="18"/>
                <w:szCs w:val="18"/>
              </w:rPr>
              <w:t>Available brands</w:t>
            </w:r>
          </w:p>
        </w:tc>
      </w:tr>
      <w:tr w:rsidR="00954B90" w:rsidRPr="00A862C6" w:rsidTr="0040023A">
        <w:tc>
          <w:tcPr>
            <w:tcW w:w="9016" w:type="dxa"/>
            <w:gridSpan w:val="4"/>
            <w:shd w:val="clear" w:color="auto" w:fill="auto"/>
          </w:tcPr>
          <w:p w:rsidR="00954B90" w:rsidRPr="00A862C6" w:rsidRDefault="00954B90" w:rsidP="0040023A">
            <w:pPr>
              <w:pStyle w:val="Tabletext"/>
              <w:ind w:left="-57"/>
              <w:rPr>
                <w:rFonts w:cs="Arial"/>
                <w:sz w:val="18"/>
                <w:szCs w:val="18"/>
              </w:rPr>
            </w:pPr>
            <w:r w:rsidRPr="00A862C6">
              <w:rPr>
                <w:rFonts w:cs="Arial"/>
                <w:sz w:val="18"/>
                <w:szCs w:val="18"/>
              </w:rPr>
              <w:t>Opdivo</w:t>
            </w:r>
          </w:p>
          <w:p w:rsidR="00954B90" w:rsidRPr="00A862C6" w:rsidRDefault="00954B90" w:rsidP="0040023A">
            <w:pPr>
              <w:pStyle w:val="Tabletext"/>
              <w:ind w:left="-57"/>
              <w:rPr>
                <w:rFonts w:cs="Arial"/>
                <w:sz w:val="18"/>
                <w:szCs w:val="18"/>
              </w:rPr>
            </w:pPr>
            <w:r w:rsidRPr="00A862C6">
              <w:rPr>
                <w:rFonts w:cs="Arial"/>
                <w:sz w:val="18"/>
                <w:szCs w:val="18"/>
              </w:rPr>
              <w:t>(nivolumab 40 mg/4 mL injection, 4 mL vial)</w:t>
            </w:r>
          </w:p>
        </w:tc>
      </w:tr>
      <w:tr w:rsidR="00954B90" w:rsidRPr="00A862C6" w:rsidTr="0040023A">
        <w:tc>
          <w:tcPr>
            <w:tcW w:w="9016" w:type="dxa"/>
            <w:gridSpan w:val="4"/>
            <w:shd w:val="clear" w:color="auto" w:fill="auto"/>
          </w:tcPr>
          <w:p w:rsidR="00954B90" w:rsidRPr="00A862C6" w:rsidRDefault="00954B90" w:rsidP="0040023A">
            <w:pPr>
              <w:pStyle w:val="Tabletext"/>
              <w:ind w:left="-57"/>
              <w:rPr>
                <w:rFonts w:cs="Arial"/>
                <w:sz w:val="18"/>
                <w:szCs w:val="18"/>
              </w:rPr>
            </w:pPr>
            <w:r w:rsidRPr="00A862C6">
              <w:rPr>
                <w:rFonts w:cs="Arial"/>
                <w:sz w:val="18"/>
                <w:szCs w:val="18"/>
              </w:rPr>
              <w:t>Opdivo</w:t>
            </w:r>
          </w:p>
          <w:p w:rsidR="00954B90" w:rsidRPr="00A862C6" w:rsidRDefault="00954B90" w:rsidP="0040023A">
            <w:pPr>
              <w:pStyle w:val="Tabletext"/>
              <w:ind w:left="-57"/>
              <w:rPr>
                <w:rFonts w:cs="Arial"/>
                <w:sz w:val="18"/>
                <w:szCs w:val="18"/>
              </w:rPr>
            </w:pPr>
            <w:r w:rsidRPr="00A862C6">
              <w:rPr>
                <w:rFonts w:cs="Arial"/>
                <w:sz w:val="18"/>
                <w:szCs w:val="18"/>
              </w:rPr>
              <w:t>(nivolumab 100 mg/10 mL injection, 10 mL vial)</w:t>
            </w:r>
          </w:p>
        </w:tc>
      </w:tr>
      <w:tr w:rsidR="00954B90" w:rsidRPr="00A862C6" w:rsidTr="0040023A">
        <w:tc>
          <w:tcPr>
            <w:tcW w:w="9016" w:type="dxa"/>
            <w:gridSpan w:val="4"/>
            <w:shd w:val="clear" w:color="auto" w:fill="auto"/>
          </w:tcPr>
          <w:p w:rsidR="00954B90" w:rsidRPr="00A862C6" w:rsidRDefault="00954B90" w:rsidP="0040023A">
            <w:pPr>
              <w:pStyle w:val="Tabletext"/>
              <w:ind w:left="-57"/>
              <w:rPr>
                <w:rFonts w:cs="Arial"/>
                <w:sz w:val="18"/>
                <w:szCs w:val="18"/>
              </w:rPr>
            </w:pPr>
          </w:p>
        </w:tc>
      </w:tr>
    </w:tbl>
    <w:tbl>
      <w:tblPr>
        <w:tblStyle w:val="TableGrid"/>
        <w:tblW w:w="5000" w:type="pct"/>
        <w:tblLook w:val="04A0" w:firstRow="1" w:lastRow="0" w:firstColumn="1" w:lastColumn="0" w:noHBand="0" w:noVBand="1"/>
        <w:tblCaption w:val="requested listing"/>
      </w:tblPr>
      <w:tblGrid>
        <w:gridCol w:w="9017"/>
      </w:tblGrid>
      <w:tr w:rsidR="00B91F7E" w:rsidRPr="00A862C6" w:rsidTr="00E45BC9">
        <w:trPr>
          <w:tblHeader/>
        </w:trPr>
        <w:tc>
          <w:tcPr>
            <w:tcW w:w="5000" w:type="pct"/>
            <w:tcBorders>
              <w:top w:val="single" w:sz="4" w:space="0" w:color="auto"/>
              <w:left w:val="single" w:sz="4" w:space="0" w:color="auto"/>
              <w:bottom w:val="single" w:sz="4" w:space="0" w:color="auto"/>
              <w:right w:val="single" w:sz="4" w:space="0" w:color="auto"/>
            </w:tcBorders>
          </w:tcPr>
          <w:p w:rsidR="00B91F7E" w:rsidRPr="00A862C6" w:rsidRDefault="00B91F7E" w:rsidP="0040023A">
            <w:pPr>
              <w:ind w:left="-57"/>
              <w:rPr>
                <w:rFonts w:ascii="Arial Narrow" w:hAnsi="Arial Narrow"/>
                <w:b/>
                <w:bCs/>
                <w:sz w:val="18"/>
                <w:szCs w:val="18"/>
                <w:lang w:eastAsia="en-AU"/>
              </w:rPr>
            </w:pPr>
            <w:r w:rsidRPr="00A862C6">
              <w:rPr>
                <w:rFonts w:ascii="Arial Narrow" w:hAnsi="Arial Narrow"/>
                <w:b/>
                <w:sz w:val="18"/>
                <w:szCs w:val="18"/>
              </w:rPr>
              <w:t xml:space="preserve">Category / Program: </w:t>
            </w:r>
            <w:r w:rsidRPr="00A862C6">
              <w:rPr>
                <w:rFonts w:ascii="Arial Narrow" w:hAnsi="Arial Narrow"/>
                <w:sz w:val="18"/>
                <w:szCs w:val="18"/>
              </w:rPr>
              <w:t>Section 100 – Efficient Funding of Chemotherapy Public/Private hospitals</w:t>
            </w:r>
          </w:p>
        </w:tc>
      </w:tr>
      <w:tr w:rsidR="00B91F7E" w:rsidRPr="00A862C6" w:rsidTr="00B91F7E">
        <w:tc>
          <w:tcPr>
            <w:tcW w:w="5000" w:type="pct"/>
            <w:tcBorders>
              <w:top w:val="single" w:sz="4" w:space="0" w:color="auto"/>
              <w:left w:val="single" w:sz="4" w:space="0" w:color="auto"/>
              <w:bottom w:val="single" w:sz="4" w:space="0" w:color="auto"/>
              <w:right w:val="single" w:sz="4" w:space="0" w:color="auto"/>
            </w:tcBorders>
          </w:tcPr>
          <w:p w:rsidR="00B91F7E" w:rsidRPr="00A862C6" w:rsidRDefault="00B91F7E" w:rsidP="0040023A">
            <w:pPr>
              <w:ind w:left="-57"/>
              <w:rPr>
                <w:rFonts w:ascii="Arial Narrow" w:hAnsi="Arial Narrow"/>
                <w:b/>
                <w:bCs/>
                <w:sz w:val="18"/>
                <w:szCs w:val="18"/>
                <w:lang w:eastAsia="en-AU"/>
              </w:rPr>
            </w:pPr>
            <w:r w:rsidRPr="00A862C6">
              <w:rPr>
                <w:rFonts w:ascii="Arial Narrow" w:hAnsi="Arial Narrow"/>
                <w:b/>
                <w:sz w:val="18"/>
                <w:szCs w:val="18"/>
              </w:rPr>
              <w:t xml:space="preserve">Prescriber type:   </w:t>
            </w:r>
            <w:r w:rsidRPr="00A862C6">
              <w:rPr>
                <w:rFonts w:ascii="Arial Narrow" w:hAnsi="Arial Narrow"/>
                <w:i/>
                <w:sz w:val="18"/>
                <w:szCs w:val="18"/>
              </w:rPr>
              <w:fldChar w:fldCharType="begin">
                <w:ffData>
                  <w:name w:val=""/>
                  <w:enabled/>
                  <w:calcOnExit w:val="0"/>
                  <w:checkBox>
                    <w:sizeAuto/>
                    <w:default w:val="1"/>
                  </w:checkBox>
                </w:ffData>
              </w:fldChar>
            </w:r>
            <w:r w:rsidRPr="00A862C6">
              <w:rPr>
                <w:rFonts w:ascii="Arial Narrow" w:hAnsi="Arial Narrow"/>
                <w:i/>
                <w:sz w:val="18"/>
                <w:szCs w:val="18"/>
              </w:rPr>
              <w:instrText xml:space="preserve"> FORMCHECKBOX </w:instrText>
            </w:r>
            <w:r w:rsidR="00980A9E">
              <w:rPr>
                <w:rFonts w:ascii="Arial Narrow" w:hAnsi="Arial Narrow"/>
                <w:i/>
                <w:sz w:val="18"/>
                <w:szCs w:val="18"/>
              </w:rPr>
            </w:r>
            <w:r w:rsidR="00980A9E">
              <w:rPr>
                <w:rFonts w:ascii="Arial Narrow" w:hAnsi="Arial Narrow"/>
                <w:i/>
                <w:sz w:val="18"/>
                <w:szCs w:val="18"/>
              </w:rPr>
              <w:fldChar w:fldCharType="separate"/>
            </w:r>
            <w:r w:rsidRPr="00A862C6">
              <w:rPr>
                <w:rFonts w:ascii="Arial Narrow" w:hAnsi="Arial Narrow"/>
                <w:i/>
                <w:sz w:val="18"/>
                <w:szCs w:val="18"/>
              </w:rPr>
              <w:fldChar w:fldCharType="end"/>
            </w:r>
            <w:r w:rsidRPr="00A862C6">
              <w:rPr>
                <w:rFonts w:ascii="Arial Narrow" w:hAnsi="Arial Narrow"/>
                <w:i/>
                <w:sz w:val="18"/>
                <w:szCs w:val="18"/>
              </w:rPr>
              <w:t xml:space="preserve"> Medical Practitioners</w:t>
            </w:r>
            <w:r w:rsidRPr="00A862C6">
              <w:rPr>
                <w:rFonts w:ascii="Arial Narrow" w:hAnsi="Arial Narrow"/>
                <w:sz w:val="18"/>
                <w:szCs w:val="18"/>
              </w:rPr>
              <w:t xml:space="preserve">    </w:t>
            </w:r>
          </w:p>
        </w:tc>
      </w:tr>
      <w:tr w:rsidR="00B91F7E" w:rsidRPr="00A862C6" w:rsidTr="00B91F7E">
        <w:tc>
          <w:tcPr>
            <w:tcW w:w="5000" w:type="pct"/>
            <w:tcBorders>
              <w:top w:val="single" w:sz="4" w:space="0" w:color="auto"/>
              <w:left w:val="single" w:sz="4" w:space="0" w:color="auto"/>
              <w:bottom w:val="single" w:sz="4" w:space="0" w:color="auto"/>
              <w:right w:val="single" w:sz="4" w:space="0" w:color="auto"/>
            </w:tcBorders>
          </w:tcPr>
          <w:p w:rsidR="00B91F7E" w:rsidRPr="00A862C6" w:rsidRDefault="00B91F7E" w:rsidP="0040023A">
            <w:pPr>
              <w:ind w:left="-57"/>
              <w:rPr>
                <w:rFonts w:ascii="Arial Narrow" w:hAnsi="Arial Narrow"/>
                <w:b/>
                <w:bCs/>
                <w:sz w:val="18"/>
                <w:szCs w:val="18"/>
                <w:lang w:eastAsia="en-AU"/>
              </w:rPr>
            </w:pPr>
            <w:r w:rsidRPr="00A862C6">
              <w:rPr>
                <w:rFonts w:ascii="Arial Narrow" w:hAnsi="Arial Narrow"/>
                <w:b/>
                <w:sz w:val="18"/>
                <w:szCs w:val="18"/>
              </w:rPr>
              <w:t xml:space="preserve">Restriction type: </w:t>
            </w:r>
            <w:r w:rsidRPr="00A862C6">
              <w:rPr>
                <w:rFonts w:ascii="Arial Narrow" w:eastAsia="Calibri" w:hAnsi="Arial Narrow"/>
                <w:sz w:val="18"/>
                <w:szCs w:val="18"/>
              </w:rPr>
              <w:fldChar w:fldCharType="begin">
                <w:ffData>
                  <w:name w:val=""/>
                  <w:enabled/>
                  <w:calcOnExit w:val="0"/>
                  <w:checkBox>
                    <w:sizeAuto/>
                    <w:default w:val="1"/>
                  </w:checkBox>
                </w:ffData>
              </w:fldChar>
            </w:r>
            <w:r w:rsidRPr="00A862C6">
              <w:rPr>
                <w:rFonts w:ascii="Arial Narrow" w:eastAsia="Calibri" w:hAnsi="Arial Narrow"/>
                <w:sz w:val="18"/>
                <w:szCs w:val="18"/>
              </w:rPr>
              <w:instrText xml:space="preserve"> FORMCHECKBOX </w:instrText>
            </w:r>
            <w:r w:rsidR="00980A9E">
              <w:rPr>
                <w:rFonts w:ascii="Arial Narrow" w:eastAsia="Calibri" w:hAnsi="Arial Narrow"/>
                <w:sz w:val="18"/>
                <w:szCs w:val="18"/>
              </w:rPr>
            </w:r>
            <w:r w:rsidR="00980A9E">
              <w:rPr>
                <w:rFonts w:ascii="Arial Narrow" w:eastAsia="Calibri" w:hAnsi="Arial Narrow"/>
                <w:sz w:val="18"/>
                <w:szCs w:val="18"/>
              </w:rPr>
              <w:fldChar w:fldCharType="separate"/>
            </w:r>
            <w:r w:rsidRPr="00A862C6">
              <w:rPr>
                <w:rFonts w:ascii="Arial Narrow" w:eastAsia="Calibri" w:hAnsi="Arial Narrow"/>
                <w:sz w:val="18"/>
                <w:szCs w:val="18"/>
              </w:rPr>
              <w:fldChar w:fldCharType="end"/>
            </w:r>
            <w:r w:rsidRPr="00A862C6">
              <w:rPr>
                <w:rFonts w:ascii="Arial Narrow" w:eastAsia="Calibri" w:hAnsi="Arial Narrow"/>
                <w:sz w:val="18"/>
                <w:szCs w:val="18"/>
              </w:rPr>
              <w:t xml:space="preserve"> Authority Required – Streamlined [New 4]</w:t>
            </w:r>
          </w:p>
        </w:tc>
      </w:tr>
      <w:tr w:rsidR="00B91F7E" w:rsidRPr="00A862C6" w:rsidTr="00B91F7E">
        <w:tc>
          <w:tcPr>
            <w:tcW w:w="5000" w:type="pct"/>
            <w:hideMark/>
          </w:tcPr>
          <w:p w:rsidR="00B91F7E" w:rsidRPr="00A862C6" w:rsidRDefault="00B91F7E" w:rsidP="0040023A">
            <w:pPr>
              <w:ind w:left="-57"/>
              <w:rPr>
                <w:rFonts w:ascii="Arial Narrow" w:hAnsi="Arial Narrow"/>
                <w:sz w:val="18"/>
                <w:szCs w:val="18"/>
                <w:lang w:eastAsia="en-AU"/>
              </w:rPr>
            </w:pPr>
            <w:r w:rsidRPr="00A862C6">
              <w:rPr>
                <w:rFonts w:ascii="Arial Narrow" w:hAnsi="Arial Narrow"/>
                <w:b/>
                <w:bCs/>
                <w:sz w:val="18"/>
                <w:szCs w:val="18"/>
                <w:lang w:eastAsia="en-AU"/>
              </w:rPr>
              <w:t xml:space="preserve">Indication: </w:t>
            </w:r>
            <w:r w:rsidRPr="00A862C6">
              <w:rPr>
                <w:rFonts w:ascii="Arial Narrow" w:hAnsi="Arial Narrow"/>
                <w:sz w:val="18"/>
                <w:szCs w:val="18"/>
                <w:lang w:eastAsia="en-AU"/>
              </w:rPr>
              <w:t xml:space="preserve">Advanced or metastatic </w:t>
            </w:r>
            <w:r w:rsidRPr="00A862C6">
              <w:rPr>
                <w:rFonts w:ascii="Arial Narrow" w:hAnsi="Arial Narrow"/>
                <w:strike/>
                <w:sz w:val="18"/>
                <w:szCs w:val="18"/>
                <w:lang w:eastAsia="en-AU"/>
              </w:rPr>
              <w:t xml:space="preserve">oesophageal </w:t>
            </w:r>
            <w:r w:rsidRPr="00A862C6">
              <w:rPr>
                <w:rFonts w:ascii="Arial Narrow" w:hAnsi="Arial Narrow"/>
                <w:sz w:val="18"/>
                <w:szCs w:val="18"/>
                <w:lang w:eastAsia="en-AU"/>
              </w:rPr>
              <w:t>squamous cell carcinoma</w:t>
            </w:r>
            <w:r w:rsidRPr="00A862C6">
              <w:rPr>
                <w:rFonts w:ascii="Arial Narrow" w:hAnsi="Arial Narrow"/>
                <w:i/>
                <w:sz w:val="18"/>
                <w:szCs w:val="18"/>
                <w:lang w:eastAsia="en-AU"/>
              </w:rPr>
              <w:t xml:space="preserve"> of oesophagus</w:t>
            </w:r>
          </w:p>
        </w:tc>
      </w:tr>
      <w:tr w:rsidR="00B91F7E" w:rsidRPr="00A862C6" w:rsidTr="00B91F7E">
        <w:tc>
          <w:tcPr>
            <w:tcW w:w="5000" w:type="pct"/>
            <w:hideMark/>
          </w:tcPr>
          <w:p w:rsidR="00B91F7E" w:rsidRPr="00A862C6" w:rsidRDefault="00B91F7E" w:rsidP="0040023A">
            <w:pPr>
              <w:ind w:left="-57"/>
              <w:rPr>
                <w:rFonts w:ascii="Arial Narrow" w:hAnsi="Arial Narrow"/>
                <w:sz w:val="18"/>
                <w:szCs w:val="18"/>
                <w:lang w:eastAsia="en-AU"/>
              </w:rPr>
            </w:pPr>
            <w:r w:rsidRPr="00A862C6">
              <w:rPr>
                <w:rFonts w:ascii="Arial Narrow" w:hAnsi="Arial Narrow"/>
                <w:b/>
                <w:bCs/>
                <w:sz w:val="18"/>
                <w:szCs w:val="18"/>
                <w:lang w:eastAsia="en-AU"/>
              </w:rPr>
              <w:t xml:space="preserve">Treatment Phase: </w:t>
            </w:r>
            <w:r w:rsidRPr="00A862C6">
              <w:rPr>
                <w:rFonts w:ascii="Arial Narrow" w:hAnsi="Arial Narrow"/>
                <w:sz w:val="18"/>
                <w:szCs w:val="18"/>
                <w:lang w:eastAsia="en-AU"/>
              </w:rPr>
              <w:t xml:space="preserve">Continuing treatment </w:t>
            </w:r>
          </w:p>
        </w:tc>
      </w:tr>
      <w:tr w:rsidR="00B91F7E" w:rsidRPr="00A862C6" w:rsidTr="00B91F7E">
        <w:tc>
          <w:tcPr>
            <w:tcW w:w="5000" w:type="pct"/>
            <w:hideMark/>
          </w:tcPr>
          <w:p w:rsidR="00B91F7E" w:rsidRPr="00A862C6" w:rsidRDefault="00B91F7E" w:rsidP="0040023A">
            <w:pPr>
              <w:ind w:left="-57"/>
              <w:rPr>
                <w:rFonts w:ascii="Arial Narrow" w:hAnsi="Arial Narrow"/>
                <w:strike/>
                <w:sz w:val="18"/>
                <w:szCs w:val="18"/>
                <w:lang w:eastAsia="en-AU"/>
              </w:rPr>
            </w:pPr>
            <w:r w:rsidRPr="00A862C6">
              <w:rPr>
                <w:rFonts w:ascii="Arial Narrow" w:hAnsi="Arial Narrow"/>
                <w:b/>
                <w:bCs/>
                <w:strike/>
                <w:sz w:val="18"/>
                <w:szCs w:val="18"/>
                <w:lang w:eastAsia="en-AU"/>
              </w:rPr>
              <w:t>Clinical criteria:</w:t>
            </w:r>
          </w:p>
        </w:tc>
      </w:tr>
      <w:tr w:rsidR="00B91F7E" w:rsidRPr="00A862C6" w:rsidTr="00B91F7E">
        <w:tc>
          <w:tcPr>
            <w:tcW w:w="5000" w:type="pct"/>
            <w:hideMark/>
          </w:tcPr>
          <w:p w:rsidR="00B91F7E" w:rsidRPr="00A862C6" w:rsidRDefault="00B91F7E" w:rsidP="0040023A">
            <w:pPr>
              <w:ind w:left="-57"/>
              <w:rPr>
                <w:rFonts w:ascii="Arial Narrow" w:hAnsi="Arial Narrow"/>
                <w:strike/>
                <w:sz w:val="18"/>
                <w:szCs w:val="18"/>
                <w:lang w:eastAsia="en-AU"/>
              </w:rPr>
            </w:pPr>
          </w:p>
          <w:p w:rsidR="00B91F7E" w:rsidRPr="00A862C6" w:rsidRDefault="00B91F7E" w:rsidP="0040023A">
            <w:pPr>
              <w:ind w:left="-57"/>
              <w:rPr>
                <w:rFonts w:ascii="Arial Narrow" w:hAnsi="Arial Narrow"/>
                <w:strike/>
                <w:sz w:val="18"/>
                <w:szCs w:val="18"/>
                <w:lang w:eastAsia="en-AU"/>
              </w:rPr>
            </w:pPr>
            <w:r w:rsidRPr="00A862C6">
              <w:rPr>
                <w:rFonts w:ascii="Arial Narrow" w:hAnsi="Arial Narrow"/>
                <w:strike/>
                <w:sz w:val="18"/>
                <w:szCs w:val="18"/>
                <w:lang w:eastAsia="en-AU"/>
              </w:rPr>
              <w:t>Patient must have previously received PBS-subsidised treatment with this drug for this condition</w:t>
            </w:r>
          </w:p>
        </w:tc>
      </w:tr>
      <w:tr w:rsidR="00B91F7E" w:rsidRPr="00A862C6" w:rsidTr="00B91F7E">
        <w:tc>
          <w:tcPr>
            <w:tcW w:w="5000" w:type="pct"/>
          </w:tcPr>
          <w:p w:rsidR="00B91F7E" w:rsidRPr="00A862C6" w:rsidRDefault="00B91F7E" w:rsidP="0040023A">
            <w:pPr>
              <w:ind w:left="-57"/>
              <w:rPr>
                <w:rFonts w:ascii="Arial Narrow" w:hAnsi="Arial Narrow"/>
                <w:b/>
                <w:strike/>
                <w:sz w:val="18"/>
                <w:szCs w:val="18"/>
                <w:lang w:eastAsia="en-AU"/>
              </w:rPr>
            </w:pPr>
            <w:r w:rsidRPr="00A862C6">
              <w:rPr>
                <w:rFonts w:ascii="Arial Narrow" w:hAnsi="Arial Narrow"/>
                <w:b/>
                <w:strike/>
                <w:sz w:val="18"/>
                <w:szCs w:val="18"/>
                <w:lang w:eastAsia="en-AU"/>
              </w:rPr>
              <w:t>AND</w:t>
            </w:r>
          </w:p>
        </w:tc>
      </w:tr>
      <w:tr w:rsidR="00B91F7E" w:rsidRPr="00A862C6" w:rsidTr="00B91F7E">
        <w:tc>
          <w:tcPr>
            <w:tcW w:w="5000" w:type="pct"/>
          </w:tcPr>
          <w:p w:rsidR="00B91F7E" w:rsidRPr="00A862C6" w:rsidRDefault="00B91F7E" w:rsidP="0040023A">
            <w:pPr>
              <w:ind w:left="-57"/>
              <w:rPr>
                <w:rFonts w:ascii="Arial Narrow" w:hAnsi="Arial Narrow"/>
                <w:b/>
                <w:sz w:val="18"/>
                <w:szCs w:val="18"/>
                <w:lang w:eastAsia="en-AU"/>
              </w:rPr>
            </w:pPr>
            <w:r w:rsidRPr="00A862C6">
              <w:rPr>
                <w:rFonts w:ascii="Arial Narrow" w:hAnsi="Arial Narrow"/>
                <w:b/>
                <w:sz w:val="18"/>
                <w:szCs w:val="18"/>
                <w:lang w:eastAsia="en-AU"/>
              </w:rPr>
              <w:t>Clinical criteria:</w:t>
            </w:r>
          </w:p>
        </w:tc>
      </w:tr>
      <w:tr w:rsidR="00B91F7E" w:rsidRPr="00A862C6" w:rsidTr="00B91F7E">
        <w:tc>
          <w:tcPr>
            <w:tcW w:w="5000" w:type="pct"/>
          </w:tcPr>
          <w:p w:rsidR="00B91F7E" w:rsidRPr="00A862C6" w:rsidRDefault="00B91F7E" w:rsidP="0040023A">
            <w:pPr>
              <w:ind w:left="-57"/>
              <w:rPr>
                <w:rFonts w:ascii="Arial Narrow" w:hAnsi="Arial Narrow"/>
                <w:sz w:val="18"/>
                <w:szCs w:val="18"/>
                <w:lang w:eastAsia="en-AU"/>
              </w:rPr>
            </w:pPr>
          </w:p>
          <w:p w:rsidR="00B91F7E" w:rsidRPr="00A862C6" w:rsidRDefault="00B91F7E" w:rsidP="0040023A">
            <w:pPr>
              <w:ind w:left="-57"/>
              <w:rPr>
                <w:rFonts w:ascii="Arial Narrow" w:hAnsi="Arial Narrow"/>
                <w:sz w:val="18"/>
                <w:szCs w:val="18"/>
                <w:lang w:eastAsia="en-AU"/>
              </w:rPr>
            </w:pPr>
            <w:r w:rsidRPr="00A862C6">
              <w:rPr>
                <w:rFonts w:ascii="Arial Narrow" w:hAnsi="Arial Narrow"/>
                <w:sz w:val="18"/>
                <w:szCs w:val="18"/>
                <w:lang w:eastAsia="en-AU"/>
              </w:rPr>
              <w:t>Patient must have stable or responding disease</w:t>
            </w:r>
          </w:p>
        </w:tc>
      </w:tr>
      <w:tr w:rsidR="00B91F7E" w:rsidRPr="00A862C6" w:rsidTr="00B91F7E">
        <w:tc>
          <w:tcPr>
            <w:tcW w:w="5000" w:type="pct"/>
          </w:tcPr>
          <w:p w:rsidR="00B91F7E" w:rsidRPr="00A862C6" w:rsidRDefault="00B91F7E" w:rsidP="0040023A">
            <w:pPr>
              <w:ind w:left="-57"/>
              <w:rPr>
                <w:rFonts w:ascii="Arial Narrow" w:hAnsi="Arial Narrow"/>
                <w:sz w:val="18"/>
                <w:szCs w:val="18"/>
                <w:lang w:eastAsia="en-AU"/>
              </w:rPr>
            </w:pPr>
            <w:r w:rsidRPr="00A862C6">
              <w:rPr>
                <w:rFonts w:ascii="Arial Narrow" w:hAnsi="Arial Narrow"/>
                <w:b/>
                <w:sz w:val="18"/>
                <w:szCs w:val="18"/>
                <w:lang w:eastAsia="en-AU"/>
              </w:rPr>
              <w:t>AND</w:t>
            </w:r>
          </w:p>
        </w:tc>
      </w:tr>
      <w:tr w:rsidR="00B91F7E" w:rsidRPr="00A862C6" w:rsidTr="00B91F7E">
        <w:tc>
          <w:tcPr>
            <w:tcW w:w="5000" w:type="pct"/>
          </w:tcPr>
          <w:p w:rsidR="00B91F7E" w:rsidRPr="00A862C6" w:rsidRDefault="00B91F7E" w:rsidP="0040023A">
            <w:pPr>
              <w:ind w:left="-57"/>
              <w:rPr>
                <w:rFonts w:ascii="Arial Narrow" w:hAnsi="Arial Narrow"/>
                <w:strike/>
                <w:sz w:val="18"/>
                <w:szCs w:val="18"/>
                <w:lang w:eastAsia="en-AU"/>
              </w:rPr>
            </w:pPr>
            <w:r w:rsidRPr="00A862C6">
              <w:rPr>
                <w:rFonts w:ascii="Arial Narrow" w:hAnsi="Arial Narrow"/>
                <w:b/>
                <w:strike/>
                <w:sz w:val="18"/>
                <w:szCs w:val="18"/>
                <w:lang w:eastAsia="en-AU"/>
              </w:rPr>
              <w:t>Clinical criteria:</w:t>
            </w:r>
          </w:p>
        </w:tc>
      </w:tr>
      <w:tr w:rsidR="00B91F7E" w:rsidRPr="00A862C6" w:rsidTr="00B91F7E">
        <w:tc>
          <w:tcPr>
            <w:tcW w:w="5000" w:type="pct"/>
          </w:tcPr>
          <w:p w:rsidR="00B91F7E" w:rsidRPr="00A862C6" w:rsidRDefault="00B91F7E" w:rsidP="0040023A">
            <w:pPr>
              <w:ind w:left="-57"/>
              <w:rPr>
                <w:rFonts w:ascii="Arial Narrow" w:hAnsi="Arial Narrow"/>
                <w:strike/>
                <w:sz w:val="18"/>
                <w:szCs w:val="18"/>
                <w:lang w:eastAsia="en-AU"/>
              </w:rPr>
            </w:pPr>
            <w:r w:rsidRPr="00A862C6">
              <w:rPr>
                <w:rFonts w:ascii="Arial Narrow" w:hAnsi="Arial Narrow"/>
                <w:strike/>
                <w:sz w:val="18"/>
                <w:szCs w:val="18"/>
                <w:lang w:eastAsia="en-AU"/>
              </w:rPr>
              <w:t>The treatment must be the sole PBS-subsidised therapy for this condition.</w:t>
            </w:r>
          </w:p>
        </w:tc>
      </w:tr>
      <w:tr w:rsidR="00B91F7E" w:rsidRPr="00A862C6" w:rsidTr="00B91F7E">
        <w:tc>
          <w:tcPr>
            <w:tcW w:w="5000" w:type="pct"/>
          </w:tcPr>
          <w:p w:rsidR="00B91F7E" w:rsidRPr="00A862C6" w:rsidRDefault="00B91F7E" w:rsidP="0040023A">
            <w:pPr>
              <w:ind w:left="-57"/>
              <w:rPr>
                <w:rFonts w:ascii="Arial Narrow" w:hAnsi="Arial Narrow"/>
                <w:b/>
                <w:i/>
                <w:sz w:val="18"/>
                <w:szCs w:val="18"/>
                <w:lang w:eastAsia="en-AU"/>
              </w:rPr>
            </w:pPr>
            <w:r w:rsidRPr="00A862C6">
              <w:rPr>
                <w:rFonts w:ascii="Arial Narrow" w:hAnsi="Arial Narrow"/>
                <w:b/>
                <w:i/>
                <w:sz w:val="18"/>
                <w:szCs w:val="18"/>
                <w:lang w:eastAsia="en-AU"/>
              </w:rPr>
              <w:t>Treatment criteria:</w:t>
            </w:r>
          </w:p>
        </w:tc>
      </w:tr>
      <w:tr w:rsidR="00B91F7E" w:rsidRPr="00A862C6" w:rsidTr="00B91F7E">
        <w:tc>
          <w:tcPr>
            <w:tcW w:w="5000" w:type="pct"/>
          </w:tcPr>
          <w:p w:rsidR="00B91F7E" w:rsidRPr="00A862C6" w:rsidRDefault="00B91F7E" w:rsidP="0040023A">
            <w:pPr>
              <w:ind w:left="-57"/>
              <w:rPr>
                <w:rFonts w:ascii="Arial Narrow" w:hAnsi="Arial Narrow"/>
                <w:i/>
                <w:sz w:val="18"/>
                <w:szCs w:val="18"/>
                <w:lang w:eastAsia="en-AU"/>
              </w:rPr>
            </w:pPr>
            <w:r w:rsidRPr="00A862C6">
              <w:rPr>
                <w:rFonts w:ascii="Arial Narrow" w:hAnsi="Arial Narrow"/>
                <w:i/>
                <w:sz w:val="18"/>
                <w:szCs w:val="18"/>
                <w:lang w:eastAsia="en-AU"/>
              </w:rPr>
              <w:t>Patient must be undergoing continuing PBS treatment with this drug for this PBS-indication, evidenced by at least one completed PBS claim under the ‘Initial treatment’ phase</w:t>
            </w:r>
          </w:p>
        </w:tc>
      </w:tr>
      <w:tr w:rsidR="00B91F7E" w:rsidRPr="00A862C6" w:rsidTr="00B91F7E">
        <w:tc>
          <w:tcPr>
            <w:tcW w:w="5000" w:type="pct"/>
            <w:hideMark/>
          </w:tcPr>
          <w:p w:rsidR="00B91F7E" w:rsidRPr="00A862C6" w:rsidRDefault="00B91F7E" w:rsidP="0040023A">
            <w:pPr>
              <w:ind w:left="-57"/>
              <w:rPr>
                <w:rFonts w:ascii="Arial Narrow" w:hAnsi="Arial Narrow"/>
                <w:i/>
                <w:sz w:val="18"/>
                <w:szCs w:val="18"/>
                <w:lang w:eastAsia="en-AU"/>
              </w:rPr>
            </w:pPr>
            <w:r w:rsidRPr="00A862C6">
              <w:rPr>
                <w:rFonts w:ascii="Arial Narrow" w:hAnsi="Arial Narrow"/>
                <w:b/>
                <w:bCs/>
                <w:i/>
                <w:sz w:val="18"/>
                <w:szCs w:val="18"/>
                <w:lang w:eastAsia="en-AU"/>
              </w:rPr>
              <w:t>AND</w:t>
            </w:r>
          </w:p>
        </w:tc>
      </w:tr>
      <w:tr w:rsidR="00B91F7E" w:rsidRPr="00A862C6" w:rsidTr="00B91F7E">
        <w:tc>
          <w:tcPr>
            <w:tcW w:w="5000" w:type="pct"/>
            <w:hideMark/>
          </w:tcPr>
          <w:p w:rsidR="00B91F7E" w:rsidRPr="00A862C6" w:rsidRDefault="00B91F7E" w:rsidP="0040023A">
            <w:pPr>
              <w:ind w:left="-57"/>
              <w:rPr>
                <w:rFonts w:ascii="Arial Narrow" w:hAnsi="Arial Narrow"/>
                <w:i/>
                <w:sz w:val="18"/>
                <w:szCs w:val="18"/>
                <w:lang w:eastAsia="en-AU"/>
              </w:rPr>
            </w:pPr>
            <w:r w:rsidRPr="00A862C6">
              <w:rPr>
                <w:rFonts w:ascii="Arial Narrow" w:hAnsi="Arial Narrow"/>
                <w:b/>
                <w:bCs/>
                <w:i/>
                <w:sz w:val="18"/>
                <w:szCs w:val="18"/>
                <w:lang w:eastAsia="en-AU"/>
              </w:rPr>
              <w:t>Treatment criteria:</w:t>
            </w:r>
          </w:p>
        </w:tc>
      </w:tr>
      <w:tr w:rsidR="00B91F7E" w:rsidRPr="00A862C6" w:rsidTr="00B91F7E">
        <w:tc>
          <w:tcPr>
            <w:tcW w:w="5000" w:type="pct"/>
          </w:tcPr>
          <w:p w:rsidR="00B91F7E" w:rsidRPr="00A862C6" w:rsidRDefault="00B91F7E" w:rsidP="0040023A">
            <w:pPr>
              <w:ind w:left="-57"/>
              <w:rPr>
                <w:rFonts w:ascii="Arial Narrow" w:hAnsi="Arial Narrow"/>
                <w:sz w:val="18"/>
                <w:szCs w:val="18"/>
                <w:lang w:eastAsia="en-AU"/>
              </w:rPr>
            </w:pPr>
            <w:r w:rsidRPr="00A862C6">
              <w:rPr>
                <w:rFonts w:ascii="Arial Narrow" w:hAnsi="Arial Narrow"/>
                <w:bCs/>
                <w:i/>
                <w:sz w:val="18"/>
                <w:szCs w:val="18"/>
                <w:lang w:eastAsia="en-AU"/>
              </w:rPr>
              <w:t>Patient must be undergoing treatment with this drug as the sole PBS-subsidised therapy for this PBS indication</w:t>
            </w:r>
          </w:p>
        </w:tc>
      </w:tr>
      <w:tr w:rsidR="00B91F7E" w:rsidRPr="00A862C6" w:rsidTr="00B91F7E">
        <w:trPr>
          <w:trHeight w:val="423"/>
        </w:trPr>
        <w:tc>
          <w:tcPr>
            <w:tcW w:w="5000" w:type="pct"/>
          </w:tcPr>
          <w:p w:rsidR="00B91F7E" w:rsidRPr="00A862C6" w:rsidRDefault="00B91F7E" w:rsidP="0040023A">
            <w:pPr>
              <w:ind w:left="-57"/>
              <w:rPr>
                <w:rFonts w:ascii="Arial Narrow" w:hAnsi="Arial Narrow"/>
                <w:b/>
                <w:bCs/>
                <w:i/>
                <w:sz w:val="18"/>
                <w:szCs w:val="18"/>
                <w:lang w:eastAsia="en-AU"/>
              </w:rPr>
            </w:pPr>
            <w:r w:rsidRPr="00A862C6">
              <w:rPr>
                <w:rFonts w:ascii="Arial Narrow" w:hAnsi="Arial Narrow"/>
                <w:b/>
                <w:bCs/>
                <w:i/>
                <w:sz w:val="18"/>
                <w:szCs w:val="18"/>
                <w:lang w:eastAsia="en-AU"/>
              </w:rPr>
              <w:t xml:space="preserve">Administrative Advice: </w:t>
            </w:r>
            <w:r w:rsidRPr="00A862C6">
              <w:rPr>
                <w:rFonts w:ascii="Arial Narrow" w:hAnsi="Arial Narrow"/>
                <w:bCs/>
                <w:i/>
                <w:sz w:val="18"/>
                <w:szCs w:val="18"/>
                <w:lang w:eastAsia="en-AU"/>
              </w:rPr>
              <w:t xml:space="preserve">Up to 23 repeats may be sought if dosing at 240 mg every 2 weeks. Where an increase is sought, the benefit is no longer a Streamlined benefit. Seek approval prior to issuing the prescription. </w:t>
            </w:r>
          </w:p>
        </w:tc>
      </w:tr>
    </w:tbl>
    <w:p w:rsidR="00954B90" w:rsidRPr="00A862C6" w:rsidRDefault="00954B90" w:rsidP="00954B90">
      <w:pPr>
        <w:widowControl/>
      </w:pPr>
    </w:p>
    <w:p w:rsidR="00285CB1" w:rsidRPr="00A862C6" w:rsidRDefault="00A862C6" w:rsidP="00DD46F0">
      <w:pPr>
        <w:pStyle w:val="ListParagraph"/>
        <w:widowControl/>
        <w:numPr>
          <w:ilvl w:val="1"/>
          <w:numId w:val="2"/>
        </w:numPr>
      </w:pPr>
      <w:r>
        <w:t>The sponsor proposed a</w:t>
      </w:r>
      <w:r w:rsidRPr="00A862C6">
        <w:t xml:space="preserve"> </w:t>
      </w:r>
      <w:r>
        <w:t>S</w:t>
      </w:r>
      <w:r w:rsidRPr="00A862C6">
        <w:t xml:space="preserve">pecial </w:t>
      </w:r>
      <w:r>
        <w:t>P</w:t>
      </w:r>
      <w:r w:rsidRPr="00A862C6">
        <w:t xml:space="preserve">ricing </w:t>
      </w:r>
      <w:r>
        <w:t>A</w:t>
      </w:r>
      <w:r w:rsidRPr="00A862C6">
        <w:t xml:space="preserve">rrangement </w:t>
      </w:r>
      <w:r w:rsidR="00285CB1" w:rsidRPr="00A862C6">
        <w:t>(SPA).</w:t>
      </w:r>
    </w:p>
    <w:p w:rsidR="00285CB1" w:rsidRPr="00A862C6" w:rsidRDefault="00285CB1" w:rsidP="00DD46F0">
      <w:pPr>
        <w:pStyle w:val="ListParagraph"/>
        <w:widowControl/>
        <w:numPr>
          <w:ilvl w:val="1"/>
          <w:numId w:val="2"/>
        </w:numPr>
        <w:rPr>
          <w:iCs/>
        </w:rPr>
      </w:pPr>
      <w:r w:rsidRPr="00A862C6">
        <w:t>The proposed PBS listing d</w:t>
      </w:r>
      <w:r w:rsidR="001E6AF1" w:rsidRPr="00A862C6">
        <w:t>id</w:t>
      </w:r>
      <w:r w:rsidRPr="00A862C6">
        <w:t xml:space="preserve"> not restrict use to </w:t>
      </w:r>
      <w:r w:rsidR="00A862C6">
        <w:t xml:space="preserve">only </w:t>
      </w:r>
      <w:r w:rsidRPr="00A862C6">
        <w:t xml:space="preserve">second line (2L) (the target population described in the submission). Patients who have previously failed treatment with </w:t>
      </w:r>
      <w:r w:rsidR="006116DD" w:rsidRPr="00A862C6">
        <w:t>FP</w:t>
      </w:r>
      <w:r w:rsidRPr="00A862C6">
        <w:t xml:space="preserve">-based chemotherapy treatment regimen, and then failed </w:t>
      </w:r>
      <w:r w:rsidR="001E6AF1" w:rsidRPr="00A862C6">
        <w:t xml:space="preserve">2L </w:t>
      </w:r>
      <w:r w:rsidRPr="00A862C6">
        <w:t xml:space="preserve">taxane or irinotecan monotherapy (the proposed comparator), would still be eligible for treatment with nivolumab under the </w:t>
      </w:r>
      <w:r w:rsidR="00ED4926" w:rsidRPr="00A862C6">
        <w:t xml:space="preserve">proposed </w:t>
      </w:r>
      <w:r w:rsidRPr="00A862C6">
        <w:t>restriction</w:t>
      </w:r>
      <w:r w:rsidR="001E6AF1" w:rsidRPr="00A862C6">
        <w:t>.</w:t>
      </w:r>
      <w:r w:rsidR="00A73784" w:rsidRPr="00A862C6">
        <w:t xml:space="preserve"> </w:t>
      </w:r>
    </w:p>
    <w:p w:rsidR="003F41D9" w:rsidRPr="00A862C6" w:rsidRDefault="00555854" w:rsidP="00DD46F0">
      <w:pPr>
        <w:pStyle w:val="ListParagraph"/>
        <w:widowControl/>
        <w:numPr>
          <w:ilvl w:val="1"/>
          <w:numId w:val="2"/>
        </w:numPr>
        <w:rPr>
          <w:iCs/>
        </w:rPr>
      </w:pPr>
      <w:r w:rsidRPr="00A862C6">
        <w:rPr>
          <w:iCs/>
        </w:rPr>
        <w:t xml:space="preserve">The </w:t>
      </w:r>
      <w:r w:rsidR="00A6746B">
        <w:t>Pre-Sub-Committee Response</w:t>
      </w:r>
      <w:r w:rsidR="00D400B6" w:rsidRPr="00A862C6">
        <w:rPr>
          <w:iCs/>
        </w:rPr>
        <w:t xml:space="preserve"> (PSCR</w:t>
      </w:r>
      <w:r w:rsidR="007A0388" w:rsidRPr="00A862C6">
        <w:rPr>
          <w:iCs/>
        </w:rPr>
        <w:t>)</w:t>
      </w:r>
      <w:r w:rsidR="00DC72CF" w:rsidRPr="00A862C6">
        <w:rPr>
          <w:iCs/>
        </w:rPr>
        <w:t xml:space="preserve"> stated</w:t>
      </w:r>
      <w:r w:rsidR="007A0388" w:rsidRPr="00A862C6">
        <w:rPr>
          <w:iCs/>
        </w:rPr>
        <w:t xml:space="preserve"> that the requested PBS restriction is consistent with the circumstances of use in ATTRACTION-3 </w:t>
      </w:r>
      <w:r w:rsidR="00A862C6" w:rsidRPr="00A862C6">
        <w:rPr>
          <w:iCs/>
        </w:rPr>
        <w:t xml:space="preserve">the pivotal </w:t>
      </w:r>
      <w:r w:rsidR="007A0388" w:rsidRPr="00A862C6">
        <w:rPr>
          <w:iCs/>
        </w:rPr>
        <w:t>clinical trial, with patient eligibility based on disease stage (advanced or metastatic) and response to prior therapy (refractory or intolerant to one previous FP chemotherapy).</w:t>
      </w:r>
      <w:r w:rsidR="00293B97" w:rsidRPr="00A862C6">
        <w:rPr>
          <w:iCs/>
        </w:rPr>
        <w:t xml:space="preserve"> The </w:t>
      </w:r>
      <w:r w:rsidR="00DC72CF" w:rsidRPr="00A862C6">
        <w:rPr>
          <w:iCs/>
        </w:rPr>
        <w:t>PSCR</w:t>
      </w:r>
      <w:r w:rsidR="004B2A23" w:rsidRPr="00A862C6">
        <w:rPr>
          <w:iCs/>
        </w:rPr>
        <w:t xml:space="preserve"> stated </w:t>
      </w:r>
      <w:r w:rsidR="00AB1528" w:rsidRPr="00A862C6">
        <w:rPr>
          <w:iCs/>
        </w:rPr>
        <w:t>that approximately 32-34% of patients enrolled in the ATTRACTION-3 trial had received more than one prior line of therapy at baseline</w:t>
      </w:r>
      <w:r w:rsidR="00293B97" w:rsidRPr="00A862C6">
        <w:rPr>
          <w:iCs/>
        </w:rPr>
        <w:t>.</w:t>
      </w:r>
      <w:r w:rsidR="007A0388" w:rsidRPr="00A862C6">
        <w:rPr>
          <w:iCs/>
        </w:rPr>
        <w:t xml:space="preserve"> The</w:t>
      </w:r>
      <w:r w:rsidR="00021DB3" w:rsidRPr="00A862C6">
        <w:rPr>
          <w:iCs/>
        </w:rPr>
        <w:t xml:space="preserve"> PBAC agreed with the</w:t>
      </w:r>
      <w:r w:rsidR="007A0388" w:rsidRPr="00A862C6">
        <w:rPr>
          <w:iCs/>
        </w:rPr>
        <w:t xml:space="preserve"> ESC that </w:t>
      </w:r>
      <w:r w:rsidR="00062ED9" w:rsidRPr="00A862C6">
        <w:rPr>
          <w:iCs/>
        </w:rPr>
        <w:t>most of the</w:t>
      </w:r>
      <w:r w:rsidR="007A0388" w:rsidRPr="00A862C6">
        <w:rPr>
          <w:iCs/>
        </w:rPr>
        <w:t xml:space="preserve"> use would be in the 2L setting and that the requested listing was reasonable. The </w:t>
      </w:r>
      <w:r w:rsidR="00021DB3" w:rsidRPr="00A862C6">
        <w:rPr>
          <w:iCs/>
        </w:rPr>
        <w:t xml:space="preserve">PBAC and the </w:t>
      </w:r>
      <w:r w:rsidR="007A0388" w:rsidRPr="00A862C6">
        <w:rPr>
          <w:iCs/>
        </w:rPr>
        <w:t>ESC acknowledged that few 3L patients would satisfy the</w:t>
      </w:r>
      <w:r w:rsidR="00EC4B99" w:rsidRPr="00A862C6">
        <w:rPr>
          <w:iCs/>
        </w:rPr>
        <w:t xml:space="preserve"> criterion of</w:t>
      </w:r>
      <w:r w:rsidR="007A0388" w:rsidRPr="00A862C6">
        <w:rPr>
          <w:iCs/>
        </w:rPr>
        <w:t xml:space="preserve"> WHO PS </w:t>
      </w:r>
      <w:r w:rsidR="00EC4B99" w:rsidRPr="00A862C6">
        <w:rPr>
          <w:iCs/>
        </w:rPr>
        <w:t>0 or 1, and that clinicians will be unlikely to use 2L single agent chemotherapy</w:t>
      </w:r>
      <w:r w:rsidR="006D5F4C" w:rsidRPr="006D5F4C">
        <w:rPr>
          <w:iCs/>
        </w:rPr>
        <w:t xml:space="preserve"> </w:t>
      </w:r>
      <w:r w:rsidR="006D5F4C" w:rsidRPr="00A862C6">
        <w:rPr>
          <w:iCs/>
        </w:rPr>
        <w:t>if nivolumab is available</w:t>
      </w:r>
      <w:r w:rsidR="00EC4B99" w:rsidRPr="00A862C6">
        <w:rPr>
          <w:iCs/>
        </w:rPr>
        <w:t>.</w:t>
      </w:r>
      <w:r w:rsidR="0040023A" w:rsidRPr="00A862C6">
        <w:rPr>
          <w:iCs/>
        </w:rPr>
        <w:t xml:space="preserve"> </w:t>
      </w:r>
    </w:p>
    <w:p w:rsidR="00ED4926" w:rsidRPr="00A862C6" w:rsidRDefault="00ED4926" w:rsidP="00DD46F0">
      <w:pPr>
        <w:pStyle w:val="ListParagraph"/>
        <w:widowControl/>
        <w:numPr>
          <w:ilvl w:val="1"/>
          <w:numId w:val="2"/>
        </w:numPr>
        <w:rPr>
          <w:iCs/>
        </w:rPr>
      </w:pPr>
      <w:r w:rsidRPr="00A862C6">
        <w:rPr>
          <w:iCs/>
        </w:rPr>
        <w:t>The Product Information stated that the dosing in this condition is either 240 mg administered every 2 weeks</w:t>
      </w:r>
      <w:r w:rsidR="00151D83">
        <w:rPr>
          <w:iCs/>
        </w:rPr>
        <w:t xml:space="preserve"> </w:t>
      </w:r>
      <w:r w:rsidRPr="00A862C6">
        <w:rPr>
          <w:iCs/>
        </w:rPr>
        <w:t>or</w:t>
      </w:r>
      <w:r w:rsidR="00151D83">
        <w:rPr>
          <w:iCs/>
        </w:rPr>
        <w:t xml:space="preserve"> </w:t>
      </w:r>
      <w:r w:rsidRPr="00A862C6">
        <w:rPr>
          <w:iCs/>
        </w:rPr>
        <w:t xml:space="preserve">480 mg administered every 4 weeks. The requested maximum amount of 480 mg would facilitate either dosing regimen, </w:t>
      </w:r>
      <w:r w:rsidR="00A51E18">
        <w:rPr>
          <w:iCs/>
        </w:rPr>
        <w:t>h</w:t>
      </w:r>
      <w:r w:rsidRPr="00A862C6">
        <w:rPr>
          <w:iCs/>
        </w:rPr>
        <w:t xml:space="preserve">owever, the requested number of repeats is intended for 4-weekly dosing </w:t>
      </w:r>
      <w:r w:rsidR="00151D83">
        <w:rPr>
          <w:iCs/>
        </w:rPr>
        <w:t>and</w:t>
      </w:r>
      <w:r w:rsidRPr="00A862C6">
        <w:rPr>
          <w:iCs/>
        </w:rPr>
        <w:t xml:space="preserve"> a patient receiving 240 mg every 2 weeks would utilise repeat prescriptions more frequently than a patient being administered the drug every 4 weeks</w:t>
      </w:r>
      <w:r w:rsidR="00A862C6">
        <w:rPr>
          <w:iCs/>
        </w:rPr>
        <w:t xml:space="preserve">. </w:t>
      </w:r>
      <w:r w:rsidRPr="00A862C6">
        <w:rPr>
          <w:iCs/>
        </w:rPr>
        <w:t>A separate listing for the 240 mg every 2 weeks dosing regimen was not recommended</w:t>
      </w:r>
      <w:r w:rsidR="00A862C6">
        <w:rPr>
          <w:iCs/>
        </w:rPr>
        <w:t xml:space="preserve">. </w:t>
      </w:r>
      <w:r w:rsidRPr="00A862C6">
        <w:rPr>
          <w:iCs/>
        </w:rPr>
        <w:t>A prescriber dosing their patient at 240 mg every 2 weeks could either write prescriptions more frequently, or, request an increase in repeats from Services Australia.</w:t>
      </w:r>
    </w:p>
    <w:p w:rsidR="0056595C" w:rsidRDefault="0056595C" w:rsidP="00DD46F0">
      <w:pPr>
        <w:pStyle w:val="ListParagraph"/>
        <w:widowControl/>
        <w:numPr>
          <w:ilvl w:val="1"/>
          <w:numId w:val="2"/>
        </w:numPr>
        <w:rPr>
          <w:iCs/>
        </w:rPr>
      </w:pPr>
      <w:r w:rsidRPr="00A862C6">
        <w:rPr>
          <w:iCs/>
        </w:rPr>
        <w:t xml:space="preserve">The Secretariat had suggested that the PBS indication refer to the condition using the fully specified name in SNOMED CT (Systematised Nomenclature of Medicine – Clinical Terms), which is ‘squamous cell carcinoma of </w:t>
      </w:r>
      <w:r w:rsidR="003621C6">
        <w:rPr>
          <w:iCs/>
        </w:rPr>
        <w:t>o</w:t>
      </w:r>
      <w:r w:rsidRPr="00A862C6">
        <w:rPr>
          <w:iCs/>
        </w:rPr>
        <w:t>esophagus’.</w:t>
      </w:r>
    </w:p>
    <w:p w:rsidR="00ED4926" w:rsidRPr="00A862C6" w:rsidRDefault="00ED4926" w:rsidP="00DD46F0">
      <w:pPr>
        <w:pStyle w:val="ListParagraph"/>
        <w:widowControl/>
        <w:numPr>
          <w:ilvl w:val="1"/>
          <w:numId w:val="2"/>
        </w:numPr>
        <w:rPr>
          <w:iCs/>
        </w:rPr>
      </w:pPr>
      <w:r w:rsidRPr="00A862C6">
        <w:rPr>
          <w:iCs/>
        </w:rPr>
        <w:t xml:space="preserve">The submission did not identify any </w:t>
      </w:r>
      <w:r w:rsidR="0056595C" w:rsidRPr="00A862C6">
        <w:rPr>
          <w:iCs/>
        </w:rPr>
        <w:t>trial subjects requiring transitioning to PBS supply arrangements (‘grandfather’ patients).</w:t>
      </w:r>
    </w:p>
    <w:p w:rsidR="007F100A" w:rsidRPr="00A862C6" w:rsidRDefault="007F100A" w:rsidP="007F100A">
      <w:pPr>
        <w:pStyle w:val="ListParagraph"/>
        <w:widowControl/>
        <w:rPr>
          <w:iCs/>
        </w:rPr>
      </w:pPr>
      <w:r w:rsidRPr="00A862C6">
        <w:rPr>
          <w:rFonts w:asciiTheme="minorHAnsi" w:hAnsiTheme="minorHAnsi"/>
          <w:i/>
        </w:rPr>
        <w:t>For more detail on PBAC’s view, see section 7 PBAC outcome.</w:t>
      </w:r>
    </w:p>
    <w:p w:rsidR="00285CB1" w:rsidRPr="00A862C6" w:rsidRDefault="00285CB1" w:rsidP="00285CB1">
      <w:pPr>
        <w:pStyle w:val="PBACHeading1"/>
      </w:pPr>
      <w:bookmarkStart w:id="13" w:name="_Toc72263294"/>
      <w:r w:rsidRPr="00A862C6">
        <w:t>Population and disease</w:t>
      </w:r>
      <w:bookmarkEnd w:id="13"/>
    </w:p>
    <w:p w:rsidR="00285CB1" w:rsidRPr="00A862C6" w:rsidRDefault="00285CB1" w:rsidP="00285CB1"/>
    <w:p w:rsidR="00285CB1" w:rsidRPr="00A862C6" w:rsidRDefault="001E6AF1" w:rsidP="00DD46F0">
      <w:pPr>
        <w:pStyle w:val="ListParagraph"/>
        <w:widowControl/>
        <w:numPr>
          <w:ilvl w:val="1"/>
          <w:numId w:val="2"/>
        </w:numPr>
      </w:pPr>
      <w:r w:rsidRPr="00A862C6">
        <w:t>Oesophageal cancer (</w:t>
      </w:r>
      <w:r w:rsidR="00285CB1" w:rsidRPr="00A862C6">
        <w:t>OC</w:t>
      </w:r>
      <w:r w:rsidRPr="00A862C6">
        <w:t>)</w:t>
      </w:r>
      <w:r w:rsidR="00285CB1" w:rsidRPr="00A862C6">
        <w:t xml:space="preserve"> is estimated as the 19th most commonly diagnosed type of cancer in Australia and the 12th leading cause of cancer death (Australian Institute of Health and Welfare, 2018). It typically occurs in one of two histological forms, OSCC arising predominantly in the middle and lower thirds of the oesophagus, and oesophageal adenocarcinoma (OAC) predominating in the distal oesophagus (Zhang, 2015). The submission estimated that OSCC accounts for 35% of OCs in Australia. The five-year survival rate for distant (metastasised) OC was estimated as 4.9% using the US Surveillance, Epidemiology and End Results (SEER) data. </w:t>
      </w:r>
    </w:p>
    <w:p w:rsidR="00285CB1" w:rsidRPr="00A862C6" w:rsidRDefault="00285CB1" w:rsidP="00DD46F0">
      <w:pPr>
        <w:pStyle w:val="ListParagraph"/>
        <w:widowControl/>
        <w:numPr>
          <w:ilvl w:val="1"/>
          <w:numId w:val="2"/>
        </w:numPr>
      </w:pPr>
      <w:r w:rsidRPr="00A862C6">
        <w:t xml:space="preserve">The target population for this submission is patients with OSCC </w:t>
      </w:r>
      <w:r w:rsidR="00A51E18" w:rsidRPr="00A862C6">
        <w:t>of good performance status (WHO/ECOG 0-1)</w:t>
      </w:r>
      <w:r w:rsidR="00E809A8">
        <w:t xml:space="preserve"> </w:t>
      </w:r>
      <w:r w:rsidRPr="00A862C6">
        <w:t xml:space="preserve">being considered for second line (2L) systemic anticancer treatment following failure of prior </w:t>
      </w:r>
      <w:r w:rsidR="006116DD" w:rsidRPr="00A862C6">
        <w:t>FP</w:t>
      </w:r>
      <w:r w:rsidRPr="00A862C6">
        <w:t xml:space="preserve"> treatment. The submission stated that for eligible patients, nivolumab will substitute for current single agent </w:t>
      </w:r>
      <w:r w:rsidR="00AB1528" w:rsidRPr="00A862C6">
        <w:t>2L</w:t>
      </w:r>
      <w:r w:rsidRPr="00A862C6">
        <w:t xml:space="preserve"> systemic chemotherapy options and may also substitute best supportive care for some patients. </w:t>
      </w:r>
      <w:r w:rsidR="00413AF4" w:rsidRPr="00A862C6">
        <w:t>It was noted that</w:t>
      </w:r>
      <w:r w:rsidR="000366C7" w:rsidRPr="00A862C6">
        <w:t xml:space="preserve"> a number of</w:t>
      </w:r>
      <w:r w:rsidR="00413AF4" w:rsidRPr="00A862C6">
        <w:t xml:space="preserve"> </w:t>
      </w:r>
      <w:r w:rsidR="000366C7" w:rsidRPr="00A862C6">
        <w:t>immunotherapies</w:t>
      </w:r>
      <w:r w:rsidR="00413AF4" w:rsidRPr="00A862C6">
        <w:t xml:space="preserve"> (</w:t>
      </w:r>
      <w:r w:rsidR="00EA3B07" w:rsidRPr="00A862C6">
        <w:t xml:space="preserve">intended </w:t>
      </w:r>
      <w:r w:rsidR="000366C7" w:rsidRPr="00A862C6">
        <w:t>as monotherapy, or in combination with chemotherapy</w:t>
      </w:r>
      <w:r w:rsidR="00413AF4" w:rsidRPr="00A862C6">
        <w:t xml:space="preserve">) </w:t>
      </w:r>
      <w:r w:rsidR="000366C7" w:rsidRPr="00A862C6">
        <w:t xml:space="preserve">are in development for the treatment of </w:t>
      </w:r>
      <w:r w:rsidR="00A62F53" w:rsidRPr="00A862C6">
        <w:t>OC</w:t>
      </w:r>
      <w:r w:rsidR="000366C7" w:rsidRPr="00A862C6">
        <w:t xml:space="preserve"> for various </w:t>
      </w:r>
      <w:r w:rsidR="00EA3B07" w:rsidRPr="00A862C6">
        <w:t xml:space="preserve">treatment </w:t>
      </w:r>
      <w:r w:rsidR="000366C7" w:rsidRPr="00A862C6">
        <w:t>settings</w:t>
      </w:r>
      <w:r w:rsidR="00413AF4" w:rsidRPr="00A862C6">
        <w:rPr>
          <w:rStyle w:val="FootnoteReference"/>
        </w:rPr>
        <w:footnoteReference w:id="2"/>
      </w:r>
      <w:r w:rsidR="00413AF4" w:rsidRPr="00A862C6">
        <w:t xml:space="preserve">. </w:t>
      </w:r>
    </w:p>
    <w:p w:rsidR="00285CB1" w:rsidRPr="00A862C6" w:rsidRDefault="00285CB1" w:rsidP="00285CB1">
      <w:pPr>
        <w:pStyle w:val="PBACHeading1"/>
      </w:pPr>
      <w:bookmarkStart w:id="14" w:name="_Toc72263295"/>
      <w:r w:rsidRPr="00A862C6">
        <w:t>Comparator</w:t>
      </w:r>
      <w:bookmarkEnd w:id="14"/>
    </w:p>
    <w:p w:rsidR="00285CB1" w:rsidRPr="00A862C6" w:rsidRDefault="00285CB1" w:rsidP="00285CB1"/>
    <w:p w:rsidR="00285CB1" w:rsidRPr="00A862C6" w:rsidRDefault="00285CB1" w:rsidP="00DD46F0">
      <w:pPr>
        <w:pStyle w:val="ListParagraph"/>
        <w:widowControl/>
        <w:numPr>
          <w:ilvl w:val="1"/>
          <w:numId w:val="2"/>
        </w:numPr>
        <w:spacing w:after="120"/>
        <w:rPr>
          <w:rFonts w:cs="Calibri"/>
          <w:snapToGrid/>
          <w:szCs w:val="24"/>
          <w:lang w:eastAsia="en-AU"/>
        </w:rPr>
      </w:pPr>
      <w:r w:rsidRPr="00A862C6">
        <w:rPr>
          <w:rFonts w:cs="Calibri"/>
          <w:snapToGrid/>
          <w:szCs w:val="24"/>
          <w:lang w:eastAsia="en-AU"/>
        </w:rPr>
        <w:t xml:space="preserve">The submission nominated single agent chemotherapy (one of paclitaxel, docetaxel or irinotecan) as the main comparator. The nominated comparators </w:t>
      </w:r>
      <w:r w:rsidR="00D44144" w:rsidRPr="00A862C6">
        <w:rPr>
          <w:rFonts w:cs="Calibri"/>
          <w:snapToGrid/>
          <w:szCs w:val="24"/>
          <w:lang w:eastAsia="en-AU"/>
        </w:rPr>
        <w:t>have unrestricted listings on</w:t>
      </w:r>
      <w:r w:rsidRPr="00A862C6">
        <w:rPr>
          <w:rFonts w:cs="Calibri"/>
          <w:snapToGrid/>
          <w:szCs w:val="24"/>
          <w:lang w:eastAsia="en-AU"/>
        </w:rPr>
        <w:t xml:space="preserve"> the PBS</w:t>
      </w:r>
      <w:r w:rsidR="00D44144" w:rsidRPr="00A862C6">
        <w:rPr>
          <w:rFonts w:cs="Calibri"/>
          <w:snapToGrid/>
          <w:szCs w:val="24"/>
          <w:lang w:eastAsia="en-AU"/>
        </w:rPr>
        <w:t xml:space="preserve"> and are not TGA-approved for OSCC</w:t>
      </w:r>
      <w:r w:rsidRPr="00A862C6">
        <w:rPr>
          <w:rFonts w:cs="Calibri"/>
          <w:snapToGrid/>
          <w:szCs w:val="24"/>
          <w:lang w:eastAsia="en-AU"/>
        </w:rPr>
        <w:t xml:space="preserve">. The main arguments provided in support of this nomination were that: </w:t>
      </w:r>
    </w:p>
    <w:p w:rsidR="00285CB1" w:rsidRPr="00A862C6" w:rsidRDefault="00285CB1" w:rsidP="00DD46F0">
      <w:pPr>
        <w:pStyle w:val="ListParagraph"/>
        <w:widowControl/>
        <w:numPr>
          <w:ilvl w:val="0"/>
          <w:numId w:val="1"/>
        </w:numPr>
        <w:spacing w:after="120"/>
        <w:ind w:left="993" w:hanging="284"/>
      </w:pPr>
      <w:r w:rsidRPr="00A862C6">
        <w:t xml:space="preserve">These represent the most commonly prescribed agents in Australian clinical practice for the treatment of 2L OSCC as advised by </w:t>
      </w:r>
      <w:r w:rsidR="000D514E" w:rsidRPr="00A862C6">
        <w:t xml:space="preserve">an </w:t>
      </w:r>
      <w:r w:rsidRPr="00A862C6">
        <w:t>expert advisory board gathered by the sponsor</w:t>
      </w:r>
      <w:r w:rsidR="005179B2" w:rsidRPr="00A862C6">
        <w:t>.</w:t>
      </w:r>
    </w:p>
    <w:p w:rsidR="00285CB1" w:rsidRPr="00A862C6" w:rsidRDefault="00285CB1" w:rsidP="00DD46F0">
      <w:pPr>
        <w:pStyle w:val="ListParagraph"/>
        <w:widowControl/>
        <w:numPr>
          <w:ilvl w:val="0"/>
          <w:numId w:val="1"/>
        </w:numPr>
        <w:spacing w:after="120"/>
        <w:ind w:left="993" w:hanging="284"/>
      </w:pPr>
      <w:r w:rsidRPr="00A862C6">
        <w:t>Use of these chemotherapy agents were consistent with category 1 recommendations in the National Comprehensive Cancer Network (NCCN) clinical practice guidelines (NCCN, 2020) for 2L OSCC; and</w:t>
      </w:r>
    </w:p>
    <w:p w:rsidR="00285CB1" w:rsidRPr="00A862C6" w:rsidRDefault="00285CB1" w:rsidP="00DD46F0">
      <w:pPr>
        <w:pStyle w:val="ListParagraph"/>
        <w:widowControl/>
        <w:numPr>
          <w:ilvl w:val="0"/>
          <w:numId w:val="1"/>
        </w:numPr>
        <w:ind w:left="993" w:hanging="284"/>
      </w:pPr>
      <w:r w:rsidRPr="00A862C6">
        <w:t xml:space="preserve">Taxane monotherapy (i.e. paclitaxel or docetaxel) is indicated for 2L treatment of OC by the European Society for Medical Oncology (ESMO) clinical practice guidelines. </w:t>
      </w:r>
    </w:p>
    <w:p w:rsidR="00285CB1" w:rsidRPr="00A862C6" w:rsidRDefault="00F7313F" w:rsidP="00DD46F0">
      <w:pPr>
        <w:pStyle w:val="ListParagraph"/>
        <w:widowControl/>
        <w:numPr>
          <w:ilvl w:val="1"/>
          <w:numId w:val="2"/>
        </w:numPr>
      </w:pPr>
      <w:bookmarkStart w:id="15" w:name="_Ref71820965"/>
      <w:r w:rsidRPr="00A862C6">
        <w:t xml:space="preserve">Overall, the nomination of single agent chemotherapy as the comparator was appropriate. </w:t>
      </w:r>
      <w:r w:rsidR="00285CB1" w:rsidRPr="00A862C6">
        <w:t xml:space="preserve">However, though irinotecan was nominated as one of the main comparators, the submission did not present any clinical evidence comparing nivolumab to irinotecan nor include irinotecan in the economic analysis. </w:t>
      </w:r>
      <w:r w:rsidRPr="00A862C6">
        <w:t>Additionally, i</w:t>
      </w:r>
      <w:r w:rsidR="00285CB1" w:rsidRPr="00A862C6">
        <w:t xml:space="preserve">t was noted that though best supportive care was included in the clinical management algorithm as a possible alternative to both </w:t>
      </w:r>
      <w:r w:rsidRPr="00A862C6">
        <w:t xml:space="preserve">2L </w:t>
      </w:r>
      <w:r w:rsidR="00285CB1" w:rsidRPr="00A862C6">
        <w:t>chemotherapy and nivolumab, and the submission substituted best supportive care with nivolumab in their financial estimates, it was not nominated as a comparator in the submission.</w:t>
      </w:r>
      <w:bookmarkEnd w:id="15"/>
      <w:r w:rsidR="00CE6382" w:rsidRPr="00A862C6">
        <w:t xml:space="preserve"> The</w:t>
      </w:r>
      <w:r w:rsidR="000C4369" w:rsidRPr="00A862C6">
        <w:t xml:space="preserve"> PBAC and the</w:t>
      </w:r>
      <w:r w:rsidR="00CE6382" w:rsidRPr="00A862C6">
        <w:t xml:space="preserve"> ESC considered the use of irinotecan in clinical practice would be low</w:t>
      </w:r>
      <w:r w:rsidR="00A862C6">
        <w:t xml:space="preserve">. </w:t>
      </w:r>
    </w:p>
    <w:p w:rsidR="007F100A" w:rsidRPr="00A862C6" w:rsidRDefault="007F100A" w:rsidP="007F100A">
      <w:pPr>
        <w:pStyle w:val="ListParagraph"/>
        <w:widowControl/>
      </w:pPr>
      <w:r w:rsidRPr="00A862C6">
        <w:rPr>
          <w:rFonts w:asciiTheme="minorHAnsi" w:hAnsiTheme="minorHAnsi"/>
          <w:i/>
        </w:rPr>
        <w:t>For more detail on PBAC’s view, see section 7 PBAC outcome.</w:t>
      </w:r>
    </w:p>
    <w:p w:rsidR="00285CB1" w:rsidRPr="00A862C6" w:rsidRDefault="00285CB1" w:rsidP="008650BC">
      <w:pPr>
        <w:pStyle w:val="PBACHeading1"/>
        <w:keepNext/>
        <w:keepLines/>
        <w:spacing w:after="100"/>
      </w:pPr>
      <w:bookmarkStart w:id="16" w:name="_Toc72263296"/>
      <w:r w:rsidRPr="00A862C6">
        <w:t>Consideration of the evidence</w:t>
      </w:r>
      <w:bookmarkEnd w:id="16"/>
    </w:p>
    <w:p w:rsidR="00954A47" w:rsidRPr="00A862C6" w:rsidRDefault="00954A47" w:rsidP="008650BC">
      <w:pPr>
        <w:pStyle w:val="Heading2"/>
        <w:keepNext/>
        <w:keepLines/>
        <w:spacing w:after="100"/>
      </w:pPr>
      <w:r w:rsidRPr="00A862C6">
        <w:t>Sponsor hearing</w:t>
      </w:r>
    </w:p>
    <w:p w:rsidR="00954A47" w:rsidRPr="00A862C6" w:rsidRDefault="005D2F9F" w:rsidP="00DD46F0">
      <w:pPr>
        <w:numPr>
          <w:ilvl w:val="1"/>
          <w:numId w:val="2"/>
        </w:numPr>
        <w:spacing w:after="120"/>
        <w:rPr>
          <w:rFonts w:asciiTheme="minorHAnsi" w:hAnsiTheme="minorHAnsi"/>
          <w:bCs/>
        </w:rPr>
      </w:pPr>
      <w:r w:rsidRPr="00A862C6">
        <w:rPr>
          <w:rFonts w:asciiTheme="minorHAnsi" w:hAnsiTheme="minorHAnsi"/>
          <w:bCs/>
        </w:rPr>
        <w:t>There was no hearing for this item.</w:t>
      </w:r>
    </w:p>
    <w:p w:rsidR="00954A47" w:rsidRPr="00A862C6" w:rsidRDefault="00954A47" w:rsidP="00954A47">
      <w:pPr>
        <w:pStyle w:val="Heading2"/>
        <w:spacing w:after="100"/>
      </w:pPr>
      <w:r w:rsidRPr="00A862C6">
        <w:t>Consumer comments</w:t>
      </w:r>
    </w:p>
    <w:p w:rsidR="004927D0" w:rsidRPr="00A862C6" w:rsidRDefault="004927D0" w:rsidP="00DD46F0">
      <w:pPr>
        <w:numPr>
          <w:ilvl w:val="1"/>
          <w:numId w:val="2"/>
        </w:numPr>
        <w:spacing w:after="120"/>
        <w:rPr>
          <w:rFonts w:asciiTheme="minorHAnsi" w:hAnsiTheme="minorHAnsi"/>
          <w:bCs/>
        </w:rPr>
      </w:pPr>
      <w:r w:rsidRPr="00A862C6">
        <w:rPr>
          <w:rFonts w:asciiTheme="minorHAnsi" w:hAnsiTheme="minorHAnsi"/>
          <w:bCs/>
        </w:rPr>
        <w:t>The PBAC noted and welcomed the input from organisations (3) via the Consumer Comments facility on the PBS website</w:t>
      </w:r>
      <w:r w:rsidR="00A862C6">
        <w:rPr>
          <w:rFonts w:asciiTheme="minorHAnsi" w:hAnsiTheme="minorHAnsi"/>
          <w:bCs/>
        </w:rPr>
        <w:t xml:space="preserve">. </w:t>
      </w:r>
    </w:p>
    <w:p w:rsidR="004927D0" w:rsidRPr="00A862C6" w:rsidRDefault="004927D0" w:rsidP="00DD46F0">
      <w:pPr>
        <w:numPr>
          <w:ilvl w:val="1"/>
          <w:numId w:val="2"/>
        </w:numPr>
        <w:spacing w:after="120"/>
        <w:rPr>
          <w:rFonts w:asciiTheme="minorHAnsi" w:hAnsiTheme="minorHAnsi"/>
          <w:bCs/>
        </w:rPr>
      </w:pPr>
      <w:r w:rsidRPr="00A862C6">
        <w:rPr>
          <w:rFonts w:asciiTheme="minorHAnsi" w:hAnsiTheme="minorHAnsi"/>
          <w:bCs/>
        </w:rPr>
        <w:t xml:space="preserve">The PBAC noted the advice received from </w:t>
      </w:r>
      <w:r w:rsidR="007F7A13" w:rsidRPr="00A862C6">
        <w:rPr>
          <w:rFonts w:asciiTheme="minorHAnsi" w:hAnsiTheme="minorHAnsi"/>
          <w:bCs/>
        </w:rPr>
        <w:t>Rare Cancers Australia and the Pancare Foundation</w:t>
      </w:r>
      <w:r w:rsidRPr="00A862C6">
        <w:rPr>
          <w:rFonts w:asciiTheme="minorHAnsi" w:hAnsiTheme="minorHAnsi"/>
          <w:bCs/>
        </w:rPr>
        <w:t xml:space="preserve"> clarifying the likely use of </w:t>
      </w:r>
      <w:r w:rsidR="007F7A13" w:rsidRPr="00A862C6">
        <w:rPr>
          <w:rFonts w:asciiTheme="minorHAnsi" w:hAnsiTheme="minorHAnsi"/>
          <w:bCs/>
        </w:rPr>
        <w:t>nivolumab in 2L OSCC in clinical practice. Rare Cancers Australia</w:t>
      </w:r>
      <w:r w:rsidR="00CC4D8F" w:rsidRPr="00A862C6">
        <w:rPr>
          <w:rFonts w:asciiTheme="minorHAnsi" w:hAnsiTheme="minorHAnsi"/>
          <w:bCs/>
        </w:rPr>
        <w:t xml:space="preserve"> </w:t>
      </w:r>
      <w:r w:rsidR="000437F5">
        <w:rPr>
          <w:rFonts w:asciiTheme="minorHAnsi" w:hAnsiTheme="minorHAnsi"/>
          <w:bCs/>
        </w:rPr>
        <w:t>stated that</w:t>
      </w:r>
      <w:r w:rsidR="000437F5" w:rsidRPr="00A862C6">
        <w:rPr>
          <w:rFonts w:asciiTheme="minorHAnsi" w:hAnsiTheme="minorHAnsi"/>
          <w:bCs/>
        </w:rPr>
        <w:t xml:space="preserve"> patients treated with nivolumab compared with chemotherapy in the 2L setting </w:t>
      </w:r>
      <w:r w:rsidR="000437F5">
        <w:rPr>
          <w:rFonts w:asciiTheme="minorHAnsi" w:hAnsiTheme="minorHAnsi"/>
          <w:bCs/>
        </w:rPr>
        <w:t>experienced</w:t>
      </w:r>
      <w:r w:rsidR="000437F5" w:rsidRPr="00A862C6">
        <w:rPr>
          <w:rFonts w:asciiTheme="minorHAnsi" w:hAnsiTheme="minorHAnsi"/>
          <w:bCs/>
        </w:rPr>
        <w:t xml:space="preserve"> </w:t>
      </w:r>
      <w:r w:rsidR="00CC4D8F" w:rsidRPr="00A862C6">
        <w:rPr>
          <w:rFonts w:asciiTheme="minorHAnsi" w:hAnsiTheme="minorHAnsi"/>
          <w:bCs/>
        </w:rPr>
        <w:t xml:space="preserve">significantly better overall survival </w:t>
      </w:r>
      <w:r w:rsidR="00E809A8">
        <w:rPr>
          <w:rFonts w:asciiTheme="minorHAnsi" w:hAnsiTheme="minorHAnsi"/>
          <w:bCs/>
        </w:rPr>
        <w:t xml:space="preserve">and </w:t>
      </w:r>
      <w:r w:rsidR="00CC4D8F" w:rsidRPr="00A862C6">
        <w:rPr>
          <w:rFonts w:asciiTheme="minorHAnsi" w:hAnsiTheme="minorHAnsi"/>
          <w:bCs/>
        </w:rPr>
        <w:t>improved quality of life. The Pancare Foundation</w:t>
      </w:r>
      <w:r w:rsidR="007E3207" w:rsidRPr="00A862C6">
        <w:rPr>
          <w:rFonts w:asciiTheme="minorHAnsi" w:hAnsiTheme="minorHAnsi"/>
          <w:bCs/>
        </w:rPr>
        <w:t xml:space="preserve"> similarly emphasised improved survival and tolerance with nivolumab </w:t>
      </w:r>
      <w:r w:rsidR="00FF6E06" w:rsidRPr="00A862C6">
        <w:rPr>
          <w:rFonts w:asciiTheme="minorHAnsi" w:hAnsiTheme="minorHAnsi"/>
          <w:bCs/>
        </w:rPr>
        <w:t>treatment</w:t>
      </w:r>
      <w:r w:rsidR="00FF6E06">
        <w:rPr>
          <w:rFonts w:asciiTheme="minorHAnsi" w:hAnsiTheme="minorHAnsi"/>
          <w:bCs/>
        </w:rPr>
        <w:t xml:space="preserve"> and</w:t>
      </w:r>
      <w:r w:rsidR="007E3207" w:rsidRPr="00A862C6">
        <w:rPr>
          <w:rFonts w:asciiTheme="minorHAnsi" w:hAnsiTheme="minorHAnsi"/>
          <w:bCs/>
        </w:rPr>
        <w:t xml:space="preserve"> commented that</w:t>
      </w:r>
      <w:r w:rsidR="00CC4D8F" w:rsidRPr="00A862C6">
        <w:rPr>
          <w:rFonts w:asciiTheme="minorHAnsi" w:hAnsiTheme="minorHAnsi"/>
          <w:bCs/>
        </w:rPr>
        <w:t xml:space="preserve"> the poor survival rate </w:t>
      </w:r>
      <w:r w:rsidR="000437F5">
        <w:rPr>
          <w:rFonts w:asciiTheme="minorHAnsi" w:hAnsiTheme="minorHAnsi"/>
          <w:bCs/>
        </w:rPr>
        <w:t xml:space="preserve">and concern regarding chemotherapy side effects </w:t>
      </w:r>
      <w:r w:rsidR="007E3207" w:rsidRPr="00A862C6">
        <w:rPr>
          <w:rFonts w:asciiTheme="minorHAnsi" w:hAnsiTheme="minorHAnsi"/>
          <w:bCs/>
        </w:rPr>
        <w:t xml:space="preserve">urgently mandates </w:t>
      </w:r>
      <w:r w:rsidR="00CC4D8F" w:rsidRPr="00A862C6">
        <w:rPr>
          <w:rFonts w:asciiTheme="minorHAnsi" w:hAnsiTheme="minorHAnsi"/>
          <w:bCs/>
        </w:rPr>
        <w:t xml:space="preserve">more effective </w:t>
      </w:r>
      <w:r w:rsidR="000437F5">
        <w:rPr>
          <w:rFonts w:asciiTheme="minorHAnsi" w:hAnsiTheme="minorHAnsi"/>
          <w:bCs/>
        </w:rPr>
        <w:t xml:space="preserve">and tolerable </w:t>
      </w:r>
      <w:r w:rsidR="007E3207" w:rsidRPr="00A862C6">
        <w:rPr>
          <w:rFonts w:asciiTheme="minorHAnsi" w:hAnsiTheme="minorHAnsi"/>
          <w:bCs/>
        </w:rPr>
        <w:t>treatment options</w:t>
      </w:r>
      <w:r w:rsidR="00CC4D8F" w:rsidRPr="00A862C6">
        <w:rPr>
          <w:rFonts w:asciiTheme="minorHAnsi" w:hAnsiTheme="minorHAnsi"/>
          <w:bCs/>
        </w:rPr>
        <w:t xml:space="preserve">. </w:t>
      </w:r>
      <w:r w:rsidRPr="00A862C6">
        <w:rPr>
          <w:rFonts w:asciiTheme="minorHAnsi" w:hAnsiTheme="minorHAnsi"/>
          <w:bCs/>
        </w:rPr>
        <w:t xml:space="preserve">The </w:t>
      </w:r>
      <w:r w:rsidR="00CC4D8F" w:rsidRPr="00A862C6">
        <w:rPr>
          <w:rFonts w:asciiTheme="minorHAnsi" w:hAnsiTheme="minorHAnsi"/>
          <w:bCs/>
        </w:rPr>
        <w:t>PBAC noted that this advice was</w:t>
      </w:r>
      <w:r w:rsidRPr="00A862C6">
        <w:rPr>
          <w:rFonts w:asciiTheme="minorHAnsi" w:hAnsiTheme="minorHAnsi"/>
          <w:bCs/>
        </w:rPr>
        <w:t xml:space="preserve"> supportive of the evide</w:t>
      </w:r>
      <w:r w:rsidR="007F7A13" w:rsidRPr="00A862C6">
        <w:rPr>
          <w:rFonts w:asciiTheme="minorHAnsi" w:hAnsiTheme="minorHAnsi"/>
          <w:bCs/>
        </w:rPr>
        <w:t>nce provided in the submission.</w:t>
      </w:r>
    </w:p>
    <w:p w:rsidR="00954A47" w:rsidRPr="00A862C6" w:rsidRDefault="004927D0" w:rsidP="00DD46F0">
      <w:pPr>
        <w:numPr>
          <w:ilvl w:val="1"/>
          <w:numId w:val="2"/>
        </w:numPr>
        <w:spacing w:after="120"/>
        <w:rPr>
          <w:rFonts w:asciiTheme="minorHAnsi" w:hAnsiTheme="minorHAnsi"/>
          <w:bCs/>
        </w:rPr>
      </w:pPr>
      <w:r w:rsidRPr="00A862C6">
        <w:rPr>
          <w:rFonts w:asciiTheme="minorHAnsi" w:hAnsiTheme="minorHAnsi"/>
          <w:bCs/>
        </w:rPr>
        <w:t>The Medical Oncology Group of Australia (MOGA) also expressed its strong support for the nivolumab in 2L OSCC submission, categorising it as one of the therapies of “highest priority for PBS listing” on the basis of the ATTRACTION-3 trial. The PBAC noted that the MOGA presented a European Society for Medical Oncology Magnitude of Clinical Benefit Scale (ESMO-MCBS) for nivolumab in 2L OSCC, which was limited to 4 (out of a maximum of 5, where 5 and 4 represent the grades with substantial improvement)</w:t>
      </w:r>
      <w:r w:rsidRPr="00A862C6">
        <w:rPr>
          <w:rStyle w:val="FootnoteReference"/>
          <w:rFonts w:asciiTheme="minorHAnsi" w:hAnsiTheme="minorHAnsi"/>
          <w:bCs/>
        </w:rPr>
        <w:footnoteReference w:id="3"/>
      </w:r>
      <w:r w:rsidRPr="00A862C6">
        <w:rPr>
          <w:rFonts w:asciiTheme="minorHAnsi" w:hAnsiTheme="minorHAnsi"/>
          <w:bCs/>
        </w:rPr>
        <w:t>, based on a comparison with taxane therapy.</w:t>
      </w:r>
    </w:p>
    <w:p w:rsidR="00285CB1" w:rsidRPr="00A862C6" w:rsidRDefault="00285CB1" w:rsidP="00CD549E">
      <w:pPr>
        <w:pStyle w:val="Heading2"/>
        <w:keepNext/>
        <w:keepLines/>
        <w:spacing w:after="100"/>
      </w:pPr>
      <w:bookmarkStart w:id="17" w:name="_Toc72263297"/>
      <w:r w:rsidRPr="00A862C6">
        <w:t>Clinical trials</w:t>
      </w:r>
      <w:bookmarkEnd w:id="17"/>
    </w:p>
    <w:p w:rsidR="00285CB1" w:rsidRPr="00A862C6" w:rsidRDefault="00285CB1" w:rsidP="00DD46F0">
      <w:pPr>
        <w:pStyle w:val="ListParagraph"/>
        <w:keepNext/>
        <w:keepLines/>
        <w:widowControl/>
        <w:numPr>
          <w:ilvl w:val="1"/>
          <w:numId w:val="2"/>
        </w:numPr>
      </w:pPr>
      <w:r w:rsidRPr="00A862C6">
        <w:t>The submission was based on one head-to-head trial, ATTRACTION-3 (N=419) comparing nivolumab (N=210) to IC (N=208) of docetaxel or paclitaxel</w:t>
      </w:r>
      <w:r w:rsidR="00F7313F" w:rsidRPr="00A862C6">
        <w:t xml:space="preserve">, in patients with OSCC refractory or intolerant to combination therapy with </w:t>
      </w:r>
      <w:r w:rsidR="006116DD" w:rsidRPr="00A862C6">
        <w:t>FP</w:t>
      </w:r>
      <w:r w:rsidR="00293B97" w:rsidRPr="00A862C6">
        <w:t>-</w:t>
      </w:r>
      <w:r w:rsidR="00F7313F" w:rsidRPr="00A862C6">
        <w:t>based therapy</w:t>
      </w:r>
      <w:r w:rsidRPr="00A862C6">
        <w:t xml:space="preserve">. </w:t>
      </w:r>
    </w:p>
    <w:p w:rsidR="00285CB1" w:rsidRPr="00A862C6" w:rsidRDefault="00285CB1" w:rsidP="00DD46F0">
      <w:pPr>
        <w:pStyle w:val="ListParagraph"/>
        <w:widowControl/>
        <w:numPr>
          <w:ilvl w:val="1"/>
          <w:numId w:val="2"/>
        </w:numPr>
      </w:pPr>
      <w:r w:rsidRPr="00A862C6">
        <w:rPr>
          <w:rFonts w:cs="Calibri"/>
          <w:snapToGrid/>
          <w:szCs w:val="24"/>
          <w:lang w:eastAsia="en-AU"/>
        </w:rPr>
        <w:t xml:space="preserve">Details of the trial presented in the submission are provided in </w:t>
      </w:r>
      <w:r w:rsidR="00F71DE4" w:rsidRPr="00F71DE4">
        <w:rPr>
          <w:rFonts w:cs="Calibri"/>
          <w:snapToGrid/>
          <w:szCs w:val="24"/>
          <w:lang w:eastAsia="en-AU"/>
        </w:rPr>
        <w:t>Table 2</w:t>
      </w:r>
      <w:r w:rsidRPr="00A862C6">
        <w:rPr>
          <w:rFonts w:cs="Calibri"/>
          <w:snapToGrid/>
          <w:szCs w:val="24"/>
          <w:lang w:eastAsia="en-AU"/>
        </w:rPr>
        <w:t>.</w:t>
      </w:r>
    </w:p>
    <w:p w:rsidR="00285CB1" w:rsidRPr="00A862C6" w:rsidRDefault="00285CB1" w:rsidP="00E11499">
      <w:pPr>
        <w:keepNext/>
        <w:keepLines/>
        <w:rPr>
          <w:rStyle w:val="CommentReference"/>
        </w:rPr>
      </w:pPr>
      <w:bookmarkStart w:id="18" w:name="_Ref70378844"/>
      <w:r w:rsidRPr="00A862C6">
        <w:rPr>
          <w:rStyle w:val="CommentReference"/>
        </w:rPr>
        <w:t xml:space="preserve">Table </w:t>
      </w:r>
      <w:r w:rsidR="00F71DE4">
        <w:rPr>
          <w:rStyle w:val="CommentReference"/>
          <w:noProof/>
        </w:rPr>
        <w:t>2</w:t>
      </w:r>
      <w:bookmarkEnd w:id="18"/>
      <w:r w:rsidRPr="00A862C6">
        <w:rPr>
          <w:rStyle w:val="CommentReference"/>
        </w:rPr>
        <w:t>: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285CB1" w:rsidRPr="00A862C6" w:rsidTr="00054F76">
        <w:trPr>
          <w:tblHeader/>
        </w:trPr>
        <w:tc>
          <w:tcPr>
            <w:tcW w:w="796" w:type="pct"/>
            <w:vAlign w:val="center"/>
          </w:tcPr>
          <w:p w:rsidR="00285CB1" w:rsidRPr="00A862C6" w:rsidRDefault="00285CB1" w:rsidP="00E11499">
            <w:pPr>
              <w:pStyle w:val="Tabletext"/>
              <w:keepNext/>
              <w:keepLines/>
              <w:rPr>
                <w:b/>
              </w:rPr>
            </w:pPr>
            <w:r w:rsidRPr="00A862C6">
              <w:rPr>
                <w:b/>
              </w:rPr>
              <w:t>Trial ID</w:t>
            </w:r>
          </w:p>
        </w:tc>
        <w:tc>
          <w:tcPr>
            <w:tcW w:w="3027" w:type="pct"/>
            <w:tcBorders>
              <w:bottom w:val="single" w:sz="4" w:space="0" w:color="auto"/>
            </w:tcBorders>
            <w:vAlign w:val="center"/>
          </w:tcPr>
          <w:p w:rsidR="00285CB1" w:rsidRPr="00A862C6" w:rsidRDefault="00285CB1" w:rsidP="00E11499">
            <w:pPr>
              <w:pStyle w:val="Tabletext"/>
              <w:keepNext/>
              <w:keepLines/>
              <w:jc w:val="center"/>
              <w:rPr>
                <w:b/>
              </w:rPr>
            </w:pPr>
            <w:r w:rsidRPr="00A862C6">
              <w:rPr>
                <w:b/>
              </w:rPr>
              <w:t>Protocol title/ Publication title</w:t>
            </w:r>
          </w:p>
        </w:tc>
        <w:tc>
          <w:tcPr>
            <w:tcW w:w="1177" w:type="pct"/>
            <w:tcBorders>
              <w:bottom w:val="single" w:sz="4" w:space="0" w:color="auto"/>
            </w:tcBorders>
            <w:vAlign w:val="center"/>
          </w:tcPr>
          <w:p w:rsidR="00285CB1" w:rsidRPr="00A862C6" w:rsidRDefault="00285CB1" w:rsidP="00E11499">
            <w:pPr>
              <w:pStyle w:val="Tabletext"/>
              <w:keepNext/>
              <w:keepLines/>
              <w:jc w:val="center"/>
              <w:rPr>
                <w:b/>
              </w:rPr>
            </w:pPr>
            <w:r w:rsidRPr="00A862C6">
              <w:rPr>
                <w:b/>
              </w:rPr>
              <w:t>Publication citation</w:t>
            </w:r>
          </w:p>
        </w:tc>
      </w:tr>
      <w:tr w:rsidR="00285CB1" w:rsidRPr="00A862C6" w:rsidTr="00054F76">
        <w:tc>
          <w:tcPr>
            <w:tcW w:w="796" w:type="pct"/>
            <w:vMerge w:val="restart"/>
            <w:vAlign w:val="center"/>
          </w:tcPr>
          <w:p w:rsidR="00285CB1" w:rsidRPr="00A862C6" w:rsidRDefault="00285CB1" w:rsidP="00E11499">
            <w:pPr>
              <w:pStyle w:val="Tabletext"/>
              <w:keepNext/>
              <w:keepLines/>
            </w:pPr>
            <w:r w:rsidRPr="00A862C6">
              <w:t xml:space="preserve">ATTRACTION-3 </w:t>
            </w:r>
          </w:p>
          <w:p w:rsidR="00285CB1" w:rsidRPr="00A862C6" w:rsidRDefault="00285CB1" w:rsidP="00E11499">
            <w:pPr>
              <w:pStyle w:val="Tabletext"/>
              <w:keepNext/>
              <w:keepLines/>
              <w:rPr>
                <w:rFonts w:ascii="Times" w:hAnsi="Times"/>
              </w:rPr>
            </w:pPr>
            <w:r w:rsidRPr="00A862C6">
              <w:t>(CA209-473, ONO-4538)</w:t>
            </w:r>
          </w:p>
        </w:tc>
        <w:tc>
          <w:tcPr>
            <w:tcW w:w="3027" w:type="pct"/>
            <w:tcBorders>
              <w:bottom w:val="nil"/>
            </w:tcBorders>
          </w:tcPr>
          <w:p w:rsidR="00285CB1" w:rsidRPr="00A862C6" w:rsidRDefault="00285CB1" w:rsidP="00E11499">
            <w:pPr>
              <w:pStyle w:val="Tabletext"/>
              <w:keepNext/>
              <w:keepLines/>
              <w:rPr>
                <w:szCs w:val="18"/>
              </w:rPr>
            </w:pPr>
            <w:r w:rsidRPr="00A862C6">
              <w:rPr>
                <w:szCs w:val="18"/>
              </w:rPr>
              <w:t xml:space="preserve">Pelosof, L et al. Benefit-risk summary of nivolumab for the treatment of patients with unresectable, advanced, recurrent or metastatic esophageal squamous cell carcinoma after prior fluoropyrimidine- and platinum-based chemotherapy. </w:t>
            </w:r>
          </w:p>
          <w:p w:rsidR="00F73A5F" w:rsidRPr="00A862C6" w:rsidRDefault="00F73A5F" w:rsidP="00E11499">
            <w:pPr>
              <w:pStyle w:val="Tabletext"/>
              <w:keepNext/>
              <w:keepLines/>
              <w:rPr>
                <w:szCs w:val="18"/>
              </w:rPr>
            </w:pPr>
          </w:p>
        </w:tc>
        <w:tc>
          <w:tcPr>
            <w:tcW w:w="1177" w:type="pct"/>
            <w:tcBorders>
              <w:bottom w:val="nil"/>
            </w:tcBorders>
          </w:tcPr>
          <w:p w:rsidR="00285CB1" w:rsidRPr="00A862C6" w:rsidRDefault="00285CB1" w:rsidP="00E11499">
            <w:pPr>
              <w:pStyle w:val="Tabletext"/>
              <w:keepNext/>
              <w:keepLines/>
            </w:pPr>
            <w:r w:rsidRPr="00A862C6">
              <w:rPr>
                <w:i/>
              </w:rPr>
              <w:t>The Oncologist</w:t>
            </w:r>
            <w:r w:rsidRPr="00A862C6">
              <w:t xml:space="preserve"> 2021; 25: 1-7.</w:t>
            </w:r>
          </w:p>
        </w:tc>
      </w:tr>
      <w:tr w:rsidR="00285CB1" w:rsidRPr="00A862C6" w:rsidTr="00054F76">
        <w:tc>
          <w:tcPr>
            <w:tcW w:w="796" w:type="pct"/>
            <w:vMerge/>
            <w:vAlign w:val="center"/>
          </w:tcPr>
          <w:p w:rsidR="00285CB1" w:rsidRPr="00A862C6" w:rsidRDefault="00285CB1" w:rsidP="00E11499">
            <w:pPr>
              <w:pStyle w:val="Tabletext"/>
              <w:keepNext/>
              <w:keepLines/>
              <w:rPr>
                <w:rFonts w:ascii="Times" w:hAnsi="Times"/>
              </w:rPr>
            </w:pPr>
          </w:p>
        </w:tc>
        <w:tc>
          <w:tcPr>
            <w:tcW w:w="3027" w:type="pct"/>
            <w:tcBorders>
              <w:top w:val="nil"/>
              <w:bottom w:val="nil"/>
            </w:tcBorders>
          </w:tcPr>
          <w:p w:rsidR="00285CB1" w:rsidRPr="00A862C6" w:rsidRDefault="00285CB1" w:rsidP="00E11499">
            <w:pPr>
              <w:pStyle w:val="Tabletext"/>
              <w:keepNext/>
              <w:keepLines/>
              <w:rPr>
                <w:szCs w:val="18"/>
              </w:rPr>
            </w:pPr>
            <w:r w:rsidRPr="00A862C6">
              <w:rPr>
                <w:szCs w:val="18"/>
              </w:rPr>
              <w:t>Thuss-Patience, P et al. Nivolumab versus chemotherapy in advanced esophageal squamous cell carcinoma (AESCC): The phase 3 attraction-2 study.</w:t>
            </w:r>
          </w:p>
          <w:p w:rsidR="00F73A5F" w:rsidRPr="00A862C6" w:rsidRDefault="00F73A5F" w:rsidP="00E11499">
            <w:pPr>
              <w:pStyle w:val="Tabletext"/>
              <w:keepNext/>
              <w:keepLines/>
              <w:rPr>
                <w:szCs w:val="18"/>
              </w:rPr>
            </w:pPr>
          </w:p>
        </w:tc>
        <w:tc>
          <w:tcPr>
            <w:tcW w:w="1177" w:type="pct"/>
            <w:tcBorders>
              <w:top w:val="nil"/>
              <w:bottom w:val="nil"/>
            </w:tcBorders>
          </w:tcPr>
          <w:p w:rsidR="00285CB1" w:rsidRPr="00A862C6" w:rsidRDefault="00285CB1" w:rsidP="00E11499">
            <w:pPr>
              <w:pStyle w:val="Tabletext"/>
              <w:keepNext/>
              <w:keepLines/>
              <w:rPr>
                <w:rFonts w:ascii="Times" w:hAnsi="Times"/>
              </w:rPr>
            </w:pPr>
            <w:r w:rsidRPr="00A862C6">
              <w:rPr>
                <w:i/>
              </w:rPr>
              <w:t>Oncol Research and Treatment</w:t>
            </w:r>
            <w:r w:rsidRPr="00A862C6">
              <w:rPr>
                <w:szCs w:val="18"/>
              </w:rPr>
              <w:t xml:space="preserve"> 2020; 43: S1-67</w:t>
            </w:r>
            <w:r w:rsidR="00A862C6">
              <w:rPr>
                <w:szCs w:val="18"/>
              </w:rPr>
              <w:t xml:space="preserve">. </w:t>
            </w:r>
          </w:p>
        </w:tc>
      </w:tr>
      <w:tr w:rsidR="00285CB1" w:rsidRPr="00A862C6" w:rsidTr="00054F76">
        <w:tc>
          <w:tcPr>
            <w:tcW w:w="796" w:type="pct"/>
            <w:vMerge/>
            <w:vAlign w:val="center"/>
          </w:tcPr>
          <w:p w:rsidR="00285CB1" w:rsidRPr="00A862C6" w:rsidRDefault="00285CB1" w:rsidP="00E11499">
            <w:pPr>
              <w:pStyle w:val="Tabletext"/>
              <w:keepNext/>
              <w:keepLines/>
            </w:pPr>
          </w:p>
        </w:tc>
        <w:tc>
          <w:tcPr>
            <w:tcW w:w="3027" w:type="pct"/>
            <w:tcBorders>
              <w:top w:val="nil"/>
              <w:bottom w:val="nil"/>
            </w:tcBorders>
          </w:tcPr>
          <w:p w:rsidR="00285CB1" w:rsidRPr="00A862C6" w:rsidRDefault="00285CB1" w:rsidP="00E11499">
            <w:pPr>
              <w:pStyle w:val="Tabletext"/>
              <w:keepNext/>
              <w:keepLines/>
            </w:pPr>
            <w:r w:rsidRPr="00A862C6">
              <w:t>Takahashi, M et al. Nivolumab versus chemotherapy in Japanese patients with advanced esophageal squamous cell carcinoma: a subgroup analysis of a multicentre, randomized, open-label, phase 3 trial (ATTRACTION-3).</w:t>
            </w:r>
          </w:p>
          <w:p w:rsidR="00F73A5F" w:rsidRPr="00A862C6" w:rsidRDefault="00F73A5F" w:rsidP="00E11499">
            <w:pPr>
              <w:pStyle w:val="Tabletext"/>
              <w:keepNext/>
              <w:keepLines/>
              <w:rPr>
                <w:szCs w:val="18"/>
                <w:lang w:eastAsia="en-AU"/>
              </w:rPr>
            </w:pPr>
          </w:p>
        </w:tc>
        <w:tc>
          <w:tcPr>
            <w:tcW w:w="1177" w:type="pct"/>
            <w:tcBorders>
              <w:top w:val="nil"/>
              <w:bottom w:val="nil"/>
            </w:tcBorders>
          </w:tcPr>
          <w:p w:rsidR="00285CB1" w:rsidRPr="00A862C6" w:rsidRDefault="00285CB1" w:rsidP="00E11499">
            <w:pPr>
              <w:pStyle w:val="Tabletext"/>
              <w:keepNext/>
              <w:keepLines/>
              <w:rPr>
                <w:szCs w:val="18"/>
                <w:lang w:eastAsia="en-AU"/>
              </w:rPr>
            </w:pPr>
            <w:r w:rsidRPr="00A862C6">
              <w:rPr>
                <w:i/>
              </w:rPr>
              <w:t>Esophagus</w:t>
            </w:r>
            <w:r w:rsidRPr="00A862C6">
              <w:t xml:space="preserve"> 2021; 18: 90-99.</w:t>
            </w:r>
          </w:p>
        </w:tc>
      </w:tr>
      <w:tr w:rsidR="00285CB1" w:rsidRPr="00A862C6" w:rsidTr="00054F76">
        <w:tc>
          <w:tcPr>
            <w:tcW w:w="796" w:type="pct"/>
            <w:vMerge/>
            <w:vAlign w:val="center"/>
          </w:tcPr>
          <w:p w:rsidR="00285CB1" w:rsidRPr="00A862C6" w:rsidRDefault="00285CB1" w:rsidP="00E11499">
            <w:pPr>
              <w:pStyle w:val="Tabletext"/>
              <w:keepNext/>
              <w:keepLines/>
            </w:pPr>
          </w:p>
        </w:tc>
        <w:tc>
          <w:tcPr>
            <w:tcW w:w="3027" w:type="pct"/>
            <w:tcBorders>
              <w:top w:val="nil"/>
              <w:bottom w:val="nil"/>
            </w:tcBorders>
          </w:tcPr>
          <w:p w:rsidR="00285CB1" w:rsidRPr="00A862C6" w:rsidRDefault="00285CB1" w:rsidP="00E11499">
            <w:pPr>
              <w:pStyle w:val="Tabletext"/>
              <w:keepNext/>
              <w:keepLines/>
            </w:pPr>
            <w:r w:rsidRPr="00A862C6">
              <w:t>Kato, K et al. Nivolumab versus chemotherapy in patients with advanced oesophageal squamous cell carcinoma refractory or intolerant to previous chemotherapy (ATTRACTION-3): a multicentre, randomised, open-label, phase 3 trial.</w:t>
            </w:r>
          </w:p>
          <w:p w:rsidR="00F73A5F" w:rsidRPr="00A862C6" w:rsidRDefault="00F73A5F" w:rsidP="00E11499">
            <w:pPr>
              <w:pStyle w:val="Tabletext"/>
              <w:keepNext/>
              <w:keepLines/>
              <w:rPr>
                <w:szCs w:val="18"/>
                <w:lang w:eastAsia="en-AU"/>
              </w:rPr>
            </w:pPr>
          </w:p>
        </w:tc>
        <w:tc>
          <w:tcPr>
            <w:tcW w:w="1177" w:type="pct"/>
            <w:tcBorders>
              <w:top w:val="nil"/>
              <w:bottom w:val="nil"/>
            </w:tcBorders>
          </w:tcPr>
          <w:p w:rsidR="00285CB1" w:rsidRPr="00A862C6" w:rsidRDefault="00285CB1" w:rsidP="00E11499">
            <w:pPr>
              <w:pStyle w:val="Tabletext"/>
              <w:keepNext/>
              <w:keepLines/>
              <w:rPr>
                <w:i/>
                <w:szCs w:val="18"/>
                <w:lang w:eastAsia="en-AU"/>
              </w:rPr>
            </w:pPr>
            <w:r w:rsidRPr="00A862C6">
              <w:rPr>
                <w:i/>
              </w:rPr>
              <w:t>Lancet Oncol</w:t>
            </w:r>
            <w:r w:rsidRPr="00A862C6">
              <w:t xml:space="preserve"> 2019; 20 (11): 1506-1517.</w:t>
            </w:r>
          </w:p>
        </w:tc>
      </w:tr>
      <w:tr w:rsidR="00285CB1" w:rsidRPr="00A862C6" w:rsidTr="00054F76">
        <w:tc>
          <w:tcPr>
            <w:tcW w:w="796" w:type="pct"/>
            <w:vMerge/>
            <w:vAlign w:val="center"/>
          </w:tcPr>
          <w:p w:rsidR="00285CB1" w:rsidRPr="00A862C6" w:rsidRDefault="00285CB1" w:rsidP="00E11499">
            <w:pPr>
              <w:pStyle w:val="Tabletext"/>
              <w:keepNext/>
              <w:keepLines/>
            </w:pPr>
          </w:p>
        </w:tc>
        <w:tc>
          <w:tcPr>
            <w:tcW w:w="3027" w:type="pct"/>
            <w:tcBorders>
              <w:top w:val="nil"/>
              <w:bottom w:val="nil"/>
            </w:tcBorders>
          </w:tcPr>
          <w:p w:rsidR="00285CB1" w:rsidRPr="00A862C6" w:rsidRDefault="00285CB1" w:rsidP="00E11499">
            <w:pPr>
              <w:pStyle w:val="Tabletext"/>
              <w:keepNext/>
              <w:keepLines/>
            </w:pPr>
            <w:r w:rsidRPr="00A862C6">
              <w:t>Cho, BC et al. Nivolumab versus chemotherapy in advanced esophageal squamous cell carcinoma (ESCC): The phase III ATTRACTION-3 study.</w:t>
            </w:r>
          </w:p>
          <w:p w:rsidR="00F73A5F" w:rsidRPr="00A862C6" w:rsidRDefault="00F73A5F" w:rsidP="00E11499">
            <w:pPr>
              <w:pStyle w:val="Tabletext"/>
              <w:keepNext/>
              <w:keepLines/>
              <w:rPr>
                <w:szCs w:val="18"/>
                <w:lang w:eastAsia="en-AU"/>
              </w:rPr>
            </w:pPr>
          </w:p>
        </w:tc>
        <w:tc>
          <w:tcPr>
            <w:tcW w:w="1177" w:type="pct"/>
            <w:tcBorders>
              <w:top w:val="nil"/>
              <w:bottom w:val="nil"/>
            </w:tcBorders>
          </w:tcPr>
          <w:p w:rsidR="00285CB1" w:rsidRPr="00A862C6" w:rsidRDefault="00285CB1" w:rsidP="00E11499">
            <w:pPr>
              <w:pStyle w:val="Tabletext"/>
              <w:keepNext/>
              <w:keepLines/>
              <w:rPr>
                <w:i/>
                <w:szCs w:val="18"/>
                <w:lang w:eastAsia="en-AU"/>
              </w:rPr>
            </w:pPr>
            <w:r w:rsidRPr="00A862C6">
              <w:rPr>
                <w:i/>
              </w:rPr>
              <w:t>Ann of Oncol</w:t>
            </w:r>
            <w:r w:rsidRPr="00A862C6">
              <w:t xml:space="preserve"> 2019; 30: S5 (v873-874).</w:t>
            </w:r>
          </w:p>
        </w:tc>
      </w:tr>
      <w:tr w:rsidR="00285CB1" w:rsidRPr="00A862C6" w:rsidTr="00054F76">
        <w:tc>
          <w:tcPr>
            <w:tcW w:w="796" w:type="pct"/>
            <w:vMerge/>
            <w:vAlign w:val="center"/>
          </w:tcPr>
          <w:p w:rsidR="00285CB1" w:rsidRPr="00A862C6" w:rsidRDefault="00285CB1" w:rsidP="00E11499">
            <w:pPr>
              <w:pStyle w:val="Tabletext"/>
              <w:keepNext/>
              <w:keepLines/>
            </w:pPr>
          </w:p>
        </w:tc>
        <w:tc>
          <w:tcPr>
            <w:tcW w:w="3027" w:type="pct"/>
            <w:tcBorders>
              <w:top w:val="nil"/>
              <w:bottom w:val="nil"/>
            </w:tcBorders>
          </w:tcPr>
          <w:p w:rsidR="00285CB1" w:rsidRPr="00A862C6" w:rsidRDefault="00285CB1" w:rsidP="00E11499">
            <w:pPr>
              <w:pStyle w:val="Tabletext"/>
              <w:keepNext/>
              <w:keepLines/>
            </w:pPr>
            <w:r w:rsidRPr="00A862C6">
              <w:t>Chin K, Kate, K, Byoung CC et al. Three-year followup of ATTRACTION-3:  A phase 3 study of nivolumab in patients with advanced esophageal squamous cell carcinoma that is refractory or intolerant to previous chemotherapy.</w:t>
            </w:r>
          </w:p>
          <w:p w:rsidR="00F73A5F" w:rsidRPr="00A862C6" w:rsidRDefault="00F73A5F" w:rsidP="00E11499">
            <w:pPr>
              <w:pStyle w:val="Tabletext"/>
              <w:keepNext/>
              <w:keepLines/>
              <w:rPr>
                <w:szCs w:val="18"/>
                <w:lang w:eastAsia="en-AU"/>
              </w:rPr>
            </w:pPr>
          </w:p>
        </w:tc>
        <w:tc>
          <w:tcPr>
            <w:tcW w:w="1177" w:type="pct"/>
            <w:tcBorders>
              <w:top w:val="nil"/>
              <w:bottom w:val="nil"/>
            </w:tcBorders>
          </w:tcPr>
          <w:p w:rsidR="00285CB1" w:rsidRPr="00A862C6" w:rsidRDefault="00285CB1" w:rsidP="00E11499">
            <w:pPr>
              <w:pStyle w:val="Tabletext"/>
              <w:keepNext/>
              <w:keepLines/>
              <w:rPr>
                <w:i/>
                <w:szCs w:val="18"/>
                <w:lang w:eastAsia="en-AU"/>
              </w:rPr>
            </w:pPr>
            <w:r w:rsidRPr="00A862C6">
              <w:t>Presented at ASCO Gastrointestinal Cancers Symposium January 2021, poster 204</w:t>
            </w:r>
            <w:r w:rsidR="00A862C6">
              <w:t xml:space="preserve">. </w:t>
            </w:r>
          </w:p>
        </w:tc>
      </w:tr>
      <w:tr w:rsidR="00285CB1" w:rsidRPr="00A862C6" w:rsidTr="00054F76">
        <w:tc>
          <w:tcPr>
            <w:tcW w:w="796" w:type="pct"/>
            <w:vMerge/>
            <w:vAlign w:val="center"/>
          </w:tcPr>
          <w:p w:rsidR="00285CB1" w:rsidRPr="00A862C6" w:rsidRDefault="00285CB1" w:rsidP="00E11499">
            <w:pPr>
              <w:pStyle w:val="Tabletext"/>
              <w:keepNext/>
              <w:keepLines/>
              <w:rPr>
                <w:rFonts w:ascii="Times" w:hAnsi="Times"/>
              </w:rPr>
            </w:pPr>
          </w:p>
        </w:tc>
        <w:tc>
          <w:tcPr>
            <w:tcW w:w="3027" w:type="pct"/>
            <w:tcBorders>
              <w:top w:val="nil"/>
              <w:bottom w:val="nil"/>
            </w:tcBorders>
          </w:tcPr>
          <w:p w:rsidR="00F73A5F" w:rsidRPr="00A862C6" w:rsidRDefault="00285CB1" w:rsidP="00E11499">
            <w:pPr>
              <w:pStyle w:val="Tabletext"/>
              <w:keepNext/>
              <w:keepLines/>
            </w:pPr>
            <w:r w:rsidRPr="00A862C6">
              <w:t>ATTRACTION-3 Clinical Study Report: A multicentre, randomized, open-label study in patients with esophageal cancer refractory or intolerant to combination therapy with fluoropyrimidine- and platinum-based drugs.</w:t>
            </w:r>
          </w:p>
          <w:p w:rsidR="00285CB1" w:rsidRPr="00A862C6" w:rsidRDefault="00285CB1" w:rsidP="00E11499">
            <w:pPr>
              <w:pStyle w:val="Tabletext"/>
              <w:keepNext/>
              <w:keepLines/>
              <w:rPr>
                <w:szCs w:val="18"/>
              </w:rPr>
            </w:pPr>
            <w:r w:rsidRPr="00A862C6">
              <w:t xml:space="preserve"> </w:t>
            </w:r>
          </w:p>
        </w:tc>
        <w:tc>
          <w:tcPr>
            <w:tcW w:w="1177" w:type="pct"/>
            <w:tcBorders>
              <w:top w:val="nil"/>
              <w:bottom w:val="nil"/>
            </w:tcBorders>
          </w:tcPr>
          <w:p w:rsidR="00285CB1" w:rsidRPr="00A862C6" w:rsidRDefault="00285CB1" w:rsidP="00E11499">
            <w:pPr>
              <w:pStyle w:val="Tabletext"/>
              <w:keepNext/>
              <w:keepLines/>
            </w:pPr>
            <w:r w:rsidRPr="00A862C6">
              <w:t>CSR Dated 12 March 2019 (Full ITT analysis).</w:t>
            </w:r>
          </w:p>
        </w:tc>
      </w:tr>
      <w:tr w:rsidR="00285CB1" w:rsidRPr="00A862C6" w:rsidTr="00054F76">
        <w:tc>
          <w:tcPr>
            <w:tcW w:w="796" w:type="pct"/>
            <w:vMerge/>
            <w:vAlign w:val="center"/>
          </w:tcPr>
          <w:p w:rsidR="00285CB1" w:rsidRPr="00A862C6" w:rsidRDefault="00285CB1" w:rsidP="00E11499">
            <w:pPr>
              <w:pStyle w:val="Tabletext"/>
              <w:keepNext/>
              <w:keepLines/>
              <w:rPr>
                <w:rFonts w:ascii="Times" w:hAnsi="Times"/>
              </w:rPr>
            </w:pPr>
          </w:p>
        </w:tc>
        <w:tc>
          <w:tcPr>
            <w:tcW w:w="3027" w:type="pct"/>
            <w:tcBorders>
              <w:top w:val="nil"/>
              <w:bottom w:val="nil"/>
            </w:tcBorders>
          </w:tcPr>
          <w:p w:rsidR="00285CB1" w:rsidRPr="00A862C6" w:rsidRDefault="00285CB1" w:rsidP="00E11499">
            <w:pPr>
              <w:pStyle w:val="Tabletext"/>
              <w:keepNext/>
              <w:keepLines/>
            </w:pPr>
            <w:r w:rsidRPr="00A862C6">
              <w:t>ATTRACTION-3 Addendum 01 to the Clinical Study Report:  A multicentre, randomized, open-label study in patients with esophageal cancer refractory or intolerant to combination therapy with fluoropyrimidine- and platinum-based drugs</w:t>
            </w:r>
            <w:r w:rsidR="00A862C6">
              <w:t xml:space="preserve">. </w:t>
            </w:r>
          </w:p>
          <w:p w:rsidR="00F73A5F" w:rsidRPr="00A862C6" w:rsidRDefault="00F73A5F" w:rsidP="00E11499">
            <w:pPr>
              <w:pStyle w:val="Tabletext"/>
              <w:keepNext/>
              <w:keepLines/>
              <w:rPr>
                <w:szCs w:val="18"/>
              </w:rPr>
            </w:pPr>
          </w:p>
        </w:tc>
        <w:tc>
          <w:tcPr>
            <w:tcW w:w="1177" w:type="pct"/>
            <w:tcBorders>
              <w:top w:val="nil"/>
              <w:bottom w:val="nil"/>
            </w:tcBorders>
          </w:tcPr>
          <w:p w:rsidR="00285CB1" w:rsidRPr="00A862C6" w:rsidRDefault="00285CB1" w:rsidP="00E11499">
            <w:pPr>
              <w:pStyle w:val="Tabletext"/>
              <w:keepNext/>
              <w:keepLines/>
            </w:pPr>
            <w:r w:rsidRPr="00A862C6">
              <w:t>CSR Dated 25 June 2019 (Modified ITT analysis, excludes non-GCP compliant sites)</w:t>
            </w:r>
          </w:p>
        </w:tc>
      </w:tr>
      <w:tr w:rsidR="00285CB1" w:rsidRPr="00A862C6" w:rsidTr="00054F76">
        <w:tc>
          <w:tcPr>
            <w:tcW w:w="796" w:type="pct"/>
            <w:vMerge/>
            <w:vAlign w:val="center"/>
          </w:tcPr>
          <w:p w:rsidR="00285CB1" w:rsidRPr="00A862C6" w:rsidRDefault="00285CB1" w:rsidP="00E11499">
            <w:pPr>
              <w:pStyle w:val="Tabletext"/>
              <w:keepNext/>
              <w:keepLines/>
              <w:rPr>
                <w:rFonts w:ascii="Times" w:hAnsi="Times"/>
              </w:rPr>
            </w:pPr>
          </w:p>
        </w:tc>
        <w:tc>
          <w:tcPr>
            <w:tcW w:w="3027" w:type="pct"/>
            <w:tcBorders>
              <w:top w:val="nil"/>
              <w:bottom w:val="nil"/>
            </w:tcBorders>
          </w:tcPr>
          <w:p w:rsidR="00285CB1" w:rsidRPr="00A862C6" w:rsidRDefault="00285CB1" w:rsidP="00E11499">
            <w:pPr>
              <w:pStyle w:val="Tabletext"/>
              <w:keepNext/>
              <w:keepLines/>
            </w:pPr>
            <w:r w:rsidRPr="00A862C6">
              <w:t xml:space="preserve">ATTRACTION-3 Early Death Analysis Report </w:t>
            </w:r>
          </w:p>
          <w:p w:rsidR="00F73A5F" w:rsidRPr="00A862C6" w:rsidRDefault="00F73A5F" w:rsidP="00E11499">
            <w:pPr>
              <w:pStyle w:val="Tabletext"/>
              <w:keepNext/>
              <w:keepLines/>
              <w:rPr>
                <w:szCs w:val="18"/>
              </w:rPr>
            </w:pPr>
          </w:p>
        </w:tc>
        <w:tc>
          <w:tcPr>
            <w:tcW w:w="1177" w:type="pct"/>
            <w:tcBorders>
              <w:top w:val="nil"/>
              <w:bottom w:val="nil"/>
            </w:tcBorders>
          </w:tcPr>
          <w:p w:rsidR="00285CB1" w:rsidRPr="00A862C6" w:rsidRDefault="00285CB1" w:rsidP="00E11499">
            <w:pPr>
              <w:pStyle w:val="Tabletext"/>
              <w:keepNext/>
              <w:keepLines/>
            </w:pPr>
            <w:r w:rsidRPr="00A862C6">
              <w:t>Dated 13 Dec 2019</w:t>
            </w:r>
            <w:r w:rsidR="00A862C6">
              <w:t xml:space="preserve">. </w:t>
            </w:r>
          </w:p>
        </w:tc>
      </w:tr>
      <w:tr w:rsidR="00285CB1" w:rsidRPr="00A862C6" w:rsidTr="00054F76">
        <w:tc>
          <w:tcPr>
            <w:tcW w:w="796" w:type="pct"/>
            <w:vMerge/>
            <w:tcBorders>
              <w:bottom w:val="single" w:sz="4" w:space="0" w:color="auto"/>
            </w:tcBorders>
            <w:vAlign w:val="center"/>
          </w:tcPr>
          <w:p w:rsidR="00285CB1" w:rsidRPr="00A862C6" w:rsidRDefault="00285CB1" w:rsidP="00E11499">
            <w:pPr>
              <w:pStyle w:val="Tabletext"/>
              <w:keepNext/>
              <w:keepLines/>
              <w:rPr>
                <w:rFonts w:ascii="Times" w:hAnsi="Times"/>
              </w:rPr>
            </w:pPr>
          </w:p>
        </w:tc>
        <w:tc>
          <w:tcPr>
            <w:tcW w:w="3027" w:type="pct"/>
            <w:tcBorders>
              <w:top w:val="nil"/>
              <w:bottom w:val="single" w:sz="4" w:space="0" w:color="auto"/>
            </w:tcBorders>
          </w:tcPr>
          <w:p w:rsidR="00285CB1" w:rsidRPr="00A862C6" w:rsidRDefault="00285CB1" w:rsidP="00E11499">
            <w:pPr>
              <w:pStyle w:val="Tabletext"/>
              <w:keepNext/>
              <w:keepLines/>
              <w:rPr>
                <w:szCs w:val="18"/>
              </w:rPr>
            </w:pPr>
            <w:r w:rsidRPr="00A862C6">
              <w:t xml:space="preserve">ATTRACTION-3: 3 year update. </w:t>
            </w:r>
          </w:p>
        </w:tc>
        <w:tc>
          <w:tcPr>
            <w:tcW w:w="1177" w:type="pct"/>
            <w:tcBorders>
              <w:top w:val="nil"/>
              <w:bottom w:val="single" w:sz="4" w:space="0" w:color="auto"/>
            </w:tcBorders>
          </w:tcPr>
          <w:p w:rsidR="00285CB1" w:rsidRPr="00A862C6" w:rsidRDefault="00285CB1" w:rsidP="00E11499">
            <w:pPr>
              <w:pStyle w:val="Tabletext"/>
              <w:keepNext/>
              <w:keepLines/>
            </w:pPr>
            <w:r w:rsidRPr="00A862C6">
              <w:t>Dated January 2021</w:t>
            </w:r>
            <w:r w:rsidR="00A862C6">
              <w:t xml:space="preserve">. </w:t>
            </w:r>
            <w:r w:rsidRPr="00A862C6">
              <w:t>(selected updates for ITT population only)</w:t>
            </w:r>
          </w:p>
        </w:tc>
      </w:tr>
    </w:tbl>
    <w:p w:rsidR="00285CB1" w:rsidRPr="00A862C6" w:rsidRDefault="00285CB1" w:rsidP="00E11499">
      <w:pPr>
        <w:pStyle w:val="TableFooter"/>
        <w:keepNext/>
        <w:keepLines/>
      </w:pPr>
      <w:r w:rsidRPr="00A862C6">
        <w:t>Source: Table14, p33 of the submission.</w:t>
      </w:r>
    </w:p>
    <w:p w:rsidR="00CC3164" w:rsidRPr="00A862C6" w:rsidRDefault="00CC3164" w:rsidP="00E11499">
      <w:pPr>
        <w:pStyle w:val="TableFooter"/>
        <w:keepNext/>
        <w:keepLines/>
        <w:rPr>
          <w:sz w:val="20"/>
        </w:rPr>
      </w:pPr>
      <w:r w:rsidRPr="00A862C6">
        <w:t>ASCO = American Society of Clinical Oncology; CSR = clinical study report; GCP = Good Clinical Practice; ITT = intention-to-treat.</w:t>
      </w:r>
    </w:p>
    <w:p w:rsidR="00285CB1" w:rsidRPr="00A862C6" w:rsidRDefault="00285CB1" w:rsidP="00285CB1">
      <w:pPr>
        <w:widowControl/>
      </w:pPr>
    </w:p>
    <w:p w:rsidR="00285CB1" w:rsidRPr="00A862C6" w:rsidRDefault="00285CB1" w:rsidP="00DD46F0">
      <w:pPr>
        <w:pStyle w:val="ListParagraph"/>
        <w:widowControl/>
        <w:numPr>
          <w:ilvl w:val="1"/>
          <w:numId w:val="2"/>
        </w:numPr>
      </w:pPr>
      <w:r w:rsidRPr="00A862C6">
        <w:t xml:space="preserve">The key features of the direct randomised trial are summarised in </w:t>
      </w:r>
      <w:r w:rsidR="00F71DE4" w:rsidRPr="00F71DE4">
        <w:t>Table 3</w:t>
      </w:r>
      <w:r w:rsidRPr="00A862C6">
        <w:t>. Overall, there was a low</w:t>
      </w:r>
      <w:r w:rsidR="00E11499" w:rsidRPr="00A862C6">
        <w:t xml:space="preserve"> to </w:t>
      </w:r>
      <w:r w:rsidRPr="00A862C6">
        <w:t xml:space="preserve">moderate risk of bias in the ATTRACTION-3 trial. Although the primary outcome of overall survival (OS) was objective, the open label design may have influenced key secondary outcomes </w:t>
      </w:r>
      <w:r w:rsidR="000437F5">
        <w:t xml:space="preserve">of </w:t>
      </w:r>
      <w:r w:rsidRPr="00A862C6">
        <w:t>objective response rate (ORR)</w:t>
      </w:r>
      <w:r w:rsidR="000437F5">
        <w:t>,</w:t>
      </w:r>
      <w:r w:rsidRPr="00A862C6">
        <w:t xml:space="preserve"> progression-free survival (PFS) and quality of life. </w:t>
      </w:r>
    </w:p>
    <w:p w:rsidR="00285CB1" w:rsidRPr="00A862C6" w:rsidRDefault="00285CB1" w:rsidP="00E11499">
      <w:pPr>
        <w:keepNext/>
        <w:keepLines/>
        <w:rPr>
          <w:rStyle w:val="CommentReference"/>
        </w:rPr>
      </w:pPr>
      <w:bookmarkStart w:id="19" w:name="_Ref70378881"/>
      <w:r w:rsidRPr="00A862C6">
        <w:rPr>
          <w:rStyle w:val="CommentReference"/>
        </w:rPr>
        <w:t xml:space="preserve">Table </w:t>
      </w:r>
      <w:r w:rsidR="00F71DE4">
        <w:rPr>
          <w:rStyle w:val="CommentReference"/>
          <w:noProof/>
        </w:rPr>
        <w:t>3</w:t>
      </w:r>
      <w:bookmarkEnd w:id="19"/>
      <w:r w:rsidRPr="00A862C6">
        <w:rPr>
          <w:rStyle w:val="CommentReference"/>
        </w:rPr>
        <w:t>: Key features of the included evidence</w:t>
      </w:r>
    </w:p>
    <w:tbl>
      <w:tblPr>
        <w:tblStyle w:val="TableGrid"/>
        <w:tblW w:w="0" w:type="auto"/>
        <w:tblLayout w:type="fixed"/>
        <w:tblCellMar>
          <w:left w:w="28" w:type="dxa"/>
          <w:right w:w="28" w:type="dxa"/>
        </w:tblCellMar>
        <w:tblLook w:val="04A0" w:firstRow="1" w:lastRow="0" w:firstColumn="1" w:lastColumn="0" w:noHBand="0" w:noVBand="1"/>
        <w:tblCaption w:val="Table 3: Key features of the included evidence"/>
      </w:tblPr>
      <w:tblGrid>
        <w:gridCol w:w="1271"/>
        <w:gridCol w:w="709"/>
        <w:gridCol w:w="4678"/>
        <w:gridCol w:w="1275"/>
        <w:gridCol w:w="1084"/>
      </w:tblGrid>
      <w:tr w:rsidR="00285CB1" w:rsidRPr="00A862C6" w:rsidTr="007C2C3E">
        <w:trPr>
          <w:tblHeader/>
        </w:trPr>
        <w:tc>
          <w:tcPr>
            <w:tcW w:w="1271" w:type="dxa"/>
            <w:tcBorders>
              <w:top w:val="single" w:sz="4" w:space="0" w:color="auto"/>
              <w:left w:val="single" w:sz="4" w:space="0" w:color="auto"/>
              <w:bottom w:val="single" w:sz="4" w:space="0" w:color="auto"/>
              <w:right w:val="single" w:sz="4" w:space="0" w:color="auto"/>
            </w:tcBorders>
            <w:hideMark/>
          </w:tcPr>
          <w:p w:rsidR="00285CB1" w:rsidRPr="00A862C6" w:rsidRDefault="00285CB1" w:rsidP="00E11499">
            <w:pPr>
              <w:keepNext/>
              <w:keepLines/>
              <w:jc w:val="left"/>
              <w:rPr>
                <w:rFonts w:ascii="Arial Narrow" w:hAnsi="Arial Narrow"/>
                <w:snapToGrid/>
                <w:sz w:val="20"/>
                <w:szCs w:val="18"/>
              </w:rPr>
            </w:pPr>
            <w:r w:rsidRPr="00A862C6">
              <w:rPr>
                <w:rFonts w:ascii="Arial Narrow" w:hAnsi="Arial Narrow"/>
                <w:b/>
                <w:sz w:val="20"/>
                <w:szCs w:val="18"/>
              </w:rPr>
              <w:t>Trial, N</w:t>
            </w:r>
          </w:p>
        </w:tc>
        <w:tc>
          <w:tcPr>
            <w:tcW w:w="709" w:type="dxa"/>
            <w:tcBorders>
              <w:top w:val="single" w:sz="4" w:space="0" w:color="auto"/>
              <w:left w:val="single" w:sz="4" w:space="0" w:color="auto"/>
              <w:bottom w:val="single" w:sz="4" w:space="0" w:color="auto"/>
              <w:right w:val="single" w:sz="4" w:space="0" w:color="auto"/>
            </w:tcBorders>
            <w:vAlign w:val="center"/>
            <w:hideMark/>
          </w:tcPr>
          <w:p w:rsidR="00285CB1" w:rsidRPr="00A862C6" w:rsidRDefault="00285CB1" w:rsidP="00E11499">
            <w:pPr>
              <w:keepNext/>
              <w:keepLines/>
              <w:rPr>
                <w:rFonts w:ascii="Arial Narrow" w:hAnsi="Arial Narrow"/>
                <w:sz w:val="20"/>
                <w:szCs w:val="18"/>
              </w:rPr>
            </w:pPr>
            <w:r w:rsidRPr="00A862C6">
              <w:rPr>
                <w:rFonts w:ascii="Arial Narrow" w:hAnsi="Arial Narrow"/>
                <w:b/>
                <w:sz w:val="20"/>
                <w:szCs w:val="18"/>
              </w:rPr>
              <w:t xml:space="preserve">Trial Design </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5CB1" w:rsidRPr="00A862C6" w:rsidRDefault="00285CB1" w:rsidP="00E11499">
            <w:pPr>
              <w:keepNext/>
              <w:keepLines/>
              <w:rPr>
                <w:rFonts w:ascii="Arial Narrow" w:hAnsi="Arial Narrow"/>
                <w:sz w:val="20"/>
                <w:szCs w:val="18"/>
              </w:rPr>
            </w:pPr>
            <w:r w:rsidRPr="00A862C6">
              <w:rPr>
                <w:rFonts w:ascii="Arial Narrow" w:hAnsi="Arial Narrow"/>
                <w:b/>
                <w:sz w:val="20"/>
                <w:szCs w:val="18"/>
              </w:rPr>
              <w:t>Interventions</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5CB1" w:rsidRPr="00A862C6" w:rsidRDefault="00285CB1" w:rsidP="00E11499">
            <w:pPr>
              <w:keepNext/>
              <w:keepLines/>
              <w:rPr>
                <w:rFonts w:ascii="Arial Narrow" w:hAnsi="Arial Narrow"/>
                <w:sz w:val="20"/>
                <w:szCs w:val="18"/>
              </w:rPr>
            </w:pPr>
            <w:r w:rsidRPr="00A862C6">
              <w:rPr>
                <w:rFonts w:ascii="Arial Narrow" w:hAnsi="Arial Narrow"/>
                <w:b/>
                <w:sz w:val="20"/>
                <w:szCs w:val="18"/>
              </w:rPr>
              <w:t>Population</w:t>
            </w:r>
          </w:p>
        </w:tc>
        <w:tc>
          <w:tcPr>
            <w:tcW w:w="1084" w:type="dxa"/>
            <w:tcBorders>
              <w:top w:val="single" w:sz="4" w:space="0" w:color="auto"/>
              <w:left w:val="single" w:sz="4" w:space="0" w:color="auto"/>
              <w:bottom w:val="single" w:sz="4" w:space="0" w:color="auto"/>
              <w:right w:val="single" w:sz="4" w:space="0" w:color="auto"/>
            </w:tcBorders>
            <w:vAlign w:val="center"/>
            <w:hideMark/>
          </w:tcPr>
          <w:p w:rsidR="00285CB1" w:rsidRPr="00A862C6" w:rsidRDefault="00285CB1" w:rsidP="00E11499">
            <w:pPr>
              <w:keepNext/>
              <w:keepLines/>
              <w:rPr>
                <w:rFonts w:ascii="Arial Narrow" w:hAnsi="Arial Narrow"/>
                <w:sz w:val="20"/>
                <w:szCs w:val="18"/>
              </w:rPr>
            </w:pPr>
            <w:r w:rsidRPr="00A862C6">
              <w:rPr>
                <w:rFonts w:ascii="Arial Narrow" w:hAnsi="Arial Narrow"/>
                <w:b/>
                <w:sz w:val="20"/>
                <w:szCs w:val="18"/>
              </w:rPr>
              <w:t>Main Outcomes</w:t>
            </w:r>
          </w:p>
        </w:tc>
      </w:tr>
      <w:tr w:rsidR="00285CB1" w:rsidRPr="00A862C6" w:rsidTr="007C2C3E">
        <w:trPr>
          <w:tblHeader/>
        </w:trPr>
        <w:tc>
          <w:tcPr>
            <w:tcW w:w="1271" w:type="dxa"/>
            <w:tcBorders>
              <w:top w:val="single" w:sz="4" w:space="0" w:color="auto"/>
              <w:left w:val="single" w:sz="4" w:space="0" w:color="auto"/>
              <w:bottom w:val="single" w:sz="4" w:space="0" w:color="auto"/>
              <w:right w:val="single" w:sz="4" w:space="0" w:color="auto"/>
            </w:tcBorders>
          </w:tcPr>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ATTRACTION-3</w:t>
            </w:r>
          </w:p>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 xml:space="preserve">N=419 </w:t>
            </w:r>
          </w:p>
        </w:tc>
        <w:tc>
          <w:tcPr>
            <w:tcW w:w="709" w:type="dxa"/>
            <w:tcBorders>
              <w:top w:val="single" w:sz="4" w:space="0" w:color="auto"/>
              <w:left w:val="single" w:sz="4" w:space="0" w:color="auto"/>
              <w:bottom w:val="single" w:sz="4" w:space="0" w:color="auto"/>
              <w:right w:val="single" w:sz="4" w:space="0" w:color="auto"/>
            </w:tcBorders>
          </w:tcPr>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Phase 3, R, OL, MC, MN</w:t>
            </w:r>
          </w:p>
        </w:tc>
        <w:tc>
          <w:tcPr>
            <w:tcW w:w="4678" w:type="dxa"/>
            <w:tcBorders>
              <w:top w:val="single" w:sz="4" w:space="0" w:color="auto"/>
              <w:left w:val="single" w:sz="4" w:space="0" w:color="auto"/>
              <w:bottom w:val="single" w:sz="4" w:space="0" w:color="auto"/>
              <w:right w:val="single" w:sz="4" w:space="0" w:color="auto"/>
            </w:tcBorders>
          </w:tcPr>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NIVO: 240</w:t>
            </w:r>
            <w:r w:rsidR="00BA1380" w:rsidRPr="00A862C6">
              <w:rPr>
                <w:rFonts w:ascii="Arial Narrow" w:hAnsi="Arial Narrow"/>
                <w:sz w:val="20"/>
                <w:szCs w:val="18"/>
              </w:rPr>
              <w:t xml:space="preserve"> </w:t>
            </w:r>
            <w:r w:rsidRPr="00A862C6">
              <w:rPr>
                <w:rFonts w:ascii="Arial Narrow" w:hAnsi="Arial Narrow"/>
                <w:sz w:val="20"/>
                <w:szCs w:val="18"/>
              </w:rPr>
              <w:t xml:space="preserve">mg, IV, Q2W </w:t>
            </w:r>
          </w:p>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vs.</w:t>
            </w:r>
          </w:p>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DOC: 75</w:t>
            </w:r>
            <w:r w:rsidR="00BA1380" w:rsidRPr="00A862C6">
              <w:rPr>
                <w:rFonts w:ascii="Arial Narrow" w:hAnsi="Arial Narrow"/>
                <w:sz w:val="20"/>
                <w:szCs w:val="18"/>
              </w:rPr>
              <w:t xml:space="preserve"> </w:t>
            </w:r>
            <w:r w:rsidRPr="00A862C6">
              <w:rPr>
                <w:rFonts w:ascii="Arial Narrow" w:hAnsi="Arial Narrow"/>
                <w:sz w:val="20"/>
                <w:szCs w:val="18"/>
              </w:rPr>
              <w:t>mg/m</w:t>
            </w:r>
            <w:r w:rsidRPr="00A862C6">
              <w:rPr>
                <w:rFonts w:ascii="Arial Narrow" w:hAnsi="Arial Narrow"/>
                <w:sz w:val="20"/>
                <w:szCs w:val="18"/>
                <w:vertAlign w:val="superscript"/>
              </w:rPr>
              <w:t>2</w:t>
            </w:r>
            <w:r w:rsidRPr="00A862C6">
              <w:rPr>
                <w:rFonts w:ascii="Arial Narrow" w:hAnsi="Arial Narrow"/>
                <w:sz w:val="20"/>
                <w:szCs w:val="18"/>
              </w:rPr>
              <w:t xml:space="preserve">, IV, Q3W </w:t>
            </w:r>
          </w:p>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or</w:t>
            </w:r>
          </w:p>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PAC: 100</w:t>
            </w:r>
            <w:r w:rsidR="00BA1380" w:rsidRPr="00A862C6">
              <w:rPr>
                <w:rFonts w:ascii="Arial Narrow" w:hAnsi="Arial Narrow"/>
                <w:sz w:val="20"/>
                <w:szCs w:val="18"/>
              </w:rPr>
              <w:t xml:space="preserve"> </w:t>
            </w:r>
            <w:r w:rsidRPr="00A862C6">
              <w:rPr>
                <w:rFonts w:ascii="Arial Narrow" w:hAnsi="Arial Narrow"/>
                <w:sz w:val="20"/>
                <w:szCs w:val="18"/>
              </w:rPr>
              <w:t>mg/m</w:t>
            </w:r>
            <w:r w:rsidRPr="00A862C6">
              <w:rPr>
                <w:rFonts w:ascii="Arial Narrow" w:hAnsi="Arial Narrow"/>
                <w:sz w:val="20"/>
                <w:szCs w:val="18"/>
                <w:vertAlign w:val="superscript"/>
              </w:rPr>
              <w:t>2</w:t>
            </w:r>
            <w:r w:rsidRPr="00A862C6">
              <w:rPr>
                <w:rFonts w:ascii="Arial Narrow" w:hAnsi="Arial Narrow"/>
                <w:sz w:val="20"/>
                <w:szCs w:val="18"/>
              </w:rPr>
              <w:t xml:space="preserve"> IV, Q1W x 6 with 2W off</w:t>
            </w:r>
          </w:p>
          <w:p w:rsidR="00285CB1" w:rsidRPr="00A862C6" w:rsidRDefault="00285CB1" w:rsidP="00E11499">
            <w:pPr>
              <w:keepNext/>
              <w:keepLines/>
              <w:jc w:val="left"/>
              <w:rPr>
                <w:rFonts w:ascii="Arial Narrow" w:hAnsi="Arial Narrow"/>
                <w:sz w:val="20"/>
                <w:szCs w:val="18"/>
              </w:rPr>
            </w:pPr>
          </w:p>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Treatment until progression or unacceptable toxicity. Treatment beyond initial investigator-assessed RECIST 1.1-defined progression was permitted if the subject had investigator-assessed clinical benefit and tolerated study drug.</w:t>
            </w:r>
          </w:p>
        </w:tc>
        <w:tc>
          <w:tcPr>
            <w:tcW w:w="1275" w:type="dxa"/>
            <w:tcBorders>
              <w:top w:val="single" w:sz="4" w:space="0" w:color="auto"/>
              <w:left w:val="single" w:sz="4" w:space="0" w:color="auto"/>
              <w:bottom w:val="single" w:sz="4" w:space="0" w:color="auto"/>
              <w:right w:val="single" w:sz="4" w:space="0" w:color="auto"/>
            </w:tcBorders>
          </w:tcPr>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OSCC refractory or intolerant to combination therapy with fluoropyrimidine and platinum based drugs.</w:t>
            </w:r>
          </w:p>
        </w:tc>
        <w:tc>
          <w:tcPr>
            <w:tcW w:w="1084" w:type="dxa"/>
            <w:tcBorders>
              <w:top w:val="single" w:sz="4" w:space="0" w:color="auto"/>
              <w:left w:val="single" w:sz="4" w:space="0" w:color="auto"/>
              <w:bottom w:val="single" w:sz="4" w:space="0" w:color="auto"/>
              <w:right w:val="single" w:sz="4" w:space="0" w:color="auto"/>
            </w:tcBorders>
          </w:tcPr>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Primary: OS</w:t>
            </w:r>
          </w:p>
          <w:p w:rsidR="00285CB1" w:rsidRPr="00A862C6" w:rsidRDefault="00285CB1" w:rsidP="00E11499">
            <w:pPr>
              <w:keepNext/>
              <w:keepLines/>
              <w:jc w:val="left"/>
              <w:rPr>
                <w:rFonts w:ascii="Arial Narrow" w:hAnsi="Arial Narrow"/>
                <w:sz w:val="20"/>
                <w:szCs w:val="18"/>
              </w:rPr>
            </w:pPr>
            <w:r w:rsidRPr="00A862C6">
              <w:rPr>
                <w:rFonts w:ascii="Arial Narrow" w:hAnsi="Arial Narrow"/>
                <w:sz w:val="20"/>
                <w:szCs w:val="18"/>
              </w:rPr>
              <w:t>Key secondary:  ORR, PFS</w:t>
            </w:r>
          </w:p>
        </w:tc>
      </w:tr>
    </w:tbl>
    <w:p w:rsidR="00285CB1" w:rsidRPr="00A862C6" w:rsidRDefault="00285CB1" w:rsidP="00E11499">
      <w:pPr>
        <w:pStyle w:val="TableFooter"/>
        <w:keepNext/>
        <w:keepLines/>
      </w:pPr>
      <w:r w:rsidRPr="00A862C6">
        <w:t>Source: Table 15, p35 of the submission.</w:t>
      </w:r>
    </w:p>
    <w:p w:rsidR="00285CB1" w:rsidRPr="00A862C6" w:rsidRDefault="00285CB1" w:rsidP="00E11499">
      <w:pPr>
        <w:pStyle w:val="TableFooter"/>
        <w:keepNext/>
        <w:keepLines/>
      </w:pPr>
      <w:r w:rsidRPr="00A862C6">
        <w:t>DOC = docetaxel; IV = intravenous; MC = multicentre; MN = multinational; NIVO = nivolumab; OL= open-label; ORR = objective response rate; OS = overall survival; OSCC = oesophageal squamous cell carcinoma; PAC = paclitaxel; PFS = progression-free survival; Q1W = every week; Q2W = every 2 weeks; Q3W = every 3 weeks; R: randomised; RECIST: Response Evaluation Criteria In Solid Tumors Version 1.1; 2W = 2 weeks.</w:t>
      </w:r>
    </w:p>
    <w:p w:rsidR="00285CB1" w:rsidRPr="00A862C6" w:rsidRDefault="00285CB1" w:rsidP="00285CB1"/>
    <w:p w:rsidR="00285CB1" w:rsidRPr="00A862C6" w:rsidRDefault="00285CB1" w:rsidP="00DD46F0">
      <w:pPr>
        <w:pStyle w:val="ListParagraph"/>
        <w:widowControl/>
        <w:numPr>
          <w:ilvl w:val="1"/>
          <w:numId w:val="2"/>
        </w:numPr>
      </w:pPr>
      <w:r w:rsidRPr="00A862C6">
        <w:t xml:space="preserve">Two separate </w:t>
      </w:r>
      <w:r w:rsidR="00E11499" w:rsidRPr="00A862C6">
        <w:t>clinical study reports (</w:t>
      </w:r>
      <w:r w:rsidRPr="00A862C6">
        <w:t>CSRs</w:t>
      </w:r>
      <w:r w:rsidR="00E11499" w:rsidRPr="00A862C6">
        <w:t>)</w:t>
      </w:r>
      <w:r w:rsidRPr="00A862C6">
        <w:t xml:space="preserve"> from two intention-to-treat (ITT) populations were available for ATTRACTION-3 for the 18 month data cut off. </w:t>
      </w:r>
      <w:r w:rsidR="00746806" w:rsidRPr="00A862C6">
        <w:t xml:space="preserve">In addition to </w:t>
      </w:r>
      <w:r w:rsidRPr="00A862C6">
        <w:t xml:space="preserve">the </w:t>
      </w:r>
      <w:r w:rsidR="005B0E56" w:rsidRPr="00A862C6">
        <w:t>full</w:t>
      </w:r>
      <w:r w:rsidRPr="00A862C6">
        <w:t xml:space="preserve"> ITT</w:t>
      </w:r>
      <w:r w:rsidR="005320EE" w:rsidRPr="00A862C6">
        <w:t xml:space="preserve"> population</w:t>
      </w:r>
      <w:r w:rsidRPr="00A862C6">
        <w:t xml:space="preserve"> which included all enrolled patients (n=419), analysis of a modified ITT population (n=388)</w:t>
      </w:r>
      <w:r w:rsidR="00BA1380" w:rsidRPr="00A862C6">
        <w:t xml:space="preserve"> was also presented.</w:t>
      </w:r>
      <w:r w:rsidRPr="00A862C6">
        <w:t xml:space="preserve"> </w:t>
      </w:r>
      <w:r w:rsidR="00BA1380" w:rsidRPr="00A862C6">
        <w:t xml:space="preserve">The modified ITT population analysis was </w:t>
      </w:r>
      <w:r w:rsidRPr="00A862C6">
        <w:t>based on the same data cut-off date</w:t>
      </w:r>
      <w:r w:rsidR="00BA1380" w:rsidRPr="00A862C6">
        <w:t>, but it</w:t>
      </w:r>
      <w:r w:rsidRPr="00A862C6">
        <w:t xml:space="preserve"> excluded 31 patients from 6 Taiwanese sites due to non-compliance with Good Clinical Practice (GCP) procedures</w:t>
      </w:r>
      <w:r w:rsidR="00BA1380" w:rsidRPr="00A862C6">
        <w:t>.</w:t>
      </w:r>
      <w:r w:rsidRPr="00A862C6">
        <w:t xml:space="preserve"> The sponsor presented the full ITT analysis as the primary clinical dataset and considered that the GCP non-compliance did not compromise patient safety or the interpretation or scientific value of the reported trial results. </w:t>
      </w:r>
      <w:r w:rsidR="003621C6">
        <w:t>T</w:t>
      </w:r>
      <w:r w:rsidR="00871D10" w:rsidRPr="00A862C6">
        <w:t xml:space="preserve">he submission provided </w:t>
      </w:r>
      <w:r w:rsidR="0056239C">
        <w:t xml:space="preserve">a </w:t>
      </w:r>
      <w:r w:rsidR="00871D10" w:rsidRPr="00A862C6">
        <w:t>comparison of the full-ITT and modified-ITT analyses</w:t>
      </w:r>
      <w:r w:rsidR="005107E4" w:rsidRPr="00A862C6">
        <w:t xml:space="preserve"> as an exploratory analysis</w:t>
      </w:r>
      <w:r w:rsidR="0056239C">
        <w:t xml:space="preserve"> which indicated </w:t>
      </w:r>
      <w:r w:rsidR="003621C6">
        <w:t>no substantial differences</w:t>
      </w:r>
      <w:r w:rsidR="002E384C">
        <w:t>.</w:t>
      </w:r>
    </w:p>
    <w:p w:rsidR="00285CB1" w:rsidRPr="00A862C6" w:rsidRDefault="00285CB1" w:rsidP="00DD46F0">
      <w:pPr>
        <w:pStyle w:val="ListParagraph"/>
        <w:widowControl/>
        <w:numPr>
          <w:ilvl w:val="1"/>
          <w:numId w:val="2"/>
        </w:numPr>
        <w:rPr>
          <w:i/>
        </w:rPr>
      </w:pPr>
      <w:r w:rsidRPr="00A862C6">
        <w:t xml:space="preserve">During the preparation of the submission, a three-year partial update on the full-ITT population became available, providing an additional 1.5 years of follow-up to the initial analysis. Where applicable, this information was included along with the presentation of the full-ITT results in the submission. </w:t>
      </w:r>
      <w:r w:rsidRPr="00A862C6">
        <w:rPr>
          <w:iCs/>
        </w:rPr>
        <w:t xml:space="preserve">Not all relevant information (e.g. PFS rates) from </w:t>
      </w:r>
      <w:r w:rsidRPr="00A862C6">
        <w:t>the three-year update was provided, which was only presented in the form of a 17-page report.</w:t>
      </w:r>
      <w:r w:rsidRPr="00A862C6">
        <w:rPr>
          <w:i/>
        </w:rPr>
        <w:t xml:space="preserve"> </w:t>
      </w:r>
    </w:p>
    <w:p w:rsidR="00285CB1" w:rsidRPr="0056239C" w:rsidRDefault="00285CB1" w:rsidP="00DD46F0">
      <w:pPr>
        <w:pStyle w:val="ListParagraph"/>
        <w:widowControl/>
        <w:numPr>
          <w:ilvl w:val="1"/>
          <w:numId w:val="2"/>
        </w:numPr>
        <w:rPr>
          <w:i/>
        </w:rPr>
      </w:pPr>
      <w:r w:rsidRPr="00A862C6">
        <w:t xml:space="preserve">In ATTRACTION-3, treatment was </w:t>
      </w:r>
      <w:r w:rsidR="00871D10" w:rsidRPr="00A862C6">
        <w:t xml:space="preserve">to </w:t>
      </w:r>
      <w:r w:rsidRPr="00A862C6">
        <w:t>continue until disease</w:t>
      </w:r>
      <w:r w:rsidR="00871D10" w:rsidRPr="00A862C6">
        <w:t xml:space="preserve"> progression</w:t>
      </w:r>
      <w:r w:rsidRPr="00A862C6">
        <w:t xml:space="preserve">, </w:t>
      </w:r>
      <w:r w:rsidR="00871D10" w:rsidRPr="00A862C6">
        <w:t xml:space="preserve">though </w:t>
      </w:r>
      <w:r w:rsidRPr="00A862C6">
        <w:t>patients were allowed to continue treatment beyond progression under certain circumstances.</w:t>
      </w:r>
      <w:r w:rsidR="00871D10" w:rsidRPr="00A862C6">
        <w:rPr>
          <w:i/>
          <w:iCs/>
        </w:rPr>
        <w:t xml:space="preserve"> </w:t>
      </w:r>
      <w:r w:rsidRPr="00A862C6">
        <w:t xml:space="preserve">Approximately 50% </w:t>
      </w:r>
      <w:r w:rsidR="00D455CF" w:rsidRPr="00A862C6">
        <w:t>(83/167</w:t>
      </w:r>
      <w:r w:rsidR="00D455CF">
        <w:t xml:space="preserve">) </w:t>
      </w:r>
      <w:r w:rsidRPr="00A862C6">
        <w:t>of patients treated with nivolumab continued nivolumab treatment beyond progression</w:t>
      </w:r>
      <w:r w:rsidR="00837488" w:rsidRPr="00A862C6">
        <w:t xml:space="preserve">. Comparatively, only </w:t>
      </w:r>
      <w:r w:rsidRPr="00A862C6">
        <w:t xml:space="preserve">1.9% </w:t>
      </w:r>
      <w:r w:rsidR="00837488" w:rsidRPr="00A862C6">
        <w:t xml:space="preserve">(3/162) </w:t>
      </w:r>
      <w:r w:rsidRPr="00A862C6">
        <w:t>of patients treated with IC continu</w:t>
      </w:r>
      <w:r w:rsidR="00837488" w:rsidRPr="00A862C6">
        <w:t>ed</w:t>
      </w:r>
      <w:r w:rsidRPr="00A862C6">
        <w:t xml:space="preserve"> with taxane therapy beyond progression</w:t>
      </w:r>
      <w:r w:rsidRPr="0056239C">
        <w:rPr>
          <w:i/>
        </w:rPr>
        <w:t xml:space="preserve">. </w:t>
      </w:r>
    </w:p>
    <w:p w:rsidR="00285CB1" w:rsidRPr="00A862C6" w:rsidRDefault="00837488" w:rsidP="00DD46F0">
      <w:pPr>
        <w:pStyle w:val="ListParagraph"/>
        <w:widowControl/>
        <w:numPr>
          <w:ilvl w:val="1"/>
          <w:numId w:val="2"/>
        </w:numPr>
      </w:pPr>
      <w:r w:rsidRPr="00A862C6">
        <w:t>Aside from treatment beyond progression with the randomised therapy, p</w:t>
      </w:r>
      <w:r w:rsidR="00285CB1" w:rsidRPr="00A862C6">
        <w:t xml:space="preserve">atients </w:t>
      </w:r>
      <w:r w:rsidRPr="00A862C6">
        <w:t xml:space="preserve">in ATTRACTION-3 </w:t>
      </w:r>
      <w:r w:rsidR="00285CB1" w:rsidRPr="00A862C6">
        <w:t xml:space="preserve">were eligible to receive any subsequent cancer treatment deemed appropriate by the investigator after experiencing disease progression on the trial. As noted by the </w:t>
      </w:r>
      <w:r w:rsidR="00027DFC">
        <w:rPr>
          <w:noProof/>
          <w:color w:val="000000"/>
          <w:highlight w:val="black"/>
        </w:rPr>
        <w:t>''''''''' ''''''''''''''''''' '''''''''' '''''''''''''' '''''''''''''''''''' ''''''''''''' '''''''''' ''''''''''''''''''' ''' '''''' ''''''''''''''''''''''''' '''''''' ''''''''''''''''''' '''''''''''''''''''''''' ''''''''''''' ''''''''''''''' '''''''' ''''''''''''''''' '''''''''''''''''''''' ''''''''''''''''''''''''''''''''''''''' ''''''''' '''''''' '''''''''''' ''''''' ''''' ''''''''''''''''''''' ''''''''''''''''''''''''''''''''' '''' '''''' ''''' '''''''' ''''''''''''''' ''''''''' '''' '''''' ''''''' '''''''''''''''''''''' '''''''''''''''''' ''' '''''''' ''''''''''''''''''' ''''' ''''''''''''''''' ''' ''''''' ''''''''''''''''''' ''''''''''' '''''''''' ''''' '''' '''''''''''' '''''''''''''''''''' '''''''''''''' '''''''''''''' ''''''''''''''''' ''''''''''' '''' '''''' '''''' '''''''''''''''''''''' ''''''' ''''''''' '''''''''''''''''' '''''''''''''''''''' ''''''''''''''''''' ''''''' ''''''''''''''''' ''''''''' ''''''''''''''''''' ''''''''''''''''''' ''''''' ''''''''' ''' ''''''''''''''' ''''''''''''''''' ''''''''''''''''''' ''''''''' '''''''''''' '''''''''''''''' ''''''''''''''' ''''''' '''''' '''''''''' ''''''''''' '''''''''''''''' '''''''''' '''''' '''''''''''''' '''''' '''''''''''' '''''''''''''''''''' ''''''' ''''''' '''''''''''''''' '''''' '''' ''''''''''''''''''''' '''''''''''''''''''''''''''''' ''''''' '''''''''''''''''''' '''''''''''''''''' ''''''''' ''''' ''''''''''''''''''' '''''''''''' ''''''''' '''''''''' ''''''''''''''''''''''' ''''''' '''''''''''' '''''''''''' ''''''''''''''''' ''''''''' '''''''''''' '''''''''''''''''' ''''''''''''' '''''''''' '''''''''''''''''' '''''' '''''''' ''''''''''''''''' '''''''''''' ''''''' ''''''''' ''' ''''''''''''''' '''''''''''''''' ''''' '''''''''''''''''''''' ''''' '''''''''''''' ''''''''''''''''''' '''''''' '''''''''''''' '''''''''''''' ''''''''' ''''' '''''''''''''''''''''' ''''' '''''''''''''' ''''''''''''''''</w:t>
      </w:r>
      <w:r w:rsidR="00285CB1" w:rsidRPr="00A862C6">
        <w:t xml:space="preserve"> </w:t>
      </w:r>
    </w:p>
    <w:p w:rsidR="00922EEC" w:rsidRPr="00A862C6" w:rsidRDefault="00922EEC" w:rsidP="00DD46F0">
      <w:pPr>
        <w:pStyle w:val="ListParagraph"/>
        <w:widowControl/>
        <w:numPr>
          <w:ilvl w:val="1"/>
          <w:numId w:val="2"/>
        </w:numPr>
      </w:pPr>
      <w:bookmarkStart w:id="20" w:name="_Ref70381458"/>
      <w:r w:rsidRPr="00A862C6">
        <w:t>ATTRACTION-3 enrolled predominantly an Asian population (401/419, 95.7%)</w:t>
      </w:r>
      <w:r w:rsidR="00D455CF">
        <w:t>,</w:t>
      </w:r>
      <w:r w:rsidRPr="00A862C6">
        <w:t xml:space="preserve"> with only a small number of non-Asian patients (18/419, 4.3%) who were all </w:t>
      </w:r>
      <w:r w:rsidR="001A0C90" w:rsidRPr="00A862C6">
        <w:t xml:space="preserve">of </w:t>
      </w:r>
      <w:r w:rsidRPr="00A862C6">
        <w:t>Western</w:t>
      </w:r>
      <w:r w:rsidR="001A0C90" w:rsidRPr="00A862C6">
        <w:t xml:space="preserve"> origin</w:t>
      </w:r>
      <w:r w:rsidRPr="00A862C6">
        <w:t xml:space="preserve">. This </w:t>
      </w:r>
      <w:r w:rsidR="001A0C90" w:rsidRPr="00A862C6">
        <w:t xml:space="preserve">is </w:t>
      </w:r>
      <w:r w:rsidRPr="00A862C6">
        <w:t xml:space="preserve">a potential applicability issue given a much higher proportion of Western patients is expected to be treated in Australian clinical practice. </w:t>
      </w:r>
      <w:bookmarkEnd w:id="20"/>
      <w:r w:rsidR="004C46F8" w:rsidRPr="00A862C6">
        <w:t xml:space="preserve">The PSCR </w:t>
      </w:r>
      <w:r w:rsidR="00FE5ED9" w:rsidRPr="00A862C6">
        <w:t xml:space="preserve">stated </w:t>
      </w:r>
      <w:r w:rsidR="004C46F8" w:rsidRPr="00A862C6">
        <w:t xml:space="preserve">that both the European Medicines Agency (EMA) and the National Institute for Health and Care Excellence (NICE) have accepted that the results from ATTRACTION-3 are generalisable to their respective </w:t>
      </w:r>
      <w:r w:rsidR="00D455CF">
        <w:t>W</w:t>
      </w:r>
      <w:r w:rsidR="004C46F8" w:rsidRPr="00A862C6">
        <w:t>estern OSCC populations, i.e. with a lower proportion of Asian patients than included in the trial.</w:t>
      </w:r>
      <w:r w:rsidR="00134581" w:rsidRPr="00A862C6">
        <w:t xml:space="preserve"> The</w:t>
      </w:r>
      <w:r w:rsidR="00FE5ED9" w:rsidRPr="00A862C6">
        <w:t xml:space="preserve"> PSCR</w:t>
      </w:r>
      <w:r w:rsidR="00134581" w:rsidRPr="00A862C6">
        <w:t xml:space="preserve"> noted that the NICE final approval document stated: </w:t>
      </w:r>
      <w:r w:rsidR="00134581" w:rsidRPr="00A862C6">
        <w:rPr>
          <w:rFonts w:cs="Times New Roman"/>
          <w:bCs/>
          <w:iCs/>
        </w:rPr>
        <w:t>“…although the trials were mainly done in Asia, there is no difference in the underlying biology of oesophageal squamous cell cancer compared with people in the UK”</w:t>
      </w:r>
      <w:r w:rsidR="00134581" w:rsidRPr="00A862C6">
        <w:rPr>
          <w:rFonts w:cs="Times New Roman"/>
          <w:bCs/>
        </w:rPr>
        <w:t>.</w:t>
      </w:r>
      <w:r w:rsidR="00134581" w:rsidRPr="00A862C6">
        <w:rPr>
          <w:rStyle w:val="FootnoteReference"/>
          <w:rFonts w:cs="Times New Roman"/>
          <w:bCs/>
        </w:rPr>
        <w:footnoteReference w:id="4"/>
      </w:r>
    </w:p>
    <w:p w:rsidR="001F4DDC" w:rsidRPr="00A862C6" w:rsidRDefault="001F4DDC" w:rsidP="00DD46F0">
      <w:pPr>
        <w:pStyle w:val="ListParagraph"/>
        <w:widowControl/>
        <w:numPr>
          <w:ilvl w:val="1"/>
          <w:numId w:val="2"/>
        </w:numPr>
      </w:pPr>
      <w:r w:rsidRPr="00A862C6">
        <w:t xml:space="preserve">The primary outcome of ATTRACTION-3 was OS, with objective response rate (ORR) and progression free survival (PFS) being secondary outcomes. If superiority in OS was demonstrated for patients randomised to the nivolumab group, a hierarchical testing procedure was implemented to test for the secondary endpoints preserving the study-wise type 1 error rate at 5% in the following order: ORR, PFS. Two-sided testing was performed with a 5% significance level. </w:t>
      </w:r>
    </w:p>
    <w:p w:rsidR="006937F4" w:rsidRPr="00A862C6" w:rsidRDefault="00610317" w:rsidP="00DD46F0">
      <w:pPr>
        <w:pStyle w:val="ListParagraph"/>
        <w:widowControl/>
        <w:numPr>
          <w:ilvl w:val="1"/>
          <w:numId w:val="2"/>
        </w:numPr>
      </w:pPr>
      <w:r w:rsidRPr="00A862C6">
        <w:t>The sponsor proposed that the minimal clinically important difference (MCID) for the primary outcome was an OS HR ≤0.8, corresponding to 2.5-6 months gain in median OS versus the current standard of care (Ellis et al 2014, p1278). This was based on recommended targets for clinically important differences in clinical trial endpoints of OS proposed for various solid tumour types (colon, pancreatic, lung, breast), developed by the American Society of Clinical Oncology (ASCO) (Ellis et al 2014), as targets specific to OSCC have not been published.</w:t>
      </w:r>
      <w:r w:rsidR="0070493A" w:rsidRPr="00A862C6">
        <w:t xml:space="preserve"> </w:t>
      </w:r>
      <w:r w:rsidR="006937F4" w:rsidRPr="00A862C6">
        <w:t xml:space="preserve">The evaluation noted the recommended target HRs in Ellis et al 2014 ranged from 0.6 to 0.8 and a HR of 0.70 was used in the sample </w:t>
      </w:r>
      <w:r w:rsidR="00845F7B" w:rsidRPr="00A862C6">
        <w:t>size calculation of the trial.</w:t>
      </w:r>
      <w:r w:rsidR="006937F4" w:rsidRPr="00A862C6">
        <w:t xml:space="preserve"> As OSCC has not been previously considered by PBAC, previous MCID thresholds were not available for reference.</w:t>
      </w:r>
    </w:p>
    <w:p w:rsidR="00285CB1" w:rsidRPr="00A862C6" w:rsidRDefault="00285CB1" w:rsidP="0067630A">
      <w:pPr>
        <w:pStyle w:val="Heading2"/>
      </w:pPr>
      <w:bookmarkStart w:id="21" w:name="_Toc72263298"/>
      <w:r w:rsidRPr="00A862C6">
        <w:t>Comparative effectiveness</w:t>
      </w:r>
      <w:bookmarkEnd w:id="21"/>
    </w:p>
    <w:p w:rsidR="00285CB1" w:rsidRPr="00A862C6" w:rsidRDefault="00285CB1" w:rsidP="00285CB1"/>
    <w:p w:rsidR="00285CB1" w:rsidRPr="00A862C6" w:rsidRDefault="00285CB1" w:rsidP="00285CB1">
      <w:pPr>
        <w:pStyle w:val="Heading3"/>
      </w:pPr>
      <w:r w:rsidRPr="00A862C6">
        <w:t xml:space="preserve">Primary outcome </w:t>
      </w:r>
    </w:p>
    <w:p w:rsidR="00285CB1" w:rsidRPr="00A862C6" w:rsidRDefault="00285CB1" w:rsidP="00285CB1"/>
    <w:p w:rsidR="00285CB1" w:rsidRPr="00A862C6" w:rsidRDefault="00F71DE4" w:rsidP="00DD46F0">
      <w:pPr>
        <w:pStyle w:val="ListParagraph"/>
        <w:widowControl/>
        <w:numPr>
          <w:ilvl w:val="1"/>
          <w:numId w:val="2"/>
        </w:numPr>
      </w:pPr>
      <w:r w:rsidRPr="00F71DE4">
        <w:t>Figure 1</w:t>
      </w:r>
      <w:r w:rsidR="00922EEC" w:rsidRPr="00A862C6">
        <w:t xml:space="preserve"> </w:t>
      </w:r>
      <w:r w:rsidR="00285CB1" w:rsidRPr="00A862C6">
        <w:t>show</w:t>
      </w:r>
      <w:r w:rsidR="00BF02F6" w:rsidRPr="00A862C6">
        <w:t>s</w:t>
      </w:r>
      <w:r w:rsidR="00285CB1" w:rsidRPr="00A862C6">
        <w:t xml:space="preserve"> the OS Kaplan-Meier at both data cuts and </w:t>
      </w:r>
      <w:r w:rsidRPr="00F71DE4">
        <w:t>Table 4</w:t>
      </w:r>
      <w:r w:rsidR="00285CB1" w:rsidRPr="00A862C6">
        <w:t xml:space="preserve"> summarises the OS </w:t>
      </w:r>
      <w:r w:rsidR="00B1544E" w:rsidRPr="00A862C6">
        <w:t xml:space="preserve">results </w:t>
      </w:r>
      <w:r w:rsidR="00285CB1" w:rsidRPr="00A862C6">
        <w:t>for the ITT population.</w:t>
      </w:r>
    </w:p>
    <w:p w:rsidR="00285CB1" w:rsidRPr="00A862C6" w:rsidRDefault="00285CB1" w:rsidP="00922EEC">
      <w:pPr>
        <w:pStyle w:val="Caption"/>
        <w:keepNext/>
        <w:keepLines/>
        <w:spacing w:after="0"/>
        <w:rPr>
          <w:rStyle w:val="CommentReference"/>
          <w:b/>
          <w:bCs w:val="0"/>
          <w:color w:val="auto"/>
        </w:rPr>
      </w:pPr>
      <w:bookmarkStart w:id="22" w:name="_Ref70381505"/>
      <w:r w:rsidRPr="00A862C6">
        <w:rPr>
          <w:rStyle w:val="CommentReference"/>
          <w:b/>
          <w:bCs w:val="0"/>
          <w:color w:val="auto"/>
        </w:rPr>
        <w:t xml:space="preserve">Figure </w:t>
      </w:r>
      <w:r w:rsidR="00F71DE4">
        <w:rPr>
          <w:rStyle w:val="CommentReference"/>
          <w:b/>
          <w:bCs w:val="0"/>
          <w:noProof/>
          <w:color w:val="auto"/>
        </w:rPr>
        <w:t>1</w:t>
      </w:r>
      <w:bookmarkEnd w:id="22"/>
      <w:r w:rsidRPr="00A862C6">
        <w:rPr>
          <w:rStyle w:val="CommentReference"/>
          <w:b/>
          <w:bCs w:val="0"/>
          <w:color w:val="auto"/>
        </w:rPr>
        <w:t>: Kaplan-Meier curve for overall survival at 18 month data cut (</w:t>
      </w:r>
      <w:r w:rsidR="00922EEC" w:rsidRPr="00A862C6">
        <w:rPr>
          <w:rStyle w:val="CommentReference"/>
          <w:b/>
          <w:bCs w:val="0"/>
          <w:color w:val="auto"/>
        </w:rPr>
        <w:t>top</w:t>
      </w:r>
      <w:r w:rsidRPr="00A862C6">
        <w:rPr>
          <w:rStyle w:val="CommentReference"/>
          <w:b/>
          <w:bCs w:val="0"/>
          <w:color w:val="auto"/>
        </w:rPr>
        <w:t>) and 3 year data cut (</w:t>
      </w:r>
      <w:r w:rsidR="00922EEC" w:rsidRPr="00A862C6">
        <w:rPr>
          <w:rStyle w:val="CommentReference"/>
          <w:b/>
          <w:bCs w:val="0"/>
          <w:color w:val="auto"/>
        </w:rPr>
        <w:t>bottom</w:t>
      </w:r>
      <w:r w:rsidRPr="00A862C6">
        <w:rPr>
          <w:rStyle w:val="CommentReference"/>
          <w:b/>
          <w:bCs w:val="0"/>
          <w:color w:val="auto"/>
        </w:rPr>
        <w:t>)</w:t>
      </w:r>
    </w:p>
    <w:p w:rsidR="00285CB1" w:rsidRPr="00A862C6" w:rsidRDefault="00285CB1" w:rsidP="00922EEC">
      <w:pPr>
        <w:keepNext/>
        <w:keepLines/>
        <w:widowControl/>
      </w:pPr>
      <w:r w:rsidRPr="00A862C6">
        <w:rPr>
          <w:noProof/>
          <w:snapToGrid/>
          <w:lang w:eastAsia="en-AU"/>
        </w:rPr>
        <w:drawing>
          <wp:inline distT="0" distB="0" distL="0" distR="0" wp14:anchorId="33ACAD4D" wp14:editId="3A7C766A">
            <wp:extent cx="4310637" cy="2751151"/>
            <wp:effectExtent l="0" t="0" r="0" b="0"/>
            <wp:docPr id="9" name="Picture 9" title="Figure 1: Kaplan-Meier curve for overall survival at 18 month data cut (top) and 3 year data cu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70760" cy="2789523"/>
                    </a:xfrm>
                    <a:prstGeom prst="rect">
                      <a:avLst/>
                    </a:prstGeom>
                  </pic:spPr>
                </pic:pic>
              </a:graphicData>
            </a:graphic>
          </wp:inline>
        </w:drawing>
      </w:r>
      <w:r w:rsidRPr="00A862C6">
        <w:rPr>
          <w:noProof/>
          <w:snapToGrid/>
          <w:lang w:eastAsia="en-AU"/>
        </w:rPr>
        <w:drawing>
          <wp:inline distT="0" distB="0" distL="0" distR="0" wp14:anchorId="331AE855" wp14:editId="008E54A2">
            <wp:extent cx="4272434" cy="2854518"/>
            <wp:effectExtent l="0" t="0" r="0" b="3175"/>
            <wp:docPr id="10" name="Picture 10" title="Figure 1: Kaplan-Meier curve for overall survival at 18 month data cut (top) and 3 year data cu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53891" cy="2908942"/>
                    </a:xfrm>
                    <a:prstGeom prst="rect">
                      <a:avLst/>
                    </a:prstGeom>
                  </pic:spPr>
                </pic:pic>
              </a:graphicData>
            </a:graphic>
          </wp:inline>
        </w:drawing>
      </w:r>
    </w:p>
    <w:p w:rsidR="00285CB1" w:rsidRPr="00A862C6" w:rsidRDefault="00285CB1" w:rsidP="00922EEC">
      <w:pPr>
        <w:pStyle w:val="TableFooter"/>
        <w:keepNext/>
        <w:keepLines/>
      </w:pPr>
      <w:r w:rsidRPr="00A862C6">
        <w:t>Source: Figure 2A, Kato 2019 and Figure 6, p61 of the submission</w:t>
      </w:r>
    </w:p>
    <w:p w:rsidR="00285CB1" w:rsidRPr="00A862C6" w:rsidRDefault="00285CB1" w:rsidP="00285CB1"/>
    <w:p w:rsidR="00285CB1" w:rsidRPr="00A862C6" w:rsidRDefault="00285CB1" w:rsidP="001F4DDC">
      <w:pPr>
        <w:keepNext/>
        <w:keepLines/>
        <w:rPr>
          <w:rStyle w:val="CommentReference"/>
          <w:rFonts w:ascii="Calibri" w:hAnsi="Calibri"/>
          <w:b w:val="0"/>
          <w:sz w:val="24"/>
          <w:szCs w:val="22"/>
        </w:rPr>
      </w:pPr>
      <w:bookmarkStart w:id="23" w:name="_Ref70361775"/>
      <w:r w:rsidRPr="00A862C6">
        <w:rPr>
          <w:rStyle w:val="CommentReference"/>
        </w:rPr>
        <w:t xml:space="preserve">Table </w:t>
      </w:r>
      <w:r w:rsidR="00F71DE4">
        <w:rPr>
          <w:rStyle w:val="CommentReference"/>
          <w:noProof/>
        </w:rPr>
        <w:t>4</w:t>
      </w:r>
      <w:bookmarkEnd w:id="23"/>
      <w:r w:rsidRPr="00A862C6">
        <w:t>:</w:t>
      </w:r>
      <w:r w:rsidRPr="00A862C6">
        <w:rPr>
          <w:rStyle w:val="CommentReference"/>
        </w:rPr>
        <w:t xml:space="preserve"> Results of overall survival in the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701"/>
        <w:gridCol w:w="1702"/>
        <w:gridCol w:w="1560"/>
        <w:gridCol w:w="1793"/>
      </w:tblGrid>
      <w:tr w:rsidR="00285CB1" w:rsidRPr="00A862C6" w:rsidTr="00054F76">
        <w:trPr>
          <w:tblHeader/>
        </w:trPr>
        <w:tc>
          <w:tcPr>
            <w:tcW w:w="1254" w:type="pct"/>
            <w:vMerge w:val="restart"/>
            <w:vAlign w:val="center"/>
          </w:tcPr>
          <w:p w:rsidR="00285CB1" w:rsidRPr="00A862C6" w:rsidRDefault="00285CB1" w:rsidP="001F4DDC">
            <w:pPr>
              <w:pStyle w:val="Tabletext"/>
              <w:keepNext/>
              <w:keepLines/>
              <w:rPr>
                <w:b/>
              </w:rPr>
            </w:pPr>
            <w:r w:rsidRPr="00A862C6">
              <w:rPr>
                <w:b/>
              </w:rPr>
              <w:t>Efficacy parameter</w:t>
            </w:r>
          </w:p>
        </w:tc>
        <w:tc>
          <w:tcPr>
            <w:tcW w:w="943" w:type="pct"/>
            <w:vMerge w:val="restart"/>
            <w:vAlign w:val="center"/>
          </w:tcPr>
          <w:p w:rsidR="00285CB1" w:rsidRPr="00A862C6" w:rsidRDefault="00285CB1" w:rsidP="001F4DDC">
            <w:pPr>
              <w:pStyle w:val="Tabletext"/>
              <w:keepNext/>
              <w:keepLines/>
              <w:jc w:val="center"/>
              <w:rPr>
                <w:b/>
              </w:rPr>
            </w:pPr>
            <w:r w:rsidRPr="00A862C6">
              <w:rPr>
                <w:b/>
              </w:rPr>
              <w:t>NIVO (n=210)</w:t>
            </w:r>
          </w:p>
        </w:tc>
        <w:tc>
          <w:tcPr>
            <w:tcW w:w="2803" w:type="pct"/>
            <w:gridSpan w:val="3"/>
            <w:vAlign w:val="center"/>
          </w:tcPr>
          <w:p w:rsidR="00285CB1" w:rsidRPr="00A862C6" w:rsidRDefault="00285CB1" w:rsidP="001F4DDC">
            <w:pPr>
              <w:pStyle w:val="Tabletext"/>
              <w:keepNext/>
              <w:keepLines/>
              <w:jc w:val="center"/>
              <w:rPr>
                <w:b/>
              </w:rPr>
            </w:pPr>
            <w:r w:rsidRPr="00A862C6">
              <w:rPr>
                <w:b/>
              </w:rPr>
              <w:t>IC</w:t>
            </w:r>
          </w:p>
        </w:tc>
      </w:tr>
      <w:tr w:rsidR="00285CB1" w:rsidRPr="00A862C6" w:rsidTr="00054F76">
        <w:trPr>
          <w:tblHeader/>
        </w:trPr>
        <w:tc>
          <w:tcPr>
            <w:tcW w:w="1254" w:type="pct"/>
            <w:vMerge/>
            <w:vAlign w:val="center"/>
          </w:tcPr>
          <w:p w:rsidR="00285CB1" w:rsidRPr="00A862C6" w:rsidRDefault="00285CB1" w:rsidP="001F4DDC">
            <w:pPr>
              <w:pStyle w:val="Tabletext"/>
              <w:keepNext/>
              <w:keepLines/>
              <w:rPr>
                <w:b/>
              </w:rPr>
            </w:pPr>
          </w:p>
        </w:tc>
        <w:tc>
          <w:tcPr>
            <w:tcW w:w="943" w:type="pct"/>
            <w:vMerge/>
            <w:vAlign w:val="center"/>
          </w:tcPr>
          <w:p w:rsidR="00285CB1" w:rsidRPr="00A862C6" w:rsidRDefault="00285CB1" w:rsidP="001F4DDC">
            <w:pPr>
              <w:pStyle w:val="Tabletext"/>
              <w:keepNext/>
              <w:keepLines/>
              <w:jc w:val="center"/>
              <w:rPr>
                <w:b/>
              </w:rPr>
            </w:pPr>
          </w:p>
        </w:tc>
        <w:tc>
          <w:tcPr>
            <w:tcW w:w="944" w:type="pct"/>
            <w:vAlign w:val="center"/>
          </w:tcPr>
          <w:p w:rsidR="00285CB1" w:rsidRPr="00A862C6" w:rsidRDefault="00285CB1" w:rsidP="001F4DDC">
            <w:pPr>
              <w:pStyle w:val="Tabletext"/>
              <w:keepNext/>
              <w:keepLines/>
              <w:jc w:val="center"/>
              <w:rPr>
                <w:b/>
              </w:rPr>
            </w:pPr>
            <w:r w:rsidRPr="00A862C6">
              <w:rPr>
                <w:b/>
              </w:rPr>
              <w:t>Total (n=209)</w:t>
            </w:r>
          </w:p>
        </w:tc>
        <w:tc>
          <w:tcPr>
            <w:tcW w:w="865" w:type="pct"/>
          </w:tcPr>
          <w:p w:rsidR="00285CB1" w:rsidRPr="00A862C6" w:rsidRDefault="00285CB1" w:rsidP="001F4DDC">
            <w:pPr>
              <w:pStyle w:val="Tabletext"/>
              <w:keepNext/>
              <w:keepLines/>
              <w:jc w:val="center"/>
              <w:rPr>
                <w:b/>
              </w:rPr>
            </w:pPr>
            <w:r w:rsidRPr="00A862C6">
              <w:rPr>
                <w:b/>
              </w:rPr>
              <w:t>DOC (n=65)</w:t>
            </w:r>
          </w:p>
        </w:tc>
        <w:tc>
          <w:tcPr>
            <w:tcW w:w="994" w:type="pct"/>
          </w:tcPr>
          <w:p w:rsidR="00285CB1" w:rsidRPr="00A862C6" w:rsidRDefault="00285CB1" w:rsidP="001F4DDC">
            <w:pPr>
              <w:pStyle w:val="Tabletext"/>
              <w:keepNext/>
              <w:keepLines/>
              <w:jc w:val="center"/>
              <w:rPr>
                <w:b/>
              </w:rPr>
            </w:pPr>
            <w:r w:rsidRPr="00A862C6">
              <w:rPr>
                <w:b/>
              </w:rPr>
              <w:t>PAC (n=144)</w:t>
            </w:r>
          </w:p>
        </w:tc>
      </w:tr>
      <w:tr w:rsidR="00285CB1" w:rsidRPr="00A862C6" w:rsidTr="00054F76">
        <w:tc>
          <w:tcPr>
            <w:tcW w:w="5000" w:type="pct"/>
            <w:gridSpan w:val="5"/>
            <w:vAlign w:val="center"/>
          </w:tcPr>
          <w:p w:rsidR="00285CB1" w:rsidRPr="00A862C6" w:rsidRDefault="00285CB1" w:rsidP="001F4DDC">
            <w:pPr>
              <w:pStyle w:val="Tabletext"/>
              <w:keepNext/>
              <w:keepLines/>
              <w:rPr>
                <w:b/>
              </w:rPr>
            </w:pPr>
            <w:r w:rsidRPr="00A862C6">
              <w:rPr>
                <w:b/>
              </w:rPr>
              <w:t>18 month data cut</w:t>
            </w:r>
          </w:p>
        </w:tc>
      </w:tr>
      <w:tr w:rsidR="00285CB1" w:rsidRPr="00A862C6" w:rsidTr="00054F76">
        <w:tc>
          <w:tcPr>
            <w:tcW w:w="1254" w:type="pct"/>
            <w:vAlign w:val="center"/>
          </w:tcPr>
          <w:p w:rsidR="00285CB1" w:rsidRPr="00A862C6" w:rsidRDefault="00285CB1" w:rsidP="001F4DDC">
            <w:pPr>
              <w:pStyle w:val="Tabletext"/>
              <w:keepNext/>
              <w:keepLines/>
            </w:pPr>
            <w:r w:rsidRPr="00A862C6">
              <w:t>Events, n (%)</w:t>
            </w:r>
          </w:p>
        </w:tc>
        <w:tc>
          <w:tcPr>
            <w:tcW w:w="943" w:type="pct"/>
            <w:vAlign w:val="center"/>
          </w:tcPr>
          <w:p w:rsidR="00285CB1" w:rsidRPr="00A862C6" w:rsidRDefault="00285CB1" w:rsidP="001F4DDC">
            <w:pPr>
              <w:pStyle w:val="Tabletext"/>
              <w:keepNext/>
              <w:keepLines/>
              <w:jc w:val="center"/>
            </w:pPr>
            <w:r w:rsidRPr="00A862C6">
              <w:t>160 (76.2)</w:t>
            </w:r>
          </w:p>
        </w:tc>
        <w:tc>
          <w:tcPr>
            <w:tcW w:w="944" w:type="pct"/>
            <w:vAlign w:val="center"/>
          </w:tcPr>
          <w:p w:rsidR="00285CB1" w:rsidRPr="00A862C6" w:rsidRDefault="00285CB1" w:rsidP="001F4DDC">
            <w:pPr>
              <w:pStyle w:val="Tabletext"/>
              <w:keepNext/>
              <w:keepLines/>
              <w:jc w:val="center"/>
            </w:pPr>
            <w:r w:rsidRPr="00A862C6">
              <w:t>173 (82.8)</w:t>
            </w:r>
          </w:p>
        </w:tc>
        <w:tc>
          <w:tcPr>
            <w:tcW w:w="865" w:type="pct"/>
          </w:tcPr>
          <w:p w:rsidR="00285CB1" w:rsidRPr="00A862C6" w:rsidRDefault="00285CB1" w:rsidP="001F4DDC">
            <w:pPr>
              <w:pStyle w:val="Tabletext"/>
              <w:keepNext/>
              <w:keepLines/>
              <w:jc w:val="center"/>
            </w:pPr>
            <w:r w:rsidRPr="00A862C6">
              <w:t>52 (80.0)</w:t>
            </w:r>
          </w:p>
        </w:tc>
        <w:tc>
          <w:tcPr>
            <w:tcW w:w="994" w:type="pct"/>
          </w:tcPr>
          <w:p w:rsidR="00285CB1" w:rsidRPr="00A862C6" w:rsidRDefault="00285CB1" w:rsidP="001F4DDC">
            <w:pPr>
              <w:pStyle w:val="Tabletext"/>
              <w:keepNext/>
              <w:keepLines/>
              <w:jc w:val="center"/>
            </w:pPr>
            <w:r w:rsidRPr="00A862C6">
              <w:t>121 (84.0)</w:t>
            </w:r>
          </w:p>
        </w:tc>
      </w:tr>
      <w:tr w:rsidR="00285CB1" w:rsidRPr="00A862C6" w:rsidTr="00054F76">
        <w:tc>
          <w:tcPr>
            <w:tcW w:w="1254" w:type="pct"/>
            <w:vAlign w:val="center"/>
          </w:tcPr>
          <w:p w:rsidR="00285CB1" w:rsidRPr="00A862C6" w:rsidRDefault="00285CB1" w:rsidP="001F4DDC">
            <w:pPr>
              <w:pStyle w:val="Tabletext"/>
              <w:keepNext/>
              <w:keepLines/>
            </w:pPr>
            <w:r w:rsidRPr="00A862C6">
              <w:t>Median</w:t>
            </w:r>
            <w:r w:rsidRPr="00A862C6">
              <w:rPr>
                <w:vertAlign w:val="superscript"/>
              </w:rPr>
              <w:t>a</w:t>
            </w:r>
            <w:r w:rsidRPr="00A862C6">
              <w:t>, months (95% CI)</w:t>
            </w:r>
          </w:p>
        </w:tc>
        <w:tc>
          <w:tcPr>
            <w:tcW w:w="943" w:type="pct"/>
            <w:vAlign w:val="center"/>
          </w:tcPr>
          <w:p w:rsidR="00285CB1" w:rsidRPr="00A862C6" w:rsidRDefault="00285CB1" w:rsidP="001F4DDC">
            <w:pPr>
              <w:pStyle w:val="Tabletext"/>
              <w:keepNext/>
              <w:keepLines/>
              <w:jc w:val="center"/>
            </w:pPr>
            <w:r w:rsidRPr="00A862C6">
              <w:t>10.91 (9.23, 13.34)</w:t>
            </w:r>
          </w:p>
        </w:tc>
        <w:tc>
          <w:tcPr>
            <w:tcW w:w="944" w:type="pct"/>
            <w:vAlign w:val="center"/>
          </w:tcPr>
          <w:p w:rsidR="00285CB1" w:rsidRPr="00A862C6" w:rsidRDefault="00285CB1" w:rsidP="001F4DDC">
            <w:pPr>
              <w:pStyle w:val="Tabletext"/>
              <w:keepNext/>
              <w:keepLines/>
              <w:jc w:val="center"/>
            </w:pPr>
            <w:r w:rsidRPr="00A862C6">
              <w:t>8.38 (7.20, 9.86)</w:t>
            </w:r>
          </w:p>
        </w:tc>
        <w:tc>
          <w:tcPr>
            <w:tcW w:w="865" w:type="pct"/>
          </w:tcPr>
          <w:p w:rsidR="00285CB1" w:rsidRPr="00A862C6" w:rsidRDefault="00285CB1" w:rsidP="001F4DDC">
            <w:pPr>
              <w:pStyle w:val="Tabletext"/>
              <w:keepNext/>
              <w:keepLines/>
              <w:jc w:val="center"/>
            </w:pPr>
            <w:r w:rsidRPr="00A862C6">
              <w:t>7.62 (6.11, 10.68)</w:t>
            </w:r>
          </w:p>
        </w:tc>
        <w:tc>
          <w:tcPr>
            <w:tcW w:w="994" w:type="pct"/>
          </w:tcPr>
          <w:p w:rsidR="00285CB1" w:rsidRPr="00A862C6" w:rsidRDefault="00285CB1" w:rsidP="001F4DDC">
            <w:pPr>
              <w:pStyle w:val="Tabletext"/>
              <w:keepNext/>
              <w:keepLines/>
              <w:jc w:val="center"/>
            </w:pPr>
            <w:r w:rsidRPr="00A862C6">
              <w:t>8.51 (6.87, 9.89)</w:t>
            </w:r>
          </w:p>
        </w:tc>
      </w:tr>
      <w:tr w:rsidR="00285CB1" w:rsidRPr="00A862C6" w:rsidTr="00054F76">
        <w:tc>
          <w:tcPr>
            <w:tcW w:w="1254" w:type="pct"/>
            <w:vAlign w:val="center"/>
          </w:tcPr>
          <w:p w:rsidR="00285CB1" w:rsidRPr="00A862C6" w:rsidRDefault="00285CB1" w:rsidP="001F4DDC">
            <w:pPr>
              <w:pStyle w:val="Tabletext"/>
              <w:keepNext/>
              <w:keepLines/>
            </w:pPr>
            <w:r w:rsidRPr="00A862C6">
              <w:t>Difference, months</w:t>
            </w:r>
          </w:p>
        </w:tc>
        <w:tc>
          <w:tcPr>
            <w:tcW w:w="943" w:type="pct"/>
            <w:vAlign w:val="center"/>
          </w:tcPr>
          <w:p w:rsidR="00285CB1" w:rsidRPr="00A862C6" w:rsidRDefault="00285CB1" w:rsidP="001F4DDC">
            <w:pPr>
              <w:pStyle w:val="Tabletext"/>
              <w:keepNext/>
              <w:keepLines/>
              <w:jc w:val="center"/>
            </w:pPr>
            <w:r w:rsidRPr="00A862C6">
              <w:t>NA</w:t>
            </w:r>
          </w:p>
        </w:tc>
        <w:tc>
          <w:tcPr>
            <w:tcW w:w="944" w:type="pct"/>
            <w:vAlign w:val="center"/>
          </w:tcPr>
          <w:p w:rsidR="00285CB1" w:rsidRPr="00A862C6" w:rsidRDefault="00285CB1" w:rsidP="001F4DDC">
            <w:pPr>
              <w:pStyle w:val="Tabletext"/>
              <w:keepNext/>
              <w:keepLines/>
              <w:jc w:val="center"/>
            </w:pPr>
            <w:r w:rsidRPr="00A862C6">
              <w:t>-2.53</w:t>
            </w:r>
          </w:p>
        </w:tc>
        <w:tc>
          <w:tcPr>
            <w:tcW w:w="865" w:type="pct"/>
          </w:tcPr>
          <w:p w:rsidR="00285CB1" w:rsidRPr="00A862C6" w:rsidRDefault="00285CB1" w:rsidP="001F4DDC">
            <w:pPr>
              <w:pStyle w:val="Tabletext"/>
              <w:keepNext/>
              <w:keepLines/>
              <w:jc w:val="center"/>
            </w:pPr>
            <w:r w:rsidRPr="00A862C6">
              <w:t>-3.29</w:t>
            </w:r>
          </w:p>
        </w:tc>
        <w:tc>
          <w:tcPr>
            <w:tcW w:w="994" w:type="pct"/>
          </w:tcPr>
          <w:p w:rsidR="00285CB1" w:rsidRPr="00A862C6" w:rsidRDefault="00285CB1" w:rsidP="001F4DDC">
            <w:pPr>
              <w:pStyle w:val="Tabletext"/>
              <w:keepNext/>
              <w:keepLines/>
              <w:jc w:val="center"/>
            </w:pPr>
            <w:r w:rsidRPr="00A862C6">
              <w:t>-2.4</w:t>
            </w:r>
          </w:p>
        </w:tc>
      </w:tr>
      <w:tr w:rsidR="00285CB1" w:rsidRPr="00A862C6" w:rsidTr="00054F76">
        <w:tc>
          <w:tcPr>
            <w:tcW w:w="1254" w:type="pct"/>
            <w:vAlign w:val="center"/>
          </w:tcPr>
          <w:p w:rsidR="00285CB1" w:rsidRPr="00A862C6" w:rsidRDefault="00285CB1" w:rsidP="001F4DDC">
            <w:pPr>
              <w:pStyle w:val="Tabletext"/>
              <w:keepNext/>
              <w:keepLines/>
            </w:pPr>
            <w:r w:rsidRPr="00A862C6">
              <w:t>HR (95% CI)</w:t>
            </w:r>
            <w:r w:rsidRPr="00A862C6">
              <w:rPr>
                <w:vertAlign w:val="superscript"/>
              </w:rPr>
              <w:t>b</w:t>
            </w:r>
            <w:r w:rsidRPr="00A862C6">
              <w:t>, p-value</w:t>
            </w:r>
            <w:r w:rsidRPr="00A862C6">
              <w:rPr>
                <w:vertAlign w:val="superscript"/>
              </w:rPr>
              <w:t>c</w:t>
            </w:r>
          </w:p>
        </w:tc>
        <w:tc>
          <w:tcPr>
            <w:tcW w:w="943" w:type="pct"/>
            <w:vAlign w:val="center"/>
          </w:tcPr>
          <w:p w:rsidR="00285CB1" w:rsidRPr="00A862C6" w:rsidRDefault="00285CB1" w:rsidP="001F4DDC">
            <w:pPr>
              <w:pStyle w:val="Tabletext"/>
              <w:keepNext/>
              <w:keepLines/>
              <w:jc w:val="center"/>
            </w:pPr>
            <w:r w:rsidRPr="00A862C6">
              <w:t>NA</w:t>
            </w:r>
          </w:p>
        </w:tc>
        <w:tc>
          <w:tcPr>
            <w:tcW w:w="944" w:type="pct"/>
            <w:vAlign w:val="center"/>
          </w:tcPr>
          <w:p w:rsidR="00285CB1" w:rsidRPr="00A862C6" w:rsidRDefault="00285CB1" w:rsidP="001F4DDC">
            <w:pPr>
              <w:pStyle w:val="Tabletext"/>
              <w:keepNext/>
              <w:keepLines/>
              <w:jc w:val="center"/>
              <w:rPr>
                <w:b/>
              </w:rPr>
            </w:pPr>
            <w:r w:rsidRPr="00A862C6">
              <w:rPr>
                <w:b/>
              </w:rPr>
              <w:t>0.77 (0.62, 0.96),</w:t>
            </w:r>
          </w:p>
          <w:p w:rsidR="00285CB1" w:rsidRPr="00A862C6" w:rsidRDefault="00285CB1" w:rsidP="001F4DDC">
            <w:pPr>
              <w:pStyle w:val="Tabletext"/>
              <w:keepNext/>
              <w:keepLines/>
              <w:jc w:val="center"/>
            </w:pPr>
            <w:r w:rsidRPr="00A862C6">
              <w:rPr>
                <w:b/>
              </w:rPr>
              <w:t>p=0.0189</w:t>
            </w:r>
          </w:p>
        </w:tc>
        <w:tc>
          <w:tcPr>
            <w:tcW w:w="865" w:type="pct"/>
          </w:tcPr>
          <w:p w:rsidR="00285CB1" w:rsidRPr="00A862C6" w:rsidRDefault="00285CB1" w:rsidP="001F4DDC">
            <w:pPr>
              <w:pStyle w:val="Tabletext"/>
              <w:keepNext/>
              <w:keepLines/>
              <w:jc w:val="center"/>
            </w:pPr>
            <w:r w:rsidRPr="00A862C6">
              <w:t>0.78 (0.56, 1.07), p=NE</w:t>
            </w:r>
          </w:p>
        </w:tc>
        <w:tc>
          <w:tcPr>
            <w:tcW w:w="994" w:type="pct"/>
          </w:tcPr>
          <w:p w:rsidR="00285CB1" w:rsidRPr="00A862C6" w:rsidRDefault="00285CB1" w:rsidP="001F4DDC">
            <w:pPr>
              <w:pStyle w:val="Tabletext"/>
              <w:keepNext/>
              <w:keepLines/>
              <w:jc w:val="center"/>
            </w:pPr>
            <w:r w:rsidRPr="00A862C6">
              <w:t>0.76 (0.60, 0.97),</w:t>
            </w:r>
          </w:p>
          <w:p w:rsidR="00285CB1" w:rsidRPr="00A862C6" w:rsidRDefault="00285CB1" w:rsidP="001F4DDC">
            <w:pPr>
              <w:pStyle w:val="Tabletext"/>
              <w:keepNext/>
              <w:keepLines/>
              <w:jc w:val="center"/>
            </w:pPr>
            <w:r w:rsidRPr="00A862C6">
              <w:t>p=NE</w:t>
            </w:r>
          </w:p>
        </w:tc>
      </w:tr>
      <w:tr w:rsidR="00285CB1" w:rsidRPr="00A862C6" w:rsidTr="00054F76">
        <w:tc>
          <w:tcPr>
            <w:tcW w:w="5000" w:type="pct"/>
            <w:gridSpan w:val="5"/>
            <w:vAlign w:val="center"/>
          </w:tcPr>
          <w:p w:rsidR="00285CB1" w:rsidRPr="00A862C6" w:rsidRDefault="00285CB1" w:rsidP="001F4DDC">
            <w:pPr>
              <w:pStyle w:val="Tabletext"/>
              <w:keepNext/>
              <w:keepLines/>
            </w:pPr>
            <w:r w:rsidRPr="00A862C6">
              <w:t>OS rates</w:t>
            </w:r>
            <w:r w:rsidRPr="00A862C6">
              <w:rPr>
                <w:vertAlign w:val="superscript"/>
              </w:rPr>
              <w:t>d</w:t>
            </w:r>
          </w:p>
        </w:tc>
      </w:tr>
      <w:tr w:rsidR="00285CB1" w:rsidRPr="00A862C6" w:rsidTr="00054F76">
        <w:tc>
          <w:tcPr>
            <w:tcW w:w="1254" w:type="pct"/>
            <w:vAlign w:val="center"/>
          </w:tcPr>
          <w:p w:rsidR="00285CB1" w:rsidRPr="00A862C6" w:rsidRDefault="00285CB1" w:rsidP="001F4DDC">
            <w:pPr>
              <w:pStyle w:val="Tabletext"/>
              <w:keepNext/>
              <w:keepLines/>
            </w:pPr>
            <w:r w:rsidRPr="00A862C6">
              <w:t xml:space="preserve">    12-month</w:t>
            </w:r>
          </w:p>
        </w:tc>
        <w:tc>
          <w:tcPr>
            <w:tcW w:w="943" w:type="pct"/>
            <w:vAlign w:val="center"/>
          </w:tcPr>
          <w:p w:rsidR="00285CB1" w:rsidRPr="00A862C6" w:rsidRDefault="00285CB1" w:rsidP="001F4DDC">
            <w:pPr>
              <w:pStyle w:val="Tabletext"/>
              <w:keepNext/>
              <w:keepLines/>
              <w:jc w:val="center"/>
            </w:pPr>
            <w:r w:rsidRPr="00A862C6">
              <w:t>46.9 (39.9, 53.5)</w:t>
            </w:r>
          </w:p>
        </w:tc>
        <w:tc>
          <w:tcPr>
            <w:tcW w:w="944" w:type="pct"/>
            <w:vAlign w:val="center"/>
          </w:tcPr>
          <w:p w:rsidR="00285CB1" w:rsidRPr="00A862C6" w:rsidRDefault="00285CB1" w:rsidP="001F4DDC">
            <w:pPr>
              <w:pStyle w:val="Tabletext"/>
              <w:keepNext/>
              <w:keepLines/>
              <w:jc w:val="center"/>
            </w:pPr>
            <w:r w:rsidRPr="00A862C6">
              <w:t>34.4 (27.8, 40.9)</w:t>
            </w:r>
          </w:p>
        </w:tc>
        <w:tc>
          <w:tcPr>
            <w:tcW w:w="865" w:type="pct"/>
          </w:tcPr>
          <w:p w:rsidR="00285CB1" w:rsidRPr="00A862C6" w:rsidRDefault="00285CB1" w:rsidP="001F4DDC">
            <w:pPr>
              <w:pStyle w:val="Tabletext"/>
              <w:keepNext/>
              <w:keepLines/>
              <w:jc w:val="center"/>
            </w:pPr>
            <w:r w:rsidRPr="00A862C6">
              <w:t>34.6 (23.1, 46.3)</w:t>
            </w:r>
          </w:p>
        </w:tc>
        <w:tc>
          <w:tcPr>
            <w:tcW w:w="994" w:type="pct"/>
          </w:tcPr>
          <w:p w:rsidR="00285CB1" w:rsidRPr="00A862C6" w:rsidRDefault="00285CB1" w:rsidP="001F4DDC">
            <w:pPr>
              <w:pStyle w:val="Tabletext"/>
              <w:keepNext/>
              <w:keepLines/>
              <w:jc w:val="center"/>
            </w:pPr>
            <w:r w:rsidRPr="00A862C6">
              <w:t>34.3 (26.4, 42.1)</w:t>
            </w:r>
          </w:p>
        </w:tc>
      </w:tr>
      <w:tr w:rsidR="00285CB1" w:rsidRPr="00A862C6" w:rsidTr="00054F76">
        <w:tc>
          <w:tcPr>
            <w:tcW w:w="1254" w:type="pct"/>
            <w:vAlign w:val="center"/>
          </w:tcPr>
          <w:p w:rsidR="00285CB1" w:rsidRPr="00A862C6" w:rsidRDefault="00285CB1" w:rsidP="001F4DDC">
            <w:pPr>
              <w:pStyle w:val="Tabletext"/>
              <w:keepNext/>
              <w:keepLines/>
            </w:pPr>
            <w:r w:rsidRPr="00A862C6">
              <w:t xml:space="preserve">    24-month</w:t>
            </w:r>
          </w:p>
        </w:tc>
        <w:tc>
          <w:tcPr>
            <w:tcW w:w="943" w:type="pct"/>
            <w:vAlign w:val="center"/>
          </w:tcPr>
          <w:p w:rsidR="00285CB1" w:rsidRPr="00A862C6" w:rsidRDefault="00285CB1" w:rsidP="001F4DDC">
            <w:pPr>
              <w:pStyle w:val="Tabletext"/>
              <w:keepNext/>
              <w:keepLines/>
              <w:jc w:val="center"/>
            </w:pPr>
            <w:r w:rsidRPr="00A862C6">
              <w:t>19.1 (13.3, 25.6)</w:t>
            </w:r>
          </w:p>
        </w:tc>
        <w:tc>
          <w:tcPr>
            <w:tcW w:w="944" w:type="pct"/>
            <w:vAlign w:val="center"/>
          </w:tcPr>
          <w:p w:rsidR="00285CB1" w:rsidRPr="00A862C6" w:rsidRDefault="00285CB1" w:rsidP="001F4DDC">
            <w:pPr>
              <w:pStyle w:val="Tabletext"/>
              <w:keepNext/>
              <w:keepLines/>
              <w:jc w:val="center"/>
            </w:pPr>
            <w:r w:rsidRPr="00A862C6">
              <w:t>15.1 (10.3, 20.9)</w:t>
            </w:r>
          </w:p>
        </w:tc>
        <w:tc>
          <w:tcPr>
            <w:tcW w:w="865" w:type="pct"/>
          </w:tcPr>
          <w:p w:rsidR="00285CB1" w:rsidRPr="00A862C6" w:rsidRDefault="00285CB1" w:rsidP="001F4DDC">
            <w:pPr>
              <w:pStyle w:val="Tabletext"/>
              <w:keepNext/>
              <w:keepLines/>
              <w:jc w:val="center"/>
            </w:pPr>
            <w:r w:rsidRPr="00A862C6">
              <w:t>19.3 (10.4, 30.1)</w:t>
            </w:r>
          </w:p>
        </w:tc>
        <w:tc>
          <w:tcPr>
            <w:tcW w:w="994" w:type="pct"/>
          </w:tcPr>
          <w:p w:rsidR="00285CB1" w:rsidRPr="00A862C6" w:rsidRDefault="00285CB1" w:rsidP="001F4DDC">
            <w:pPr>
              <w:pStyle w:val="Tabletext"/>
              <w:keepNext/>
              <w:keepLines/>
              <w:jc w:val="center"/>
            </w:pPr>
            <w:r w:rsidRPr="00A862C6">
              <w:t>13.1 (7.5, 20.1)</w:t>
            </w:r>
          </w:p>
        </w:tc>
      </w:tr>
      <w:tr w:rsidR="00285CB1" w:rsidRPr="00A862C6" w:rsidTr="00054F76">
        <w:tc>
          <w:tcPr>
            <w:tcW w:w="1254" w:type="pct"/>
            <w:vAlign w:val="center"/>
          </w:tcPr>
          <w:p w:rsidR="00285CB1" w:rsidRPr="00A862C6" w:rsidRDefault="00285CB1" w:rsidP="001F4DDC">
            <w:pPr>
              <w:pStyle w:val="Tabletext"/>
              <w:keepNext/>
              <w:keepLines/>
            </w:pPr>
            <w:r w:rsidRPr="00A862C6">
              <w:t xml:space="preserve">    36-month</w:t>
            </w:r>
          </w:p>
        </w:tc>
        <w:tc>
          <w:tcPr>
            <w:tcW w:w="943" w:type="pct"/>
            <w:vAlign w:val="center"/>
          </w:tcPr>
          <w:p w:rsidR="00285CB1" w:rsidRPr="00A862C6" w:rsidRDefault="00285CB1" w:rsidP="001F4DDC">
            <w:pPr>
              <w:pStyle w:val="Tabletext"/>
              <w:keepNext/>
              <w:keepLines/>
              <w:jc w:val="center"/>
            </w:pPr>
            <w:r w:rsidRPr="00A862C6">
              <w:t>NR</w:t>
            </w:r>
          </w:p>
        </w:tc>
        <w:tc>
          <w:tcPr>
            <w:tcW w:w="944" w:type="pct"/>
            <w:vAlign w:val="center"/>
          </w:tcPr>
          <w:p w:rsidR="00285CB1" w:rsidRPr="00A862C6" w:rsidRDefault="00285CB1" w:rsidP="001F4DDC">
            <w:pPr>
              <w:pStyle w:val="Tabletext"/>
              <w:keepNext/>
              <w:keepLines/>
              <w:jc w:val="center"/>
            </w:pPr>
            <w:r w:rsidRPr="00A862C6">
              <w:t>NR</w:t>
            </w:r>
          </w:p>
        </w:tc>
        <w:tc>
          <w:tcPr>
            <w:tcW w:w="865" w:type="pct"/>
          </w:tcPr>
          <w:p w:rsidR="00285CB1" w:rsidRPr="00A862C6" w:rsidRDefault="00285CB1" w:rsidP="001F4DDC">
            <w:pPr>
              <w:pStyle w:val="Tabletext"/>
              <w:keepNext/>
              <w:keepLines/>
              <w:jc w:val="center"/>
            </w:pPr>
            <w:r w:rsidRPr="00A862C6">
              <w:t>NR</w:t>
            </w:r>
          </w:p>
        </w:tc>
        <w:tc>
          <w:tcPr>
            <w:tcW w:w="994" w:type="pct"/>
          </w:tcPr>
          <w:p w:rsidR="00285CB1" w:rsidRPr="00A862C6" w:rsidRDefault="00285CB1" w:rsidP="001F4DDC">
            <w:pPr>
              <w:pStyle w:val="Tabletext"/>
              <w:keepNext/>
              <w:keepLines/>
              <w:jc w:val="center"/>
            </w:pPr>
            <w:r w:rsidRPr="00A862C6">
              <w:t>NR</w:t>
            </w:r>
          </w:p>
        </w:tc>
      </w:tr>
      <w:tr w:rsidR="00285CB1" w:rsidRPr="00A862C6" w:rsidTr="00054F76">
        <w:tc>
          <w:tcPr>
            <w:tcW w:w="5000" w:type="pct"/>
            <w:gridSpan w:val="5"/>
            <w:vAlign w:val="center"/>
          </w:tcPr>
          <w:p w:rsidR="00285CB1" w:rsidRPr="00A862C6" w:rsidRDefault="00285CB1" w:rsidP="001F4DDC">
            <w:pPr>
              <w:pStyle w:val="Tabletext"/>
              <w:keepNext/>
              <w:keepLines/>
              <w:rPr>
                <w:b/>
              </w:rPr>
            </w:pPr>
            <w:r w:rsidRPr="00A862C6">
              <w:rPr>
                <w:b/>
              </w:rPr>
              <w:t>3 year data cut</w:t>
            </w:r>
          </w:p>
        </w:tc>
      </w:tr>
      <w:tr w:rsidR="00285CB1" w:rsidRPr="00A862C6" w:rsidTr="00054F76">
        <w:tc>
          <w:tcPr>
            <w:tcW w:w="1254" w:type="pct"/>
            <w:vAlign w:val="center"/>
          </w:tcPr>
          <w:p w:rsidR="00285CB1" w:rsidRPr="00A862C6" w:rsidRDefault="00285CB1" w:rsidP="001F4DDC">
            <w:pPr>
              <w:pStyle w:val="Tabletext"/>
              <w:keepNext/>
              <w:keepLines/>
            </w:pPr>
            <w:r w:rsidRPr="00A862C6">
              <w:t>Events, n (%)</w:t>
            </w:r>
          </w:p>
        </w:tc>
        <w:tc>
          <w:tcPr>
            <w:tcW w:w="943" w:type="pct"/>
            <w:vAlign w:val="center"/>
          </w:tcPr>
          <w:p w:rsidR="00285CB1" w:rsidRPr="00A862C6" w:rsidRDefault="00285CB1" w:rsidP="001F4DDC">
            <w:pPr>
              <w:pStyle w:val="Tabletext"/>
              <w:keepNext/>
              <w:keepLines/>
              <w:jc w:val="center"/>
            </w:pPr>
            <w:r w:rsidRPr="00A862C6">
              <w:t>179 (85.2)</w:t>
            </w:r>
          </w:p>
        </w:tc>
        <w:tc>
          <w:tcPr>
            <w:tcW w:w="944" w:type="pct"/>
            <w:vAlign w:val="center"/>
          </w:tcPr>
          <w:p w:rsidR="00285CB1" w:rsidRPr="00A862C6" w:rsidRDefault="00285CB1" w:rsidP="001F4DDC">
            <w:pPr>
              <w:pStyle w:val="Tabletext"/>
              <w:keepNext/>
              <w:keepLines/>
              <w:jc w:val="center"/>
            </w:pPr>
            <w:r w:rsidRPr="00A862C6">
              <w:t>186 (89.0)</w:t>
            </w:r>
          </w:p>
        </w:tc>
        <w:tc>
          <w:tcPr>
            <w:tcW w:w="865" w:type="pct"/>
          </w:tcPr>
          <w:p w:rsidR="00285CB1" w:rsidRPr="00A862C6" w:rsidRDefault="00285CB1" w:rsidP="001F4DDC">
            <w:pPr>
              <w:pStyle w:val="Tabletext"/>
              <w:keepNext/>
              <w:keepLines/>
              <w:jc w:val="center"/>
            </w:pPr>
            <w:r w:rsidRPr="00A862C6">
              <w:t>NR</w:t>
            </w:r>
          </w:p>
        </w:tc>
        <w:tc>
          <w:tcPr>
            <w:tcW w:w="994" w:type="pct"/>
          </w:tcPr>
          <w:p w:rsidR="00285CB1" w:rsidRPr="00A862C6" w:rsidRDefault="00285CB1" w:rsidP="001F4DDC">
            <w:pPr>
              <w:pStyle w:val="Tabletext"/>
              <w:keepNext/>
              <w:keepLines/>
              <w:jc w:val="center"/>
            </w:pPr>
            <w:r w:rsidRPr="00A862C6">
              <w:t>NR</w:t>
            </w:r>
          </w:p>
        </w:tc>
      </w:tr>
      <w:tr w:rsidR="00285CB1" w:rsidRPr="00A862C6" w:rsidTr="00054F76">
        <w:tc>
          <w:tcPr>
            <w:tcW w:w="1254" w:type="pct"/>
            <w:vAlign w:val="center"/>
          </w:tcPr>
          <w:p w:rsidR="00285CB1" w:rsidRPr="00A862C6" w:rsidRDefault="00285CB1" w:rsidP="001F4DDC">
            <w:pPr>
              <w:pStyle w:val="Tabletext"/>
              <w:keepNext/>
              <w:keepLines/>
            </w:pPr>
            <w:r w:rsidRPr="00A862C6">
              <w:t>Median</w:t>
            </w:r>
            <w:r w:rsidRPr="00A862C6">
              <w:rPr>
                <w:vertAlign w:val="superscript"/>
              </w:rPr>
              <w:t>a</w:t>
            </w:r>
            <w:r w:rsidRPr="00A862C6">
              <w:t>, months (95% CI)</w:t>
            </w:r>
          </w:p>
        </w:tc>
        <w:tc>
          <w:tcPr>
            <w:tcW w:w="943" w:type="pct"/>
            <w:vAlign w:val="center"/>
          </w:tcPr>
          <w:p w:rsidR="00285CB1" w:rsidRPr="00A862C6" w:rsidRDefault="00285CB1" w:rsidP="001F4DDC">
            <w:pPr>
              <w:pStyle w:val="Tabletext"/>
              <w:keepNext/>
              <w:keepLines/>
              <w:jc w:val="center"/>
            </w:pPr>
            <w:r w:rsidRPr="00A862C6">
              <w:t>10.91 (9.23, 13.34)</w:t>
            </w:r>
          </w:p>
        </w:tc>
        <w:tc>
          <w:tcPr>
            <w:tcW w:w="944" w:type="pct"/>
            <w:vAlign w:val="center"/>
          </w:tcPr>
          <w:p w:rsidR="00285CB1" w:rsidRPr="00A862C6" w:rsidRDefault="00285CB1" w:rsidP="001F4DDC">
            <w:pPr>
              <w:pStyle w:val="Tabletext"/>
              <w:keepNext/>
              <w:keepLines/>
              <w:jc w:val="center"/>
            </w:pPr>
            <w:r w:rsidRPr="00A862C6">
              <w:t>8.51 (7.29, 9.86)</w:t>
            </w:r>
          </w:p>
        </w:tc>
        <w:tc>
          <w:tcPr>
            <w:tcW w:w="865" w:type="pct"/>
          </w:tcPr>
          <w:p w:rsidR="00285CB1" w:rsidRPr="00A862C6" w:rsidRDefault="00285CB1" w:rsidP="001F4DDC">
            <w:pPr>
              <w:pStyle w:val="Tabletext"/>
              <w:keepNext/>
              <w:keepLines/>
              <w:jc w:val="center"/>
            </w:pPr>
            <w:r w:rsidRPr="00A862C6">
              <w:t>NR</w:t>
            </w:r>
          </w:p>
        </w:tc>
        <w:tc>
          <w:tcPr>
            <w:tcW w:w="994" w:type="pct"/>
          </w:tcPr>
          <w:p w:rsidR="00285CB1" w:rsidRPr="00A862C6" w:rsidRDefault="00285CB1" w:rsidP="001F4DDC">
            <w:pPr>
              <w:pStyle w:val="Tabletext"/>
              <w:keepNext/>
              <w:keepLines/>
              <w:jc w:val="center"/>
            </w:pPr>
            <w:r w:rsidRPr="00A862C6">
              <w:t>NR</w:t>
            </w:r>
          </w:p>
        </w:tc>
      </w:tr>
      <w:tr w:rsidR="00285CB1" w:rsidRPr="00A862C6" w:rsidTr="00054F76">
        <w:tc>
          <w:tcPr>
            <w:tcW w:w="1254" w:type="pct"/>
            <w:vAlign w:val="center"/>
          </w:tcPr>
          <w:p w:rsidR="00285CB1" w:rsidRPr="00A862C6" w:rsidRDefault="00285CB1" w:rsidP="001F4DDC">
            <w:pPr>
              <w:pStyle w:val="Tabletext"/>
              <w:keepNext/>
              <w:keepLines/>
            </w:pPr>
            <w:r w:rsidRPr="00A862C6">
              <w:t>Difference, months</w:t>
            </w:r>
          </w:p>
        </w:tc>
        <w:tc>
          <w:tcPr>
            <w:tcW w:w="943" w:type="pct"/>
            <w:vAlign w:val="center"/>
          </w:tcPr>
          <w:p w:rsidR="00285CB1" w:rsidRPr="00A862C6" w:rsidRDefault="00285CB1" w:rsidP="001F4DDC">
            <w:pPr>
              <w:pStyle w:val="Tabletext"/>
              <w:keepNext/>
              <w:keepLines/>
              <w:jc w:val="center"/>
            </w:pPr>
            <w:r w:rsidRPr="00A862C6">
              <w:t>NA</w:t>
            </w:r>
          </w:p>
        </w:tc>
        <w:tc>
          <w:tcPr>
            <w:tcW w:w="944" w:type="pct"/>
            <w:vAlign w:val="center"/>
          </w:tcPr>
          <w:p w:rsidR="00285CB1" w:rsidRPr="00A862C6" w:rsidRDefault="00285CB1" w:rsidP="001F4DDC">
            <w:pPr>
              <w:pStyle w:val="Tabletext"/>
              <w:keepNext/>
              <w:keepLines/>
              <w:jc w:val="center"/>
            </w:pPr>
            <w:r w:rsidRPr="00A862C6">
              <w:t>-2.4</w:t>
            </w:r>
          </w:p>
        </w:tc>
        <w:tc>
          <w:tcPr>
            <w:tcW w:w="865" w:type="pct"/>
          </w:tcPr>
          <w:p w:rsidR="00285CB1" w:rsidRPr="00A862C6" w:rsidRDefault="00285CB1" w:rsidP="001F4DDC">
            <w:pPr>
              <w:pStyle w:val="Tabletext"/>
              <w:keepNext/>
              <w:keepLines/>
              <w:jc w:val="center"/>
            </w:pPr>
            <w:r w:rsidRPr="00A862C6">
              <w:t>NR</w:t>
            </w:r>
          </w:p>
        </w:tc>
        <w:tc>
          <w:tcPr>
            <w:tcW w:w="994" w:type="pct"/>
          </w:tcPr>
          <w:p w:rsidR="00285CB1" w:rsidRPr="00A862C6" w:rsidRDefault="00285CB1" w:rsidP="001F4DDC">
            <w:pPr>
              <w:pStyle w:val="Tabletext"/>
              <w:keepNext/>
              <w:keepLines/>
              <w:jc w:val="center"/>
            </w:pPr>
            <w:r w:rsidRPr="00A862C6">
              <w:t>NR</w:t>
            </w:r>
          </w:p>
        </w:tc>
      </w:tr>
      <w:tr w:rsidR="00285CB1" w:rsidRPr="00A862C6" w:rsidTr="00054F76">
        <w:tc>
          <w:tcPr>
            <w:tcW w:w="1254" w:type="pct"/>
            <w:vAlign w:val="center"/>
          </w:tcPr>
          <w:p w:rsidR="00285CB1" w:rsidRPr="00A862C6" w:rsidRDefault="00285CB1" w:rsidP="001F4DDC">
            <w:pPr>
              <w:pStyle w:val="Tabletext"/>
              <w:keepNext/>
              <w:keepLines/>
            </w:pPr>
            <w:r w:rsidRPr="00A862C6">
              <w:t>HR (95% CI)</w:t>
            </w:r>
            <w:r w:rsidRPr="00A862C6">
              <w:rPr>
                <w:vertAlign w:val="superscript"/>
              </w:rPr>
              <w:t>b</w:t>
            </w:r>
            <w:r w:rsidRPr="00A862C6">
              <w:t>, p-value</w:t>
            </w:r>
            <w:r w:rsidRPr="00A862C6">
              <w:rPr>
                <w:vertAlign w:val="superscript"/>
              </w:rPr>
              <w:t>c</w:t>
            </w:r>
          </w:p>
        </w:tc>
        <w:tc>
          <w:tcPr>
            <w:tcW w:w="943" w:type="pct"/>
            <w:vAlign w:val="center"/>
          </w:tcPr>
          <w:p w:rsidR="00285CB1" w:rsidRPr="00A862C6" w:rsidRDefault="00285CB1" w:rsidP="001F4DDC">
            <w:pPr>
              <w:pStyle w:val="Tabletext"/>
              <w:keepNext/>
              <w:keepLines/>
              <w:jc w:val="center"/>
            </w:pPr>
            <w:r w:rsidRPr="00A862C6">
              <w:t>NA</w:t>
            </w:r>
          </w:p>
        </w:tc>
        <w:tc>
          <w:tcPr>
            <w:tcW w:w="944" w:type="pct"/>
            <w:vAlign w:val="center"/>
          </w:tcPr>
          <w:p w:rsidR="00285CB1" w:rsidRPr="00A862C6" w:rsidRDefault="00285CB1" w:rsidP="001F4DDC">
            <w:pPr>
              <w:pStyle w:val="Tabletext"/>
              <w:keepNext/>
              <w:keepLines/>
              <w:jc w:val="center"/>
              <w:rPr>
                <w:b/>
              </w:rPr>
            </w:pPr>
            <w:r w:rsidRPr="00A862C6">
              <w:rPr>
                <w:b/>
              </w:rPr>
              <w:t>0.79 (0.64, 0.97),</w:t>
            </w:r>
          </w:p>
          <w:p w:rsidR="00285CB1" w:rsidRPr="00A862C6" w:rsidRDefault="00285CB1" w:rsidP="001F4DDC">
            <w:pPr>
              <w:pStyle w:val="Tabletext"/>
              <w:keepNext/>
              <w:keepLines/>
              <w:jc w:val="center"/>
            </w:pPr>
            <w:r w:rsidRPr="00A862C6">
              <w:rPr>
                <w:b/>
              </w:rPr>
              <w:t>p=0.0264</w:t>
            </w:r>
          </w:p>
        </w:tc>
        <w:tc>
          <w:tcPr>
            <w:tcW w:w="865" w:type="pct"/>
          </w:tcPr>
          <w:p w:rsidR="00285CB1" w:rsidRPr="00A862C6" w:rsidRDefault="00285CB1" w:rsidP="001F4DDC">
            <w:pPr>
              <w:pStyle w:val="Tabletext"/>
              <w:keepNext/>
              <w:keepLines/>
              <w:jc w:val="center"/>
            </w:pPr>
            <w:r w:rsidRPr="00A862C6">
              <w:t>NR</w:t>
            </w:r>
          </w:p>
        </w:tc>
        <w:tc>
          <w:tcPr>
            <w:tcW w:w="994" w:type="pct"/>
          </w:tcPr>
          <w:p w:rsidR="00285CB1" w:rsidRPr="00A862C6" w:rsidRDefault="00285CB1" w:rsidP="001F4DDC">
            <w:pPr>
              <w:pStyle w:val="Tabletext"/>
              <w:keepNext/>
              <w:keepLines/>
              <w:jc w:val="center"/>
            </w:pPr>
            <w:r w:rsidRPr="00A862C6">
              <w:t>NR</w:t>
            </w:r>
          </w:p>
        </w:tc>
      </w:tr>
      <w:tr w:rsidR="00285CB1" w:rsidRPr="00A862C6" w:rsidTr="00054F76">
        <w:tc>
          <w:tcPr>
            <w:tcW w:w="5000" w:type="pct"/>
            <w:gridSpan w:val="5"/>
            <w:vAlign w:val="center"/>
          </w:tcPr>
          <w:p w:rsidR="00285CB1" w:rsidRPr="00A862C6" w:rsidRDefault="00285CB1" w:rsidP="001F4DDC">
            <w:pPr>
              <w:pStyle w:val="Tabletext"/>
              <w:keepNext/>
              <w:keepLines/>
            </w:pPr>
            <w:r w:rsidRPr="00A862C6">
              <w:t>OS rates</w:t>
            </w:r>
            <w:r w:rsidRPr="00A862C6">
              <w:rPr>
                <w:vertAlign w:val="superscript"/>
              </w:rPr>
              <w:t>d</w:t>
            </w:r>
          </w:p>
        </w:tc>
      </w:tr>
      <w:tr w:rsidR="00285CB1" w:rsidRPr="00A862C6" w:rsidTr="00054F76">
        <w:tc>
          <w:tcPr>
            <w:tcW w:w="1254" w:type="pct"/>
            <w:vAlign w:val="center"/>
          </w:tcPr>
          <w:p w:rsidR="00285CB1" w:rsidRPr="00A862C6" w:rsidRDefault="00285CB1" w:rsidP="001F4DDC">
            <w:pPr>
              <w:pStyle w:val="Tabletext"/>
              <w:keepNext/>
              <w:keepLines/>
            </w:pPr>
            <w:r w:rsidRPr="00A862C6">
              <w:t xml:space="preserve">    12-month</w:t>
            </w:r>
          </w:p>
        </w:tc>
        <w:tc>
          <w:tcPr>
            <w:tcW w:w="943" w:type="pct"/>
            <w:vAlign w:val="center"/>
          </w:tcPr>
          <w:p w:rsidR="00285CB1" w:rsidRPr="00A862C6" w:rsidRDefault="00285CB1" w:rsidP="001F4DDC">
            <w:pPr>
              <w:pStyle w:val="Tabletext"/>
              <w:keepNext/>
              <w:keepLines/>
              <w:jc w:val="center"/>
            </w:pPr>
            <w:r w:rsidRPr="00A862C6">
              <w:t>46.9 (39.9, 53.5)</w:t>
            </w:r>
          </w:p>
        </w:tc>
        <w:tc>
          <w:tcPr>
            <w:tcW w:w="944" w:type="pct"/>
            <w:vAlign w:val="center"/>
          </w:tcPr>
          <w:p w:rsidR="00285CB1" w:rsidRPr="00A862C6" w:rsidRDefault="00285CB1" w:rsidP="001F4DDC">
            <w:pPr>
              <w:pStyle w:val="Tabletext"/>
              <w:keepNext/>
              <w:keepLines/>
              <w:jc w:val="center"/>
            </w:pPr>
            <w:r w:rsidRPr="00A862C6">
              <w:t>34.7 (28.2, 41.2)</w:t>
            </w:r>
          </w:p>
        </w:tc>
        <w:tc>
          <w:tcPr>
            <w:tcW w:w="865" w:type="pct"/>
          </w:tcPr>
          <w:p w:rsidR="00285CB1" w:rsidRPr="00A862C6" w:rsidRDefault="00285CB1" w:rsidP="001F4DDC">
            <w:pPr>
              <w:pStyle w:val="Tabletext"/>
              <w:keepNext/>
              <w:keepLines/>
              <w:jc w:val="center"/>
            </w:pPr>
            <w:r w:rsidRPr="00A862C6">
              <w:t>NR</w:t>
            </w:r>
          </w:p>
        </w:tc>
        <w:tc>
          <w:tcPr>
            <w:tcW w:w="994" w:type="pct"/>
          </w:tcPr>
          <w:p w:rsidR="00285CB1" w:rsidRPr="00A862C6" w:rsidRDefault="00285CB1" w:rsidP="001F4DDC">
            <w:pPr>
              <w:pStyle w:val="Tabletext"/>
              <w:keepNext/>
              <w:keepLines/>
              <w:jc w:val="center"/>
            </w:pPr>
            <w:r w:rsidRPr="00A862C6">
              <w:t>NR</w:t>
            </w:r>
          </w:p>
        </w:tc>
      </w:tr>
      <w:tr w:rsidR="00285CB1" w:rsidRPr="00A862C6" w:rsidTr="00054F76">
        <w:tc>
          <w:tcPr>
            <w:tcW w:w="1254" w:type="pct"/>
            <w:vAlign w:val="center"/>
          </w:tcPr>
          <w:p w:rsidR="00285CB1" w:rsidRPr="00A862C6" w:rsidRDefault="00285CB1" w:rsidP="001F4DDC">
            <w:pPr>
              <w:pStyle w:val="Tabletext"/>
              <w:keepNext/>
              <w:keepLines/>
            </w:pPr>
            <w:r w:rsidRPr="00A862C6">
              <w:t xml:space="preserve">    24-month</w:t>
            </w:r>
          </w:p>
        </w:tc>
        <w:tc>
          <w:tcPr>
            <w:tcW w:w="943" w:type="pct"/>
            <w:vAlign w:val="center"/>
          </w:tcPr>
          <w:p w:rsidR="00285CB1" w:rsidRPr="00A862C6" w:rsidRDefault="00285CB1" w:rsidP="001F4DDC">
            <w:pPr>
              <w:pStyle w:val="Tabletext"/>
              <w:keepNext/>
              <w:keepLines/>
              <w:jc w:val="center"/>
            </w:pPr>
            <w:r w:rsidRPr="00A862C6">
              <w:t>20.2 (15.0, 26.0)</w:t>
            </w:r>
          </w:p>
        </w:tc>
        <w:tc>
          <w:tcPr>
            <w:tcW w:w="944" w:type="pct"/>
            <w:vAlign w:val="center"/>
          </w:tcPr>
          <w:p w:rsidR="00285CB1" w:rsidRPr="00A862C6" w:rsidRDefault="00285CB1" w:rsidP="001F4DDC">
            <w:pPr>
              <w:pStyle w:val="Tabletext"/>
              <w:keepNext/>
              <w:keepLines/>
              <w:jc w:val="center"/>
            </w:pPr>
            <w:r w:rsidRPr="00A862C6">
              <w:t>13.5 (9.2, 18.6)</w:t>
            </w:r>
          </w:p>
        </w:tc>
        <w:tc>
          <w:tcPr>
            <w:tcW w:w="865" w:type="pct"/>
          </w:tcPr>
          <w:p w:rsidR="00285CB1" w:rsidRPr="00A862C6" w:rsidRDefault="00285CB1" w:rsidP="001F4DDC">
            <w:pPr>
              <w:pStyle w:val="Tabletext"/>
              <w:keepNext/>
              <w:keepLines/>
              <w:jc w:val="center"/>
            </w:pPr>
            <w:r w:rsidRPr="00A862C6">
              <w:t>NR</w:t>
            </w:r>
          </w:p>
        </w:tc>
        <w:tc>
          <w:tcPr>
            <w:tcW w:w="994" w:type="pct"/>
          </w:tcPr>
          <w:p w:rsidR="00285CB1" w:rsidRPr="00A862C6" w:rsidRDefault="00285CB1" w:rsidP="001F4DDC">
            <w:pPr>
              <w:pStyle w:val="Tabletext"/>
              <w:keepNext/>
              <w:keepLines/>
              <w:jc w:val="center"/>
            </w:pPr>
            <w:r w:rsidRPr="00A862C6">
              <w:t>NR</w:t>
            </w:r>
          </w:p>
        </w:tc>
      </w:tr>
      <w:tr w:rsidR="00285CB1" w:rsidRPr="00A862C6" w:rsidTr="00054F76">
        <w:tc>
          <w:tcPr>
            <w:tcW w:w="1254" w:type="pct"/>
            <w:vAlign w:val="center"/>
          </w:tcPr>
          <w:p w:rsidR="00285CB1" w:rsidRPr="00A862C6" w:rsidRDefault="00285CB1" w:rsidP="001F4DDC">
            <w:pPr>
              <w:pStyle w:val="Tabletext"/>
              <w:keepNext/>
              <w:keepLines/>
            </w:pPr>
            <w:r w:rsidRPr="00A862C6">
              <w:t xml:space="preserve">    36-month</w:t>
            </w:r>
          </w:p>
        </w:tc>
        <w:tc>
          <w:tcPr>
            <w:tcW w:w="943" w:type="pct"/>
            <w:vAlign w:val="center"/>
          </w:tcPr>
          <w:p w:rsidR="00285CB1" w:rsidRPr="00A862C6" w:rsidRDefault="00285CB1" w:rsidP="001F4DDC">
            <w:pPr>
              <w:pStyle w:val="Tabletext"/>
              <w:keepNext/>
              <w:keepLines/>
              <w:jc w:val="center"/>
            </w:pPr>
            <w:r w:rsidRPr="00A862C6">
              <w:t>15.3 (10.7, 20.6)</w:t>
            </w:r>
          </w:p>
        </w:tc>
        <w:tc>
          <w:tcPr>
            <w:tcW w:w="944" w:type="pct"/>
            <w:vAlign w:val="center"/>
          </w:tcPr>
          <w:p w:rsidR="00285CB1" w:rsidRPr="00A862C6" w:rsidRDefault="00285CB1" w:rsidP="001F4DDC">
            <w:pPr>
              <w:pStyle w:val="Tabletext"/>
              <w:keepNext/>
              <w:keepLines/>
              <w:jc w:val="center"/>
            </w:pPr>
            <w:r w:rsidRPr="00A862C6">
              <w:t>8.7 (5.3, 13.2)</w:t>
            </w:r>
          </w:p>
        </w:tc>
        <w:tc>
          <w:tcPr>
            <w:tcW w:w="865" w:type="pct"/>
          </w:tcPr>
          <w:p w:rsidR="00285CB1" w:rsidRPr="00A862C6" w:rsidRDefault="00285CB1" w:rsidP="001F4DDC">
            <w:pPr>
              <w:pStyle w:val="Tabletext"/>
              <w:keepNext/>
              <w:keepLines/>
              <w:jc w:val="center"/>
            </w:pPr>
            <w:r w:rsidRPr="00A862C6">
              <w:t>NR</w:t>
            </w:r>
          </w:p>
        </w:tc>
        <w:tc>
          <w:tcPr>
            <w:tcW w:w="994" w:type="pct"/>
          </w:tcPr>
          <w:p w:rsidR="00285CB1" w:rsidRPr="00A862C6" w:rsidRDefault="00285CB1" w:rsidP="001F4DDC">
            <w:pPr>
              <w:pStyle w:val="Tabletext"/>
              <w:keepNext/>
              <w:keepLines/>
              <w:jc w:val="center"/>
            </w:pPr>
            <w:r w:rsidRPr="00A862C6">
              <w:t>NR</w:t>
            </w:r>
          </w:p>
        </w:tc>
      </w:tr>
    </w:tbl>
    <w:p w:rsidR="00285CB1" w:rsidRPr="00A862C6" w:rsidRDefault="00285CB1" w:rsidP="001F4DDC">
      <w:pPr>
        <w:pStyle w:val="TableFooter"/>
        <w:keepNext/>
        <w:keepLines/>
        <w:rPr>
          <w:szCs w:val="18"/>
        </w:rPr>
      </w:pPr>
      <w:r w:rsidRPr="00A862C6">
        <w:rPr>
          <w:szCs w:val="18"/>
        </w:rPr>
        <w:t>Source: Table 28, p59 of the submission and Table 1, p5 of the 3 year update report.</w:t>
      </w:r>
    </w:p>
    <w:p w:rsidR="00285CB1" w:rsidRPr="00A862C6" w:rsidRDefault="00285CB1" w:rsidP="001F4DDC">
      <w:pPr>
        <w:pStyle w:val="TableFooter"/>
        <w:keepNext/>
        <w:keepLines/>
        <w:rPr>
          <w:szCs w:val="18"/>
        </w:rPr>
      </w:pPr>
      <w:r w:rsidRPr="00A862C6">
        <w:rPr>
          <w:szCs w:val="18"/>
        </w:rPr>
        <w:t>CI = confidence interval; DOC = docetaxel; IC = investigator’s choice; NA = not applicable; NE = not evaluated; NIVO = nivolumab; NR = not reported; OS= overall survival; PAC = paclitaxel.</w:t>
      </w:r>
    </w:p>
    <w:p w:rsidR="00285CB1" w:rsidRPr="00A862C6" w:rsidRDefault="00285CB1" w:rsidP="001F4DDC">
      <w:pPr>
        <w:pStyle w:val="TableFooter"/>
        <w:keepNext/>
        <w:keepLines/>
        <w:rPr>
          <w:szCs w:val="18"/>
        </w:rPr>
      </w:pPr>
      <w:r w:rsidRPr="00A862C6">
        <w:rPr>
          <w:szCs w:val="18"/>
        </w:rPr>
        <w:t>1 month = 30.4375 days</w:t>
      </w:r>
    </w:p>
    <w:p w:rsidR="00285CB1" w:rsidRPr="00A862C6" w:rsidRDefault="00285CB1" w:rsidP="001F4DDC">
      <w:pPr>
        <w:pStyle w:val="TableFooter"/>
        <w:keepNext/>
        <w:keepLines/>
        <w:rPr>
          <w:szCs w:val="18"/>
        </w:rPr>
      </w:pPr>
      <w:r w:rsidRPr="00A862C6">
        <w:rPr>
          <w:szCs w:val="18"/>
        </w:rPr>
        <w:t>a This estimation was conducted by using the KM method.</w:t>
      </w:r>
    </w:p>
    <w:p w:rsidR="00285CB1" w:rsidRPr="00A862C6" w:rsidRDefault="00285CB1" w:rsidP="001F4DDC">
      <w:pPr>
        <w:pStyle w:val="TableFooter"/>
        <w:keepNext/>
        <w:keepLines/>
        <w:rPr>
          <w:szCs w:val="18"/>
        </w:rPr>
      </w:pPr>
      <w:r w:rsidRPr="00A862C6">
        <w:rPr>
          <w:szCs w:val="18"/>
        </w:rPr>
        <w:t xml:space="preserve">b Hazard ratio and the corresponding two-sided 95% CI for the </w:t>
      </w:r>
      <w:r w:rsidR="00DA124C" w:rsidRPr="00A862C6">
        <w:rPr>
          <w:szCs w:val="18"/>
        </w:rPr>
        <w:t>n</w:t>
      </w:r>
      <w:r w:rsidRPr="00A862C6">
        <w:rPr>
          <w:szCs w:val="18"/>
        </w:rPr>
        <w:t>ivolumab group relative to e</w:t>
      </w:r>
      <w:r w:rsidR="005437C9" w:rsidRPr="00A862C6">
        <w:rPr>
          <w:szCs w:val="18"/>
        </w:rPr>
        <w:t xml:space="preserve">ach column group was calculated </w:t>
      </w:r>
      <w:r w:rsidRPr="00A862C6">
        <w:rPr>
          <w:szCs w:val="18"/>
        </w:rPr>
        <w:t>by using the stratified Cox proportional-hazards model stratified by the three stratification factors (IWRS source); 1) Location (Japan vs. Rest of the world) 2) The number of organs with metastases (&lt;=1 vs. &gt;=2) 3) PD-L1 expression (&gt;=1% vs. &lt;1% or indeterminate).</w:t>
      </w:r>
    </w:p>
    <w:p w:rsidR="00285CB1" w:rsidRPr="00A862C6" w:rsidRDefault="00285CB1" w:rsidP="001F4DDC">
      <w:pPr>
        <w:pStyle w:val="TableFooter"/>
        <w:keepNext/>
        <w:keepLines/>
        <w:rPr>
          <w:szCs w:val="18"/>
        </w:rPr>
      </w:pPr>
      <w:r w:rsidRPr="00A862C6">
        <w:rPr>
          <w:szCs w:val="18"/>
        </w:rPr>
        <w:t xml:space="preserve">c Nivolumab group and total of control group were used for the calculation of p-value. The calculation of p-value was conducted by using the two-sided stratified log-rank test stratified by the three stratification factors (IWRS source) presented 1)-3). </w:t>
      </w:r>
    </w:p>
    <w:p w:rsidR="00285CB1" w:rsidRPr="00A862C6" w:rsidRDefault="00285CB1" w:rsidP="001F4DDC">
      <w:pPr>
        <w:pStyle w:val="TableFooter"/>
        <w:keepNext/>
        <w:keepLines/>
        <w:rPr>
          <w:szCs w:val="18"/>
        </w:rPr>
      </w:pPr>
      <w:r w:rsidRPr="00A862C6">
        <w:rPr>
          <w:szCs w:val="18"/>
        </w:rPr>
        <w:t>d the estimation of the survival rate was derived from the Kaplan-Meier estimate and corresponding CI was derived based on Greenwood formula for variance and on log-log transformation.</w:t>
      </w:r>
    </w:p>
    <w:p w:rsidR="00285CB1" w:rsidRPr="00A862C6" w:rsidRDefault="00285CB1" w:rsidP="001F4DDC">
      <w:pPr>
        <w:pStyle w:val="TableFooter"/>
        <w:keepNext/>
        <w:keepLines/>
        <w:rPr>
          <w:szCs w:val="18"/>
        </w:rPr>
      </w:pPr>
      <w:r w:rsidRPr="00A862C6">
        <w:rPr>
          <w:szCs w:val="18"/>
        </w:rPr>
        <w:t>Values in bold indicate statistical significant differences</w:t>
      </w:r>
      <w:r w:rsidR="00845F7B" w:rsidRPr="00A862C6">
        <w:rPr>
          <w:szCs w:val="18"/>
        </w:rPr>
        <w:t>.</w:t>
      </w:r>
    </w:p>
    <w:p w:rsidR="00285CB1" w:rsidRPr="00A862C6" w:rsidRDefault="00285CB1" w:rsidP="00285CB1">
      <w:pPr>
        <w:widowControl/>
      </w:pPr>
    </w:p>
    <w:p w:rsidR="00285CB1" w:rsidRPr="00A862C6" w:rsidRDefault="00285CB1" w:rsidP="00DD46F0">
      <w:pPr>
        <w:pStyle w:val="ListParagraph"/>
        <w:widowControl/>
        <w:numPr>
          <w:ilvl w:val="1"/>
          <w:numId w:val="2"/>
        </w:numPr>
      </w:pPr>
      <w:r w:rsidRPr="00A862C6">
        <w:rPr>
          <w:rFonts w:cs="Calibri"/>
          <w:snapToGrid/>
          <w:szCs w:val="24"/>
          <w:lang w:eastAsia="en-AU"/>
        </w:rPr>
        <w:t xml:space="preserve">At both data cuts, statistically significant improvements in median OS associated with nivolumab versus IC were reported (18 months: HR = 0.77, 95% </w:t>
      </w:r>
      <w:r w:rsidR="00AB24CB" w:rsidRPr="00A862C6">
        <w:rPr>
          <w:rFonts w:cs="Calibri"/>
          <w:snapToGrid/>
          <w:szCs w:val="24"/>
          <w:lang w:eastAsia="en-AU"/>
        </w:rPr>
        <w:t>confidence interval [</w:t>
      </w:r>
      <w:r w:rsidRPr="00A862C6">
        <w:rPr>
          <w:rFonts w:cs="Calibri"/>
          <w:snapToGrid/>
          <w:szCs w:val="24"/>
          <w:lang w:eastAsia="en-AU"/>
        </w:rPr>
        <w:t>CI</w:t>
      </w:r>
      <w:r w:rsidR="00AB24CB" w:rsidRPr="00A862C6">
        <w:rPr>
          <w:rFonts w:cs="Calibri"/>
          <w:snapToGrid/>
          <w:szCs w:val="24"/>
          <w:lang w:eastAsia="en-AU"/>
        </w:rPr>
        <w:t>]</w:t>
      </w:r>
      <w:r w:rsidRPr="00A862C6">
        <w:rPr>
          <w:rFonts w:cs="Calibri"/>
          <w:snapToGrid/>
          <w:szCs w:val="24"/>
          <w:lang w:eastAsia="en-AU"/>
        </w:rPr>
        <w:t xml:space="preserve"> 0.62,</w:t>
      </w:r>
      <w:r w:rsidR="0070493A" w:rsidRPr="00A862C6">
        <w:rPr>
          <w:rFonts w:cs="Calibri"/>
          <w:snapToGrid/>
          <w:szCs w:val="24"/>
          <w:lang w:eastAsia="en-AU"/>
        </w:rPr>
        <w:t xml:space="preserve"> 0.96;</w:t>
      </w:r>
      <w:r w:rsidRPr="00A862C6">
        <w:rPr>
          <w:rFonts w:cs="Calibri"/>
          <w:snapToGrid/>
          <w:szCs w:val="24"/>
          <w:lang w:eastAsia="en-AU"/>
        </w:rPr>
        <w:t xml:space="preserve"> p= 0.0189; 3 years: HR = 0.79, 95% CI 0.64, 0.97; p= 0.0264).</w:t>
      </w:r>
      <w:r w:rsidRPr="00A862C6">
        <w:t xml:space="preserve"> </w:t>
      </w:r>
      <w:r w:rsidRPr="00A862C6">
        <w:rPr>
          <w:rFonts w:cs="Calibri"/>
          <w:snapToGrid/>
          <w:szCs w:val="24"/>
          <w:lang w:eastAsia="en-AU"/>
        </w:rPr>
        <w:t xml:space="preserve">The resulting point estimate </w:t>
      </w:r>
      <w:r w:rsidR="00DA124C" w:rsidRPr="00A862C6">
        <w:rPr>
          <w:rFonts w:cs="Calibri"/>
          <w:snapToGrid/>
          <w:szCs w:val="24"/>
          <w:lang w:eastAsia="en-AU"/>
        </w:rPr>
        <w:t xml:space="preserve">for the </w:t>
      </w:r>
      <w:r w:rsidRPr="00A862C6">
        <w:rPr>
          <w:rFonts w:cs="Calibri"/>
          <w:snapToGrid/>
          <w:szCs w:val="24"/>
          <w:lang w:eastAsia="en-AU"/>
        </w:rPr>
        <w:t>OS HR met the submission’s nominated MCID of ≤0.8</w:t>
      </w:r>
      <w:r w:rsidR="00E97981" w:rsidRPr="00A862C6">
        <w:rPr>
          <w:rFonts w:cs="Calibri"/>
          <w:snapToGrid/>
          <w:szCs w:val="24"/>
          <w:lang w:eastAsia="en-AU"/>
        </w:rPr>
        <w:t xml:space="preserve"> at both data cuts</w:t>
      </w:r>
      <w:r w:rsidRPr="00A862C6">
        <w:rPr>
          <w:rFonts w:cs="Calibri"/>
          <w:snapToGrid/>
          <w:szCs w:val="24"/>
          <w:lang w:eastAsia="en-AU"/>
        </w:rPr>
        <w:t>, however the upper 95%</w:t>
      </w:r>
      <w:r w:rsidR="00250586" w:rsidRPr="00A862C6">
        <w:rPr>
          <w:rFonts w:cs="Calibri"/>
          <w:snapToGrid/>
          <w:szCs w:val="24"/>
          <w:lang w:eastAsia="en-AU"/>
        </w:rPr>
        <w:t xml:space="preserve"> </w:t>
      </w:r>
      <w:r w:rsidRPr="00A862C6">
        <w:rPr>
          <w:rFonts w:cs="Calibri"/>
          <w:snapToGrid/>
          <w:szCs w:val="24"/>
          <w:lang w:eastAsia="en-AU"/>
        </w:rPr>
        <w:t>CI did not</w:t>
      </w:r>
      <w:r w:rsidR="00E97981" w:rsidRPr="00A862C6">
        <w:rPr>
          <w:rFonts w:cs="Calibri"/>
          <w:snapToGrid/>
          <w:szCs w:val="24"/>
          <w:lang w:eastAsia="en-AU"/>
        </w:rPr>
        <w:t xml:space="preserve"> meet the MCID at either data cut</w:t>
      </w:r>
      <w:r w:rsidRPr="00A862C6">
        <w:rPr>
          <w:rFonts w:cs="Calibri"/>
          <w:snapToGrid/>
          <w:szCs w:val="24"/>
          <w:lang w:eastAsia="en-AU"/>
        </w:rPr>
        <w:t>.</w:t>
      </w:r>
      <w:r w:rsidR="001F4DDC" w:rsidRPr="00A862C6">
        <w:rPr>
          <w:rFonts w:cs="Calibri"/>
          <w:snapToGrid/>
          <w:szCs w:val="24"/>
          <w:lang w:eastAsia="en-AU"/>
        </w:rPr>
        <w:t xml:space="preserve"> </w:t>
      </w:r>
    </w:p>
    <w:p w:rsidR="00285CB1" w:rsidRPr="00A862C6" w:rsidRDefault="00285CB1" w:rsidP="00DD46F0">
      <w:pPr>
        <w:pStyle w:val="ListParagraph"/>
        <w:widowControl/>
        <w:numPr>
          <w:ilvl w:val="1"/>
          <w:numId w:val="2"/>
        </w:numPr>
      </w:pPr>
      <w:bookmarkStart w:id="24" w:name="_Ref71903058"/>
      <w:r w:rsidRPr="00A862C6">
        <w:t xml:space="preserve">The Kaplan-Meier OS curves crossed around the five-month time point. </w:t>
      </w:r>
      <w:r w:rsidRPr="00A862C6">
        <w:rPr>
          <w:szCs w:val="20"/>
        </w:rPr>
        <w:t>Before crossing, the OS curve for nivolumab was under the IC curve, suggesting there was an increased hazard of death associated with nivolumab</w:t>
      </w:r>
      <w:r w:rsidR="001F4DDC" w:rsidRPr="00A862C6">
        <w:rPr>
          <w:szCs w:val="20"/>
        </w:rPr>
        <w:t xml:space="preserve"> which</w:t>
      </w:r>
      <w:r w:rsidRPr="00A862C6">
        <w:rPr>
          <w:szCs w:val="20"/>
        </w:rPr>
        <w:t xml:space="preserve"> was reversed after approximately </w:t>
      </w:r>
      <w:r w:rsidR="001F4DDC" w:rsidRPr="00A862C6">
        <w:rPr>
          <w:szCs w:val="20"/>
        </w:rPr>
        <w:t>five</w:t>
      </w:r>
      <w:r w:rsidRPr="00A862C6">
        <w:rPr>
          <w:szCs w:val="20"/>
        </w:rPr>
        <w:t xml:space="preserve"> months. The crossing over of the OS curves </w:t>
      </w:r>
      <w:r w:rsidR="00BF02F6" w:rsidRPr="00A862C6">
        <w:rPr>
          <w:szCs w:val="20"/>
        </w:rPr>
        <w:t xml:space="preserve">suggests </w:t>
      </w:r>
      <w:r w:rsidRPr="00A862C6">
        <w:rPr>
          <w:szCs w:val="20"/>
        </w:rPr>
        <w:t>that the assumption of proportional hazards was violated</w:t>
      </w:r>
      <w:r w:rsidR="001F31BA" w:rsidRPr="00A862C6">
        <w:t xml:space="preserve"> </w:t>
      </w:r>
      <w:r w:rsidR="001F31BA" w:rsidRPr="00A862C6">
        <w:rPr>
          <w:szCs w:val="20"/>
        </w:rPr>
        <w:t>and given this, the ESC considered HRs may not provide the best measure of relative benefit</w:t>
      </w:r>
      <w:r w:rsidR="001F4DDC" w:rsidRPr="00A862C6">
        <w:rPr>
          <w:szCs w:val="20"/>
        </w:rPr>
        <w:t xml:space="preserve">. </w:t>
      </w:r>
      <w:bookmarkEnd w:id="24"/>
    </w:p>
    <w:p w:rsidR="00D1528B" w:rsidRPr="00A862C6" w:rsidRDefault="00D1528B" w:rsidP="00DD46F0">
      <w:pPr>
        <w:pStyle w:val="ListParagraph"/>
        <w:numPr>
          <w:ilvl w:val="1"/>
          <w:numId w:val="2"/>
        </w:numPr>
      </w:pPr>
      <w:r w:rsidRPr="00A862C6">
        <w:t xml:space="preserve">The PSCR </w:t>
      </w:r>
      <w:r w:rsidR="00FE5ED9" w:rsidRPr="00A862C6">
        <w:t xml:space="preserve">stated </w:t>
      </w:r>
      <w:r w:rsidRPr="00A862C6">
        <w:t>that</w:t>
      </w:r>
      <w:r w:rsidR="00BE2023" w:rsidRPr="00A862C6">
        <w:t xml:space="preserve"> a delayed treatment effect versus chemotherapy is a well-characterised feature of immunotherapy (Ferrara 2018) and claimed that this does not negate the significance of the long-term, durable OS demonstrated by nivolumab treatment in ATTRACTION-3. The ESC acknowledged that this is a common issue for immunotherapy versus chemotherapy studies, and the higher HR for nivolumab prior to 5 months likely reflects a poor prognosis population</w:t>
      </w:r>
      <w:r w:rsidR="00B25447" w:rsidRPr="00A862C6">
        <w:t xml:space="preserve">, increased time to response for immunotherapy, and/or a subgroup that will not respond to immunotherapy. </w:t>
      </w:r>
    </w:p>
    <w:p w:rsidR="00285CB1" w:rsidRPr="00A862C6" w:rsidRDefault="00285CB1" w:rsidP="00285CB1">
      <w:pPr>
        <w:pStyle w:val="Heading3"/>
      </w:pPr>
      <w:r w:rsidRPr="00A862C6">
        <w:t>Secondary outcomes</w:t>
      </w:r>
    </w:p>
    <w:p w:rsidR="00285CB1" w:rsidRPr="00A862C6" w:rsidRDefault="00285CB1" w:rsidP="00285CB1"/>
    <w:p w:rsidR="00285CB1" w:rsidRPr="00A862C6" w:rsidRDefault="00F71DE4" w:rsidP="00DD46F0">
      <w:pPr>
        <w:pStyle w:val="ListParagraph"/>
        <w:widowControl/>
        <w:numPr>
          <w:ilvl w:val="1"/>
          <w:numId w:val="2"/>
        </w:numPr>
      </w:pPr>
      <w:r w:rsidRPr="00F71DE4">
        <w:t>Table 5</w:t>
      </w:r>
      <w:r w:rsidR="00BF02F6" w:rsidRPr="00A862C6">
        <w:t xml:space="preserve"> </w:t>
      </w:r>
      <w:r w:rsidR="00285CB1" w:rsidRPr="00A862C6">
        <w:t xml:space="preserve">summarises the ORR statistics for the ITT population and response evaluable set (RES) population </w:t>
      </w:r>
      <w:r w:rsidR="00BF02F6" w:rsidRPr="00A862C6">
        <w:t>(</w:t>
      </w:r>
      <w:r w:rsidR="00A218D6" w:rsidRPr="00A862C6">
        <w:t xml:space="preserve">which </w:t>
      </w:r>
      <w:r w:rsidR="00BF02F6" w:rsidRPr="00A862C6">
        <w:t xml:space="preserve">included all patients except those with incomplete target lesion measurements) </w:t>
      </w:r>
      <w:r w:rsidR="00285CB1" w:rsidRPr="00A862C6">
        <w:t xml:space="preserve">at the 18 month and 3 year data cut respectively. Additional detail around responses achieved </w:t>
      </w:r>
      <w:r w:rsidR="00062ED9" w:rsidRPr="00A862C6">
        <w:t>and duration</w:t>
      </w:r>
      <w:r w:rsidR="00285CB1" w:rsidRPr="00A862C6">
        <w:t xml:space="preserve"> of response were not provided for the 3 year data cut. Only ORR statistics for the RES population were available for this time point.</w:t>
      </w:r>
      <w:r w:rsidR="00285CB1" w:rsidRPr="00A862C6">
        <w:rPr>
          <w:i/>
        </w:rPr>
        <w:t xml:space="preserve"> </w:t>
      </w:r>
    </w:p>
    <w:p w:rsidR="00285CB1" w:rsidRPr="00A862C6" w:rsidRDefault="00285CB1" w:rsidP="00BF02F6">
      <w:pPr>
        <w:keepNext/>
        <w:keepLines/>
        <w:rPr>
          <w:rFonts w:ascii="Arial Narrow" w:hAnsi="Arial Narrow"/>
          <w:b/>
          <w:sz w:val="20"/>
          <w:szCs w:val="16"/>
        </w:rPr>
      </w:pPr>
      <w:bookmarkStart w:id="25" w:name="_Ref70382447"/>
      <w:r w:rsidRPr="00A862C6">
        <w:rPr>
          <w:rStyle w:val="CommentReference"/>
        </w:rPr>
        <w:t xml:space="preserve">Table </w:t>
      </w:r>
      <w:r w:rsidR="00F71DE4">
        <w:rPr>
          <w:rStyle w:val="CommentReference"/>
          <w:noProof/>
        </w:rPr>
        <w:t>5</w:t>
      </w:r>
      <w:bookmarkEnd w:id="25"/>
      <w:r w:rsidRPr="00A862C6">
        <w:rPr>
          <w:rStyle w:val="CommentReference"/>
        </w:rPr>
        <w:t>: Results of objective response rate in the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722"/>
        <w:gridCol w:w="1724"/>
        <w:gridCol w:w="1724"/>
        <w:gridCol w:w="1724"/>
      </w:tblGrid>
      <w:tr w:rsidR="00285CB1" w:rsidRPr="00A862C6" w:rsidTr="00054F76">
        <w:trPr>
          <w:tblHeader/>
        </w:trPr>
        <w:tc>
          <w:tcPr>
            <w:tcW w:w="1177" w:type="pct"/>
            <w:vMerge w:val="restart"/>
            <w:vAlign w:val="center"/>
          </w:tcPr>
          <w:p w:rsidR="00285CB1" w:rsidRPr="00A862C6" w:rsidRDefault="00285CB1" w:rsidP="00BF02F6">
            <w:pPr>
              <w:pStyle w:val="Tabletext"/>
              <w:keepNext/>
              <w:keepLines/>
              <w:rPr>
                <w:b/>
              </w:rPr>
            </w:pPr>
            <w:r w:rsidRPr="00A862C6">
              <w:rPr>
                <w:b/>
              </w:rPr>
              <w:t>Efficacy parameter</w:t>
            </w:r>
          </w:p>
        </w:tc>
        <w:tc>
          <w:tcPr>
            <w:tcW w:w="955" w:type="pct"/>
            <w:vMerge w:val="restart"/>
            <w:vAlign w:val="center"/>
          </w:tcPr>
          <w:p w:rsidR="00285CB1" w:rsidRPr="00A862C6" w:rsidRDefault="00285CB1" w:rsidP="00BF02F6">
            <w:pPr>
              <w:pStyle w:val="Tabletext"/>
              <w:keepNext/>
              <w:keepLines/>
              <w:jc w:val="center"/>
              <w:rPr>
                <w:b/>
              </w:rPr>
            </w:pPr>
            <w:r w:rsidRPr="00A862C6">
              <w:rPr>
                <w:b/>
              </w:rPr>
              <w:t>NIVO (n=210)</w:t>
            </w:r>
          </w:p>
        </w:tc>
        <w:tc>
          <w:tcPr>
            <w:tcW w:w="2868" w:type="pct"/>
            <w:gridSpan w:val="3"/>
            <w:vAlign w:val="center"/>
          </w:tcPr>
          <w:p w:rsidR="00285CB1" w:rsidRPr="00A862C6" w:rsidRDefault="00285CB1" w:rsidP="00BF02F6">
            <w:pPr>
              <w:pStyle w:val="Tabletext"/>
              <w:keepNext/>
              <w:keepLines/>
              <w:jc w:val="center"/>
              <w:rPr>
                <w:b/>
              </w:rPr>
            </w:pPr>
            <w:r w:rsidRPr="00A862C6">
              <w:rPr>
                <w:b/>
              </w:rPr>
              <w:t>IC</w:t>
            </w:r>
          </w:p>
        </w:tc>
      </w:tr>
      <w:tr w:rsidR="00285CB1" w:rsidRPr="00A862C6" w:rsidTr="00054F76">
        <w:trPr>
          <w:trHeight w:val="70"/>
          <w:tblHeader/>
        </w:trPr>
        <w:tc>
          <w:tcPr>
            <w:tcW w:w="1177" w:type="pct"/>
            <w:vMerge/>
            <w:vAlign w:val="center"/>
          </w:tcPr>
          <w:p w:rsidR="00285CB1" w:rsidRPr="00A862C6" w:rsidRDefault="00285CB1" w:rsidP="00BF02F6">
            <w:pPr>
              <w:pStyle w:val="Tabletext"/>
              <w:keepNext/>
              <w:keepLines/>
              <w:rPr>
                <w:b/>
              </w:rPr>
            </w:pPr>
          </w:p>
        </w:tc>
        <w:tc>
          <w:tcPr>
            <w:tcW w:w="955" w:type="pct"/>
            <w:vMerge/>
            <w:vAlign w:val="center"/>
          </w:tcPr>
          <w:p w:rsidR="00285CB1" w:rsidRPr="00A862C6" w:rsidRDefault="00285CB1" w:rsidP="00BF02F6">
            <w:pPr>
              <w:pStyle w:val="Tabletext"/>
              <w:keepNext/>
              <w:keepLines/>
              <w:jc w:val="center"/>
              <w:rPr>
                <w:b/>
              </w:rPr>
            </w:pPr>
          </w:p>
        </w:tc>
        <w:tc>
          <w:tcPr>
            <w:tcW w:w="956" w:type="pct"/>
            <w:vAlign w:val="center"/>
          </w:tcPr>
          <w:p w:rsidR="00285CB1" w:rsidRPr="00A862C6" w:rsidRDefault="00285CB1" w:rsidP="00BF02F6">
            <w:pPr>
              <w:pStyle w:val="Tabletext"/>
              <w:keepNext/>
              <w:keepLines/>
              <w:jc w:val="center"/>
              <w:rPr>
                <w:b/>
              </w:rPr>
            </w:pPr>
            <w:r w:rsidRPr="00A862C6">
              <w:rPr>
                <w:b/>
              </w:rPr>
              <w:t>Total (n=209)</w:t>
            </w:r>
          </w:p>
        </w:tc>
        <w:tc>
          <w:tcPr>
            <w:tcW w:w="956" w:type="pct"/>
          </w:tcPr>
          <w:p w:rsidR="00285CB1" w:rsidRPr="00A862C6" w:rsidRDefault="00285CB1" w:rsidP="00BF02F6">
            <w:pPr>
              <w:pStyle w:val="Tabletext"/>
              <w:keepNext/>
              <w:keepLines/>
              <w:jc w:val="center"/>
              <w:rPr>
                <w:b/>
              </w:rPr>
            </w:pPr>
            <w:r w:rsidRPr="00A862C6">
              <w:rPr>
                <w:b/>
              </w:rPr>
              <w:t>DOC (n=65)</w:t>
            </w:r>
          </w:p>
        </w:tc>
        <w:tc>
          <w:tcPr>
            <w:tcW w:w="956" w:type="pct"/>
          </w:tcPr>
          <w:p w:rsidR="00285CB1" w:rsidRPr="00A862C6" w:rsidRDefault="00285CB1" w:rsidP="00BF02F6">
            <w:pPr>
              <w:pStyle w:val="Tabletext"/>
              <w:keepNext/>
              <w:keepLines/>
              <w:jc w:val="center"/>
              <w:rPr>
                <w:b/>
              </w:rPr>
            </w:pPr>
            <w:r w:rsidRPr="00A862C6">
              <w:rPr>
                <w:b/>
              </w:rPr>
              <w:t>PAC (n=144)</w:t>
            </w:r>
          </w:p>
        </w:tc>
      </w:tr>
      <w:tr w:rsidR="00285CB1" w:rsidRPr="00A862C6" w:rsidTr="00054F76">
        <w:tc>
          <w:tcPr>
            <w:tcW w:w="5000" w:type="pct"/>
            <w:gridSpan w:val="5"/>
            <w:vAlign w:val="center"/>
          </w:tcPr>
          <w:p w:rsidR="00285CB1" w:rsidRPr="00A862C6" w:rsidRDefault="00285CB1" w:rsidP="00BF02F6">
            <w:pPr>
              <w:pStyle w:val="Tabletext"/>
              <w:keepNext/>
              <w:keepLines/>
              <w:rPr>
                <w:b/>
              </w:rPr>
            </w:pPr>
            <w:r w:rsidRPr="00A862C6">
              <w:rPr>
                <w:b/>
              </w:rPr>
              <w:t>18 month data cut</w:t>
            </w:r>
          </w:p>
        </w:tc>
      </w:tr>
      <w:tr w:rsidR="00285CB1" w:rsidRPr="00A862C6" w:rsidTr="00054F76">
        <w:tc>
          <w:tcPr>
            <w:tcW w:w="5000" w:type="pct"/>
            <w:gridSpan w:val="5"/>
            <w:vAlign w:val="center"/>
          </w:tcPr>
          <w:p w:rsidR="00285CB1" w:rsidRPr="00A862C6" w:rsidRDefault="00285CB1" w:rsidP="00BF02F6">
            <w:pPr>
              <w:pStyle w:val="Tabletext"/>
              <w:keepNext/>
              <w:keepLines/>
            </w:pPr>
            <w:r w:rsidRPr="00A862C6">
              <w:t xml:space="preserve">Responses achieved, </w:t>
            </w:r>
            <w:r w:rsidR="007C2C3E" w:rsidRPr="00A862C6">
              <w:t>n (</w:t>
            </w:r>
            <w:r w:rsidRPr="00A862C6">
              <w:t>%)</w:t>
            </w:r>
          </w:p>
        </w:tc>
      </w:tr>
      <w:tr w:rsidR="00285CB1" w:rsidRPr="00A862C6" w:rsidTr="00054F76">
        <w:tc>
          <w:tcPr>
            <w:tcW w:w="1177" w:type="pct"/>
            <w:vAlign w:val="center"/>
          </w:tcPr>
          <w:p w:rsidR="00285CB1" w:rsidRPr="00A862C6" w:rsidRDefault="00285CB1" w:rsidP="00BF02F6">
            <w:pPr>
              <w:pStyle w:val="Tabletext"/>
              <w:keepNext/>
              <w:keepLines/>
            </w:pPr>
            <w:r w:rsidRPr="00A862C6">
              <w:t>Complete response</w:t>
            </w:r>
          </w:p>
        </w:tc>
        <w:tc>
          <w:tcPr>
            <w:tcW w:w="955" w:type="pct"/>
            <w:vAlign w:val="center"/>
          </w:tcPr>
          <w:p w:rsidR="00285CB1" w:rsidRPr="00A862C6" w:rsidRDefault="00285CB1" w:rsidP="00BF02F6">
            <w:pPr>
              <w:pStyle w:val="Tabletext"/>
              <w:keepNext/>
              <w:keepLines/>
              <w:jc w:val="center"/>
            </w:pPr>
            <w:r w:rsidRPr="00A862C6">
              <w:t>1 (0.5)</w:t>
            </w:r>
          </w:p>
        </w:tc>
        <w:tc>
          <w:tcPr>
            <w:tcW w:w="956" w:type="pct"/>
            <w:vAlign w:val="center"/>
          </w:tcPr>
          <w:p w:rsidR="00285CB1" w:rsidRPr="00A862C6" w:rsidRDefault="00285CB1" w:rsidP="00BF02F6">
            <w:pPr>
              <w:pStyle w:val="Tabletext"/>
              <w:keepNext/>
              <w:keepLines/>
              <w:jc w:val="center"/>
            </w:pPr>
            <w:r w:rsidRPr="00A862C6">
              <w:t>2 (1.0)</w:t>
            </w:r>
          </w:p>
        </w:tc>
        <w:tc>
          <w:tcPr>
            <w:tcW w:w="956" w:type="pct"/>
          </w:tcPr>
          <w:p w:rsidR="00285CB1" w:rsidRPr="00A862C6" w:rsidRDefault="00285CB1" w:rsidP="00BF02F6">
            <w:pPr>
              <w:pStyle w:val="Tabletext"/>
              <w:keepNext/>
              <w:keepLines/>
              <w:jc w:val="center"/>
            </w:pPr>
            <w:r w:rsidRPr="00A862C6">
              <w:t xml:space="preserve">0 </w:t>
            </w:r>
          </w:p>
        </w:tc>
        <w:tc>
          <w:tcPr>
            <w:tcW w:w="956" w:type="pct"/>
          </w:tcPr>
          <w:p w:rsidR="00285CB1" w:rsidRPr="00A862C6" w:rsidRDefault="00285CB1" w:rsidP="00BF02F6">
            <w:pPr>
              <w:pStyle w:val="Tabletext"/>
              <w:keepNext/>
              <w:keepLines/>
              <w:jc w:val="center"/>
            </w:pPr>
            <w:r w:rsidRPr="00A862C6">
              <w:t>2 (1.4)</w:t>
            </w:r>
          </w:p>
        </w:tc>
      </w:tr>
      <w:tr w:rsidR="00285CB1" w:rsidRPr="00A862C6" w:rsidTr="00054F76">
        <w:tc>
          <w:tcPr>
            <w:tcW w:w="1177" w:type="pct"/>
            <w:vAlign w:val="center"/>
          </w:tcPr>
          <w:p w:rsidR="00285CB1" w:rsidRPr="00A862C6" w:rsidRDefault="00285CB1" w:rsidP="00BF02F6">
            <w:pPr>
              <w:pStyle w:val="Tabletext"/>
              <w:keepNext/>
              <w:keepLines/>
            </w:pPr>
            <w:r w:rsidRPr="00A862C6">
              <w:t>Partial response</w:t>
            </w:r>
          </w:p>
        </w:tc>
        <w:tc>
          <w:tcPr>
            <w:tcW w:w="955" w:type="pct"/>
            <w:vAlign w:val="center"/>
          </w:tcPr>
          <w:p w:rsidR="00285CB1" w:rsidRPr="00A862C6" w:rsidRDefault="00285CB1" w:rsidP="00BF02F6">
            <w:pPr>
              <w:pStyle w:val="Tabletext"/>
              <w:keepNext/>
              <w:keepLines/>
              <w:jc w:val="center"/>
            </w:pPr>
            <w:r w:rsidRPr="00A862C6">
              <w:t>32 (15.2)</w:t>
            </w:r>
          </w:p>
        </w:tc>
        <w:tc>
          <w:tcPr>
            <w:tcW w:w="956" w:type="pct"/>
            <w:vAlign w:val="center"/>
          </w:tcPr>
          <w:p w:rsidR="00285CB1" w:rsidRPr="00A862C6" w:rsidRDefault="00285CB1" w:rsidP="00BF02F6">
            <w:pPr>
              <w:pStyle w:val="Tabletext"/>
              <w:keepNext/>
              <w:keepLines/>
              <w:jc w:val="center"/>
            </w:pPr>
            <w:r w:rsidRPr="00A862C6">
              <w:t>32 (15.3)</w:t>
            </w:r>
          </w:p>
        </w:tc>
        <w:tc>
          <w:tcPr>
            <w:tcW w:w="956" w:type="pct"/>
          </w:tcPr>
          <w:p w:rsidR="00285CB1" w:rsidRPr="00A862C6" w:rsidRDefault="00285CB1" w:rsidP="00BF02F6">
            <w:pPr>
              <w:pStyle w:val="Tabletext"/>
              <w:keepNext/>
              <w:keepLines/>
              <w:jc w:val="center"/>
            </w:pPr>
            <w:r w:rsidRPr="00A862C6">
              <w:t>8 (12.3)</w:t>
            </w:r>
          </w:p>
        </w:tc>
        <w:tc>
          <w:tcPr>
            <w:tcW w:w="956" w:type="pct"/>
          </w:tcPr>
          <w:p w:rsidR="00285CB1" w:rsidRPr="00A862C6" w:rsidRDefault="00285CB1" w:rsidP="00BF02F6">
            <w:pPr>
              <w:pStyle w:val="Tabletext"/>
              <w:keepNext/>
              <w:keepLines/>
              <w:jc w:val="center"/>
            </w:pPr>
            <w:r w:rsidRPr="00A862C6">
              <w:t>24 (16.7)</w:t>
            </w:r>
          </w:p>
        </w:tc>
      </w:tr>
      <w:tr w:rsidR="00285CB1" w:rsidRPr="00A862C6" w:rsidTr="00054F76">
        <w:tc>
          <w:tcPr>
            <w:tcW w:w="1177" w:type="pct"/>
            <w:vAlign w:val="center"/>
          </w:tcPr>
          <w:p w:rsidR="00285CB1" w:rsidRPr="00A862C6" w:rsidRDefault="00285CB1" w:rsidP="00BF02F6">
            <w:pPr>
              <w:pStyle w:val="Tabletext"/>
              <w:keepNext/>
              <w:keepLines/>
            </w:pPr>
            <w:r w:rsidRPr="00A862C6">
              <w:t>Stable disease</w:t>
            </w:r>
          </w:p>
        </w:tc>
        <w:tc>
          <w:tcPr>
            <w:tcW w:w="955" w:type="pct"/>
            <w:vAlign w:val="center"/>
          </w:tcPr>
          <w:p w:rsidR="00285CB1" w:rsidRPr="00A862C6" w:rsidRDefault="00285CB1" w:rsidP="00BF02F6">
            <w:pPr>
              <w:pStyle w:val="Tabletext"/>
              <w:keepNext/>
              <w:keepLines/>
              <w:jc w:val="center"/>
            </w:pPr>
            <w:r w:rsidRPr="00A862C6">
              <w:t>31 (14.8)</w:t>
            </w:r>
          </w:p>
        </w:tc>
        <w:tc>
          <w:tcPr>
            <w:tcW w:w="956" w:type="pct"/>
            <w:vAlign w:val="center"/>
          </w:tcPr>
          <w:p w:rsidR="00285CB1" w:rsidRPr="00A862C6" w:rsidRDefault="00285CB1" w:rsidP="00BF02F6">
            <w:pPr>
              <w:pStyle w:val="Tabletext"/>
              <w:keepNext/>
              <w:keepLines/>
              <w:jc w:val="center"/>
            </w:pPr>
            <w:r w:rsidRPr="00A862C6">
              <w:t>65 (31.1)</w:t>
            </w:r>
          </w:p>
        </w:tc>
        <w:tc>
          <w:tcPr>
            <w:tcW w:w="956" w:type="pct"/>
          </w:tcPr>
          <w:p w:rsidR="00285CB1" w:rsidRPr="00A862C6" w:rsidRDefault="00285CB1" w:rsidP="00BF02F6">
            <w:pPr>
              <w:pStyle w:val="Tabletext"/>
              <w:keepNext/>
              <w:keepLines/>
              <w:jc w:val="center"/>
            </w:pPr>
            <w:r w:rsidRPr="00A862C6">
              <w:t>19 (29.2)</w:t>
            </w:r>
          </w:p>
        </w:tc>
        <w:tc>
          <w:tcPr>
            <w:tcW w:w="956" w:type="pct"/>
          </w:tcPr>
          <w:p w:rsidR="00285CB1" w:rsidRPr="00A862C6" w:rsidRDefault="00285CB1" w:rsidP="00BF02F6">
            <w:pPr>
              <w:pStyle w:val="Tabletext"/>
              <w:keepNext/>
              <w:keepLines/>
              <w:jc w:val="center"/>
            </w:pPr>
            <w:r w:rsidRPr="00A862C6">
              <w:t>46 (31.9)</w:t>
            </w:r>
          </w:p>
        </w:tc>
      </w:tr>
      <w:tr w:rsidR="00285CB1" w:rsidRPr="00A862C6" w:rsidTr="00054F76">
        <w:tc>
          <w:tcPr>
            <w:tcW w:w="1177" w:type="pct"/>
            <w:vAlign w:val="center"/>
          </w:tcPr>
          <w:p w:rsidR="00285CB1" w:rsidRPr="00A862C6" w:rsidRDefault="00285CB1" w:rsidP="00BF02F6">
            <w:pPr>
              <w:pStyle w:val="Tabletext"/>
              <w:keepNext/>
              <w:keepLines/>
            </w:pPr>
            <w:r w:rsidRPr="00A862C6">
              <w:t>Progressive disease</w:t>
            </w:r>
          </w:p>
        </w:tc>
        <w:tc>
          <w:tcPr>
            <w:tcW w:w="955" w:type="pct"/>
            <w:vAlign w:val="center"/>
          </w:tcPr>
          <w:p w:rsidR="00285CB1" w:rsidRPr="00A862C6" w:rsidRDefault="00285CB1" w:rsidP="00BF02F6">
            <w:pPr>
              <w:pStyle w:val="Tabletext"/>
              <w:keepNext/>
              <w:keepLines/>
              <w:jc w:val="center"/>
            </w:pPr>
            <w:r w:rsidRPr="00A862C6">
              <w:t>94 (44.8)</w:t>
            </w:r>
          </w:p>
        </w:tc>
        <w:tc>
          <w:tcPr>
            <w:tcW w:w="956" w:type="pct"/>
            <w:vAlign w:val="center"/>
          </w:tcPr>
          <w:p w:rsidR="00285CB1" w:rsidRPr="00A862C6" w:rsidRDefault="00285CB1" w:rsidP="00BF02F6">
            <w:pPr>
              <w:pStyle w:val="Tabletext"/>
              <w:keepNext/>
              <w:keepLines/>
              <w:jc w:val="center"/>
            </w:pPr>
            <w:r w:rsidRPr="00A862C6">
              <w:t>51 (24.4)</w:t>
            </w:r>
          </w:p>
        </w:tc>
        <w:tc>
          <w:tcPr>
            <w:tcW w:w="956" w:type="pct"/>
          </w:tcPr>
          <w:p w:rsidR="00285CB1" w:rsidRPr="00A862C6" w:rsidRDefault="00285CB1" w:rsidP="00BF02F6">
            <w:pPr>
              <w:pStyle w:val="Tabletext"/>
              <w:keepNext/>
              <w:keepLines/>
              <w:jc w:val="center"/>
            </w:pPr>
            <w:r w:rsidRPr="00A862C6">
              <w:t>20 (30.8)</w:t>
            </w:r>
          </w:p>
        </w:tc>
        <w:tc>
          <w:tcPr>
            <w:tcW w:w="956" w:type="pct"/>
          </w:tcPr>
          <w:p w:rsidR="00285CB1" w:rsidRPr="00A862C6" w:rsidRDefault="00285CB1" w:rsidP="00BF02F6">
            <w:pPr>
              <w:pStyle w:val="Tabletext"/>
              <w:keepNext/>
              <w:keepLines/>
              <w:jc w:val="center"/>
            </w:pPr>
            <w:r w:rsidRPr="00A862C6">
              <w:t>31 (21.5)</w:t>
            </w:r>
          </w:p>
        </w:tc>
      </w:tr>
      <w:tr w:rsidR="00285CB1" w:rsidRPr="00A862C6" w:rsidTr="00054F76">
        <w:tc>
          <w:tcPr>
            <w:tcW w:w="1177" w:type="pct"/>
            <w:vAlign w:val="center"/>
          </w:tcPr>
          <w:p w:rsidR="00285CB1" w:rsidRPr="00A862C6" w:rsidRDefault="00285CB1" w:rsidP="00BF02F6">
            <w:pPr>
              <w:pStyle w:val="Tabletext"/>
              <w:keepNext/>
              <w:keepLines/>
            </w:pPr>
            <w:r w:rsidRPr="00A862C6">
              <w:t xml:space="preserve">Not evaluated </w:t>
            </w:r>
          </w:p>
        </w:tc>
        <w:tc>
          <w:tcPr>
            <w:tcW w:w="955" w:type="pct"/>
            <w:vAlign w:val="center"/>
          </w:tcPr>
          <w:p w:rsidR="00285CB1" w:rsidRPr="00A862C6" w:rsidRDefault="00285CB1" w:rsidP="00BF02F6">
            <w:pPr>
              <w:pStyle w:val="Tabletext"/>
              <w:keepNext/>
              <w:keepLines/>
              <w:jc w:val="center"/>
            </w:pPr>
            <w:r w:rsidRPr="00A862C6">
              <w:t>52 (24.8)</w:t>
            </w:r>
          </w:p>
        </w:tc>
        <w:tc>
          <w:tcPr>
            <w:tcW w:w="956" w:type="pct"/>
            <w:vAlign w:val="center"/>
          </w:tcPr>
          <w:p w:rsidR="00285CB1" w:rsidRPr="00A862C6" w:rsidRDefault="00285CB1" w:rsidP="00BF02F6">
            <w:pPr>
              <w:pStyle w:val="Tabletext"/>
              <w:keepNext/>
              <w:keepLines/>
              <w:jc w:val="center"/>
            </w:pPr>
            <w:r w:rsidRPr="00A862C6">
              <w:t>59 (28.2)</w:t>
            </w:r>
          </w:p>
        </w:tc>
        <w:tc>
          <w:tcPr>
            <w:tcW w:w="956" w:type="pct"/>
          </w:tcPr>
          <w:p w:rsidR="00285CB1" w:rsidRPr="00A862C6" w:rsidRDefault="00285CB1" w:rsidP="00BF02F6">
            <w:pPr>
              <w:pStyle w:val="Tabletext"/>
              <w:keepNext/>
              <w:keepLines/>
              <w:jc w:val="center"/>
            </w:pPr>
            <w:r w:rsidRPr="00A862C6">
              <w:t>18 (27.7)</w:t>
            </w:r>
          </w:p>
        </w:tc>
        <w:tc>
          <w:tcPr>
            <w:tcW w:w="956" w:type="pct"/>
          </w:tcPr>
          <w:p w:rsidR="00285CB1" w:rsidRPr="00A862C6" w:rsidRDefault="00285CB1" w:rsidP="00BF02F6">
            <w:pPr>
              <w:pStyle w:val="Tabletext"/>
              <w:keepNext/>
              <w:keepLines/>
              <w:jc w:val="center"/>
            </w:pPr>
            <w:r w:rsidRPr="00A862C6">
              <w:t>41 (28.5)</w:t>
            </w:r>
          </w:p>
        </w:tc>
      </w:tr>
      <w:tr w:rsidR="00285CB1" w:rsidRPr="00A862C6" w:rsidTr="00054F76">
        <w:tc>
          <w:tcPr>
            <w:tcW w:w="5000" w:type="pct"/>
            <w:gridSpan w:val="5"/>
            <w:vAlign w:val="center"/>
          </w:tcPr>
          <w:p w:rsidR="00285CB1" w:rsidRPr="00A862C6" w:rsidRDefault="00285CB1" w:rsidP="00BF02F6">
            <w:pPr>
              <w:pStyle w:val="Tabletext"/>
              <w:keepNext/>
              <w:keepLines/>
            </w:pPr>
            <w:r w:rsidRPr="00A862C6">
              <w:t>Objective response rate</w:t>
            </w:r>
          </w:p>
        </w:tc>
      </w:tr>
      <w:tr w:rsidR="00285CB1" w:rsidRPr="00A862C6" w:rsidTr="00054F76">
        <w:tc>
          <w:tcPr>
            <w:tcW w:w="1177" w:type="pct"/>
            <w:vAlign w:val="center"/>
          </w:tcPr>
          <w:p w:rsidR="00285CB1" w:rsidRPr="00A862C6" w:rsidRDefault="00285CB1" w:rsidP="00BF02F6">
            <w:pPr>
              <w:pStyle w:val="Tabletext"/>
              <w:keepNext/>
              <w:keepLines/>
            </w:pPr>
            <w:r w:rsidRPr="00A862C6">
              <w:t>ORR, n (%) (CR+PR)</w:t>
            </w:r>
          </w:p>
        </w:tc>
        <w:tc>
          <w:tcPr>
            <w:tcW w:w="955" w:type="pct"/>
            <w:vAlign w:val="center"/>
          </w:tcPr>
          <w:p w:rsidR="00285CB1" w:rsidRPr="00A862C6" w:rsidRDefault="00285CB1" w:rsidP="00BF02F6">
            <w:pPr>
              <w:pStyle w:val="Tabletext"/>
              <w:keepNext/>
              <w:keepLines/>
              <w:jc w:val="center"/>
            </w:pPr>
            <w:r w:rsidRPr="00A862C6">
              <w:t>33 (15.7)</w:t>
            </w:r>
          </w:p>
        </w:tc>
        <w:tc>
          <w:tcPr>
            <w:tcW w:w="956" w:type="pct"/>
            <w:vAlign w:val="center"/>
          </w:tcPr>
          <w:p w:rsidR="00285CB1" w:rsidRPr="00A862C6" w:rsidRDefault="00285CB1" w:rsidP="00BF02F6">
            <w:pPr>
              <w:pStyle w:val="Tabletext"/>
              <w:keepNext/>
              <w:keepLines/>
              <w:jc w:val="center"/>
            </w:pPr>
            <w:r w:rsidRPr="00A862C6">
              <w:t>34 (16.3)</w:t>
            </w:r>
          </w:p>
        </w:tc>
        <w:tc>
          <w:tcPr>
            <w:tcW w:w="956" w:type="pct"/>
          </w:tcPr>
          <w:p w:rsidR="00285CB1" w:rsidRPr="00A862C6" w:rsidRDefault="00285CB1" w:rsidP="00BF02F6">
            <w:pPr>
              <w:pStyle w:val="Tabletext"/>
              <w:keepNext/>
              <w:keepLines/>
              <w:jc w:val="center"/>
            </w:pPr>
            <w:r w:rsidRPr="00A862C6">
              <w:t>8 (12.3)</w:t>
            </w:r>
          </w:p>
        </w:tc>
        <w:tc>
          <w:tcPr>
            <w:tcW w:w="956" w:type="pct"/>
          </w:tcPr>
          <w:p w:rsidR="00285CB1" w:rsidRPr="00A862C6" w:rsidRDefault="00285CB1" w:rsidP="00BF02F6">
            <w:pPr>
              <w:pStyle w:val="Tabletext"/>
              <w:keepNext/>
              <w:keepLines/>
              <w:jc w:val="center"/>
            </w:pPr>
            <w:r w:rsidRPr="00A862C6">
              <w:t>26 (18.</w:t>
            </w:r>
            <w:r w:rsidRPr="00A862C6">
              <w:rPr>
                <w:i/>
              </w:rPr>
              <w:t>1</w:t>
            </w:r>
            <w:r w:rsidRPr="00A862C6">
              <w:t>)</w:t>
            </w:r>
          </w:p>
        </w:tc>
      </w:tr>
      <w:tr w:rsidR="00285CB1" w:rsidRPr="00A862C6" w:rsidTr="00054F76">
        <w:tc>
          <w:tcPr>
            <w:tcW w:w="1177" w:type="pct"/>
            <w:vAlign w:val="center"/>
          </w:tcPr>
          <w:p w:rsidR="00285CB1" w:rsidRPr="00A862C6" w:rsidRDefault="00285CB1" w:rsidP="00BF02F6">
            <w:pPr>
              <w:pStyle w:val="Tabletext"/>
              <w:keepNext/>
              <w:keepLines/>
            </w:pPr>
            <w:r w:rsidRPr="00A862C6">
              <w:t>95% CI</w:t>
            </w:r>
          </w:p>
        </w:tc>
        <w:tc>
          <w:tcPr>
            <w:tcW w:w="955" w:type="pct"/>
            <w:vAlign w:val="center"/>
          </w:tcPr>
          <w:p w:rsidR="00285CB1" w:rsidRPr="00A862C6" w:rsidRDefault="00285CB1" w:rsidP="00BF02F6">
            <w:pPr>
              <w:pStyle w:val="Tabletext"/>
              <w:keepNext/>
              <w:keepLines/>
              <w:jc w:val="center"/>
            </w:pPr>
            <w:r w:rsidRPr="00A862C6">
              <w:t>(11.1, 21.4)</w:t>
            </w:r>
          </w:p>
        </w:tc>
        <w:tc>
          <w:tcPr>
            <w:tcW w:w="956" w:type="pct"/>
            <w:vAlign w:val="center"/>
          </w:tcPr>
          <w:p w:rsidR="00285CB1" w:rsidRPr="00A862C6" w:rsidRDefault="00285CB1" w:rsidP="00BF02F6">
            <w:pPr>
              <w:pStyle w:val="Tabletext"/>
              <w:keepNext/>
              <w:keepLines/>
              <w:jc w:val="center"/>
            </w:pPr>
            <w:r w:rsidRPr="00A862C6">
              <w:t>(11.5, 22.0)</w:t>
            </w:r>
          </w:p>
        </w:tc>
        <w:tc>
          <w:tcPr>
            <w:tcW w:w="956" w:type="pct"/>
          </w:tcPr>
          <w:p w:rsidR="00285CB1" w:rsidRPr="00A862C6" w:rsidRDefault="00285CB1" w:rsidP="00BF02F6">
            <w:pPr>
              <w:pStyle w:val="Tabletext"/>
              <w:keepNext/>
              <w:keepLines/>
              <w:jc w:val="center"/>
            </w:pPr>
            <w:r w:rsidRPr="00A862C6">
              <w:t>(5.5, 22.8)</w:t>
            </w:r>
          </w:p>
        </w:tc>
        <w:tc>
          <w:tcPr>
            <w:tcW w:w="956" w:type="pct"/>
          </w:tcPr>
          <w:p w:rsidR="00285CB1" w:rsidRPr="00A862C6" w:rsidRDefault="00285CB1" w:rsidP="00BF02F6">
            <w:pPr>
              <w:pStyle w:val="Tabletext"/>
              <w:keepNext/>
              <w:keepLines/>
              <w:jc w:val="center"/>
            </w:pPr>
            <w:r w:rsidRPr="00A862C6">
              <w:t>(12.1, 25.3)</w:t>
            </w:r>
          </w:p>
        </w:tc>
      </w:tr>
      <w:tr w:rsidR="00285CB1" w:rsidRPr="00A862C6" w:rsidTr="00054F76">
        <w:tc>
          <w:tcPr>
            <w:tcW w:w="5000" w:type="pct"/>
            <w:gridSpan w:val="5"/>
            <w:vAlign w:val="center"/>
          </w:tcPr>
          <w:p w:rsidR="00285CB1" w:rsidRPr="00A862C6" w:rsidRDefault="00285CB1" w:rsidP="00BF02F6">
            <w:pPr>
              <w:pStyle w:val="Tabletext"/>
              <w:keepNext/>
              <w:keepLines/>
            </w:pPr>
            <w:r w:rsidRPr="00A862C6">
              <w:t>Duration of response for objective response rate</w:t>
            </w:r>
          </w:p>
        </w:tc>
      </w:tr>
      <w:tr w:rsidR="00285CB1" w:rsidRPr="00A862C6" w:rsidTr="00054F76">
        <w:tc>
          <w:tcPr>
            <w:tcW w:w="1177" w:type="pct"/>
            <w:vAlign w:val="center"/>
          </w:tcPr>
          <w:p w:rsidR="00285CB1" w:rsidRPr="00A862C6" w:rsidRDefault="00285CB1" w:rsidP="00BF02F6">
            <w:pPr>
              <w:pStyle w:val="Tabletext"/>
              <w:keepNext/>
              <w:keepLines/>
            </w:pPr>
            <w:r w:rsidRPr="00A862C6">
              <w:t>Median (95%CI)</w:t>
            </w:r>
          </w:p>
        </w:tc>
        <w:tc>
          <w:tcPr>
            <w:tcW w:w="955" w:type="pct"/>
            <w:vAlign w:val="center"/>
          </w:tcPr>
          <w:p w:rsidR="00285CB1" w:rsidRPr="00A862C6" w:rsidRDefault="00285CB1" w:rsidP="00BF02F6">
            <w:pPr>
              <w:pStyle w:val="Tabletext"/>
              <w:keepNext/>
              <w:keepLines/>
              <w:jc w:val="center"/>
            </w:pPr>
            <w:r w:rsidRPr="00A862C6">
              <w:t>6.93 (5.39, 11.14)</w:t>
            </w:r>
          </w:p>
        </w:tc>
        <w:tc>
          <w:tcPr>
            <w:tcW w:w="956" w:type="pct"/>
            <w:vAlign w:val="center"/>
          </w:tcPr>
          <w:p w:rsidR="00285CB1" w:rsidRPr="00A862C6" w:rsidRDefault="00285CB1" w:rsidP="00BF02F6">
            <w:pPr>
              <w:pStyle w:val="Tabletext"/>
              <w:keepNext/>
              <w:keepLines/>
              <w:jc w:val="center"/>
            </w:pPr>
            <w:r w:rsidRPr="00A862C6">
              <w:t>3.91 (2.79, 4.17)</w:t>
            </w:r>
          </w:p>
        </w:tc>
        <w:tc>
          <w:tcPr>
            <w:tcW w:w="956" w:type="pct"/>
          </w:tcPr>
          <w:p w:rsidR="00285CB1" w:rsidRPr="00A862C6" w:rsidRDefault="00285CB1" w:rsidP="00BF02F6">
            <w:pPr>
              <w:pStyle w:val="Tabletext"/>
              <w:keepNext/>
              <w:keepLines/>
              <w:jc w:val="center"/>
            </w:pPr>
            <w:r w:rsidRPr="00A862C6">
              <w:t>4.37 (2.56, 7.06)</w:t>
            </w:r>
          </w:p>
        </w:tc>
        <w:tc>
          <w:tcPr>
            <w:tcW w:w="956" w:type="pct"/>
          </w:tcPr>
          <w:p w:rsidR="00285CB1" w:rsidRPr="00A862C6" w:rsidRDefault="00285CB1" w:rsidP="00BF02F6">
            <w:pPr>
              <w:pStyle w:val="Tabletext"/>
              <w:keepNext/>
              <w:keepLines/>
              <w:jc w:val="center"/>
            </w:pPr>
            <w:r w:rsidRPr="00A862C6">
              <w:t>3.25 (2.79, 4.17)</w:t>
            </w:r>
          </w:p>
        </w:tc>
      </w:tr>
      <w:tr w:rsidR="00285CB1" w:rsidRPr="00A862C6" w:rsidTr="00054F76">
        <w:tc>
          <w:tcPr>
            <w:tcW w:w="1177" w:type="pct"/>
            <w:vAlign w:val="center"/>
          </w:tcPr>
          <w:p w:rsidR="00285CB1" w:rsidRPr="00A862C6" w:rsidRDefault="00285CB1" w:rsidP="00BF02F6">
            <w:pPr>
              <w:pStyle w:val="Tabletext"/>
              <w:keepNext/>
              <w:keepLines/>
            </w:pPr>
            <w:r w:rsidRPr="00A862C6">
              <w:t>Min-max</w:t>
            </w:r>
          </w:p>
        </w:tc>
        <w:tc>
          <w:tcPr>
            <w:tcW w:w="955" w:type="pct"/>
            <w:vAlign w:val="center"/>
          </w:tcPr>
          <w:p w:rsidR="00285CB1" w:rsidRPr="00A862C6" w:rsidRDefault="00285CB1" w:rsidP="00BF7905">
            <w:pPr>
              <w:pStyle w:val="Tabletext"/>
              <w:keepNext/>
              <w:keepLines/>
              <w:jc w:val="center"/>
            </w:pPr>
            <w:r w:rsidRPr="00A862C6">
              <w:t>2.1-18.0</w:t>
            </w:r>
            <w:r w:rsidR="00BF7905">
              <w:rPr>
                <w:vertAlign w:val="superscript"/>
              </w:rPr>
              <w:t>a</w:t>
            </w:r>
          </w:p>
        </w:tc>
        <w:tc>
          <w:tcPr>
            <w:tcW w:w="956" w:type="pct"/>
            <w:vAlign w:val="center"/>
          </w:tcPr>
          <w:p w:rsidR="00285CB1" w:rsidRPr="00A862C6" w:rsidRDefault="00285CB1" w:rsidP="00BF7905">
            <w:pPr>
              <w:pStyle w:val="Tabletext"/>
              <w:keepNext/>
              <w:keepLines/>
              <w:jc w:val="center"/>
            </w:pPr>
            <w:r w:rsidRPr="00A862C6">
              <w:t>2.5</w:t>
            </w:r>
            <w:r w:rsidR="00BF7905">
              <w:rPr>
                <w:vertAlign w:val="superscript"/>
              </w:rPr>
              <w:t>a</w:t>
            </w:r>
            <w:r w:rsidR="009C08DB" w:rsidRPr="00A862C6" w:rsidDel="009C08DB">
              <w:t xml:space="preserve"> </w:t>
            </w:r>
            <w:r w:rsidRPr="00A862C6">
              <w:t>-18.0</w:t>
            </w:r>
            <w:r w:rsidR="00BF7905">
              <w:rPr>
                <w:vertAlign w:val="superscript"/>
              </w:rPr>
              <w:t>a</w:t>
            </w:r>
          </w:p>
        </w:tc>
        <w:tc>
          <w:tcPr>
            <w:tcW w:w="956" w:type="pct"/>
          </w:tcPr>
          <w:p w:rsidR="00285CB1" w:rsidRPr="00A862C6" w:rsidRDefault="00285CB1" w:rsidP="00BF02F6">
            <w:pPr>
              <w:pStyle w:val="Tabletext"/>
              <w:keepNext/>
              <w:keepLines/>
              <w:jc w:val="center"/>
            </w:pPr>
            <w:r w:rsidRPr="00A862C6">
              <w:t>2.6-12.6</w:t>
            </w:r>
          </w:p>
        </w:tc>
        <w:tc>
          <w:tcPr>
            <w:tcW w:w="956" w:type="pct"/>
          </w:tcPr>
          <w:p w:rsidR="00285CB1" w:rsidRPr="00A862C6" w:rsidRDefault="00285CB1" w:rsidP="00BF7905">
            <w:pPr>
              <w:pStyle w:val="Tabletext"/>
              <w:keepNext/>
              <w:keepLines/>
              <w:jc w:val="center"/>
            </w:pPr>
            <w:r w:rsidRPr="00A862C6">
              <w:t>2.</w:t>
            </w:r>
            <w:r w:rsidR="00BF7905" w:rsidRPr="00A862C6">
              <w:t>5</w:t>
            </w:r>
            <w:r w:rsidR="00BF7905">
              <w:rPr>
                <w:vertAlign w:val="superscript"/>
              </w:rPr>
              <w:t>a</w:t>
            </w:r>
            <w:r w:rsidR="00BF7905" w:rsidRPr="00A862C6" w:rsidDel="009C08DB">
              <w:t xml:space="preserve"> </w:t>
            </w:r>
            <w:r w:rsidRPr="00A862C6">
              <w:t>-18.0</w:t>
            </w:r>
            <w:r w:rsidR="00BF7905">
              <w:rPr>
                <w:vertAlign w:val="superscript"/>
              </w:rPr>
              <w:t>a</w:t>
            </w:r>
          </w:p>
        </w:tc>
      </w:tr>
      <w:tr w:rsidR="00285CB1" w:rsidRPr="00A862C6" w:rsidTr="00054F76">
        <w:tc>
          <w:tcPr>
            <w:tcW w:w="5000" w:type="pct"/>
            <w:gridSpan w:val="5"/>
            <w:vAlign w:val="center"/>
          </w:tcPr>
          <w:p w:rsidR="00285CB1" w:rsidRPr="00A862C6" w:rsidRDefault="00285CB1" w:rsidP="00BF02F6">
            <w:pPr>
              <w:pStyle w:val="Tabletext"/>
              <w:keepNext/>
              <w:keepLines/>
            </w:pPr>
            <w:r w:rsidRPr="00A862C6">
              <w:t>Disease control rate</w:t>
            </w:r>
          </w:p>
        </w:tc>
      </w:tr>
      <w:tr w:rsidR="00285CB1" w:rsidRPr="00A862C6" w:rsidTr="00054F76">
        <w:tc>
          <w:tcPr>
            <w:tcW w:w="1177" w:type="pct"/>
            <w:vAlign w:val="center"/>
          </w:tcPr>
          <w:p w:rsidR="00285CB1" w:rsidRPr="00A862C6" w:rsidRDefault="00285CB1" w:rsidP="00BF02F6">
            <w:pPr>
              <w:pStyle w:val="Tabletext"/>
              <w:keepNext/>
              <w:keepLines/>
              <w:rPr>
                <w:i/>
              </w:rPr>
            </w:pPr>
            <w:r w:rsidRPr="00A862C6">
              <w:t>DCR, n (%) (CR+PR+SD</w:t>
            </w:r>
            <w:r w:rsidRPr="00A862C6">
              <w:rPr>
                <w:i/>
              </w:rPr>
              <w:t>)</w:t>
            </w:r>
          </w:p>
        </w:tc>
        <w:tc>
          <w:tcPr>
            <w:tcW w:w="955" w:type="pct"/>
            <w:vAlign w:val="center"/>
          </w:tcPr>
          <w:p w:rsidR="00285CB1" w:rsidRPr="00A862C6" w:rsidRDefault="00285CB1" w:rsidP="00BF02F6">
            <w:pPr>
              <w:pStyle w:val="Tabletext"/>
              <w:keepNext/>
              <w:keepLines/>
              <w:jc w:val="center"/>
            </w:pPr>
            <w:r w:rsidRPr="00A862C6">
              <w:t>64 (30.5)</w:t>
            </w:r>
          </w:p>
        </w:tc>
        <w:tc>
          <w:tcPr>
            <w:tcW w:w="956" w:type="pct"/>
            <w:vAlign w:val="center"/>
          </w:tcPr>
          <w:p w:rsidR="00285CB1" w:rsidRPr="00A862C6" w:rsidRDefault="00285CB1" w:rsidP="00BF02F6">
            <w:pPr>
              <w:pStyle w:val="Tabletext"/>
              <w:keepNext/>
              <w:keepLines/>
              <w:jc w:val="center"/>
            </w:pPr>
            <w:r w:rsidRPr="00A862C6">
              <w:t>99 (47.4)</w:t>
            </w:r>
          </w:p>
        </w:tc>
        <w:tc>
          <w:tcPr>
            <w:tcW w:w="956" w:type="pct"/>
          </w:tcPr>
          <w:p w:rsidR="00285CB1" w:rsidRPr="00A862C6" w:rsidRDefault="00285CB1" w:rsidP="00BF02F6">
            <w:pPr>
              <w:pStyle w:val="Tabletext"/>
              <w:keepNext/>
              <w:keepLines/>
              <w:jc w:val="center"/>
            </w:pPr>
            <w:r w:rsidRPr="00A862C6">
              <w:t>27 (41.5)</w:t>
            </w:r>
          </w:p>
        </w:tc>
        <w:tc>
          <w:tcPr>
            <w:tcW w:w="956" w:type="pct"/>
          </w:tcPr>
          <w:p w:rsidR="00285CB1" w:rsidRPr="00A862C6" w:rsidRDefault="00285CB1" w:rsidP="00BF02F6">
            <w:pPr>
              <w:pStyle w:val="Tabletext"/>
              <w:keepNext/>
              <w:keepLines/>
              <w:jc w:val="center"/>
            </w:pPr>
            <w:r w:rsidRPr="00A862C6">
              <w:t>72 (50.0)</w:t>
            </w:r>
          </w:p>
        </w:tc>
      </w:tr>
      <w:tr w:rsidR="00285CB1" w:rsidRPr="00A862C6" w:rsidTr="00054F76">
        <w:tc>
          <w:tcPr>
            <w:tcW w:w="1177" w:type="pct"/>
            <w:vAlign w:val="center"/>
          </w:tcPr>
          <w:p w:rsidR="00285CB1" w:rsidRPr="00A862C6" w:rsidRDefault="00285CB1" w:rsidP="00BF02F6">
            <w:pPr>
              <w:pStyle w:val="Tabletext"/>
              <w:keepNext/>
              <w:keepLines/>
            </w:pPr>
            <w:r w:rsidRPr="00A862C6">
              <w:t>95% CI</w:t>
            </w:r>
          </w:p>
        </w:tc>
        <w:tc>
          <w:tcPr>
            <w:tcW w:w="955" w:type="pct"/>
            <w:vAlign w:val="center"/>
          </w:tcPr>
          <w:p w:rsidR="00285CB1" w:rsidRPr="00A862C6" w:rsidRDefault="00285CB1" w:rsidP="00BF02F6">
            <w:pPr>
              <w:pStyle w:val="Tabletext"/>
              <w:keepNext/>
              <w:keepLines/>
              <w:jc w:val="center"/>
            </w:pPr>
            <w:r w:rsidRPr="00A862C6">
              <w:t>(24.3, 37.2)</w:t>
            </w:r>
          </w:p>
        </w:tc>
        <w:tc>
          <w:tcPr>
            <w:tcW w:w="956" w:type="pct"/>
            <w:vAlign w:val="center"/>
          </w:tcPr>
          <w:p w:rsidR="00285CB1" w:rsidRPr="00A862C6" w:rsidRDefault="00285CB1" w:rsidP="00BF02F6">
            <w:pPr>
              <w:pStyle w:val="Tabletext"/>
              <w:keepNext/>
              <w:keepLines/>
              <w:jc w:val="center"/>
            </w:pPr>
            <w:r w:rsidRPr="00A862C6">
              <w:t>(40.4, 54.4)</w:t>
            </w:r>
          </w:p>
        </w:tc>
        <w:tc>
          <w:tcPr>
            <w:tcW w:w="956" w:type="pct"/>
          </w:tcPr>
          <w:p w:rsidR="00285CB1" w:rsidRPr="00A862C6" w:rsidRDefault="00285CB1" w:rsidP="00BF02F6">
            <w:pPr>
              <w:pStyle w:val="Tabletext"/>
              <w:keepNext/>
              <w:keepLines/>
              <w:jc w:val="center"/>
            </w:pPr>
            <w:r w:rsidRPr="00A862C6">
              <w:t>(29.4, 54.4)</w:t>
            </w:r>
          </w:p>
        </w:tc>
        <w:tc>
          <w:tcPr>
            <w:tcW w:w="956" w:type="pct"/>
          </w:tcPr>
          <w:p w:rsidR="00285CB1" w:rsidRPr="00A862C6" w:rsidRDefault="00285CB1" w:rsidP="00BF02F6">
            <w:pPr>
              <w:pStyle w:val="Tabletext"/>
              <w:keepNext/>
              <w:keepLines/>
              <w:jc w:val="center"/>
            </w:pPr>
            <w:r w:rsidRPr="00A862C6">
              <w:t>(41.6, 58.4)</w:t>
            </w:r>
          </w:p>
        </w:tc>
      </w:tr>
      <w:tr w:rsidR="00285CB1" w:rsidRPr="00A862C6" w:rsidTr="00054F76">
        <w:tc>
          <w:tcPr>
            <w:tcW w:w="5000" w:type="pct"/>
            <w:gridSpan w:val="5"/>
            <w:vAlign w:val="center"/>
          </w:tcPr>
          <w:p w:rsidR="00285CB1" w:rsidRPr="00A862C6" w:rsidRDefault="00285CB1" w:rsidP="00BF02F6">
            <w:pPr>
              <w:pStyle w:val="Tabletext"/>
              <w:keepNext/>
              <w:keepLines/>
              <w:rPr>
                <w:b/>
              </w:rPr>
            </w:pPr>
            <w:r w:rsidRPr="00A862C6">
              <w:rPr>
                <w:b/>
              </w:rPr>
              <w:t>3 year data cut</w:t>
            </w:r>
          </w:p>
        </w:tc>
      </w:tr>
      <w:tr w:rsidR="00285CB1" w:rsidRPr="00A862C6" w:rsidTr="00054F76">
        <w:tc>
          <w:tcPr>
            <w:tcW w:w="5000" w:type="pct"/>
            <w:gridSpan w:val="5"/>
            <w:vAlign w:val="center"/>
          </w:tcPr>
          <w:p w:rsidR="00285CB1" w:rsidRPr="00A862C6" w:rsidRDefault="00285CB1" w:rsidP="00BF02F6">
            <w:pPr>
              <w:pStyle w:val="Tabletext"/>
              <w:keepNext/>
              <w:keepLines/>
            </w:pPr>
            <w:r w:rsidRPr="00A862C6">
              <w:t>Objective response rate</w:t>
            </w:r>
          </w:p>
        </w:tc>
      </w:tr>
      <w:tr w:rsidR="00285CB1" w:rsidRPr="00A862C6" w:rsidTr="00054F76">
        <w:tc>
          <w:tcPr>
            <w:tcW w:w="1177" w:type="pct"/>
            <w:vAlign w:val="center"/>
          </w:tcPr>
          <w:p w:rsidR="00285CB1" w:rsidRPr="00A862C6" w:rsidRDefault="00285CB1" w:rsidP="00BF02F6">
            <w:pPr>
              <w:pStyle w:val="Tabletext"/>
              <w:keepNext/>
              <w:keepLines/>
            </w:pPr>
            <w:r w:rsidRPr="00A862C6">
              <w:t>ORR, n (%) (CR+PR)</w:t>
            </w:r>
          </w:p>
        </w:tc>
        <w:tc>
          <w:tcPr>
            <w:tcW w:w="955" w:type="pct"/>
            <w:vAlign w:val="center"/>
          </w:tcPr>
          <w:p w:rsidR="00285CB1" w:rsidRPr="00A862C6" w:rsidRDefault="00285CB1" w:rsidP="00840602">
            <w:pPr>
              <w:pStyle w:val="Tabletext"/>
              <w:keepNext/>
              <w:keepLines/>
              <w:jc w:val="center"/>
            </w:pPr>
            <w:r w:rsidRPr="00A862C6">
              <w:t>33 (</w:t>
            </w:r>
            <w:r w:rsidR="00840602" w:rsidRPr="00A862C6">
              <w:t>15.7)</w:t>
            </w:r>
          </w:p>
        </w:tc>
        <w:tc>
          <w:tcPr>
            <w:tcW w:w="956" w:type="pct"/>
            <w:vAlign w:val="center"/>
          </w:tcPr>
          <w:p w:rsidR="00285CB1" w:rsidRPr="00A862C6" w:rsidRDefault="00285CB1" w:rsidP="00BF02F6">
            <w:pPr>
              <w:pStyle w:val="Tabletext"/>
              <w:keepNext/>
              <w:keepLines/>
              <w:jc w:val="center"/>
            </w:pPr>
            <w:r w:rsidRPr="00A862C6">
              <w:t>34 (</w:t>
            </w:r>
            <w:r w:rsidR="00840602" w:rsidRPr="00A862C6">
              <w:t>16.3</w:t>
            </w:r>
            <w:r w:rsidRPr="00A862C6">
              <w:t>)</w:t>
            </w:r>
          </w:p>
        </w:tc>
        <w:tc>
          <w:tcPr>
            <w:tcW w:w="956" w:type="pct"/>
          </w:tcPr>
          <w:p w:rsidR="00285CB1" w:rsidRPr="00A862C6" w:rsidRDefault="00285CB1" w:rsidP="00BF02F6">
            <w:pPr>
              <w:pStyle w:val="Tabletext"/>
              <w:keepNext/>
              <w:keepLines/>
              <w:jc w:val="center"/>
            </w:pPr>
            <w:r w:rsidRPr="00A862C6">
              <w:t>NR</w:t>
            </w:r>
          </w:p>
        </w:tc>
        <w:tc>
          <w:tcPr>
            <w:tcW w:w="956" w:type="pct"/>
          </w:tcPr>
          <w:p w:rsidR="00285CB1" w:rsidRPr="00A862C6" w:rsidRDefault="00285CB1" w:rsidP="00BF02F6">
            <w:pPr>
              <w:pStyle w:val="Tabletext"/>
              <w:keepNext/>
              <w:keepLines/>
              <w:jc w:val="center"/>
            </w:pPr>
            <w:r w:rsidRPr="00A862C6">
              <w:t>NR</w:t>
            </w:r>
          </w:p>
        </w:tc>
      </w:tr>
      <w:tr w:rsidR="00285CB1" w:rsidRPr="00A862C6" w:rsidTr="00054F76">
        <w:tc>
          <w:tcPr>
            <w:tcW w:w="1177" w:type="pct"/>
            <w:vAlign w:val="center"/>
          </w:tcPr>
          <w:p w:rsidR="00285CB1" w:rsidRPr="00A862C6" w:rsidRDefault="00285CB1" w:rsidP="00BF02F6">
            <w:pPr>
              <w:pStyle w:val="Tabletext"/>
              <w:keepNext/>
              <w:keepLines/>
            </w:pPr>
            <w:r w:rsidRPr="00A862C6">
              <w:t>95% CI</w:t>
            </w:r>
          </w:p>
        </w:tc>
        <w:tc>
          <w:tcPr>
            <w:tcW w:w="955" w:type="pct"/>
            <w:vAlign w:val="center"/>
          </w:tcPr>
          <w:p w:rsidR="00285CB1" w:rsidRPr="00A862C6" w:rsidRDefault="00285CB1" w:rsidP="00BF02F6">
            <w:pPr>
              <w:pStyle w:val="Tabletext"/>
              <w:keepNext/>
              <w:keepLines/>
              <w:jc w:val="center"/>
            </w:pPr>
            <w:r w:rsidRPr="00A862C6">
              <w:t>(13.7, 26.0)</w:t>
            </w:r>
          </w:p>
        </w:tc>
        <w:tc>
          <w:tcPr>
            <w:tcW w:w="956" w:type="pct"/>
            <w:vAlign w:val="center"/>
          </w:tcPr>
          <w:p w:rsidR="00285CB1" w:rsidRPr="00A862C6" w:rsidRDefault="00285CB1" w:rsidP="00BF02F6">
            <w:pPr>
              <w:pStyle w:val="Tabletext"/>
              <w:keepNext/>
              <w:keepLines/>
              <w:jc w:val="center"/>
            </w:pPr>
            <w:r w:rsidRPr="00A862C6">
              <w:t>(15.4, 28.8)</w:t>
            </w:r>
          </w:p>
        </w:tc>
        <w:tc>
          <w:tcPr>
            <w:tcW w:w="956" w:type="pct"/>
          </w:tcPr>
          <w:p w:rsidR="00285CB1" w:rsidRPr="00A862C6" w:rsidRDefault="00285CB1" w:rsidP="00BF02F6">
            <w:pPr>
              <w:pStyle w:val="Tabletext"/>
              <w:keepNext/>
              <w:keepLines/>
              <w:jc w:val="center"/>
            </w:pPr>
            <w:r w:rsidRPr="00A862C6">
              <w:t>NR</w:t>
            </w:r>
          </w:p>
        </w:tc>
        <w:tc>
          <w:tcPr>
            <w:tcW w:w="956" w:type="pct"/>
          </w:tcPr>
          <w:p w:rsidR="00285CB1" w:rsidRPr="00A862C6" w:rsidRDefault="00285CB1" w:rsidP="00BF02F6">
            <w:pPr>
              <w:pStyle w:val="Tabletext"/>
              <w:keepNext/>
              <w:keepLines/>
              <w:jc w:val="center"/>
            </w:pPr>
            <w:r w:rsidRPr="00A862C6">
              <w:t>NR</w:t>
            </w:r>
          </w:p>
        </w:tc>
      </w:tr>
    </w:tbl>
    <w:p w:rsidR="00285CB1" w:rsidRPr="00A862C6" w:rsidRDefault="00285CB1" w:rsidP="00BF02F6">
      <w:pPr>
        <w:pStyle w:val="TableFooter"/>
        <w:keepNext/>
        <w:keepLines/>
        <w:rPr>
          <w:szCs w:val="18"/>
        </w:rPr>
      </w:pPr>
      <w:r w:rsidRPr="00A862C6">
        <w:rPr>
          <w:szCs w:val="18"/>
        </w:rPr>
        <w:t>Source: Table 30, p63 of the submission, Table 14.2.2-5-1 &amp; 14.2.2-5-2, p341&amp;342 of Clinical Study Report dated 12 March 2019, and Table 1, p5 of the 3 year update report.</w:t>
      </w:r>
    </w:p>
    <w:p w:rsidR="00285CB1" w:rsidRPr="00A862C6" w:rsidRDefault="00285CB1" w:rsidP="00BF02F6">
      <w:pPr>
        <w:pStyle w:val="TableFooter"/>
        <w:keepNext/>
        <w:keepLines/>
        <w:rPr>
          <w:szCs w:val="18"/>
        </w:rPr>
      </w:pPr>
      <w:r w:rsidRPr="00A862C6">
        <w:rPr>
          <w:szCs w:val="18"/>
        </w:rPr>
        <w:t xml:space="preserve">CI = Confidence interval; CR = complete response; </w:t>
      </w:r>
      <w:r w:rsidR="00BF7905">
        <w:rPr>
          <w:szCs w:val="18"/>
        </w:rPr>
        <w:t xml:space="preserve">DCR=disease control rate; </w:t>
      </w:r>
      <w:r w:rsidRPr="00A862C6">
        <w:rPr>
          <w:szCs w:val="18"/>
        </w:rPr>
        <w:t>DOC = docetaxel</w:t>
      </w:r>
      <w:r w:rsidR="00CC3164" w:rsidRPr="00A862C6">
        <w:rPr>
          <w:szCs w:val="18"/>
        </w:rPr>
        <w:t xml:space="preserve">; </w:t>
      </w:r>
      <w:r w:rsidR="00BF7905">
        <w:rPr>
          <w:szCs w:val="18"/>
        </w:rPr>
        <w:t xml:space="preserve">IC=investigator choice; </w:t>
      </w:r>
      <w:r w:rsidRPr="00A862C6">
        <w:rPr>
          <w:szCs w:val="18"/>
        </w:rPr>
        <w:t xml:space="preserve">NA = not applicable; NIVO = nivolumab; </w:t>
      </w:r>
      <w:r w:rsidR="00BF7905">
        <w:rPr>
          <w:szCs w:val="18"/>
        </w:rPr>
        <w:t xml:space="preserve">NR=not reported; </w:t>
      </w:r>
      <w:r w:rsidRPr="00A862C6">
        <w:rPr>
          <w:szCs w:val="18"/>
        </w:rPr>
        <w:t>ORR = o</w:t>
      </w:r>
      <w:r w:rsidR="00BF7905">
        <w:rPr>
          <w:szCs w:val="18"/>
        </w:rPr>
        <w:t>bjective</w:t>
      </w:r>
      <w:r w:rsidRPr="00A862C6">
        <w:rPr>
          <w:szCs w:val="18"/>
        </w:rPr>
        <w:t xml:space="preserve"> response rate; PAC = paclitaxel; PR = partial response; SD = stable disease</w:t>
      </w:r>
    </w:p>
    <w:p w:rsidR="00285CB1" w:rsidRPr="00A862C6" w:rsidRDefault="00285CB1" w:rsidP="00BF02F6">
      <w:pPr>
        <w:pStyle w:val="TableFooter"/>
        <w:keepNext/>
        <w:keepLines/>
        <w:rPr>
          <w:szCs w:val="18"/>
        </w:rPr>
      </w:pPr>
      <w:r w:rsidRPr="00A862C6">
        <w:rPr>
          <w:szCs w:val="18"/>
        </w:rPr>
        <w:t>1 month = 30.4375 days</w:t>
      </w:r>
    </w:p>
    <w:p w:rsidR="00285CB1" w:rsidRPr="00A862C6" w:rsidRDefault="00BF7905" w:rsidP="00BF02F6">
      <w:pPr>
        <w:keepNext/>
        <w:keepLines/>
        <w:rPr>
          <w:rFonts w:ascii="Arial Narrow" w:hAnsi="Arial Narrow"/>
          <w:sz w:val="18"/>
          <w:szCs w:val="18"/>
        </w:rPr>
      </w:pPr>
      <w:r>
        <w:rPr>
          <w:rFonts w:ascii="Arial Narrow" w:hAnsi="Arial Narrow"/>
          <w:sz w:val="18"/>
          <w:szCs w:val="18"/>
        </w:rPr>
        <w:t xml:space="preserve">a </w:t>
      </w:r>
      <w:r w:rsidR="009C08DB" w:rsidRPr="00A862C6">
        <w:rPr>
          <w:rFonts w:ascii="Arial Narrow" w:hAnsi="Arial Narrow"/>
          <w:sz w:val="18"/>
          <w:szCs w:val="18"/>
        </w:rPr>
        <w:t>C</w:t>
      </w:r>
      <w:r w:rsidR="00285CB1" w:rsidRPr="00A862C6">
        <w:rPr>
          <w:rFonts w:ascii="Arial Narrow" w:hAnsi="Arial Narrow"/>
          <w:sz w:val="18"/>
          <w:szCs w:val="18"/>
        </w:rPr>
        <w:t>ensored</w:t>
      </w:r>
    </w:p>
    <w:p w:rsidR="00285CB1" w:rsidRPr="00A862C6" w:rsidRDefault="00285CB1" w:rsidP="00BF02F6">
      <w:pPr>
        <w:keepNext/>
        <w:keepLines/>
        <w:rPr>
          <w:rFonts w:ascii="Arial Narrow" w:hAnsi="Arial Narrow"/>
          <w:sz w:val="18"/>
          <w:szCs w:val="18"/>
        </w:rPr>
      </w:pPr>
      <w:r w:rsidRPr="00A862C6">
        <w:rPr>
          <w:rFonts w:ascii="Arial Narrow" w:hAnsi="Arial Narrow"/>
          <w:sz w:val="18"/>
          <w:szCs w:val="18"/>
        </w:rPr>
        <w:t xml:space="preserve"> </w:t>
      </w:r>
    </w:p>
    <w:p w:rsidR="00BF02F6" w:rsidRPr="00A862C6" w:rsidRDefault="00285CB1" w:rsidP="00DD46F0">
      <w:pPr>
        <w:pStyle w:val="ListParagraph"/>
        <w:widowControl/>
        <w:numPr>
          <w:ilvl w:val="1"/>
          <w:numId w:val="2"/>
        </w:numPr>
      </w:pPr>
      <w:r w:rsidRPr="00A862C6">
        <w:t xml:space="preserve">A similar proportion of patients across treatment arms achieved a complete or partial response (p=0.6323, using </w:t>
      </w:r>
      <w:r w:rsidR="00BF7905">
        <w:t>response evaluable</w:t>
      </w:r>
      <w:r w:rsidRPr="00A862C6">
        <w:t xml:space="preserve"> population at 18 month and 3 year data cut). </w:t>
      </w:r>
      <w:r w:rsidR="00E224AA" w:rsidRPr="00A862C6">
        <w:t>The ESC noted that while the ORR for the nivolumab and chemotherapy treatment arms was similar, the median duration of response was longer for the nivolumab arm (6.9 months vs 3.9 months)</w:t>
      </w:r>
      <w:r w:rsidR="00A862C6">
        <w:t xml:space="preserve">. </w:t>
      </w:r>
    </w:p>
    <w:p w:rsidR="00285CB1" w:rsidRPr="00A862C6" w:rsidRDefault="00285CB1" w:rsidP="00DD46F0">
      <w:pPr>
        <w:pStyle w:val="ListParagraph"/>
        <w:numPr>
          <w:ilvl w:val="1"/>
          <w:numId w:val="2"/>
        </w:numPr>
      </w:pPr>
      <w:r w:rsidRPr="00A862C6">
        <w:t>Overall, a larger proportion of patients randomised to the IC group achieved disease control (complete response + partial response + stable disease), compared to patients randomised to the nivolumab group</w:t>
      </w:r>
      <w:r w:rsidR="002E64AD" w:rsidRPr="00A862C6">
        <w:t xml:space="preserve"> </w:t>
      </w:r>
      <w:r w:rsidRPr="00A862C6">
        <w:t xml:space="preserve">(difference = -25.41%, 95% CI </w:t>
      </w:r>
      <w:r w:rsidR="007C650F" w:rsidRPr="00A862C6">
        <w:noBreakHyphen/>
      </w:r>
      <w:r w:rsidRPr="00A862C6">
        <w:t xml:space="preserve">35.64, </w:t>
      </w:r>
      <w:r w:rsidR="007C650F" w:rsidRPr="00A862C6">
        <w:noBreakHyphen/>
      </w:r>
      <w:r w:rsidRPr="00A862C6">
        <w:t>15.19</w:t>
      </w:r>
      <w:r w:rsidR="002302DB">
        <w:t>, response evaluable population</w:t>
      </w:r>
      <w:r w:rsidRPr="00A862C6">
        <w:t xml:space="preserve">), though formal hypothesis testing was not conducted. </w:t>
      </w:r>
    </w:p>
    <w:p w:rsidR="00285CB1" w:rsidRPr="00A862C6" w:rsidRDefault="00F71DE4" w:rsidP="00DD46F0">
      <w:pPr>
        <w:pStyle w:val="ListParagraph"/>
        <w:widowControl/>
        <w:numPr>
          <w:ilvl w:val="1"/>
          <w:numId w:val="2"/>
        </w:numPr>
      </w:pPr>
      <w:r w:rsidRPr="00F71DE4">
        <w:t>Figure 2</w:t>
      </w:r>
      <w:r w:rsidR="00BF02F6" w:rsidRPr="00A862C6">
        <w:t xml:space="preserve"> </w:t>
      </w:r>
      <w:r w:rsidR="00285CB1" w:rsidRPr="00A862C6">
        <w:t>show</w:t>
      </w:r>
      <w:r w:rsidR="00BF02F6" w:rsidRPr="00A862C6">
        <w:t>s</w:t>
      </w:r>
      <w:r w:rsidR="00285CB1" w:rsidRPr="00A862C6">
        <w:t xml:space="preserve"> the PFS Kaplan-Meier at both data cuts and </w:t>
      </w:r>
      <w:r w:rsidRPr="00F71DE4">
        <w:t>Table 6</w:t>
      </w:r>
      <w:r w:rsidR="00BF02F6" w:rsidRPr="00A862C6">
        <w:t xml:space="preserve"> </w:t>
      </w:r>
      <w:r w:rsidR="00285CB1" w:rsidRPr="00A862C6">
        <w:t>summarises the PFS statistics for the ITT population.</w:t>
      </w:r>
    </w:p>
    <w:p w:rsidR="00285CB1" w:rsidRPr="00A862C6" w:rsidRDefault="00285CB1" w:rsidP="00BF02F6">
      <w:pPr>
        <w:pStyle w:val="Caption"/>
        <w:keepNext/>
        <w:keepLines/>
        <w:spacing w:after="0"/>
        <w:rPr>
          <w:rStyle w:val="CommentReference"/>
          <w:color w:val="auto"/>
        </w:rPr>
      </w:pPr>
      <w:bookmarkStart w:id="26" w:name="_Ref70382705"/>
      <w:r w:rsidRPr="00A862C6">
        <w:rPr>
          <w:rStyle w:val="CommentReference"/>
          <w:b/>
          <w:bCs w:val="0"/>
          <w:color w:val="auto"/>
        </w:rPr>
        <w:t xml:space="preserve">Figure </w:t>
      </w:r>
      <w:r w:rsidR="00F71DE4">
        <w:rPr>
          <w:rStyle w:val="CommentReference"/>
          <w:b/>
          <w:bCs w:val="0"/>
          <w:noProof/>
          <w:color w:val="auto"/>
        </w:rPr>
        <w:t>2</w:t>
      </w:r>
      <w:bookmarkEnd w:id="26"/>
      <w:r w:rsidRPr="00A862C6">
        <w:rPr>
          <w:rStyle w:val="CommentReference"/>
          <w:b/>
          <w:bCs w:val="0"/>
          <w:color w:val="auto"/>
        </w:rPr>
        <w:t>: Kaplan-Meier curve for progression free survival at 18 month data cut (</w:t>
      </w:r>
      <w:r w:rsidR="00BF02F6" w:rsidRPr="00A862C6">
        <w:rPr>
          <w:rStyle w:val="CommentReference"/>
          <w:b/>
          <w:bCs w:val="0"/>
          <w:color w:val="auto"/>
        </w:rPr>
        <w:t>top</w:t>
      </w:r>
      <w:r w:rsidRPr="00A862C6">
        <w:rPr>
          <w:rStyle w:val="CommentReference"/>
          <w:b/>
          <w:bCs w:val="0"/>
          <w:color w:val="auto"/>
        </w:rPr>
        <w:t>) and 3 year data cut (</w:t>
      </w:r>
      <w:r w:rsidR="00BF02F6" w:rsidRPr="00A862C6">
        <w:rPr>
          <w:rStyle w:val="CommentReference"/>
          <w:b/>
          <w:bCs w:val="0"/>
          <w:color w:val="auto"/>
        </w:rPr>
        <w:t>bottom</w:t>
      </w:r>
      <w:r w:rsidRPr="00A862C6">
        <w:rPr>
          <w:rStyle w:val="CommentReference"/>
          <w:b/>
          <w:bCs w:val="0"/>
          <w:color w:val="auto"/>
        </w:rPr>
        <w:t>)</w:t>
      </w:r>
    </w:p>
    <w:p w:rsidR="00285CB1" w:rsidRPr="00A862C6" w:rsidRDefault="00285CB1" w:rsidP="00BF02F6">
      <w:pPr>
        <w:keepNext/>
        <w:keepLines/>
        <w:widowControl/>
      </w:pPr>
      <w:r w:rsidRPr="00A862C6">
        <w:rPr>
          <w:noProof/>
          <w:snapToGrid/>
          <w:lang w:eastAsia="en-AU"/>
        </w:rPr>
        <w:drawing>
          <wp:inline distT="0" distB="0" distL="0" distR="0" wp14:anchorId="50BC3416" wp14:editId="2F8910CC">
            <wp:extent cx="4567569" cy="3045349"/>
            <wp:effectExtent l="0" t="0" r="4445" b="3175"/>
            <wp:docPr id="15" name="Picture 15" title="Figure 2: Kaplan-Meier curve for progression free survival at 18 month data cut (top) and 3 year data cu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76301" cy="3117844"/>
                    </a:xfrm>
                    <a:prstGeom prst="rect">
                      <a:avLst/>
                    </a:prstGeom>
                  </pic:spPr>
                </pic:pic>
              </a:graphicData>
            </a:graphic>
          </wp:inline>
        </w:drawing>
      </w:r>
      <w:r w:rsidRPr="00A862C6">
        <w:rPr>
          <w:noProof/>
          <w:snapToGrid/>
          <w:lang w:eastAsia="en-AU"/>
        </w:rPr>
        <w:drawing>
          <wp:inline distT="0" distB="0" distL="0" distR="0" wp14:anchorId="7646D258" wp14:editId="27BCBA34">
            <wp:extent cx="4511488" cy="3140765"/>
            <wp:effectExtent l="0" t="0" r="3810" b="2540"/>
            <wp:docPr id="16" name="Picture 16" title="Figure 2: Kaplan-Meier curve for progression free survival at 18 month data cut (top) and 3 year data cu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6323" cy="3213748"/>
                    </a:xfrm>
                    <a:prstGeom prst="rect">
                      <a:avLst/>
                    </a:prstGeom>
                  </pic:spPr>
                </pic:pic>
              </a:graphicData>
            </a:graphic>
          </wp:inline>
        </w:drawing>
      </w:r>
      <w:r w:rsidRPr="00A862C6">
        <w:t xml:space="preserve"> </w:t>
      </w:r>
    </w:p>
    <w:p w:rsidR="00285CB1" w:rsidRPr="00A862C6" w:rsidRDefault="00285CB1" w:rsidP="00BF02F6">
      <w:pPr>
        <w:pStyle w:val="TableFooter"/>
        <w:keepNext/>
        <w:keepLines/>
      </w:pPr>
      <w:r w:rsidRPr="00A862C6">
        <w:t>Source: Figure 2C, Kato 2019 and Figure 7, p65 of the submission</w:t>
      </w:r>
    </w:p>
    <w:p w:rsidR="00285CB1" w:rsidRPr="00A862C6" w:rsidRDefault="00285CB1" w:rsidP="00285CB1">
      <w:pPr>
        <w:widowControl/>
      </w:pPr>
    </w:p>
    <w:p w:rsidR="00285CB1" w:rsidRPr="00A862C6" w:rsidRDefault="00285CB1" w:rsidP="00BF02F6">
      <w:pPr>
        <w:keepNext/>
        <w:keepLines/>
        <w:rPr>
          <w:rFonts w:ascii="Arial Narrow" w:hAnsi="Arial Narrow"/>
          <w:b/>
          <w:sz w:val="20"/>
          <w:szCs w:val="16"/>
        </w:rPr>
      </w:pPr>
      <w:bookmarkStart w:id="27" w:name="_Ref70382753"/>
      <w:r w:rsidRPr="00A862C6">
        <w:rPr>
          <w:rStyle w:val="CommentReference"/>
        </w:rPr>
        <w:t xml:space="preserve">Table </w:t>
      </w:r>
      <w:r w:rsidR="00F71DE4">
        <w:rPr>
          <w:rStyle w:val="CommentReference"/>
          <w:noProof/>
        </w:rPr>
        <w:t>6</w:t>
      </w:r>
      <w:bookmarkEnd w:id="27"/>
      <w:r w:rsidRPr="00A862C6">
        <w:rPr>
          <w:rStyle w:val="CommentReference"/>
        </w:rPr>
        <w:t>: Results of progression free survival in the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618"/>
        <w:gridCol w:w="1758"/>
        <w:gridCol w:w="1758"/>
        <w:gridCol w:w="1760"/>
      </w:tblGrid>
      <w:tr w:rsidR="00285CB1" w:rsidRPr="00A862C6" w:rsidTr="00054F76">
        <w:trPr>
          <w:tblHeader/>
        </w:trPr>
        <w:tc>
          <w:tcPr>
            <w:tcW w:w="1177" w:type="pct"/>
            <w:vMerge w:val="restart"/>
            <w:vAlign w:val="center"/>
          </w:tcPr>
          <w:p w:rsidR="00285CB1" w:rsidRPr="00A862C6" w:rsidRDefault="00285CB1" w:rsidP="00BF02F6">
            <w:pPr>
              <w:pStyle w:val="Tabletext"/>
              <w:keepNext/>
              <w:keepLines/>
              <w:rPr>
                <w:b/>
              </w:rPr>
            </w:pPr>
            <w:r w:rsidRPr="00A862C6">
              <w:rPr>
                <w:b/>
              </w:rPr>
              <w:t>Efficacy parameter</w:t>
            </w:r>
          </w:p>
        </w:tc>
        <w:tc>
          <w:tcPr>
            <w:tcW w:w="897" w:type="pct"/>
            <w:vMerge w:val="restart"/>
            <w:vAlign w:val="center"/>
          </w:tcPr>
          <w:p w:rsidR="00285CB1" w:rsidRPr="00A862C6" w:rsidRDefault="00285CB1" w:rsidP="00BF02F6">
            <w:pPr>
              <w:pStyle w:val="Tabletext"/>
              <w:keepNext/>
              <w:keepLines/>
              <w:jc w:val="center"/>
              <w:rPr>
                <w:b/>
              </w:rPr>
            </w:pPr>
            <w:r w:rsidRPr="00A862C6">
              <w:rPr>
                <w:b/>
              </w:rPr>
              <w:t>NIVO (n=210)</w:t>
            </w:r>
          </w:p>
        </w:tc>
        <w:tc>
          <w:tcPr>
            <w:tcW w:w="2926" w:type="pct"/>
            <w:gridSpan w:val="3"/>
            <w:vAlign w:val="center"/>
          </w:tcPr>
          <w:p w:rsidR="00285CB1" w:rsidRPr="00A862C6" w:rsidRDefault="00285CB1" w:rsidP="00BF02F6">
            <w:pPr>
              <w:pStyle w:val="Tabletext"/>
              <w:keepNext/>
              <w:keepLines/>
              <w:jc w:val="center"/>
              <w:rPr>
                <w:b/>
              </w:rPr>
            </w:pPr>
            <w:r w:rsidRPr="00A862C6">
              <w:rPr>
                <w:b/>
              </w:rPr>
              <w:t>IC</w:t>
            </w:r>
          </w:p>
        </w:tc>
      </w:tr>
      <w:tr w:rsidR="00285CB1" w:rsidRPr="00A862C6" w:rsidTr="00054F76">
        <w:trPr>
          <w:tblHeader/>
        </w:trPr>
        <w:tc>
          <w:tcPr>
            <w:tcW w:w="1177" w:type="pct"/>
            <w:vMerge/>
            <w:vAlign w:val="center"/>
          </w:tcPr>
          <w:p w:rsidR="00285CB1" w:rsidRPr="00A862C6" w:rsidRDefault="00285CB1" w:rsidP="00BF02F6">
            <w:pPr>
              <w:pStyle w:val="Tabletext"/>
              <w:keepNext/>
              <w:keepLines/>
              <w:rPr>
                <w:b/>
              </w:rPr>
            </w:pPr>
          </w:p>
        </w:tc>
        <w:tc>
          <w:tcPr>
            <w:tcW w:w="897" w:type="pct"/>
            <w:vMerge/>
            <w:vAlign w:val="center"/>
          </w:tcPr>
          <w:p w:rsidR="00285CB1" w:rsidRPr="00A862C6" w:rsidRDefault="00285CB1" w:rsidP="00BF02F6">
            <w:pPr>
              <w:pStyle w:val="Tabletext"/>
              <w:keepNext/>
              <w:keepLines/>
              <w:jc w:val="center"/>
              <w:rPr>
                <w:b/>
              </w:rPr>
            </w:pPr>
          </w:p>
        </w:tc>
        <w:tc>
          <w:tcPr>
            <w:tcW w:w="975" w:type="pct"/>
            <w:vAlign w:val="center"/>
          </w:tcPr>
          <w:p w:rsidR="00285CB1" w:rsidRPr="00A862C6" w:rsidRDefault="00285CB1" w:rsidP="00BF02F6">
            <w:pPr>
              <w:pStyle w:val="Tabletext"/>
              <w:keepNext/>
              <w:keepLines/>
              <w:jc w:val="center"/>
              <w:rPr>
                <w:b/>
              </w:rPr>
            </w:pPr>
            <w:r w:rsidRPr="00A862C6">
              <w:rPr>
                <w:b/>
              </w:rPr>
              <w:t>Total (n=209)</w:t>
            </w:r>
          </w:p>
        </w:tc>
        <w:tc>
          <w:tcPr>
            <w:tcW w:w="975" w:type="pct"/>
          </w:tcPr>
          <w:p w:rsidR="00285CB1" w:rsidRPr="00A862C6" w:rsidRDefault="00285CB1" w:rsidP="00BF02F6">
            <w:pPr>
              <w:pStyle w:val="Tabletext"/>
              <w:keepNext/>
              <w:keepLines/>
              <w:jc w:val="center"/>
              <w:rPr>
                <w:b/>
              </w:rPr>
            </w:pPr>
            <w:r w:rsidRPr="00A862C6">
              <w:rPr>
                <w:b/>
              </w:rPr>
              <w:t>DOC (n=65)</w:t>
            </w:r>
          </w:p>
        </w:tc>
        <w:tc>
          <w:tcPr>
            <w:tcW w:w="976" w:type="pct"/>
          </w:tcPr>
          <w:p w:rsidR="00285CB1" w:rsidRPr="00A862C6" w:rsidRDefault="00285CB1" w:rsidP="00BF02F6">
            <w:pPr>
              <w:pStyle w:val="Tabletext"/>
              <w:keepNext/>
              <w:keepLines/>
              <w:jc w:val="center"/>
              <w:rPr>
                <w:b/>
              </w:rPr>
            </w:pPr>
            <w:r w:rsidRPr="00A862C6">
              <w:rPr>
                <w:b/>
              </w:rPr>
              <w:t>PAC (n=144)</w:t>
            </w:r>
          </w:p>
        </w:tc>
      </w:tr>
      <w:tr w:rsidR="00285CB1" w:rsidRPr="00A862C6" w:rsidTr="00054F76">
        <w:tc>
          <w:tcPr>
            <w:tcW w:w="5000" w:type="pct"/>
            <w:gridSpan w:val="5"/>
            <w:vAlign w:val="center"/>
          </w:tcPr>
          <w:p w:rsidR="00285CB1" w:rsidRPr="00A862C6" w:rsidRDefault="00285CB1" w:rsidP="00BF02F6">
            <w:pPr>
              <w:pStyle w:val="Tabletext"/>
              <w:keepNext/>
              <w:keepLines/>
              <w:rPr>
                <w:b/>
              </w:rPr>
            </w:pPr>
            <w:r w:rsidRPr="00A862C6">
              <w:rPr>
                <w:b/>
              </w:rPr>
              <w:t>18 month data cut</w:t>
            </w:r>
          </w:p>
        </w:tc>
      </w:tr>
      <w:tr w:rsidR="00285CB1" w:rsidRPr="00A862C6" w:rsidTr="00054F76">
        <w:tc>
          <w:tcPr>
            <w:tcW w:w="1177" w:type="pct"/>
            <w:vAlign w:val="center"/>
          </w:tcPr>
          <w:p w:rsidR="00285CB1" w:rsidRPr="00A862C6" w:rsidRDefault="00285CB1" w:rsidP="00BF02F6">
            <w:pPr>
              <w:pStyle w:val="Tabletext"/>
              <w:keepNext/>
              <w:keepLines/>
            </w:pPr>
            <w:r w:rsidRPr="00A862C6">
              <w:t>Number of events, n (%)</w:t>
            </w:r>
          </w:p>
        </w:tc>
        <w:tc>
          <w:tcPr>
            <w:tcW w:w="897" w:type="pct"/>
            <w:vAlign w:val="center"/>
          </w:tcPr>
          <w:p w:rsidR="00285CB1" w:rsidRPr="00A862C6" w:rsidRDefault="00285CB1" w:rsidP="00BF02F6">
            <w:pPr>
              <w:pStyle w:val="Tabletext"/>
              <w:keepNext/>
              <w:keepLines/>
              <w:jc w:val="center"/>
            </w:pPr>
            <w:r w:rsidRPr="00A862C6">
              <w:t>187 (89.0)</w:t>
            </w:r>
          </w:p>
        </w:tc>
        <w:tc>
          <w:tcPr>
            <w:tcW w:w="975" w:type="pct"/>
            <w:vAlign w:val="center"/>
          </w:tcPr>
          <w:p w:rsidR="00285CB1" w:rsidRPr="00A862C6" w:rsidRDefault="00285CB1" w:rsidP="00BF02F6">
            <w:pPr>
              <w:pStyle w:val="Tabletext"/>
              <w:keepNext/>
              <w:keepLines/>
              <w:jc w:val="center"/>
            </w:pPr>
            <w:r w:rsidRPr="00A862C6">
              <w:t>176 (84.2)</w:t>
            </w:r>
          </w:p>
        </w:tc>
        <w:tc>
          <w:tcPr>
            <w:tcW w:w="975" w:type="pct"/>
          </w:tcPr>
          <w:p w:rsidR="00285CB1" w:rsidRPr="00A862C6" w:rsidRDefault="00285CB1" w:rsidP="00BF02F6">
            <w:pPr>
              <w:pStyle w:val="Tabletext"/>
              <w:keepNext/>
              <w:keepLines/>
              <w:jc w:val="center"/>
            </w:pPr>
            <w:r w:rsidRPr="00A862C6">
              <w:t>55 (84.6)</w:t>
            </w:r>
          </w:p>
        </w:tc>
        <w:tc>
          <w:tcPr>
            <w:tcW w:w="976" w:type="pct"/>
          </w:tcPr>
          <w:p w:rsidR="00285CB1" w:rsidRPr="00A862C6" w:rsidRDefault="00285CB1" w:rsidP="00BF02F6">
            <w:pPr>
              <w:pStyle w:val="Tabletext"/>
              <w:keepNext/>
              <w:keepLines/>
              <w:jc w:val="center"/>
            </w:pPr>
            <w:r w:rsidRPr="00A862C6">
              <w:t>121 (84.0)</w:t>
            </w:r>
          </w:p>
        </w:tc>
      </w:tr>
      <w:tr w:rsidR="00285CB1" w:rsidRPr="00A862C6" w:rsidTr="00054F76">
        <w:tc>
          <w:tcPr>
            <w:tcW w:w="1177" w:type="pct"/>
            <w:vAlign w:val="center"/>
          </w:tcPr>
          <w:p w:rsidR="00285CB1" w:rsidRPr="00A862C6" w:rsidRDefault="00285CB1" w:rsidP="00BF02F6">
            <w:pPr>
              <w:pStyle w:val="Tabletext"/>
              <w:keepNext/>
              <w:keepLines/>
            </w:pPr>
            <w:r w:rsidRPr="00A862C6">
              <w:t xml:space="preserve">    Progression</w:t>
            </w:r>
          </w:p>
        </w:tc>
        <w:tc>
          <w:tcPr>
            <w:tcW w:w="897" w:type="pct"/>
            <w:vAlign w:val="center"/>
          </w:tcPr>
          <w:p w:rsidR="00285CB1" w:rsidRPr="00A862C6" w:rsidRDefault="00285CB1" w:rsidP="00BF02F6">
            <w:pPr>
              <w:pStyle w:val="Tabletext"/>
              <w:keepNext/>
              <w:keepLines/>
              <w:jc w:val="center"/>
            </w:pPr>
            <w:r w:rsidRPr="00A862C6">
              <w:t>167 (79.5)</w:t>
            </w:r>
          </w:p>
        </w:tc>
        <w:tc>
          <w:tcPr>
            <w:tcW w:w="975" w:type="pct"/>
            <w:vAlign w:val="center"/>
          </w:tcPr>
          <w:p w:rsidR="00285CB1" w:rsidRPr="00A862C6" w:rsidRDefault="00285CB1" w:rsidP="00BF02F6">
            <w:pPr>
              <w:pStyle w:val="Tabletext"/>
              <w:keepNext/>
              <w:keepLines/>
              <w:jc w:val="center"/>
            </w:pPr>
            <w:r w:rsidRPr="00A862C6">
              <w:t>162 (77.5)</w:t>
            </w:r>
          </w:p>
        </w:tc>
        <w:tc>
          <w:tcPr>
            <w:tcW w:w="975" w:type="pct"/>
            <w:vAlign w:val="center"/>
          </w:tcPr>
          <w:p w:rsidR="00285CB1" w:rsidRPr="00A862C6" w:rsidRDefault="00285CB1" w:rsidP="00BF02F6">
            <w:pPr>
              <w:pStyle w:val="Tabletext"/>
              <w:keepNext/>
              <w:keepLines/>
              <w:jc w:val="center"/>
            </w:pPr>
            <w:r w:rsidRPr="00A862C6">
              <w:t>53 (81.5)</w:t>
            </w:r>
          </w:p>
        </w:tc>
        <w:tc>
          <w:tcPr>
            <w:tcW w:w="976" w:type="pct"/>
            <w:vAlign w:val="center"/>
          </w:tcPr>
          <w:p w:rsidR="00285CB1" w:rsidRPr="00A862C6" w:rsidRDefault="00285CB1" w:rsidP="00BF02F6">
            <w:pPr>
              <w:pStyle w:val="Tabletext"/>
              <w:keepNext/>
              <w:keepLines/>
              <w:jc w:val="center"/>
            </w:pPr>
            <w:r w:rsidRPr="00A862C6">
              <w:t>109 (75.7)</w:t>
            </w:r>
          </w:p>
        </w:tc>
      </w:tr>
      <w:tr w:rsidR="00285CB1" w:rsidRPr="00A862C6" w:rsidTr="00054F76">
        <w:tc>
          <w:tcPr>
            <w:tcW w:w="1177" w:type="pct"/>
            <w:vAlign w:val="center"/>
          </w:tcPr>
          <w:p w:rsidR="00285CB1" w:rsidRPr="00A862C6" w:rsidRDefault="00285CB1" w:rsidP="00BF02F6">
            <w:pPr>
              <w:pStyle w:val="Tabletext"/>
              <w:keepNext/>
              <w:keepLines/>
            </w:pPr>
            <w:r w:rsidRPr="00A862C6">
              <w:t xml:space="preserve">    Deaths</w:t>
            </w:r>
          </w:p>
        </w:tc>
        <w:tc>
          <w:tcPr>
            <w:tcW w:w="897" w:type="pct"/>
            <w:vAlign w:val="center"/>
          </w:tcPr>
          <w:p w:rsidR="00285CB1" w:rsidRPr="00A862C6" w:rsidRDefault="00285CB1" w:rsidP="00BF02F6">
            <w:pPr>
              <w:pStyle w:val="Tabletext"/>
              <w:keepNext/>
              <w:keepLines/>
              <w:jc w:val="center"/>
            </w:pPr>
            <w:r w:rsidRPr="00A862C6">
              <w:t>20 (9.5)</w:t>
            </w:r>
          </w:p>
        </w:tc>
        <w:tc>
          <w:tcPr>
            <w:tcW w:w="975" w:type="pct"/>
            <w:vAlign w:val="center"/>
          </w:tcPr>
          <w:p w:rsidR="00285CB1" w:rsidRPr="00A862C6" w:rsidRDefault="00285CB1" w:rsidP="00BF02F6">
            <w:pPr>
              <w:pStyle w:val="Tabletext"/>
              <w:keepNext/>
              <w:keepLines/>
              <w:jc w:val="center"/>
            </w:pPr>
            <w:r w:rsidRPr="00A862C6">
              <w:t>14 (6.7)</w:t>
            </w:r>
          </w:p>
        </w:tc>
        <w:tc>
          <w:tcPr>
            <w:tcW w:w="975" w:type="pct"/>
            <w:vAlign w:val="center"/>
          </w:tcPr>
          <w:p w:rsidR="00285CB1" w:rsidRPr="00A862C6" w:rsidRDefault="00285CB1" w:rsidP="00BF02F6">
            <w:pPr>
              <w:pStyle w:val="Tabletext"/>
              <w:keepNext/>
              <w:keepLines/>
              <w:jc w:val="center"/>
            </w:pPr>
            <w:r w:rsidRPr="00A862C6">
              <w:t>2 (3.1)</w:t>
            </w:r>
          </w:p>
        </w:tc>
        <w:tc>
          <w:tcPr>
            <w:tcW w:w="976" w:type="pct"/>
            <w:vAlign w:val="center"/>
          </w:tcPr>
          <w:p w:rsidR="00285CB1" w:rsidRPr="00A862C6" w:rsidRDefault="00285CB1" w:rsidP="00BF02F6">
            <w:pPr>
              <w:pStyle w:val="Tabletext"/>
              <w:keepNext/>
              <w:keepLines/>
              <w:jc w:val="center"/>
            </w:pPr>
            <w:r w:rsidRPr="00A862C6">
              <w:t>12 (8.3)</w:t>
            </w:r>
          </w:p>
        </w:tc>
      </w:tr>
      <w:tr w:rsidR="00285CB1" w:rsidRPr="00A862C6" w:rsidTr="00054F76">
        <w:tc>
          <w:tcPr>
            <w:tcW w:w="1177" w:type="pct"/>
            <w:vAlign w:val="center"/>
          </w:tcPr>
          <w:p w:rsidR="00285CB1" w:rsidRPr="00A862C6" w:rsidRDefault="00285CB1" w:rsidP="00BF02F6">
            <w:pPr>
              <w:pStyle w:val="Tabletext"/>
              <w:keepNext/>
              <w:keepLines/>
            </w:pPr>
            <w:r w:rsidRPr="00A862C6">
              <w:t>Number of censored</w:t>
            </w:r>
          </w:p>
        </w:tc>
        <w:tc>
          <w:tcPr>
            <w:tcW w:w="897" w:type="pct"/>
            <w:vAlign w:val="center"/>
          </w:tcPr>
          <w:p w:rsidR="00285CB1" w:rsidRPr="00A862C6" w:rsidRDefault="00285CB1" w:rsidP="00BF02F6">
            <w:pPr>
              <w:pStyle w:val="Tabletext"/>
              <w:keepNext/>
              <w:keepLines/>
              <w:jc w:val="center"/>
            </w:pPr>
            <w:r w:rsidRPr="00A862C6">
              <w:t>23 (11.0)</w:t>
            </w:r>
          </w:p>
        </w:tc>
        <w:tc>
          <w:tcPr>
            <w:tcW w:w="975" w:type="pct"/>
            <w:vAlign w:val="center"/>
          </w:tcPr>
          <w:p w:rsidR="00285CB1" w:rsidRPr="00A862C6" w:rsidRDefault="00285CB1" w:rsidP="00BF02F6">
            <w:pPr>
              <w:pStyle w:val="Tabletext"/>
              <w:keepNext/>
              <w:keepLines/>
              <w:jc w:val="center"/>
            </w:pPr>
            <w:r w:rsidRPr="00A862C6">
              <w:t>33 (15.8)</w:t>
            </w:r>
          </w:p>
        </w:tc>
        <w:tc>
          <w:tcPr>
            <w:tcW w:w="975" w:type="pct"/>
            <w:vAlign w:val="center"/>
          </w:tcPr>
          <w:p w:rsidR="00285CB1" w:rsidRPr="00A862C6" w:rsidRDefault="00285CB1" w:rsidP="00BF02F6">
            <w:pPr>
              <w:pStyle w:val="Tabletext"/>
              <w:keepNext/>
              <w:keepLines/>
              <w:jc w:val="center"/>
            </w:pPr>
            <w:r w:rsidRPr="00A862C6">
              <w:t>10 (15.4)</w:t>
            </w:r>
          </w:p>
        </w:tc>
        <w:tc>
          <w:tcPr>
            <w:tcW w:w="976" w:type="pct"/>
            <w:vAlign w:val="center"/>
          </w:tcPr>
          <w:p w:rsidR="00285CB1" w:rsidRPr="00A862C6" w:rsidRDefault="00285CB1" w:rsidP="00BF02F6">
            <w:pPr>
              <w:pStyle w:val="Tabletext"/>
              <w:keepNext/>
              <w:keepLines/>
              <w:jc w:val="center"/>
            </w:pPr>
            <w:r w:rsidRPr="00A862C6">
              <w:t>23 (16.0)</w:t>
            </w:r>
          </w:p>
        </w:tc>
      </w:tr>
      <w:tr w:rsidR="00285CB1" w:rsidRPr="00A862C6" w:rsidTr="00054F76">
        <w:tc>
          <w:tcPr>
            <w:tcW w:w="1177" w:type="pct"/>
            <w:vAlign w:val="center"/>
          </w:tcPr>
          <w:p w:rsidR="00285CB1" w:rsidRPr="00A862C6" w:rsidRDefault="00285CB1" w:rsidP="00BF02F6">
            <w:pPr>
              <w:pStyle w:val="Tabletext"/>
              <w:keepNext/>
              <w:keepLines/>
            </w:pPr>
            <w:r w:rsidRPr="00A862C6">
              <w:t>Median, months (95%CI)</w:t>
            </w:r>
            <w:r w:rsidRPr="00A862C6">
              <w:rPr>
                <w:vertAlign w:val="superscript"/>
              </w:rPr>
              <w:t>a</w:t>
            </w:r>
          </w:p>
        </w:tc>
        <w:tc>
          <w:tcPr>
            <w:tcW w:w="897" w:type="pct"/>
            <w:vAlign w:val="center"/>
          </w:tcPr>
          <w:p w:rsidR="00285CB1" w:rsidRPr="00A862C6" w:rsidRDefault="00285CB1" w:rsidP="00BF02F6">
            <w:pPr>
              <w:pStyle w:val="Tabletext"/>
              <w:keepNext/>
              <w:keepLines/>
              <w:jc w:val="center"/>
            </w:pPr>
            <w:r w:rsidRPr="00A862C6">
              <w:t>1.68 (1.51, 2.73)</w:t>
            </w:r>
          </w:p>
        </w:tc>
        <w:tc>
          <w:tcPr>
            <w:tcW w:w="975" w:type="pct"/>
            <w:vAlign w:val="center"/>
          </w:tcPr>
          <w:p w:rsidR="00285CB1" w:rsidRPr="00A862C6" w:rsidRDefault="00285CB1" w:rsidP="00BF02F6">
            <w:pPr>
              <w:pStyle w:val="Tabletext"/>
              <w:keepNext/>
              <w:keepLines/>
              <w:jc w:val="center"/>
            </w:pPr>
            <w:r w:rsidRPr="00A862C6">
              <w:t>3.35 (2.99, 4.21)</w:t>
            </w:r>
          </w:p>
        </w:tc>
        <w:tc>
          <w:tcPr>
            <w:tcW w:w="975" w:type="pct"/>
            <w:vAlign w:val="center"/>
          </w:tcPr>
          <w:p w:rsidR="00285CB1" w:rsidRPr="00A862C6" w:rsidRDefault="00285CB1" w:rsidP="00BF02F6">
            <w:pPr>
              <w:pStyle w:val="Tabletext"/>
              <w:keepNext/>
              <w:keepLines/>
              <w:jc w:val="center"/>
            </w:pPr>
            <w:r w:rsidRPr="00A862C6">
              <w:t>3.02 (2.46, 4.21)</w:t>
            </w:r>
          </w:p>
        </w:tc>
        <w:tc>
          <w:tcPr>
            <w:tcW w:w="976" w:type="pct"/>
            <w:vAlign w:val="center"/>
          </w:tcPr>
          <w:p w:rsidR="00285CB1" w:rsidRPr="00A862C6" w:rsidRDefault="00285CB1" w:rsidP="00BF02F6">
            <w:pPr>
              <w:pStyle w:val="Tabletext"/>
              <w:keepNext/>
              <w:keepLines/>
              <w:jc w:val="center"/>
            </w:pPr>
            <w:r w:rsidRPr="00A862C6">
              <w:t>4.11 (2.99, 4.27)</w:t>
            </w:r>
          </w:p>
        </w:tc>
      </w:tr>
      <w:tr w:rsidR="00285CB1" w:rsidRPr="00A862C6" w:rsidTr="00054F76">
        <w:tc>
          <w:tcPr>
            <w:tcW w:w="1177" w:type="pct"/>
            <w:vAlign w:val="center"/>
          </w:tcPr>
          <w:p w:rsidR="00285CB1" w:rsidRPr="00A862C6" w:rsidRDefault="00285CB1" w:rsidP="00BF02F6">
            <w:pPr>
              <w:pStyle w:val="Tabletext"/>
              <w:keepNext/>
              <w:keepLines/>
            </w:pPr>
            <w:r w:rsidRPr="00A862C6">
              <w:t>HR (95% CI)</w:t>
            </w:r>
            <w:r w:rsidRPr="00A862C6">
              <w:rPr>
                <w:vertAlign w:val="superscript"/>
              </w:rPr>
              <w:t>b</w:t>
            </w:r>
          </w:p>
        </w:tc>
        <w:tc>
          <w:tcPr>
            <w:tcW w:w="897" w:type="pct"/>
            <w:vAlign w:val="center"/>
          </w:tcPr>
          <w:p w:rsidR="00285CB1" w:rsidRPr="00A862C6" w:rsidRDefault="00285CB1" w:rsidP="00BF02F6">
            <w:pPr>
              <w:pStyle w:val="Tabletext"/>
              <w:keepNext/>
              <w:keepLines/>
              <w:jc w:val="center"/>
            </w:pPr>
            <w:r w:rsidRPr="00A862C6">
              <w:t>NA</w:t>
            </w:r>
          </w:p>
        </w:tc>
        <w:tc>
          <w:tcPr>
            <w:tcW w:w="975" w:type="pct"/>
            <w:vAlign w:val="center"/>
          </w:tcPr>
          <w:p w:rsidR="00285CB1" w:rsidRPr="00A862C6" w:rsidRDefault="00285CB1" w:rsidP="00BF02F6">
            <w:pPr>
              <w:pStyle w:val="Tabletext"/>
              <w:keepNext/>
              <w:keepLines/>
              <w:jc w:val="center"/>
            </w:pPr>
            <w:r w:rsidRPr="00A862C6">
              <w:t>1.08 (0.87</w:t>
            </w:r>
            <w:r w:rsidR="00A00D5F" w:rsidRPr="00A862C6">
              <w:t xml:space="preserve">, </w:t>
            </w:r>
            <w:r w:rsidRPr="00A862C6">
              <w:t>1.34)</w:t>
            </w:r>
          </w:p>
        </w:tc>
        <w:tc>
          <w:tcPr>
            <w:tcW w:w="975" w:type="pct"/>
          </w:tcPr>
          <w:p w:rsidR="00285CB1" w:rsidRPr="00A862C6" w:rsidRDefault="00285CB1" w:rsidP="00BF02F6">
            <w:pPr>
              <w:pStyle w:val="Tabletext"/>
              <w:keepNext/>
              <w:keepLines/>
              <w:jc w:val="center"/>
            </w:pPr>
            <w:r w:rsidRPr="00A862C6">
              <w:t>0.97 (0.71, 1.33)</w:t>
            </w:r>
          </w:p>
        </w:tc>
        <w:tc>
          <w:tcPr>
            <w:tcW w:w="976" w:type="pct"/>
          </w:tcPr>
          <w:p w:rsidR="00285CB1" w:rsidRPr="00A862C6" w:rsidRDefault="00285CB1" w:rsidP="00BF02F6">
            <w:pPr>
              <w:pStyle w:val="Tabletext"/>
              <w:keepNext/>
              <w:keepLines/>
              <w:jc w:val="center"/>
            </w:pPr>
            <w:r w:rsidRPr="00A862C6">
              <w:t>1.15 (0.91, 1.46)</w:t>
            </w:r>
          </w:p>
        </w:tc>
      </w:tr>
      <w:tr w:rsidR="00285CB1" w:rsidRPr="00A862C6" w:rsidTr="00054F76">
        <w:tc>
          <w:tcPr>
            <w:tcW w:w="5000" w:type="pct"/>
            <w:gridSpan w:val="5"/>
            <w:vAlign w:val="center"/>
          </w:tcPr>
          <w:p w:rsidR="00285CB1" w:rsidRPr="00A862C6" w:rsidRDefault="00285CB1" w:rsidP="00BF02F6">
            <w:pPr>
              <w:pStyle w:val="Tabletext"/>
              <w:keepNext/>
              <w:keepLines/>
              <w:rPr>
                <w:color w:val="FF0000"/>
              </w:rPr>
            </w:pPr>
            <w:r w:rsidRPr="00A862C6">
              <w:t>PFS rate</w:t>
            </w:r>
            <w:r w:rsidRPr="00A862C6">
              <w:rPr>
                <w:vertAlign w:val="superscript"/>
              </w:rPr>
              <w:t>c</w:t>
            </w:r>
          </w:p>
        </w:tc>
      </w:tr>
      <w:tr w:rsidR="00285CB1" w:rsidRPr="00A862C6" w:rsidTr="00054F76">
        <w:tc>
          <w:tcPr>
            <w:tcW w:w="1177" w:type="pct"/>
            <w:vAlign w:val="center"/>
          </w:tcPr>
          <w:p w:rsidR="00285CB1" w:rsidRPr="00A862C6" w:rsidRDefault="00285CB1" w:rsidP="00BF02F6">
            <w:pPr>
              <w:pStyle w:val="Tabletext"/>
              <w:keepNext/>
              <w:keepLines/>
            </w:pPr>
            <w:r w:rsidRPr="00A862C6">
              <w:t xml:space="preserve">    3-month</w:t>
            </w:r>
          </w:p>
        </w:tc>
        <w:tc>
          <w:tcPr>
            <w:tcW w:w="897" w:type="pct"/>
            <w:vAlign w:val="center"/>
          </w:tcPr>
          <w:p w:rsidR="00285CB1" w:rsidRPr="00A862C6" w:rsidRDefault="00285CB1" w:rsidP="00BF02F6">
            <w:pPr>
              <w:pStyle w:val="Tabletext"/>
              <w:keepNext/>
              <w:keepLines/>
              <w:jc w:val="center"/>
            </w:pPr>
            <w:r w:rsidRPr="00A862C6">
              <w:t>38.2 (31.5, 44.8)</w:t>
            </w:r>
          </w:p>
        </w:tc>
        <w:tc>
          <w:tcPr>
            <w:tcW w:w="975" w:type="pct"/>
          </w:tcPr>
          <w:p w:rsidR="00285CB1" w:rsidRPr="00A862C6" w:rsidRDefault="00285CB1" w:rsidP="00BF02F6">
            <w:pPr>
              <w:pStyle w:val="Tabletext"/>
              <w:keepNext/>
              <w:keepLines/>
              <w:jc w:val="center"/>
            </w:pPr>
            <w:r w:rsidRPr="00A862C6">
              <w:t>56.6 (49.4, 63.3)</w:t>
            </w:r>
          </w:p>
        </w:tc>
        <w:tc>
          <w:tcPr>
            <w:tcW w:w="975" w:type="pct"/>
          </w:tcPr>
          <w:p w:rsidR="00285CB1" w:rsidRPr="00A862C6" w:rsidRDefault="00285CB1" w:rsidP="00BF02F6">
            <w:pPr>
              <w:pStyle w:val="Tabletext"/>
              <w:keepNext/>
              <w:keepLines/>
              <w:jc w:val="center"/>
            </w:pPr>
            <w:r w:rsidRPr="00A862C6">
              <w:t>52.5 (39.2, 64.1)</w:t>
            </w:r>
          </w:p>
        </w:tc>
        <w:tc>
          <w:tcPr>
            <w:tcW w:w="976" w:type="pct"/>
          </w:tcPr>
          <w:p w:rsidR="00285CB1" w:rsidRPr="00A862C6" w:rsidRDefault="00285CB1" w:rsidP="00BF02F6">
            <w:pPr>
              <w:pStyle w:val="Tabletext"/>
              <w:keepNext/>
              <w:keepLines/>
              <w:jc w:val="center"/>
            </w:pPr>
            <w:r w:rsidRPr="00A862C6">
              <w:t>58.6 (49.7, 66.4)</w:t>
            </w:r>
          </w:p>
        </w:tc>
      </w:tr>
      <w:tr w:rsidR="00285CB1" w:rsidRPr="00A862C6" w:rsidTr="00054F76">
        <w:tc>
          <w:tcPr>
            <w:tcW w:w="1177" w:type="pct"/>
            <w:vAlign w:val="center"/>
          </w:tcPr>
          <w:p w:rsidR="00285CB1" w:rsidRPr="00A862C6" w:rsidRDefault="00285CB1" w:rsidP="00BF02F6">
            <w:pPr>
              <w:pStyle w:val="Tabletext"/>
              <w:keepNext/>
              <w:keepLines/>
            </w:pPr>
            <w:r w:rsidRPr="00A862C6">
              <w:t xml:space="preserve">    6-month</w:t>
            </w:r>
          </w:p>
        </w:tc>
        <w:tc>
          <w:tcPr>
            <w:tcW w:w="897" w:type="pct"/>
          </w:tcPr>
          <w:p w:rsidR="00285CB1" w:rsidRPr="00A862C6" w:rsidRDefault="00285CB1" w:rsidP="00BF02F6">
            <w:pPr>
              <w:pStyle w:val="Tabletext"/>
              <w:keepNext/>
              <w:keepLines/>
              <w:jc w:val="center"/>
            </w:pPr>
            <w:r w:rsidRPr="00A862C6">
              <w:t>24.2 (18.6, 30.3)</w:t>
            </w:r>
          </w:p>
        </w:tc>
        <w:tc>
          <w:tcPr>
            <w:tcW w:w="975" w:type="pct"/>
          </w:tcPr>
          <w:p w:rsidR="00285CB1" w:rsidRPr="00A862C6" w:rsidRDefault="00285CB1" w:rsidP="00BF02F6">
            <w:pPr>
              <w:pStyle w:val="Tabletext"/>
              <w:keepNext/>
              <w:keepLines/>
              <w:jc w:val="center"/>
            </w:pPr>
            <w:r w:rsidRPr="00A862C6">
              <w:t>17.2 (12.1, 23.1)</w:t>
            </w:r>
          </w:p>
        </w:tc>
        <w:tc>
          <w:tcPr>
            <w:tcW w:w="975" w:type="pct"/>
          </w:tcPr>
          <w:p w:rsidR="00285CB1" w:rsidRPr="00A862C6" w:rsidRDefault="00285CB1" w:rsidP="00BF02F6">
            <w:pPr>
              <w:pStyle w:val="Tabletext"/>
              <w:keepNext/>
              <w:keepLines/>
              <w:jc w:val="center"/>
            </w:pPr>
            <w:r w:rsidRPr="00A862C6">
              <w:t>16.3 (8.0, 27.3)</w:t>
            </w:r>
          </w:p>
        </w:tc>
        <w:tc>
          <w:tcPr>
            <w:tcW w:w="976" w:type="pct"/>
          </w:tcPr>
          <w:p w:rsidR="00285CB1" w:rsidRPr="00A862C6" w:rsidRDefault="00285CB1" w:rsidP="00BF02F6">
            <w:pPr>
              <w:pStyle w:val="Tabletext"/>
              <w:keepNext/>
              <w:keepLines/>
              <w:jc w:val="center"/>
            </w:pPr>
            <w:r w:rsidRPr="00A862C6">
              <w:t>17.6 (11.5, 24.8)</w:t>
            </w:r>
          </w:p>
        </w:tc>
      </w:tr>
      <w:tr w:rsidR="00285CB1" w:rsidRPr="00A862C6" w:rsidTr="00054F76">
        <w:tc>
          <w:tcPr>
            <w:tcW w:w="1177" w:type="pct"/>
            <w:vAlign w:val="center"/>
          </w:tcPr>
          <w:p w:rsidR="00285CB1" w:rsidRPr="00A862C6" w:rsidRDefault="00285CB1" w:rsidP="00BF02F6">
            <w:pPr>
              <w:pStyle w:val="Tabletext"/>
              <w:keepNext/>
              <w:keepLines/>
            </w:pPr>
            <w:r w:rsidRPr="00A862C6">
              <w:t xml:space="preserve">    12-month</w:t>
            </w:r>
          </w:p>
        </w:tc>
        <w:tc>
          <w:tcPr>
            <w:tcW w:w="897" w:type="pct"/>
          </w:tcPr>
          <w:p w:rsidR="00285CB1" w:rsidRPr="00A862C6" w:rsidRDefault="00285CB1" w:rsidP="00BF02F6">
            <w:pPr>
              <w:pStyle w:val="Tabletext"/>
              <w:keepNext/>
              <w:keepLines/>
              <w:jc w:val="center"/>
            </w:pPr>
            <w:r w:rsidRPr="00A862C6">
              <w:t>11.9 (7.8, 16.8)</w:t>
            </w:r>
          </w:p>
        </w:tc>
        <w:tc>
          <w:tcPr>
            <w:tcW w:w="975" w:type="pct"/>
          </w:tcPr>
          <w:p w:rsidR="00285CB1" w:rsidRPr="00A862C6" w:rsidRDefault="00285CB1" w:rsidP="00BF02F6">
            <w:pPr>
              <w:pStyle w:val="Tabletext"/>
              <w:keepNext/>
              <w:keepLines/>
              <w:jc w:val="center"/>
            </w:pPr>
            <w:r w:rsidRPr="00A862C6">
              <w:t>7.2 (3.8, 12.0)</w:t>
            </w:r>
          </w:p>
        </w:tc>
        <w:tc>
          <w:tcPr>
            <w:tcW w:w="975" w:type="pct"/>
          </w:tcPr>
          <w:p w:rsidR="00285CB1" w:rsidRPr="00A862C6" w:rsidRDefault="00285CB1" w:rsidP="00BF02F6">
            <w:pPr>
              <w:pStyle w:val="Tabletext"/>
              <w:keepNext/>
              <w:keepLines/>
              <w:jc w:val="center"/>
            </w:pPr>
            <w:r w:rsidRPr="00A862C6">
              <w:t>7.7 (2.3, 17.4)</w:t>
            </w:r>
          </w:p>
        </w:tc>
        <w:tc>
          <w:tcPr>
            <w:tcW w:w="976" w:type="pct"/>
          </w:tcPr>
          <w:p w:rsidR="00285CB1" w:rsidRPr="00A862C6" w:rsidRDefault="00285CB1" w:rsidP="00BF02F6">
            <w:pPr>
              <w:pStyle w:val="Tabletext"/>
              <w:keepNext/>
              <w:keepLines/>
              <w:jc w:val="center"/>
            </w:pPr>
            <w:r w:rsidRPr="00A862C6">
              <w:t>6.9 (3.1, 12.8)</w:t>
            </w:r>
          </w:p>
        </w:tc>
      </w:tr>
      <w:tr w:rsidR="00285CB1" w:rsidRPr="00A862C6" w:rsidTr="00054F76">
        <w:tc>
          <w:tcPr>
            <w:tcW w:w="1177" w:type="pct"/>
            <w:vAlign w:val="center"/>
          </w:tcPr>
          <w:p w:rsidR="00285CB1" w:rsidRPr="00A862C6" w:rsidRDefault="00285CB1" w:rsidP="00BF02F6">
            <w:pPr>
              <w:pStyle w:val="Tabletext"/>
              <w:keepNext/>
              <w:keepLines/>
            </w:pPr>
            <w:r w:rsidRPr="00A862C6">
              <w:t xml:space="preserve">    18-month</w:t>
            </w:r>
          </w:p>
        </w:tc>
        <w:tc>
          <w:tcPr>
            <w:tcW w:w="897" w:type="pct"/>
          </w:tcPr>
          <w:p w:rsidR="00285CB1" w:rsidRPr="00A862C6" w:rsidRDefault="00285CB1" w:rsidP="00BF02F6">
            <w:pPr>
              <w:pStyle w:val="Tabletext"/>
              <w:keepNext/>
              <w:keepLines/>
              <w:jc w:val="center"/>
            </w:pPr>
            <w:r w:rsidRPr="00A862C6">
              <w:t>9.0 (5.5, 13.6)</w:t>
            </w:r>
          </w:p>
        </w:tc>
        <w:tc>
          <w:tcPr>
            <w:tcW w:w="975" w:type="pct"/>
          </w:tcPr>
          <w:p w:rsidR="00285CB1" w:rsidRPr="00A862C6" w:rsidRDefault="00285CB1" w:rsidP="00BF02F6">
            <w:pPr>
              <w:pStyle w:val="Tabletext"/>
              <w:keepNext/>
              <w:keepLines/>
              <w:jc w:val="center"/>
            </w:pPr>
            <w:r w:rsidRPr="00A862C6">
              <w:t>4.0 (1.6, 8.2)</w:t>
            </w:r>
          </w:p>
        </w:tc>
        <w:tc>
          <w:tcPr>
            <w:tcW w:w="975" w:type="pct"/>
          </w:tcPr>
          <w:p w:rsidR="00285CB1" w:rsidRPr="00A862C6" w:rsidRDefault="00285CB1" w:rsidP="00BF02F6">
            <w:pPr>
              <w:pStyle w:val="Tabletext"/>
              <w:keepNext/>
              <w:keepLines/>
              <w:jc w:val="center"/>
            </w:pPr>
            <w:r w:rsidRPr="00A862C6">
              <w:t>2.6 (0.2, 11.1)</w:t>
            </w:r>
          </w:p>
        </w:tc>
        <w:tc>
          <w:tcPr>
            <w:tcW w:w="976" w:type="pct"/>
          </w:tcPr>
          <w:p w:rsidR="00285CB1" w:rsidRPr="00A862C6" w:rsidRDefault="00285CB1" w:rsidP="00BF02F6">
            <w:pPr>
              <w:pStyle w:val="Tabletext"/>
              <w:keepNext/>
              <w:keepLines/>
              <w:jc w:val="center"/>
            </w:pPr>
            <w:r w:rsidRPr="00A862C6">
              <w:t>4.6 (1.6, 10.1)</w:t>
            </w:r>
          </w:p>
        </w:tc>
      </w:tr>
      <w:tr w:rsidR="00285CB1" w:rsidRPr="00A862C6" w:rsidTr="00054F76">
        <w:tc>
          <w:tcPr>
            <w:tcW w:w="5000" w:type="pct"/>
            <w:gridSpan w:val="5"/>
            <w:vAlign w:val="center"/>
          </w:tcPr>
          <w:p w:rsidR="00285CB1" w:rsidRPr="00A862C6" w:rsidRDefault="00285CB1" w:rsidP="00BF02F6">
            <w:pPr>
              <w:pStyle w:val="Tabletext"/>
              <w:keepNext/>
              <w:keepLines/>
              <w:rPr>
                <w:b/>
              </w:rPr>
            </w:pPr>
            <w:r w:rsidRPr="00A862C6">
              <w:rPr>
                <w:b/>
              </w:rPr>
              <w:t>3 year data cut</w:t>
            </w:r>
          </w:p>
        </w:tc>
      </w:tr>
      <w:tr w:rsidR="00285CB1" w:rsidRPr="00A862C6" w:rsidTr="00054F76">
        <w:tc>
          <w:tcPr>
            <w:tcW w:w="1177" w:type="pct"/>
            <w:vAlign w:val="center"/>
          </w:tcPr>
          <w:p w:rsidR="00285CB1" w:rsidRPr="00A862C6" w:rsidRDefault="00285CB1" w:rsidP="00BF02F6">
            <w:pPr>
              <w:pStyle w:val="Tabletext"/>
              <w:keepNext/>
              <w:keepLines/>
            </w:pPr>
            <w:r w:rsidRPr="00A862C6">
              <w:t>Events, n (%)</w:t>
            </w:r>
          </w:p>
        </w:tc>
        <w:tc>
          <w:tcPr>
            <w:tcW w:w="897" w:type="pct"/>
            <w:vAlign w:val="center"/>
          </w:tcPr>
          <w:p w:rsidR="00285CB1" w:rsidRPr="00A862C6" w:rsidRDefault="00285CB1" w:rsidP="00BF02F6">
            <w:pPr>
              <w:pStyle w:val="Tabletext"/>
              <w:keepNext/>
              <w:keepLines/>
              <w:jc w:val="center"/>
            </w:pPr>
            <w:r w:rsidRPr="00A862C6">
              <w:t>193 (91.9)</w:t>
            </w:r>
          </w:p>
        </w:tc>
        <w:tc>
          <w:tcPr>
            <w:tcW w:w="975" w:type="pct"/>
            <w:vAlign w:val="center"/>
          </w:tcPr>
          <w:p w:rsidR="00285CB1" w:rsidRPr="00A862C6" w:rsidRDefault="00285CB1" w:rsidP="00BF02F6">
            <w:pPr>
              <w:pStyle w:val="Tabletext"/>
              <w:keepNext/>
              <w:keepLines/>
              <w:jc w:val="center"/>
            </w:pPr>
            <w:r w:rsidRPr="00A862C6">
              <w:t>178 (85.2)</w:t>
            </w:r>
          </w:p>
        </w:tc>
        <w:tc>
          <w:tcPr>
            <w:tcW w:w="975" w:type="pct"/>
          </w:tcPr>
          <w:p w:rsidR="00285CB1" w:rsidRPr="00A862C6" w:rsidRDefault="00285CB1" w:rsidP="00BF02F6">
            <w:pPr>
              <w:pStyle w:val="Tabletext"/>
              <w:keepNext/>
              <w:keepLines/>
              <w:jc w:val="center"/>
            </w:pPr>
            <w:r w:rsidRPr="00A862C6">
              <w:t>NR</w:t>
            </w:r>
          </w:p>
        </w:tc>
        <w:tc>
          <w:tcPr>
            <w:tcW w:w="976" w:type="pct"/>
          </w:tcPr>
          <w:p w:rsidR="00285CB1" w:rsidRPr="00A862C6" w:rsidRDefault="00285CB1" w:rsidP="00BF02F6">
            <w:pPr>
              <w:pStyle w:val="Tabletext"/>
              <w:keepNext/>
              <w:keepLines/>
              <w:jc w:val="center"/>
            </w:pPr>
            <w:r w:rsidRPr="00A862C6">
              <w:t>NR</w:t>
            </w:r>
          </w:p>
        </w:tc>
      </w:tr>
      <w:tr w:rsidR="00285CB1" w:rsidRPr="00A862C6" w:rsidTr="00054F76">
        <w:tc>
          <w:tcPr>
            <w:tcW w:w="1177" w:type="pct"/>
            <w:vAlign w:val="center"/>
          </w:tcPr>
          <w:p w:rsidR="00285CB1" w:rsidRPr="00A862C6" w:rsidRDefault="00285CB1" w:rsidP="00BF02F6">
            <w:pPr>
              <w:pStyle w:val="Tabletext"/>
              <w:keepNext/>
              <w:keepLines/>
            </w:pPr>
            <w:r w:rsidRPr="00A862C6">
              <w:t>Median, months (95%CI)</w:t>
            </w:r>
            <w:r w:rsidRPr="00A862C6">
              <w:rPr>
                <w:vertAlign w:val="superscript"/>
              </w:rPr>
              <w:t>a</w:t>
            </w:r>
          </w:p>
        </w:tc>
        <w:tc>
          <w:tcPr>
            <w:tcW w:w="897" w:type="pct"/>
            <w:vAlign w:val="center"/>
          </w:tcPr>
          <w:p w:rsidR="00285CB1" w:rsidRPr="00A862C6" w:rsidRDefault="00285CB1" w:rsidP="00BF02F6">
            <w:pPr>
              <w:pStyle w:val="Tabletext"/>
              <w:keepNext/>
              <w:keepLines/>
              <w:jc w:val="center"/>
            </w:pPr>
            <w:r w:rsidRPr="00A862C6">
              <w:t>1.68 (1.51, 2.73)</w:t>
            </w:r>
          </w:p>
        </w:tc>
        <w:tc>
          <w:tcPr>
            <w:tcW w:w="975" w:type="pct"/>
            <w:vAlign w:val="center"/>
          </w:tcPr>
          <w:p w:rsidR="00285CB1" w:rsidRPr="00A862C6" w:rsidRDefault="00285CB1" w:rsidP="00BF02F6">
            <w:pPr>
              <w:pStyle w:val="Tabletext"/>
              <w:keepNext/>
              <w:keepLines/>
              <w:jc w:val="center"/>
            </w:pPr>
            <w:r w:rsidRPr="00A862C6">
              <w:t>3.35 (2.99, 4.21)</w:t>
            </w:r>
          </w:p>
        </w:tc>
        <w:tc>
          <w:tcPr>
            <w:tcW w:w="975" w:type="pct"/>
          </w:tcPr>
          <w:p w:rsidR="00285CB1" w:rsidRPr="00A862C6" w:rsidRDefault="00285CB1" w:rsidP="00BF02F6">
            <w:pPr>
              <w:pStyle w:val="Tabletext"/>
              <w:keepNext/>
              <w:keepLines/>
              <w:jc w:val="center"/>
            </w:pPr>
            <w:r w:rsidRPr="00A862C6">
              <w:t>NR</w:t>
            </w:r>
          </w:p>
        </w:tc>
        <w:tc>
          <w:tcPr>
            <w:tcW w:w="976" w:type="pct"/>
          </w:tcPr>
          <w:p w:rsidR="00285CB1" w:rsidRPr="00A862C6" w:rsidRDefault="00285CB1" w:rsidP="00BF02F6">
            <w:pPr>
              <w:pStyle w:val="Tabletext"/>
              <w:keepNext/>
              <w:keepLines/>
              <w:jc w:val="center"/>
            </w:pPr>
            <w:r w:rsidRPr="00A862C6">
              <w:t>NR</w:t>
            </w:r>
          </w:p>
        </w:tc>
      </w:tr>
      <w:tr w:rsidR="00285CB1" w:rsidRPr="00A862C6" w:rsidTr="00054F76">
        <w:tc>
          <w:tcPr>
            <w:tcW w:w="1177" w:type="pct"/>
            <w:vAlign w:val="center"/>
          </w:tcPr>
          <w:p w:rsidR="00285CB1" w:rsidRPr="00A862C6" w:rsidRDefault="00285CB1" w:rsidP="00BF02F6">
            <w:pPr>
              <w:pStyle w:val="Tabletext"/>
              <w:keepNext/>
              <w:keepLines/>
            </w:pPr>
            <w:r w:rsidRPr="00A862C6">
              <w:t>HR (95%CI)</w:t>
            </w:r>
            <w:r w:rsidRPr="00A862C6">
              <w:rPr>
                <w:vertAlign w:val="superscript"/>
              </w:rPr>
              <w:t>b</w:t>
            </w:r>
          </w:p>
        </w:tc>
        <w:tc>
          <w:tcPr>
            <w:tcW w:w="897" w:type="pct"/>
            <w:vAlign w:val="center"/>
          </w:tcPr>
          <w:p w:rsidR="00285CB1" w:rsidRPr="00A862C6" w:rsidRDefault="00285CB1" w:rsidP="00BF02F6">
            <w:pPr>
              <w:pStyle w:val="Tabletext"/>
              <w:keepNext/>
              <w:keepLines/>
              <w:jc w:val="center"/>
            </w:pPr>
            <w:r w:rsidRPr="00A862C6">
              <w:t>NA</w:t>
            </w:r>
          </w:p>
        </w:tc>
        <w:tc>
          <w:tcPr>
            <w:tcW w:w="975" w:type="pct"/>
            <w:vAlign w:val="center"/>
          </w:tcPr>
          <w:p w:rsidR="00285CB1" w:rsidRPr="00A862C6" w:rsidRDefault="00285CB1" w:rsidP="00BF02F6">
            <w:pPr>
              <w:pStyle w:val="Tabletext"/>
              <w:keepNext/>
              <w:keepLines/>
              <w:jc w:val="center"/>
            </w:pPr>
            <w:r w:rsidRPr="00A862C6">
              <w:t>1.07 (0.87, 1.33)</w:t>
            </w:r>
          </w:p>
        </w:tc>
        <w:tc>
          <w:tcPr>
            <w:tcW w:w="975" w:type="pct"/>
          </w:tcPr>
          <w:p w:rsidR="00285CB1" w:rsidRPr="00A862C6" w:rsidRDefault="00285CB1" w:rsidP="00BF02F6">
            <w:pPr>
              <w:pStyle w:val="Tabletext"/>
              <w:keepNext/>
              <w:keepLines/>
              <w:jc w:val="center"/>
            </w:pPr>
            <w:r w:rsidRPr="00A862C6">
              <w:t>NR</w:t>
            </w:r>
          </w:p>
        </w:tc>
        <w:tc>
          <w:tcPr>
            <w:tcW w:w="976" w:type="pct"/>
          </w:tcPr>
          <w:p w:rsidR="00285CB1" w:rsidRPr="00A862C6" w:rsidRDefault="00285CB1" w:rsidP="00BF02F6">
            <w:pPr>
              <w:pStyle w:val="Tabletext"/>
              <w:keepNext/>
              <w:keepLines/>
              <w:jc w:val="center"/>
            </w:pPr>
            <w:r w:rsidRPr="00A862C6">
              <w:t>NR</w:t>
            </w:r>
          </w:p>
        </w:tc>
      </w:tr>
    </w:tbl>
    <w:p w:rsidR="00285CB1" w:rsidRPr="00A862C6" w:rsidRDefault="00285CB1" w:rsidP="00BF02F6">
      <w:pPr>
        <w:pStyle w:val="TableFooter"/>
        <w:keepNext/>
        <w:keepLines/>
        <w:rPr>
          <w:szCs w:val="20"/>
        </w:rPr>
      </w:pPr>
      <w:r w:rsidRPr="00A862C6">
        <w:rPr>
          <w:szCs w:val="20"/>
        </w:rPr>
        <w:t>Source: Table 31, p64 of the submission and Table 1, p5 of the 3 year update report.</w:t>
      </w:r>
    </w:p>
    <w:p w:rsidR="00285CB1" w:rsidRPr="00A862C6" w:rsidRDefault="00285CB1" w:rsidP="00BF02F6">
      <w:pPr>
        <w:pStyle w:val="TableFooter"/>
        <w:keepNext/>
        <w:keepLines/>
      </w:pPr>
      <w:r w:rsidRPr="00A862C6">
        <w:t xml:space="preserve">CI = Confidence interval; DOC = docetaxel; KM = Kaplan Meier; NA = not applicable; NIVO = nivolumab; </w:t>
      </w:r>
      <w:r w:rsidR="00920528" w:rsidRPr="00A862C6">
        <w:t xml:space="preserve">NR=not </w:t>
      </w:r>
      <w:r w:rsidR="001F31BA" w:rsidRPr="00A862C6">
        <w:t>reported</w:t>
      </w:r>
      <w:r w:rsidR="00920528" w:rsidRPr="00A862C6">
        <w:t xml:space="preserve">; </w:t>
      </w:r>
      <w:r w:rsidRPr="00A862C6">
        <w:t>PAC = paclitaxel</w:t>
      </w:r>
    </w:p>
    <w:p w:rsidR="00285CB1" w:rsidRPr="00A862C6" w:rsidRDefault="00285CB1" w:rsidP="00BF02F6">
      <w:pPr>
        <w:pStyle w:val="TableFooter"/>
        <w:keepNext/>
        <w:keepLines/>
      </w:pPr>
      <w:r w:rsidRPr="00A862C6">
        <w:t>1 month = 30.4375 days</w:t>
      </w:r>
    </w:p>
    <w:p w:rsidR="00285CB1" w:rsidRPr="00A862C6" w:rsidRDefault="00285CB1" w:rsidP="00BF02F6">
      <w:pPr>
        <w:keepNext/>
        <w:keepLines/>
        <w:rPr>
          <w:rFonts w:ascii="Arial Narrow" w:hAnsi="Arial Narrow"/>
          <w:sz w:val="18"/>
        </w:rPr>
      </w:pPr>
      <w:r w:rsidRPr="00A862C6">
        <w:rPr>
          <w:rFonts w:ascii="Arial Narrow" w:hAnsi="Arial Narrow"/>
          <w:sz w:val="18"/>
        </w:rPr>
        <w:t>a This estimation was conducted by using the KM method</w:t>
      </w:r>
    </w:p>
    <w:p w:rsidR="00285CB1" w:rsidRPr="00A862C6" w:rsidRDefault="00285CB1" w:rsidP="00BF02F6">
      <w:pPr>
        <w:keepNext/>
        <w:keepLines/>
        <w:rPr>
          <w:rFonts w:ascii="Arial Narrow" w:hAnsi="Arial Narrow"/>
          <w:sz w:val="18"/>
          <w:highlight w:val="yellow"/>
        </w:rPr>
      </w:pPr>
      <w:r w:rsidRPr="00A862C6">
        <w:rPr>
          <w:rFonts w:ascii="Arial Narrow" w:hAnsi="Arial Narrow"/>
          <w:sz w:val="18"/>
        </w:rPr>
        <w:t xml:space="preserve">b Hazard ratio and the corresponding two-sided 95% CI for the </w:t>
      </w:r>
      <w:r w:rsidR="00A00D5F" w:rsidRPr="00A862C6">
        <w:rPr>
          <w:rFonts w:ascii="Arial Narrow" w:hAnsi="Arial Narrow"/>
          <w:sz w:val="18"/>
        </w:rPr>
        <w:t>n</w:t>
      </w:r>
      <w:r w:rsidRPr="00A862C6">
        <w:rPr>
          <w:rFonts w:ascii="Arial Narrow" w:hAnsi="Arial Narrow"/>
          <w:sz w:val="18"/>
        </w:rPr>
        <w:t>ivolumab group relative to the each column group was calculated by using the stratified Cox proportional-hazards model stratified by the following three stratification factors (IWRS source). 1) Location (Japan vs. Rest of the world) 2) The number of organs with metastases (&lt;=1 vs. &gt;=2) 3) PD-L1 expression (&gt;=1% vs. &lt;1% or indeterminate). Because nivolumab did not demonstrate a significant improvement in ORR, PFS was not formally compared between the two treatment groups using the stratified logrank test with the randomisation factors as the stratification factors.</w:t>
      </w:r>
    </w:p>
    <w:p w:rsidR="00285CB1" w:rsidRPr="00A862C6" w:rsidRDefault="00285CB1" w:rsidP="00BF02F6">
      <w:pPr>
        <w:keepNext/>
        <w:keepLines/>
        <w:rPr>
          <w:rFonts w:ascii="Arial Narrow" w:hAnsi="Arial Narrow"/>
          <w:sz w:val="18"/>
        </w:rPr>
      </w:pPr>
      <w:r w:rsidRPr="00A862C6">
        <w:rPr>
          <w:rFonts w:ascii="Arial Narrow" w:hAnsi="Arial Narrow"/>
          <w:sz w:val="18"/>
        </w:rPr>
        <w:t>c The estimation of the PFS rate was derived from the Kaplan-Meier estimate and corresponding CI was derived</w:t>
      </w:r>
      <w:r w:rsidR="005437C9" w:rsidRPr="00A862C6">
        <w:rPr>
          <w:rFonts w:ascii="Arial Narrow" w:hAnsi="Arial Narrow"/>
          <w:sz w:val="18"/>
        </w:rPr>
        <w:t xml:space="preserve"> based on </w:t>
      </w:r>
      <w:r w:rsidRPr="00A862C6">
        <w:rPr>
          <w:rFonts w:ascii="Arial Narrow" w:hAnsi="Arial Narrow"/>
          <w:sz w:val="18"/>
        </w:rPr>
        <w:t>Greenwood formula for variance and on log-log transformation.</w:t>
      </w:r>
    </w:p>
    <w:p w:rsidR="00285CB1" w:rsidRPr="00A862C6" w:rsidRDefault="00285CB1" w:rsidP="00285CB1">
      <w:pPr>
        <w:widowControl/>
      </w:pPr>
    </w:p>
    <w:p w:rsidR="00285CB1" w:rsidRPr="00A862C6" w:rsidRDefault="00285CB1" w:rsidP="00DD46F0">
      <w:pPr>
        <w:pStyle w:val="ListParagraph"/>
        <w:widowControl/>
        <w:numPr>
          <w:ilvl w:val="1"/>
          <w:numId w:val="2"/>
        </w:numPr>
      </w:pPr>
      <w:r w:rsidRPr="00A862C6">
        <w:t>As with OS, the Kaplan-Meier curves for PFS crossed around the four-month time point. Before crossing, there was an increased hazard of progression or death associated with nivolumab. As with OS, the crossing of the curves indicate that the assumption of proportion hazards was violated, and given this, HRs may not provide the best measure of relative benefit</w:t>
      </w:r>
      <w:r w:rsidRPr="00A862C6">
        <w:rPr>
          <w:i/>
        </w:rPr>
        <w:t>.</w:t>
      </w:r>
      <w:r w:rsidRPr="00A862C6">
        <w:t xml:space="preserve"> </w:t>
      </w:r>
      <w:r w:rsidR="005B42EC">
        <w:t>A</w:t>
      </w:r>
      <w:r w:rsidRPr="00A862C6">
        <w:t>s nivolumab did not demonstrate a significant improvement in ORR, PFS was not formally compared between the two treatment groups.</w:t>
      </w:r>
    </w:p>
    <w:p w:rsidR="00AB24CB" w:rsidRPr="00A862C6" w:rsidRDefault="00285CB1" w:rsidP="00DD46F0">
      <w:pPr>
        <w:pStyle w:val="ListParagraph"/>
        <w:widowControl/>
        <w:numPr>
          <w:ilvl w:val="1"/>
          <w:numId w:val="2"/>
        </w:numPr>
      </w:pPr>
      <w:r w:rsidRPr="00A862C6">
        <w:rPr>
          <w:rFonts w:cs="Calibri"/>
          <w:snapToGrid/>
          <w:szCs w:val="24"/>
          <w:lang w:eastAsia="en-AU"/>
        </w:rPr>
        <w:t xml:space="preserve">General health status was measured using the EQ-5D. The publication for ATTRACTION-3 (Kato 2019, p1513) reported an overall significant on-treatment improvement in </w:t>
      </w:r>
      <w:r w:rsidR="002302DB">
        <w:rPr>
          <w:rFonts w:cs="Calibri"/>
          <w:snapToGrid/>
          <w:szCs w:val="24"/>
          <w:lang w:eastAsia="en-AU"/>
        </w:rPr>
        <w:t>quality of life</w:t>
      </w:r>
      <w:r w:rsidRPr="00A862C6">
        <w:rPr>
          <w:rFonts w:cs="Calibri"/>
          <w:snapToGrid/>
          <w:szCs w:val="24"/>
          <w:lang w:eastAsia="en-AU"/>
        </w:rPr>
        <w:t xml:space="preserve"> for patients given nivolumab compared to patients given IC for VAS scores (least square mean=6.9, 95%CI: 3.0, 10.9; p&lt;0.001) and utility index (least square mean=0.076, 95%CI: 0.011, 0.142; p=0.023) calculated for on treatment data through week 42. </w:t>
      </w:r>
    </w:p>
    <w:p w:rsidR="00285CB1" w:rsidRPr="00A862C6" w:rsidRDefault="00285CB1" w:rsidP="00DD46F0">
      <w:pPr>
        <w:pStyle w:val="ListParagraph"/>
        <w:widowControl/>
        <w:numPr>
          <w:ilvl w:val="1"/>
          <w:numId w:val="2"/>
        </w:numPr>
      </w:pPr>
      <w:r w:rsidRPr="00A862C6">
        <w:rPr>
          <w:rFonts w:cs="Calibri"/>
          <w:snapToGrid/>
          <w:szCs w:val="24"/>
          <w:lang w:eastAsia="en-AU"/>
        </w:rPr>
        <w:t>The baseline mean EQ-5D in the nivolumab arm was higher than the mean EQ-5D in the IC arm (0.835 vs 0.787)</w:t>
      </w:r>
      <w:r w:rsidR="00A00D5F" w:rsidRPr="00A862C6">
        <w:rPr>
          <w:rFonts w:cs="Calibri"/>
          <w:snapToGrid/>
          <w:szCs w:val="24"/>
          <w:lang w:eastAsia="en-AU"/>
        </w:rPr>
        <w:t>,</w:t>
      </w:r>
      <w:r w:rsidR="00AB24CB" w:rsidRPr="00A862C6">
        <w:rPr>
          <w:rFonts w:cs="Calibri"/>
          <w:snapToGrid/>
          <w:szCs w:val="24"/>
          <w:lang w:eastAsia="en-AU"/>
        </w:rPr>
        <w:t xml:space="preserve"> </w:t>
      </w:r>
      <w:r w:rsidRPr="00A862C6">
        <w:rPr>
          <w:rFonts w:cs="Calibri"/>
          <w:snapToGrid/>
          <w:szCs w:val="24"/>
          <w:lang w:eastAsia="en-AU"/>
        </w:rPr>
        <w:t>suggesting that patients in the nivolumab arm already had</w:t>
      </w:r>
      <w:r w:rsidRPr="00A862C6">
        <w:rPr>
          <w:rFonts w:cs="Calibri"/>
          <w:i/>
          <w:snapToGrid/>
          <w:szCs w:val="24"/>
          <w:lang w:eastAsia="en-AU"/>
        </w:rPr>
        <w:t xml:space="preserve"> </w:t>
      </w:r>
      <w:r w:rsidRPr="00A862C6">
        <w:rPr>
          <w:rFonts w:cs="Calibri"/>
          <w:snapToGrid/>
          <w:szCs w:val="24"/>
          <w:lang w:eastAsia="en-AU"/>
        </w:rPr>
        <w:t xml:space="preserve">a better quality of life at baseline, and </w:t>
      </w:r>
      <w:r w:rsidR="00AB24CB" w:rsidRPr="00A862C6">
        <w:rPr>
          <w:rFonts w:cs="Calibri"/>
          <w:snapToGrid/>
          <w:szCs w:val="24"/>
          <w:lang w:eastAsia="en-AU"/>
        </w:rPr>
        <w:t xml:space="preserve">any incremental </w:t>
      </w:r>
      <w:r w:rsidRPr="00A862C6">
        <w:rPr>
          <w:rFonts w:cs="Calibri"/>
          <w:snapToGrid/>
          <w:szCs w:val="24"/>
          <w:lang w:eastAsia="en-AU"/>
        </w:rPr>
        <w:t xml:space="preserve">quality of life benefits </w:t>
      </w:r>
      <w:r w:rsidR="00AB24CB" w:rsidRPr="00A862C6">
        <w:rPr>
          <w:rFonts w:cs="Calibri"/>
          <w:snapToGrid/>
          <w:szCs w:val="24"/>
          <w:lang w:eastAsia="en-AU"/>
        </w:rPr>
        <w:t xml:space="preserve">which did not adjust for the difference in baseline quality of life </w:t>
      </w:r>
      <w:r w:rsidRPr="00A862C6">
        <w:rPr>
          <w:rFonts w:cs="Calibri"/>
          <w:snapToGrid/>
          <w:szCs w:val="24"/>
          <w:lang w:eastAsia="en-AU"/>
        </w:rPr>
        <w:t xml:space="preserve">may </w:t>
      </w:r>
      <w:r w:rsidR="00AB24CB" w:rsidRPr="00A862C6">
        <w:rPr>
          <w:rFonts w:cs="Calibri"/>
          <w:snapToGrid/>
          <w:szCs w:val="24"/>
          <w:lang w:eastAsia="en-AU"/>
        </w:rPr>
        <w:t xml:space="preserve">be </w:t>
      </w:r>
      <w:r w:rsidRPr="00A862C6">
        <w:rPr>
          <w:rFonts w:cs="Calibri"/>
          <w:snapToGrid/>
          <w:szCs w:val="24"/>
          <w:lang w:eastAsia="en-AU"/>
        </w:rPr>
        <w:t xml:space="preserve">biased </w:t>
      </w:r>
      <w:r w:rsidR="00AB24CB" w:rsidRPr="00A862C6">
        <w:rPr>
          <w:rFonts w:cs="Calibri"/>
          <w:snapToGrid/>
          <w:szCs w:val="24"/>
          <w:lang w:eastAsia="en-AU"/>
        </w:rPr>
        <w:t xml:space="preserve">in favour of </w:t>
      </w:r>
      <w:r w:rsidRPr="00A862C6">
        <w:rPr>
          <w:rFonts w:cs="Calibri"/>
          <w:snapToGrid/>
          <w:szCs w:val="24"/>
          <w:lang w:eastAsia="en-AU"/>
        </w:rPr>
        <w:t xml:space="preserve">nivolumab. Patient reported outcomes </w:t>
      </w:r>
      <w:r w:rsidR="00AB24CB" w:rsidRPr="00A862C6">
        <w:rPr>
          <w:rFonts w:cs="Calibri"/>
          <w:snapToGrid/>
          <w:szCs w:val="24"/>
          <w:lang w:eastAsia="en-AU"/>
        </w:rPr>
        <w:t xml:space="preserve">in ATTRACTION-3 </w:t>
      </w:r>
      <w:r w:rsidRPr="00A862C6">
        <w:rPr>
          <w:rFonts w:cs="Calibri"/>
          <w:snapToGrid/>
          <w:szCs w:val="24"/>
          <w:lang w:eastAsia="en-AU"/>
        </w:rPr>
        <w:t xml:space="preserve">may </w:t>
      </w:r>
      <w:r w:rsidR="00AB24CB" w:rsidRPr="00A862C6">
        <w:rPr>
          <w:rFonts w:cs="Calibri"/>
          <w:snapToGrid/>
          <w:szCs w:val="24"/>
          <w:lang w:eastAsia="en-AU"/>
        </w:rPr>
        <w:t xml:space="preserve">also </w:t>
      </w:r>
      <w:r w:rsidRPr="00A862C6">
        <w:rPr>
          <w:rFonts w:cs="Calibri"/>
          <w:snapToGrid/>
          <w:szCs w:val="24"/>
          <w:lang w:eastAsia="en-AU"/>
        </w:rPr>
        <w:t>have been biased due to the open label design of the trial</w:t>
      </w:r>
      <w:r w:rsidR="001F31BA" w:rsidRPr="00A862C6">
        <w:rPr>
          <w:rFonts w:cs="Calibri"/>
          <w:snapToGrid/>
          <w:szCs w:val="24"/>
          <w:lang w:eastAsia="en-AU"/>
        </w:rPr>
        <w:t>.</w:t>
      </w:r>
    </w:p>
    <w:p w:rsidR="004D7A30" w:rsidRPr="00A862C6" w:rsidRDefault="00725911" w:rsidP="00DD46F0">
      <w:pPr>
        <w:pStyle w:val="ListParagraph"/>
        <w:numPr>
          <w:ilvl w:val="1"/>
          <w:numId w:val="2"/>
        </w:numPr>
      </w:pPr>
      <w:r w:rsidRPr="00A862C6">
        <w:t xml:space="preserve">The PBAC noted </w:t>
      </w:r>
      <w:r w:rsidR="00A936AF" w:rsidRPr="00A862C6">
        <w:t xml:space="preserve">there was no significant treatment effect interaction by age (&lt;65 years, </w:t>
      </w:r>
      <w:r w:rsidR="00A936AF" w:rsidRPr="00A862C6">
        <w:rPr>
          <w:rFonts w:cs="Calibri"/>
        </w:rPr>
        <w:t>≥</w:t>
      </w:r>
      <w:r w:rsidR="00A936AF" w:rsidRPr="00A862C6">
        <w:t xml:space="preserve"> 65 years), PD-L1</w:t>
      </w:r>
      <w:r w:rsidR="001F19C2" w:rsidRPr="00A862C6">
        <w:t xml:space="preserve"> expression</w:t>
      </w:r>
      <w:r w:rsidR="00A936AF" w:rsidRPr="00A862C6">
        <w:t xml:space="preserve"> (&lt;1% TPS, </w:t>
      </w:r>
      <w:r w:rsidR="00A936AF" w:rsidRPr="00A862C6">
        <w:rPr>
          <w:rFonts w:cs="Calibri"/>
        </w:rPr>
        <w:t>≥</w:t>
      </w:r>
      <w:r w:rsidR="00A936AF" w:rsidRPr="00A862C6">
        <w:t>1% TPS) or race (Asian, White) but noted the small number of non-Asian patients in the trial</w:t>
      </w:r>
      <w:r w:rsidR="00A862C6">
        <w:t xml:space="preserve">. </w:t>
      </w:r>
      <w:r w:rsidR="00A936AF" w:rsidRPr="00A862C6">
        <w:t xml:space="preserve">  </w:t>
      </w:r>
    </w:p>
    <w:p w:rsidR="00285CB1" w:rsidRPr="00A862C6" w:rsidRDefault="00285CB1" w:rsidP="00285CB1">
      <w:pPr>
        <w:pStyle w:val="Heading2"/>
      </w:pPr>
      <w:bookmarkStart w:id="28" w:name="_Toc72263299"/>
      <w:r w:rsidRPr="00A862C6">
        <w:t>Comparative harms</w:t>
      </w:r>
      <w:bookmarkEnd w:id="28"/>
    </w:p>
    <w:p w:rsidR="00285CB1" w:rsidRPr="00A862C6" w:rsidRDefault="00285CB1" w:rsidP="00285CB1">
      <w:pPr>
        <w:ind w:left="720" w:hanging="720"/>
      </w:pPr>
    </w:p>
    <w:p w:rsidR="00853F65" w:rsidRPr="00A862C6" w:rsidRDefault="00853F65" w:rsidP="00DD46F0">
      <w:pPr>
        <w:pStyle w:val="ListParagraph"/>
        <w:widowControl/>
        <w:numPr>
          <w:ilvl w:val="1"/>
          <w:numId w:val="2"/>
        </w:numPr>
      </w:pPr>
      <w:r w:rsidRPr="00A862C6">
        <w:t>Nivolumab has been available in Australia since 2016 and has been approved by the TGA for use in multiple indications,</w:t>
      </w:r>
      <w:r w:rsidR="00AD0F54" w:rsidRPr="00A862C6">
        <w:t xml:space="preserve"> and</w:t>
      </w:r>
      <w:r w:rsidRPr="00A862C6">
        <w:t xml:space="preserve"> as such nivolumab’s safety profile is well characterised. The safety profile for IC is also well characterised.</w:t>
      </w:r>
    </w:p>
    <w:p w:rsidR="00285CB1" w:rsidRPr="00A862C6" w:rsidRDefault="00285CB1" w:rsidP="00DD46F0">
      <w:pPr>
        <w:pStyle w:val="ListParagraph"/>
        <w:widowControl/>
        <w:numPr>
          <w:ilvl w:val="1"/>
          <w:numId w:val="2"/>
        </w:numPr>
      </w:pPr>
      <w:r w:rsidRPr="00A862C6">
        <w:t xml:space="preserve">The three-year data cut summary of adverse events (AEs) in </w:t>
      </w:r>
      <w:r w:rsidR="00853F65" w:rsidRPr="00A862C6">
        <w:t>ATTRACTION-3</w:t>
      </w:r>
      <w:r w:rsidRPr="00A862C6">
        <w:t xml:space="preserve"> is presented in </w:t>
      </w:r>
      <w:r w:rsidR="00F71DE4" w:rsidRPr="00F71DE4">
        <w:t>Table 7</w:t>
      </w:r>
      <w:r w:rsidR="00853F65" w:rsidRPr="00A862C6">
        <w:t>. Results indicated patients treated with nivolumab had a significantly lower risk of experiencing all causality or drug-related AEs associated compared to patients treated with IC.</w:t>
      </w:r>
    </w:p>
    <w:p w:rsidR="00285CB1" w:rsidRPr="00A862C6" w:rsidRDefault="00285CB1" w:rsidP="00285CB1">
      <w:pPr>
        <w:pStyle w:val="Caption"/>
        <w:spacing w:after="0"/>
        <w:rPr>
          <w:rStyle w:val="CommentReference"/>
          <w:b/>
          <w:bCs w:val="0"/>
          <w:color w:val="auto"/>
        </w:rPr>
      </w:pPr>
      <w:bookmarkStart w:id="29" w:name="_Ref70357877"/>
      <w:r w:rsidRPr="00A862C6">
        <w:rPr>
          <w:rStyle w:val="CommentReference"/>
          <w:b/>
          <w:bCs w:val="0"/>
          <w:color w:val="auto"/>
        </w:rPr>
        <w:t xml:space="preserve">Table </w:t>
      </w:r>
      <w:r w:rsidR="00F71DE4">
        <w:rPr>
          <w:rStyle w:val="CommentReference"/>
          <w:b/>
          <w:bCs w:val="0"/>
          <w:noProof/>
          <w:color w:val="auto"/>
        </w:rPr>
        <w:t>7</w:t>
      </w:r>
      <w:bookmarkEnd w:id="29"/>
      <w:r w:rsidRPr="00A862C6">
        <w:rPr>
          <w:rStyle w:val="CommentReference"/>
          <w:b/>
          <w:bCs w:val="0"/>
          <w:color w:val="auto"/>
        </w:rPr>
        <w:t>: Summary of adverse events in the trial (3 year data cut)</w:t>
      </w:r>
    </w:p>
    <w:tbl>
      <w:tblPr>
        <w:tblStyle w:val="TableGrid"/>
        <w:tblW w:w="8642" w:type="dxa"/>
        <w:tblLook w:val="04A0" w:firstRow="1" w:lastRow="0" w:firstColumn="1" w:lastColumn="0" w:noHBand="0" w:noVBand="1"/>
        <w:tblCaption w:val="Table 7: Summary of adverse events in the trial (3 year data cut)"/>
      </w:tblPr>
      <w:tblGrid>
        <w:gridCol w:w="1696"/>
        <w:gridCol w:w="1134"/>
        <w:gridCol w:w="1418"/>
        <w:gridCol w:w="992"/>
        <w:gridCol w:w="1701"/>
        <w:gridCol w:w="1701"/>
      </w:tblGrid>
      <w:tr w:rsidR="00285CB1" w:rsidRPr="00A862C6" w:rsidTr="001F31BA">
        <w:trPr>
          <w:trHeight w:val="81"/>
          <w:tblHeader/>
        </w:trPr>
        <w:tc>
          <w:tcPr>
            <w:tcW w:w="2830" w:type="dxa"/>
            <w:gridSpan w:val="2"/>
            <w:shd w:val="clear" w:color="auto" w:fill="auto"/>
          </w:tcPr>
          <w:p w:rsidR="00285CB1" w:rsidRPr="00A862C6" w:rsidRDefault="00285CB1" w:rsidP="00054F76">
            <w:pPr>
              <w:pStyle w:val="Tabletext"/>
              <w:rPr>
                <w:b/>
              </w:rPr>
            </w:pPr>
            <w:r w:rsidRPr="00A862C6">
              <w:rPr>
                <w:b/>
              </w:rPr>
              <w:t>n, (%)</w:t>
            </w:r>
          </w:p>
        </w:tc>
        <w:tc>
          <w:tcPr>
            <w:tcW w:w="1418" w:type="dxa"/>
            <w:shd w:val="clear" w:color="auto" w:fill="auto"/>
          </w:tcPr>
          <w:p w:rsidR="00285CB1" w:rsidRPr="00A862C6" w:rsidRDefault="00285CB1" w:rsidP="00054F76">
            <w:pPr>
              <w:pStyle w:val="Tabletext"/>
              <w:rPr>
                <w:b/>
              </w:rPr>
            </w:pPr>
            <w:r w:rsidRPr="00A862C6">
              <w:rPr>
                <w:b/>
              </w:rPr>
              <w:t>NIVO n= 209</w:t>
            </w:r>
          </w:p>
        </w:tc>
        <w:tc>
          <w:tcPr>
            <w:tcW w:w="992" w:type="dxa"/>
            <w:shd w:val="clear" w:color="auto" w:fill="auto"/>
          </w:tcPr>
          <w:p w:rsidR="00285CB1" w:rsidRPr="00A862C6" w:rsidRDefault="00285CB1" w:rsidP="00054F76">
            <w:pPr>
              <w:pStyle w:val="Tabletext"/>
              <w:rPr>
                <w:b/>
              </w:rPr>
            </w:pPr>
            <w:r w:rsidRPr="00A862C6">
              <w:rPr>
                <w:b/>
              </w:rPr>
              <w:t>IC n= 208</w:t>
            </w:r>
          </w:p>
        </w:tc>
        <w:tc>
          <w:tcPr>
            <w:tcW w:w="1701" w:type="dxa"/>
            <w:shd w:val="clear" w:color="auto" w:fill="auto"/>
          </w:tcPr>
          <w:p w:rsidR="00285CB1" w:rsidRPr="00A862C6" w:rsidRDefault="00285CB1" w:rsidP="00054F76">
            <w:pPr>
              <w:pStyle w:val="Tabletext"/>
              <w:rPr>
                <w:b/>
              </w:rPr>
            </w:pPr>
            <w:r w:rsidRPr="00A862C6">
              <w:rPr>
                <w:b/>
              </w:rPr>
              <w:t>RR (95% CI)</w:t>
            </w:r>
          </w:p>
        </w:tc>
        <w:tc>
          <w:tcPr>
            <w:tcW w:w="1701" w:type="dxa"/>
            <w:shd w:val="clear" w:color="auto" w:fill="auto"/>
          </w:tcPr>
          <w:p w:rsidR="00285CB1" w:rsidRPr="00A862C6" w:rsidRDefault="00285CB1" w:rsidP="00054F76">
            <w:pPr>
              <w:pStyle w:val="Tabletext"/>
              <w:rPr>
                <w:b/>
              </w:rPr>
            </w:pPr>
            <w:r w:rsidRPr="00A862C6">
              <w:rPr>
                <w:b/>
              </w:rPr>
              <w:t>RD (95% CI)</w:t>
            </w:r>
          </w:p>
        </w:tc>
      </w:tr>
      <w:tr w:rsidR="00285CB1" w:rsidRPr="00A862C6" w:rsidTr="003B34A7">
        <w:trPr>
          <w:trHeight w:val="137"/>
        </w:trPr>
        <w:tc>
          <w:tcPr>
            <w:tcW w:w="8642" w:type="dxa"/>
            <w:gridSpan w:val="6"/>
            <w:shd w:val="clear" w:color="auto" w:fill="auto"/>
          </w:tcPr>
          <w:p w:rsidR="00285CB1" w:rsidRPr="00A862C6" w:rsidRDefault="00285CB1" w:rsidP="00054F76">
            <w:pPr>
              <w:pStyle w:val="Tabletext"/>
              <w:rPr>
                <w:b/>
              </w:rPr>
            </w:pPr>
            <w:r w:rsidRPr="00A862C6">
              <w:rPr>
                <w:b/>
              </w:rPr>
              <w:t>All causality</w:t>
            </w:r>
          </w:p>
        </w:tc>
      </w:tr>
      <w:tr w:rsidR="00285CB1" w:rsidRPr="00A862C6" w:rsidTr="001F31BA">
        <w:trPr>
          <w:trHeight w:val="153"/>
        </w:trPr>
        <w:tc>
          <w:tcPr>
            <w:tcW w:w="1696" w:type="dxa"/>
            <w:vMerge w:val="restart"/>
          </w:tcPr>
          <w:p w:rsidR="00285CB1" w:rsidRPr="00A862C6" w:rsidRDefault="00285CB1" w:rsidP="00054F76">
            <w:pPr>
              <w:pStyle w:val="Tabletext"/>
            </w:pPr>
            <w:r w:rsidRPr="00A862C6">
              <w:t>AEs</w:t>
            </w:r>
          </w:p>
        </w:tc>
        <w:tc>
          <w:tcPr>
            <w:tcW w:w="1134" w:type="dxa"/>
          </w:tcPr>
          <w:p w:rsidR="00285CB1" w:rsidRPr="00A862C6" w:rsidRDefault="00285CB1" w:rsidP="00054F76">
            <w:pPr>
              <w:pStyle w:val="Tabletext"/>
            </w:pPr>
            <w:r w:rsidRPr="00A862C6">
              <w:t>Any grade</w:t>
            </w:r>
          </w:p>
        </w:tc>
        <w:tc>
          <w:tcPr>
            <w:tcW w:w="1418" w:type="dxa"/>
            <w:vAlign w:val="center"/>
          </w:tcPr>
          <w:p w:rsidR="00285CB1" w:rsidRPr="00A862C6" w:rsidRDefault="00285CB1" w:rsidP="00054F76">
            <w:pPr>
              <w:pStyle w:val="Tabletext"/>
              <w:jc w:val="center"/>
            </w:pPr>
            <w:r w:rsidRPr="00A862C6">
              <w:t>189 (90.4)</w:t>
            </w:r>
          </w:p>
        </w:tc>
        <w:tc>
          <w:tcPr>
            <w:tcW w:w="992" w:type="dxa"/>
            <w:vAlign w:val="center"/>
          </w:tcPr>
          <w:p w:rsidR="00285CB1" w:rsidRPr="00A862C6" w:rsidRDefault="00285CB1" w:rsidP="00054F76">
            <w:pPr>
              <w:pStyle w:val="Tabletext"/>
              <w:jc w:val="center"/>
            </w:pPr>
            <w:r w:rsidRPr="00A862C6">
              <w:t>205 (98.6)</w:t>
            </w:r>
          </w:p>
        </w:tc>
        <w:tc>
          <w:tcPr>
            <w:tcW w:w="1701" w:type="dxa"/>
            <w:vAlign w:val="center"/>
          </w:tcPr>
          <w:p w:rsidR="00285CB1" w:rsidRPr="00A862C6" w:rsidRDefault="00285CB1" w:rsidP="00054F76">
            <w:pPr>
              <w:pStyle w:val="Tabletext"/>
              <w:jc w:val="center"/>
              <w:rPr>
                <w:bCs/>
              </w:rPr>
            </w:pPr>
            <w:r w:rsidRPr="00A862C6">
              <w:rPr>
                <w:bCs/>
              </w:rPr>
              <w:t>0.92 (0.88,0.96)</w:t>
            </w:r>
          </w:p>
        </w:tc>
        <w:tc>
          <w:tcPr>
            <w:tcW w:w="1701" w:type="dxa"/>
            <w:vAlign w:val="center"/>
          </w:tcPr>
          <w:p w:rsidR="00285CB1" w:rsidRPr="00A862C6" w:rsidRDefault="00285CB1" w:rsidP="00054F76">
            <w:pPr>
              <w:pStyle w:val="Tabletext"/>
              <w:jc w:val="center"/>
              <w:rPr>
                <w:bCs/>
              </w:rPr>
            </w:pPr>
            <w:r w:rsidRPr="00A862C6">
              <w:rPr>
                <w:bCs/>
              </w:rPr>
              <w:t>-0.08 (-0.12,-0.04)</w:t>
            </w:r>
          </w:p>
        </w:tc>
      </w:tr>
      <w:tr w:rsidR="00285CB1" w:rsidRPr="00A862C6" w:rsidTr="001F31BA">
        <w:trPr>
          <w:trHeight w:val="60"/>
        </w:trPr>
        <w:tc>
          <w:tcPr>
            <w:tcW w:w="1696" w:type="dxa"/>
            <w:vMerge/>
          </w:tcPr>
          <w:p w:rsidR="00285CB1" w:rsidRPr="00A862C6" w:rsidRDefault="00285CB1" w:rsidP="00054F76">
            <w:pPr>
              <w:pStyle w:val="Tabletext"/>
            </w:pPr>
          </w:p>
        </w:tc>
        <w:tc>
          <w:tcPr>
            <w:tcW w:w="1134" w:type="dxa"/>
          </w:tcPr>
          <w:p w:rsidR="00285CB1" w:rsidRPr="00A862C6" w:rsidRDefault="00285CB1" w:rsidP="00054F76">
            <w:pPr>
              <w:pStyle w:val="Tabletext"/>
            </w:pPr>
            <w:r w:rsidRPr="00A862C6">
              <w:t>Grade 3-4</w:t>
            </w:r>
          </w:p>
        </w:tc>
        <w:tc>
          <w:tcPr>
            <w:tcW w:w="1418" w:type="dxa"/>
            <w:vAlign w:val="center"/>
          </w:tcPr>
          <w:p w:rsidR="00285CB1" w:rsidRPr="00A862C6" w:rsidRDefault="00285CB1" w:rsidP="00054F76">
            <w:pPr>
              <w:pStyle w:val="Tabletext"/>
              <w:jc w:val="center"/>
            </w:pPr>
            <w:r w:rsidRPr="00A862C6">
              <w:t>83 (39.7)</w:t>
            </w:r>
          </w:p>
        </w:tc>
        <w:tc>
          <w:tcPr>
            <w:tcW w:w="992" w:type="dxa"/>
            <w:vAlign w:val="center"/>
          </w:tcPr>
          <w:p w:rsidR="00285CB1" w:rsidRPr="00A862C6" w:rsidRDefault="00285CB1" w:rsidP="00054F76">
            <w:pPr>
              <w:pStyle w:val="Tabletext"/>
              <w:jc w:val="center"/>
            </w:pPr>
            <w:r w:rsidRPr="00A862C6">
              <w:t>148 (71.2)</w:t>
            </w:r>
          </w:p>
        </w:tc>
        <w:tc>
          <w:tcPr>
            <w:tcW w:w="1701" w:type="dxa"/>
            <w:vAlign w:val="center"/>
          </w:tcPr>
          <w:p w:rsidR="00285CB1" w:rsidRPr="00A862C6" w:rsidRDefault="00285CB1" w:rsidP="00054F76">
            <w:pPr>
              <w:pStyle w:val="Tabletext"/>
              <w:jc w:val="center"/>
              <w:rPr>
                <w:bCs/>
              </w:rPr>
            </w:pPr>
            <w:r w:rsidRPr="00A862C6">
              <w:rPr>
                <w:bCs/>
              </w:rPr>
              <w:t>0.56 (0.47,0.68)</w:t>
            </w:r>
          </w:p>
        </w:tc>
        <w:tc>
          <w:tcPr>
            <w:tcW w:w="1701" w:type="dxa"/>
            <w:vAlign w:val="center"/>
          </w:tcPr>
          <w:p w:rsidR="00285CB1" w:rsidRPr="00A862C6" w:rsidRDefault="00285CB1" w:rsidP="00054F76">
            <w:pPr>
              <w:pStyle w:val="Tabletext"/>
              <w:jc w:val="center"/>
              <w:rPr>
                <w:bCs/>
              </w:rPr>
            </w:pPr>
            <w:r w:rsidRPr="00A862C6">
              <w:rPr>
                <w:bCs/>
              </w:rPr>
              <w:t>-0.31 (-0.40,-0.22)</w:t>
            </w:r>
          </w:p>
        </w:tc>
      </w:tr>
      <w:tr w:rsidR="00285CB1" w:rsidRPr="00A862C6" w:rsidTr="001F31BA">
        <w:trPr>
          <w:trHeight w:val="121"/>
        </w:trPr>
        <w:tc>
          <w:tcPr>
            <w:tcW w:w="1696" w:type="dxa"/>
            <w:vMerge w:val="restart"/>
          </w:tcPr>
          <w:p w:rsidR="00285CB1" w:rsidRPr="00A862C6" w:rsidRDefault="00285CB1" w:rsidP="00054F76">
            <w:pPr>
              <w:pStyle w:val="Tabletext"/>
            </w:pPr>
            <w:r w:rsidRPr="00A862C6">
              <w:t>SAEs</w:t>
            </w:r>
          </w:p>
        </w:tc>
        <w:tc>
          <w:tcPr>
            <w:tcW w:w="1134" w:type="dxa"/>
          </w:tcPr>
          <w:p w:rsidR="00285CB1" w:rsidRPr="00A862C6" w:rsidRDefault="00285CB1" w:rsidP="00054F76">
            <w:pPr>
              <w:pStyle w:val="Tabletext"/>
            </w:pPr>
            <w:r w:rsidRPr="00A862C6">
              <w:t>Any grade</w:t>
            </w:r>
          </w:p>
        </w:tc>
        <w:tc>
          <w:tcPr>
            <w:tcW w:w="1418" w:type="dxa"/>
            <w:vAlign w:val="center"/>
          </w:tcPr>
          <w:p w:rsidR="00285CB1" w:rsidRPr="00A862C6" w:rsidRDefault="00285CB1" w:rsidP="00054F76">
            <w:pPr>
              <w:pStyle w:val="Tabletext"/>
              <w:jc w:val="center"/>
            </w:pPr>
            <w:r w:rsidRPr="00A862C6">
              <w:t>70 (33.5)</w:t>
            </w:r>
          </w:p>
        </w:tc>
        <w:tc>
          <w:tcPr>
            <w:tcW w:w="992" w:type="dxa"/>
            <w:vAlign w:val="center"/>
          </w:tcPr>
          <w:p w:rsidR="00285CB1" w:rsidRPr="00A862C6" w:rsidRDefault="00285CB1" w:rsidP="00054F76">
            <w:pPr>
              <w:pStyle w:val="Tabletext"/>
              <w:jc w:val="center"/>
            </w:pPr>
            <w:r w:rsidRPr="00A862C6">
              <w:t>78 (37.5)</w:t>
            </w:r>
          </w:p>
        </w:tc>
        <w:tc>
          <w:tcPr>
            <w:tcW w:w="1701" w:type="dxa"/>
            <w:vAlign w:val="center"/>
          </w:tcPr>
          <w:p w:rsidR="00285CB1" w:rsidRPr="00A862C6" w:rsidRDefault="00285CB1" w:rsidP="00054F76">
            <w:pPr>
              <w:pStyle w:val="Tabletext"/>
              <w:jc w:val="center"/>
            </w:pPr>
            <w:r w:rsidRPr="00A862C6">
              <w:t>0.89 (0.69,1.16)</w:t>
            </w:r>
          </w:p>
        </w:tc>
        <w:tc>
          <w:tcPr>
            <w:tcW w:w="1701" w:type="dxa"/>
            <w:vAlign w:val="center"/>
          </w:tcPr>
          <w:p w:rsidR="00285CB1" w:rsidRPr="00A862C6" w:rsidRDefault="00285CB1" w:rsidP="00054F76">
            <w:pPr>
              <w:pStyle w:val="Tabletext"/>
              <w:jc w:val="center"/>
            </w:pPr>
            <w:r w:rsidRPr="00A862C6">
              <w:t>-0.04 (-0.13,0.05)</w:t>
            </w:r>
          </w:p>
        </w:tc>
      </w:tr>
      <w:tr w:rsidR="00285CB1" w:rsidRPr="00A862C6" w:rsidTr="001F31BA">
        <w:trPr>
          <w:trHeight w:val="167"/>
        </w:trPr>
        <w:tc>
          <w:tcPr>
            <w:tcW w:w="1696" w:type="dxa"/>
            <w:vMerge/>
          </w:tcPr>
          <w:p w:rsidR="00285CB1" w:rsidRPr="00A862C6" w:rsidRDefault="00285CB1" w:rsidP="00054F76">
            <w:pPr>
              <w:pStyle w:val="Tabletext"/>
            </w:pPr>
          </w:p>
        </w:tc>
        <w:tc>
          <w:tcPr>
            <w:tcW w:w="1134" w:type="dxa"/>
          </w:tcPr>
          <w:p w:rsidR="00285CB1" w:rsidRPr="00A862C6" w:rsidRDefault="00285CB1" w:rsidP="00054F76">
            <w:pPr>
              <w:pStyle w:val="Tabletext"/>
            </w:pPr>
            <w:r w:rsidRPr="00A862C6">
              <w:t>Grade 3-4</w:t>
            </w:r>
          </w:p>
        </w:tc>
        <w:tc>
          <w:tcPr>
            <w:tcW w:w="1418" w:type="dxa"/>
            <w:vAlign w:val="center"/>
          </w:tcPr>
          <w:p w:rsidR="00285CB1" w:rsidRPr="00A862C6" w:rsidRDefault="00285CB1" w:rsidP="00054F76">
            <w:pPr>
              <w:pStyle w:val="Tabletext"/>
              <w:jc w:val="center"/>
            </w:pPr>
            <w:r w:rsidRPr="00A862C6">
              <w:t>45 (21.5)</w:t>
            </w:r>
          </w:p>
        </w:tc>
        <w:tc>
          <w:tcPr>
            <w:tcW w:w="992" w:type="dxa"/>
            <w:vAlign w:val="center"/>
          </w:tcPr>
          <w:p w:rsidR="00285CB1" w:rsidRPr="00A862C6" w:rsidRDefault="00285CB1" w:rsidP="00054F76">
            <w:pPr>
              <w:pStyle w:val="Tabletext"/>
              <w:jc w:val="center"/>
            </w:pPr>
            <w:r w:rsidRPr="00A862C6">
              <w:t>64 (30.8)</w:t>
            </w:r>
          </w:p>
        </w:tc>
        <w:tc>
          <w:tcPr>
            <w:tcW w:w="1701" w:type="dxa"/>
            <w:vAlign w:val="center"/>
          </w:tcPr>
          <w:p w:rsidR="00285CB1" w:rsidRPr="00A862C6" w:rsidRDefault="00285CB1" w:rsidP="00054F76">
            <w:pPr>
              <w:pStyle w:val="Tabletext"/>
              <w:jc w:val="center"/>
              <w:rPr>
                <w:bCs/>
              </w:rPr>
            </w:pPr>
            <w:r w:rsidRPr="00A862C6">
              <w:rPr>
                <w:bCs/>
              </w:rPr>
              <w:t>0.70 (0.50,0.97)</w:t>
            </w:r>
          </w:p>
        </w:tc>
        <w:tc>
          <w:tcPr>
            <w:tcW w:w="1701" w:type="dxa"/>
            <w:vAlign w:val="center"/>
          </w:tcPr>
          <w:p w:rsidR="00285CB1" w:rsidRPr="00A862C6" w:rsidRDefault="00285CB1" w:rsidP="00054F76">
            <w:pPr>
              <w:pStyle w:val="Tabletext"/>
              <w:jc w:val="center"/>
              <w:rPr>
                <w:bCs/>
              </w:rPr>
            </w:pPr>
            <w:r w:rsidRPr="00A862C6">
              <w:rPr>
                <w:bCs/>
              </w:rPr>
              <w:t>-0.09 (-0.18,-0.01)</w:t>
            </w:r>
          </w:p>
        </w:tc>
      </w:tr>
      <w:tr w:rsidR="00285CB1" w:rsidRPr="00A862C6" w:rsidTr="001F31BA">
        <w:trPr>
          <w:trHeight w:val="60"/>
        </w:trPr>
        <w:tc>
          <w:tcPr>
            <w:tcW w:w="1696" w:type="dxa"/>
            <w:vMerge w:val="restart"/>
          </w:tcPr>
          <w:p w:rsidR="00285CB1" w:rsidRPr="00A862C6" w:rsidRDefault="00285CB1" w:rsidP="00054F76">
            <w:pPr>
              <w:pStyle w:val="Tabletext"/>
            </w:pPr>
            <w:r w:rsidRPr="00A862C6">
              <w:t xml:space="preserve">AEs leading to discontinuation </w:t>
            </w:r>
          </w:p>
        </w:tc>
        <w:tc>
          <w:tcPr>
            <w:tcW w:w="1134" w:type="dxa"/>
          </w:tcPr>
          <w:p w:rsidR="00285CB1" w:rsidRPr="00A862C6" w:rsidRDefault="00285CB1" w:rsidP="00054F76">
            <w:pPr>
              <w:pStyle w:val="Tabletext"/>
            </w:pPr>
            <w:r w:rsidRPr="00A862C6">
              <w:t>Any grade</w:t>
            </w:r>
          </w:p>
        </w:tc>
        <w:tc>
          <w:tcPr>
            <w:tcW w:w="1418" w:type="dxa"/>
            <w:vAlign w:val="center"/>
          </w:tcPr>
          <w:p w:rsidR="00285CB1" w:rsidRPr="00A862C6" w:rsidRDefault="00285CB1" w:rsidP="00054F76">
            <w:pPr>
              <w:pStyle w:val="Tabletext"/>
              <w:jc w:val="center"/>
            </w:pPr>
            <w:r w:rsidRPr="00A862C6">
              <w:t>30 (14.4)</w:t>
            </w:r>
          </w:p>
        </w:tc>
        <w:tc>
          <w:tcPr>
            <w:tcW w:w="992" w:type="dxa"/>
            <w:vAlign w:val="center"/>
          </w:tcPr>
          <w:p w:rsidR="00285CB1" w:rsidRPr="00A862C6" w:rsidRDefault="00285CB1" w:rsidP="00054F76">
            <w:pPr>
              <w:pStyle w:val="Tabletext"/>
              <w:jc w:val="center"/>
            </w:pPr>
            <w:r w:rsidRPr="00A862C6">
              <w:t>34 (16.3)</w:t>
            </w:r>
          </w:p>
        </w:tc>
        <w:tc>
          <w:tcPr>
            <w:tcW w:w="1701" w:type="dxa"/>
            <w:vAlign w:val="center"/>
          </w:tcPr>
          <w:p w:rsidR="00285CB1" w:rsidRPr="00A862C6" w:rsidRDefault="00285CB1" w:rsidP="00054F76">
            <w:pPr>
              <w:pStyle w:val="Tabletext"/>
              <w:jc w:val="center"/>
            </w:pPr>
            <w:r w:rsidRPr="00A862C6">
              <w:t>0.88 (0.56,1.38)</w:t>
            </w:r>
          </w:p>
        </w:tc>
        <w:tc>
          <w:tcPr>
            <w:tcW w:w="1701" w:type="dxa"/>
            <w:vAlign w:val="center"/>
          </w:tcPr>
          <w:p w:rsidR="00285CB1" w:rsidRPr="00A862C6" w:rsidRDefault="00285CB1" w:rsidP="00054F76">
            <w:pPr>
              <w:pStyle w:val="Tabletext"/>
              <w:jc w:val="center"/>
            </w:pPr>
            <w:r w:rsidRPr="00A862C6">
              <w:t>-0.02 (-0.09,0.05)</w:t>
            </w:r>
          </w:p>
        </w:tc>
      </w:tr>
      <w:tr w:rsidR="00285CB1" w:rsidRPr="00A862C6" w:rsidTr="001F31BA">
        <w:trPr>
          <w:trHeight w:val="74"/>
        </w:trPr>
        <w:tc>
          <w:tcPr>
            <w:tcW w:w="1696" w:type="dxa"/>
            <w:vMerge/>
          </w:tcPr>
          <w:p w:rsidR="00285CB1" w:rsidRPr="00A862C6" w:rsidRDefault="00285CB1" w:rsidP="00054F76">
            <w:pPr>
              <w:pStyle w:val="Tabletext"/>
            </w:pPr>
          </w:p>
        </w:tc>
        <w:tc>
          <w:tcPr>
            <w:tcW w:w="1134" w:type="dxa"/>
          </w:tcPr>
          <w:p w:rsidR="00285CB1" w:rsidRPr="00A862C6" w:rsidRDefault="00285CB1" w:rsidP="00054F76">
            <w:pPr>
              <w:pStyle w:val="Tabletext"/>
            </w:pPr>
            <w:r w:rsidRPr="00A862C6">
              <w:t>Grade 3-4</w:t>
            </w:r>
          </w:p>
        </w:tc>
        <w:tc>
          <w:tcPr>
            <w:tcW w:w="1418" w:type="dxa"/>
            <w:vAlign w:val="center"/>
          </w:tcPr>
          <w:p w:rsidR="00285CB1" w:rsidRPr="00A862C6" w:rsidRDefault="00285CB1" w:rsidP="00054F76">
            <w:pPr>
              <w:pStyle w:val="Tabletext"/>
              <w:jc w:val="center"/>
            </w:pPr>
            <w:r w:rsidRPr="00A862C6">
              <w:t>11 (5.3)</w:t>
            </w:r>
          </w:p>
        </w:tc>
        <w:tc>
          <w:tcPr>
            <w:tcW w:w="992" w:type="dxa"/>
            <w:vAlign w:val="center"/>
          </w:tcPr>
          <w:p w:rsidR="00285CB1" w:rsidRPr="00A862C6" w:rsidRDefault="00285CB1" w:rsidP="00054F76">
            <w:pPr>
              <w:pStyle w:val="Tabletext"/>
              <w:jc w:val="center"/>
            </w:pPr>
            <w:r w:rsidRPr="00A862C6">
              <w:t>22 (10.6)</w:t>
            </w:r>
          </w:p>
        </w:tc>
        <w:tc>
          <w:tcPr>
            <w:tcW w:w="1701" w:type="dxa"/>
            <w:vAlign w:val="center"/>
          </w:tcPr>
          <w:p w:rsidR="00285CB1" w:rsidRPr="00A862C6" w:rsidRDefault="00285CB1" w:rsidP="00054F76">
            <w:pPr>
              <w:pStyle w:val="Tabletext"/>
              <w:jc w:val="center"/>
            </w:pPr>
            <w:r w:rsidRPr="00A862C6">
              <w:t>0.50 (0.25,1.00)</w:t>
            </w:r>
          </w:p>
        </w:tc>
        <w:tc>
          <w:tcPr>
            <w:tcW w:w="1701" w:type="dxa"/>
            <w:vAlign w:val="center"/>
          </w:tcPr>
          <w:p w:rsidR="00285CB1" w:rsidRPr="00A862C6" w:rsidRDefault="00285CB1" w:rsidP="00054F76">
            <w:pPr>
              <w:pStyle w:val="Tabletext"/>
              <w:jc w:val="center"/>
            </w:pPr>
            <w:r w:rsidRPr="00A862C6">
              <w:t>-0.05 (-0.10,0.00)</w:t>
            </w:r>
          </w:p>
        </w:tc>
      </w:tr>
      <w:tr w:rsidR="00285CB1" w:rsidRPr="00A862C6" w:rsidTr="003B34A7">
        <w:trPr>
          <w:trHeight w:val="143"/>
        </w:trPr>
        <w:tc>
          <w:tcPr>
            <w:tcW w:w="8642" w:type="dxa"/>
            <w:gridSpan w:val="6"/>
            <w:shd w:val="clear" w:color="auto" w:fill="auto"/>
          </w:tcPr>
          <w:p w:rsidR="00285CB1" w:rsidRPr="00A862C6" w:rsidRDefault="00285CB1" w:rsidP="00054F76">
            <w:pPr>
              <w:pStyle w:val="Tabletext"/>
              <w:rPr>
                <w:b/>
              </w:rPr>
            </w:pPr>
            <w:r w:rsidRPr="00A862C6">
              <w:rPr>
                <w:b/>
              </w:rPr>
              <w:t>Drug-related</w:t>
            </w:r>
          </w:p>
        </w:tc>
      </w:tr>
      <w:tr w:rsidR="00285CB1" w:rsidRPr="00A862C6" w:rsidTr="001F31BA">
        <w:trPr>
          <w:trHeight w:val="176"/>
        </w:trPr>
        <w:tc>
          <w:tcPr>
            <w:tcW w:w="1696" w:type="dxa"/>
            <w:vMerge w:val="restart"/>
          </w:tcPr>
          <w:p w:rsidR="00285CB1" w:rsidRPr="00A862C6" w:rsidRDefault="00285CB1" w:rsidP="00054F76">
            <w:pPr>
              <w:pStyle w:val="Tabletext"/>
            </w:pPr>
            <w:r w:rsidRPr="00A862C6">
              <w:t>AEs</w:t>
            </w:r>
          </w:p>
        </w:tc>
        <w:tc>
          <w:tcPr>
            <w:tcW w:w="1134" w:type="dxa"/>
          </w:tcPr>
          <w:p w:rsidR="00285CB1" w:rsidRPr="00A862C6" w:rsidRDefault="00285CB1" w:rsidP="00054F76">
            <w:pPr>
              <w:pStyle w:val="Tabletext"/>
            </w:pPr>
            <w:r w:rsidRPr="00A862C6">
              <w:t>Any grade</w:t>
            </w:r>
          </w:p>
        </w:tc>
        <w:tc>
          <w:tcPr>
            <w:tcW w:w="1418" w:type="dxa"/>
            <w:vAlign w:val="center"/>
          </w:tcPr>
          <w:p w:rsidR="00285CB1" w:rsidRPr="00A862C6" w:rsidRDefault="00285CB1" w:rsidP="00054F76">
            <w:pPr>
              <w:pStyle w:val="Tabletext"/>
              <w:jc w:val="center"/>
            </w:pPr>
            <w:r w:rsidRPr="00A862C6">
              <w:t>138 (66.0)</w:t>
            </w:r>
          </w:p>
        </w:tc>
        <w:tc>
          <w:tcPr>
            <w:tcW w:w="992" w:type="dxa"/>
            <w:vAlign w:val="center"/>
          </w:tcPr>
          <w:p w:rsidR="00285CB1" w:rsidRPr="00A862C6" w:rsidRDefault="00285CB1" w:rsidP="00054F76">
            <w:pPr>
              <w:pStyle w:val="Tabletext"/>
              <w:jc w:val="center"/>
            </w:pPr>
            <w:r w:rsidRPr="00A862C6">
              <w:t>198 (95.2)</w:t>
            </w:r>
          </w:p>
        </w:tc>
        <w:tc>
          <w:tcPr>
            <w:tcW w:w="1701" w:type="dxa"/>
            <w:vAlign w:val="center"/>
          </w:tcPr>
          <w:p w:rsidR="00285CB1" w:rsidRPr="00A862C6" w:rsidRDefault="00285CB1" w:rsidP="00054F76">
            <w:pPr>
              <w:pStyle w:val="Tabletext"/>
              <w:jc w:val="center"/>
              <w:rPr>
                <w:bCs/>
              </w:rPr>
            </w:pPr>
            <w:r w:rsidRPr="00A862C6">
              <w:rPr>
                <w:bCs/>
              </w:rPr>
              <w:t>0.69 (0.63,0.77)</w:t>
            </w:r>
          </w:p>
        </w:tc>
        <w:tc>
          <w:tcPr>
            <w:tcW w:w="1701" w:type="dxa"/>
            <w:vAlign w:val="center"/>
          </w:tcPr>
          <w:p w:rsidR="00285CB1" w:rsidRPr="00A862C6" w:rsidRDefault="00285CB1" w:rsidP="00054F76">
            <w:pPr>
              <w:pStyle w:val="Tabletext"/>
              <w:jc w:val="center"/>
              <w:rPr>
                <w:bCs/>
              </w:rPr>
            </w:pPr>
            <w:r w:rsidRPr="00A862C6">
              <w:rPr>
                <w:bCs/>
              </w:rPr>
              <w:t>-0.29 (-0.36,-0.22)</w:t>
            </w:r>
          </w:p>
        </w:tc>
      </w:tr>
      <w:tr w:rsidR="00285CB1" w:rsidRPr="00A862C6" w:rsidTr="001F31BA">
        <w:trPr>
          <w:trHeight w:val="60"/>
        </w:trPr>
        <w:tc>
          <w:tcPr>
            <w:tcW w:w="1696" w:type="dxa"/>
            <w:vMerge/>
          </w:tcPr>
          <w:p w:rsidR="00285CB1" w:rsidRPr="00A862C6" w:rsidRDefault="00285CB1" w:rsidP="00054F76">
            <w:pPr>
              <w:pStyle w:val="Tabletext"/>
            </w:pPr>
          </w:p>
        </w:tc>
        <w:tc>
          <w:tcPr>
            <w:tcW w:w="1134" w:type="dxa"/>
          </w:tcPr>
          <w:p w:rsidR="00285CB1" w:rsidRPr="00A862C6" w:rsidRDefault="00285CB1" w:rsidP="00054F76">
            <w:pPr>
              <w:pStyle w:val="Tabletext"/>
            </w:pPr>
            <w:r w:rsidRPr="00A862C6">
              <w:t>Grade 3-4</w:t>
            </w:r>
          </w:p>
        </w:tc>
        <w:tc>
          <w:tcPr>
            <w:tcW w:w="1418" w:type="dxa"/>
            <w:vAlign w:val="center"/>
          </w:tcPr>
          <w:p w:rsidR="00285CB1" w:rsidRPr="00A862C6" w:rsidRDefault="00285CB1" w:rsidP="00054F76">
            <w:pPr>
              <w:pStyle w:val="Tabletext"/>
              <w:jc w:val="center"/>
            </w:pPr>
            <w:r w:rsidRPr="00A862C6">
              <w:t>40 (19.1)</w:t>
            </w:r>
          </w:p>
        </w:tc>
        <w:tc>
          <w:tcPr>
            <w:tcW w:w="992" w:type="dxa"/>
            <w:vAlign w:val="center"/>
          </w:tcPr>
          <w:p w:rsidR="00285CB1" w:rsidRPr="00A862C6" w:rsidRDefault="00285CB1" w:rsidP="00054F76">
            <w:pPr>
              <w:pStyle w:val="Tabletext"/>
              <w:jc w:val="center"/>
            </w:pPr>
            <w:r w:rsidRPr="00A862C6">
              <w:t>131 (63.0)</w:t>
            </w:r>
          </w:p>
        </w:tc>
        <w:tc>
          <w:tcPr>
            <w:tcW w:w="1701" w:type="dxa"/>
            <w:vAlign w:val="center"/>
          </w:tcPr>
          <w:p w:rsidR="00285CB1" w:rsidRPr="00A862C6" w:rsidRDefault="00285CB1" w:rsidP="00054F76">
            <w:pPr>
              <w:pStyle w:val="Tabletext"/>
              <w:jc w:val="center"/>
              <w:rPr>
                <w:bCs/>
              </w:rPr>
            </w:pPr>
            <w:r w:rsidRPr="00A862C6">
              <w:rPr>
                <w:bCs/>
              </w:rPr>
              <w:t>0.30 (0.23,0.41)</w:t>
            </w:r>
          </w:p>
        </w:tc>
        <w:tc>
          <w:tcPr>
            <w:tcW w:w="1701" w:type="dxa"/>
            <w:vAlign w:val="center"/>
          </w:tcPr>
          <w:p w:rsidR="00285CB1" w:rsidRPr="00A862C6" w:rsidRDefault="00285CB1" w:rsidP="00054F76">
            <w:pPr>
              <w:pStyle w:val="Tabletext"/>
              <w:jc w:val="center"/>
              <w:rPr>
                <w:bCs/>
              </w:rPr>
            </w:pPr>
            <w:r w:rsidRPr="00A862C6">
              <w:rPr>
                <w:bCs/>
              </w:rPr>
              <w:t>-0.44 (-0.52,-0.35)</w:t>
            </w:r>
          </w:p>
        </w:tc>
      </w:tr>
      <w:tr w:rsidR="00285CB1" w:rsidRPr="00A862C6" w:rsidTr="001F31BA">
        <w:trPr>
          <w:trHeight w:val="125"/>
        </w:trPr>
        <w:tc>
          <w:tcPr>
            <w:tcW w:w="1696" w:type="dxa"/>
            <w:vMerge w:val="restart"/>
          </w:tcPr>
          <w:p w:rsidR="00285CB1" w:rsidRPr="00A862C6" w:rsidRDefault="00285CB1" w:rsidP="00054F76">
            <w:pPr>
              <w:pStyle w:val="Tabletext"/>
            </w:pPr>
            <w:r w:rsidRPr="00A862C6">
              <w:t>SAEs</w:t>
            </w:r>
          </w:p>
        </w:tc>
        <w:tc>
          <w:tcPr>
            <w:tcW w:w="1134" w:type="dxa"/>
          </w:tcPr>
          <w:p w:rsidR="00285CB1" w:rsidRPr="00A862C6" w:rsidRDefault="00285CB1" w:rsidP="00054F76">
            <w:pPr>
              <w:pStyle w:val="Tabletext"/>
            </w:pPr>
            <w:r w:rsidRPr="00A862C6">
              <w:t>Any grade</w:t>
            </w:r>
          </w:p>
        </w:tc>
        <w:tc>
          <w:tcPr>
            <w:tcW w:w="1418" w:type="dxa"/>
            <w:vAlign w:val="center"/>
          </w:tcPr>
          <w:p w:rsidR="00285CB1" w:rsidRPr="00A862C6" w:rsidRDefault="00285CB1" w:rsidP="00054F76">
            <w:pPr>
              <w:pStyle w:val="Tabletext"/>
              <w:jc w:val="center"/>
            </w:pPr>
            <w:r w:rsidRPr="00A862C6">
              <w:t>35 (16.7)</w:t>
            </w:r>
          </w:p>
        </w:tc>
        <w:tc>
          <w:tcPr>
            <w:tcW w:w="992" w:type="dxa"/>
            <w:vAlign w:val="center"/>
          </w:tcPr>
          <w:p w:rsidR="00285CB1" w:rsidRPr="00A862C6" w:rsidRDefault="00285CB1" w:rsidP="00054F76">
            <w:pPr>
              <w:pStyle w:val="Tabletext"/>
              <w:jc w:val="center"/>
            </w:pPr>
            <w:r w:rsidRPr="00A862C6">
              <w:t>47 (22.6)</w:t>
            </w:r>
          </w:p>
        </w:tc>
        <w:tc>
          <w:tcPr>
            <w:tcW w:w="1701" w:type="dxa"/>
            <w:vAlign w:val="center"/>
          </w:tcPr>
          <w:p w:rsidR="00285CB1" w:rsidRPr="00A862C6" w:rsidRDefault="00285CB1" w:rsidP="00054F76">
            <w:pPr>
              <w:pStyle w:val="Tabletext"/>
              <w:jc w:val="center"/>
            </w:pPr>
            <w:r w:rsidRPr="00A862C6">
              <w:t>0.74 (0.50,1.10)</w:t>
            </w:r>
          </w:p>
        </w:tc>
        <w:tc>
          <w:tcPr>
            <w:tcW w:w="1701" w:type="dxa"/>
            <w:vAlign w:val="center"/>
          </w:tcPr>
          <w:p w:rsidR="00285CB1" w:rsidRPr="00A862C6" w:rsidRDefault="00285CB1" w:rsidP="00054F76">
            <w:pPr>
              <w:pStyle w:val="Tabletext"/>
              <w:jc w:val="center"/>
            </w:pPr>
            <w:r w:rsidRPr="00A862C6">
              <w:t>-0.06 (-0.13,0.02)</w:t>
            </w:r>
          </w:p>
        </w:tc>
      </w:tr>
      <w:tr w:rsidR="00285CB1" w:rsidRPr="00A862C6" w:rsidTr="001F31BA">
        <w:trPr>
          <w:trHeight w:val="60"/>
        </w:trPr>
        <w:tc>
          <w:tcPr>
            <w:tcW w:w="1696" w:type="dxa"/>
            <w:vMerge/>
          </w:tcPr>
          <w:p w:rsidR="00285CB1" w:rsidRPr="00A862C6" w:rsidRDefault="00285CB1" w:rsidP="00054F76">
            <w:pPr>
              <w:pStyle w:val="Tabletext"/>
            </w:pPr>
          </w:p>
        </w:tc>
        <w:tc>
          <w:tcPr>
            <w:tcW w:w="1134" w:type="dxa"/>
          </w:tcPr>
          <w:p w:rsidR="00285CB1" w:rsidRPr="00A862C6" w:rsidRDefault="00285CB1" w:rsidP="00054F76">
            <w:pPr>
              <w:pStyle w:val="Tabletext"/>
            </w:pPr>
            <w:r w:rsidRPr="00A862C6">
              <w:t>Grade 3-4</w:t>
            </w:r>
          </w:p>
        </w:tc>
        <w:tc>
          <w:tcPr>
            <w:tcW w:w="1418" w:type="dxa"/>
            <w:vAlign w:val="center"/>
          </w:tcPr>
          <w:p w:rsidR="00285CB1" w:rsidRPr="00A862C6" w:rsidRDefault="00285CB1" w:rsidP="00054F76">
            <w:pPr>
              <w:pStyle w:val="Tabletext"/>
              <w:jc w:val="center"/>
            </w:pPr>
            <w:r w:rsidRPr="00A862C6">
              <w:t>22 (10.5)</w:t>
            </w:r>
          </w:p>
        </w:tc>
        <w:tc>
          <w:tcPr>
            <w:tcW w:w="992" w:type="dxa"/>
            <w:vAlign w:val="center"/>
          </w:tcPr>
          <w:p w:rsidR="00285CB1" w:rsidRPr="00A862C6" w:rsidRDefault="00285CB1" w:rsidP="00054F76">
            <w:pPr>
              <w:pStyle w:val="Tabletext"/>
              <w:jc w:val="center"/>
            </w:pPr>
            <w:r w:rsidRPr="00A862C6">
              <w:t>39 (18.8)</w:t>
            </w:r>
          </w:p>
        </w:tc>
        <w:tc>
          <w:tcPr>
            <w:tcW w:w="1701" w:type="dxa"/>
            <w:vAlign w:val="center"/>
          </w:tcPr>
          <w:p w:rsidR="00285CB1" w:rsidRPr="00A862C6" w:rsidRDefault="00285CB1" w:rsidP="00054F76">
            <w:pPr>
              <w:pStyle w:val="Tabletext"/>
              <w:jc w:val="center"/>
              <w:rPr>
                <w:bCs/>
              </w:rPr>
            </w:pPr>
            <w:r w:rsidRPr="00A862C6">
              <w:rPr>
                <w:bCs/>
              </w:rPr>
              <w:t>0.56 (0.35,0.91)</w:t>
            </w:r>
          </w:p>
        </w:tc>
        <w:tc>
          <w:tcPr>
            <w:tcW w:w="1701" w:type="dxa"/>
            <w:vAlign w:val="center"/>
          </w:tcPr>
          <w:p w:rsidR="00285CB1" w:rsidRPr="00A862C6" w:rsidRDefault="00285CB1" w:rsidP="00054F76">
            <w:pPr>
              <w:pStyle w:val="Tabletext"/>
              <w:jc w:val="center"/>
              <w:rPr>
                <w:bCs/>
              </w:rPr>
            </w:pPr>
            <w:r w:rsidRPr="00A862C6">
              <w:rPr>
                <w:bCs/>
              </w:rPr>
              <w:t>-0.08 (-0.15,-0.01)</w:t>
            </w:r>
          </w:p>
        </w:tc>
      </w:tr>
      <w:tr w:rsidR="00285CB1" w:rsidRPr="00A862C6" w:rsidTr="001F31BA">
        <w:trPr>
          <w:trHeight w:val="75"/>
        </w:trPr>
        <w:tc>
          <w:tcPr>
            <w:tcW w:w="1696" w:type="dxa"/>
            <w:vMerge w:val="restart"/>
          </w:tcPr>
          <w:p w:rsidR="00285CB1" w:rsidRPr="00A862C6" w:rsidRDefault="00285CB1" w:rsidP="00054F76">
            <w:pPr>
              <w:pStyle w:val="Tabletext"/>
            </w:pPr>
            <w:r w:rsidRPr="00A862C6">
              <w:t xml:space="preserve">AEs leading to discontinuation </w:t>
            </w:r>
          </w:p>
        </w:tc>
        <w:tc>
          <w:tcPr>
            <w:tcW w:w="1134" w:type="dxa"/>
          </w:tcPr>
          <w:p w:rsidR="00285CB1" w:rsidRPr="00A862C6" w:rsidRDefault="00285CB1" w:rsidP="00054F76">
            <w:pPr>
              <w:pStyle w:val="Tabletext"/>
            </w:pPr>
            <w:r w:rsidRPr="00A862C6">
              <w:t>Any grade</w:t>
            </w:r>
          </w:p>
        </w:tc>
        <w:tc>
          <w:tcPr>
            <w:tcW w:w="1418" w:type="dxa"/>
            <w:vAlign w:val="center"/>
          </w:tcPr>
          <w:p w:rsidR="00285CB1" w:rsidRPr="00A862C6" w:rsidRDefault="00285CB1" w:rsidP="00054F76">
            <w:pPr>
              <w:pStyle w:val="Tabletext"/>
              <w:jc w:val="center"/>
            </w:pPr>
            <w:r w:rsidRPr="00A862C6">
              <w:t>18 (8.6)</w:t>
            </w:r>
          </w:p>
        </w:tc>
        <w:tc>
          <w:tcPr>
            <w:tcW w:w="992" w:type="dxa"/>
            <w:vAlign w:val="center"/>
          </w:tcPr>
          <w:p w:rsidR="00285CB1" w:rsidRPr="00A862C6" w:rsidRDefault="00285CB1" w:rsidP="00054F76">
            <w:pPr>
              <w:pStyle w:val="Tabletext"/>
              <w:jc w:val="center"/>
            </w:pPr>
            <w:r w:rsidRPr="00A862C6">
              <w:t>20 (9.6)</w:t>
            </w:r>
          </w:p>
        </w:tc>
        <w:tc>
          <w:tcPr>
            <w:tcW w:w="1701" w:type="dxa"/>
            <w:vAlign w:val="center"/>
          </w:tcPr>
          <w:p w:rsidR="00285CB1" w:rsidRPr="00A862C6" w:rsidRDefault="00285CB1" w:rsidP="00054F76">
            <w:pPr>
              <w:pStyle w:val="Tabletext"/>
              <w:jc w:val="center"/>
            </w:pPr>
            <w:r w:rsidRPr="00A862C6">
              <w:t>0.90 (0.49,1.64)</w:t>
            </w:r>
          </w:p>
        </w:tc>
        <w:tc>
          <w:tcPr>
            <w:tcW w:w="1701" w:type="dxa"/>
            <w:vAlign w:val="center"/>
          </w:tcPr>
          <w:p w:rsidR="00285CB1" w:rsidRPr="00A862C6" w:rsidRDefault="00285CB1" w:rsidP="00054F76">
            <w:pPr>
              <w:pStyle w:val="Tabletext"/>
              <w:jc w:val="center"/>
            </w:pPr>
            <w:r w:rsidRPr="00A862C6">
              <w:t>-0.01 (-0.07,0.05)</w:t>
            </w:r>
          </w:p>
        </w:tc>
      </w:tr>
      <w:tr w:rsidR="00285CB1" w:rsidRPr="00A862C6" w:rsidTr="001F31BA">
        <w:trPr>
          <w:trHeight w:val="122"/>
        </w:trPr>
        <w:tc>
          <w:tcPr>
            <w:tcW w:w="1696" w:type="dxa"/>
            <w:vMerge/>
          </w:tcPr>
          <w:p w:rsidR="00285CB1" w:rsidRPr="00A862C6" w:rsidRDefault="00285CB1" w:rsidP="00054F76">
            <w:pPr>
              <w:pStyle w:val="Tabletext"/>
            </w:pPr>
          </w:p>
        </w:tc>
        <w:tc>
          <w:tcPr>
            <w:tcW w:w="1134" w:type="dxa"/>
          </w:tcPr>
          <w:p w:rsidR="00285CB1" w:rsidRPr="00A862C6" w:rsidRDefault="00285CB1" w:rsidP="00054F76">
            <w:pPr>
              <w:pStyle w:val="Tabletext"/>
            </w:pPr>
            <w:r w:rsidRPr="00A862C6">
              <w:t>Grade 3-4</w:t>
            </w:r>
          </w:p>
        </w:tc>
        <w:tc>
          <w:tcPr>
            <w:tcW w:w="1418" w:type="dxa"/>
            <w:vAlign w:val="center"/>
          </w:tcPr>
          <w:p w:rsidR="00285CB1" w:rsidRPr="00A862C6" w:rsidRDefault="00285CB1" w:rsidP="00054F76">
            <w:pPr>
              <w:pStyle w:val="Tabletext"/>
              <w:jc w:val="center"/>
            </w:pPr>
            <w:r w:rsidRPr="00A862C6">
              <w:t>8 (3.8)</w:t>
            </w:r>
          </w:p>
        </w:tc>
        <w:tc>
          <w:tcPr>
            <w:tcW w:w="992" w:type="dxa"/>
            <w:vAlign w:val="center"/>
          </w:tcPr>
          <w:p w:rsidR="00285CB1" w:rsidRPr="00A862C6" w:rsidRDefault="00285CB1" w:rsidP="00054F76">
            <w:pPr>
              <w:pStyle w:val="Tabletext"/>
              <w:jc w:val="center"/>
            </w:pPr>
            <w:r w:rsidRPr="00A862C6">
              <w:t>12 (5.8)</w:t>
            </w:r>
          </w:p>
        </w:tc>
        <w:tc>
          <w:tcPr>
            <w:tcW w:w="1701" w:type="dxa"/>
            <w:vAlign w:val="center"/>
          </w:tcPr>
          <w:p w:rsidR="00285CB1" w:rsidRPr="00A862C6" w:rsidRDefault="00285CB1" w:rsidP="00054F76">
            <w:pPr>
              <w:pStyle w:val="Tabletext"/>
              <w:jc w:val="center"/>
            </w:pPr>
            <w:r w:rsidRPr="00A862C6">
              <w:t>0.66 (0.28,1.59)</w:t>
            </w:r>
          </w:p>
        </w:tc>
        <w:tc>
          <w:tcPr>
            <w:tcW w:w="1701" w:type="dxa"/>
            <w:vAlign w:val="center"/>
          </w:tcPr>
          <w:p w:rsidR="00285CB1" w:rsidRPr="00A862C6" w:rsidRDefault="00285CB1" w:rsidP="00054F76">
            <w:pPr>
              <w:pStyle w:val="Tabletext"/>
              <w:jc w:val="center"/>
            </w:pPr>
            <w:r w:rsidRPr="00A862C6">
              <w:t>-0.02 (-0.06,0.02)</w:t>
            </w:r>
          </w:p>
        </w:tc>
      </w:tr>
      <w:tr w:rsidR="00285CB1" w:rsidRPr="00A862C6" w:rsidTr="003B34A7">
        <w:trPr>
          <w:trHeight w:val="257"/>
        </w:trPr>
        <w:tc>
          <w:tcPr>
            <w:tcW w:w="8642" w:type="dxa"/>
            <w:gridSpan w:val="6"/>
            <w:shd w:val="clear" w:color="auto" w:fill="auto"/>
          </w:tcPr>
          <w:p w:rsidR="00285CB1" w:rsidRPr="00A862C6" w:rsidRDefault="00285CB1" w:rsidP="00054F76">
            <w:pPr>
              <w:pStyle w:val="Tabletext"/>
              <w:rPr>
                <w:b/>
              </w:rPr>
            </w:pPr>
            <w:r w:rsidRPr="00A862C6">
              <w:rPr>
                <w:b/>
              </w:rPr>
              <w:t>Deaths</w:t>
            </w:r>
          </w:p>
        </w:tc>
      </w:tr>
      <w:tr w:rsidR="00285CB1" w:rsidRPr="00A862C6" w:rsidTr="001F31BA">
        <w:trPr>
          <w:trHeight w:val="165"/>
        </w:trPr>
        <w:tc>
          <w:tcPr>
            <w:tcW w:w="2830" w:type="dxa"/>
            <w:gridSpan w:val="2"/>
          </w:tcPr>
          <w:p w:rsidR="00285CB1" w:rsidRPr="00A862C6" w:rsidRDefault="00285CB1" w:rsidP="00054F76">
            <w:pPr>
              <w:pStyle w:val="Tabletext"/>
            </w:pPr>
            <w:r w:rsidRPr="00A862C6">
              <w:t xml:space="preserve">Overall (all treated </w:t>
            </w:r>
            <w:r w:rsidR="00062ED9" w:rsidRPr="00A862C6">
              <w:t>population)</w:t>
            </w:r>
          </w:p>
        </w:tc>
        <w:tc>
          <w:tcPr>
            <w:tcW w:w="1418" w:type="dxa"/>
            <w:vAlign w:val="center"/>
          </w:tcPr>
          <w:p w:rsidR="00285CB1" w:rsidRPr="00A862C6" w:rsidRDefault="00285CB1" w:rsidP="00054F76">
            <w:pPr>
              <w:pStyle w:val="Tabletext"/>
              <w:jc w:val="center"/>
            </w:pPr>
            <w:r w:rsidRPr="00A862C6">
              <w:t>178 (85.2)</w:t>
            </w:r>
          </w:p>
        </w:tc>
        <w:tc>
          <w:tcPr>
            <w:tcW w:w="992" w:type="dxa"/>
            <w:vAlign w:val="center"/>
          </w:tcPr>
          <w:p w:rsidR="00285CB1" w:rsidRPr="00A862C6" w:rsidRDefault="00285CB1" w:rsidP="00054F76">
            <w:pPr>
              <w:pStyle w:val="Tabletext"/>
              <w:jc w:val="center"/>
            </w:pPr>
            <w:r w:rsidRPr="00A862C6">
              <w:t>186 (89.4)</w:t>
            </w:r>
          </w:p>
        </w:tc>
        <w:tc>
          <w:tcPr>
            <w:tcW w:w="1701" w:type="dxa"/>
            <w:vAlign w:val="center"/>
          </w:tcPr>
          <w:p w:rsidR="00285CB1" w:rsidRPr="00A862C6" w:rsidRDefault="00285CB1" w:rsidP="00054F76">
            <w:pPr>
              <w:pStyle w:val="Tabletext"/>
              <w:jc w:val="center"/>
            </w:pPr>
            <w:r w:rsidRPr="00A862C6">
              <w:t>0.95 (0.89,1.02)</w:t>
            </w:r>
          </w:p>
        </w:tc>
        <w:tc>
          <w:tcPr>
            <w:tcW w:w="1701" w:type="dxa"/>
            <w:vAlign w:val="center"/>
          </w:tcPr>
          <w:p w:rsidR="00285CB1" w:rsidRPr="00A862C6" w:rsidRDefault="00285CB1" w:rsidP="00054F76">
            <w:pPr>
              <w:pStyle w:val="Tabletext"/>
              <w:jc w:val="center"/>
            </w:pPr>
            <w:r w:rsidRPr="00A862C6">
              <w:t>-0.04 (-0.11,0.02)</w:t>
            </w:r>
          </w:p>
        </w:tc>
      </w:tr>
      <w:tr w:rsidR="00285CB1" w:rsidRPr="00A862C6" w:rsidTr="001F31BA">
        <w:trPr>
          <w:trHeight w:val="69"/>
        </w:trPr>
        <w:tc>
          <w:tcPr>
            <w:tcW w:w="2830" w:type="dxa"/>
            <w:gridSpan w:val="2"/>
          </w:tcPr>
          <w:p w:rsidR="00285CB1" w:rsidRPr="00A862C6" w:rsidRDefault="00285CB1" w:rsidP="00054F76">
            <w:pPr>
              <w:pStyle w:val="Tabletext"/>
            </w:pPr>
            <w:r w:rsidRPr="00A862C6">
              <w:t>Within 28 days of the last dose</w:t>
            </w:r>
          </w:p>
        </w:tc>
        <w:tc>
          <w:tcPr>
            <w:tcW w:w="1418" w:type="dxa"/>
            <w:vAlign w:val="center"/>
          </w:tcPr>
          <w:p w:rsidR="00285CB1" w:rsidRPr="00A862C6" w:rsidRDefault="00285CB1" w:rsidP="00054F76">
            <w:pPr>
              <w:pStyle w:val="Tabletext"/>
              <w:jc w:val="center"/>
            </w:pPr>
            <w:r w:rsidRPr="00A862C6">
              <w:t>19 (9.1)</w:t>
            </w:r>
          </w:p>
        </w:tc>
        <w:tc>
          <w:tcPr>
            <w:tcW w:w="992" w:type="dxa"/>
            <w:vAlign w:val="center"/>
          </w:tcPr>
          <w:p w:rsidR="00285CB1" w:rsidRPr="00A862C6" w:rsidRDefault="00285CB1" w:rsidP="00054F76">
            <w:pPr>
              <w:pStyle w:val="Tabletext"/>
              <w:jc w:val="center"/>
            </w:pPr>
            <w:r w:rsidRPr="00A862C6">
              <w:t>9 (4.3)</w:t>
            </w:r>
          </w:p>
        </w:tc>
        <w:tc>
          <w:tcPr>
            <w:tcW w:w="1701" w:type="dxa"/>
            <w:vAlign w:val="center"/>
          </w:tcPr>
          <w:p w:rsidR="00285CB1" w:rsidRPr="00A862C6" w:rsidRDefault="00285CB1" w:rsidP="00054F76">
            <w:pPr>
              <w:pStyle w:val="Tabletext"/>
              <w:jc w:val="center"/>
            </w:pPr>
            <w:r w:rsidRPr="00A862C6">
              <w:t>2.10 (0.97,4.54)</w:t>
            </w:r>
          </w:p>
        </w:tc>
        <w:tc>
          <w:tcPr>
            <w:tcW w:w="1701" w:type="dxa"/>
            <w:vAlign w:val="center"/>
          </w:tcPr>
          <w:p w:rsidR="00285CB1" w:rsidRPr="00A862C6" w:rsidRDefault="00285CB1" w:rsidP="00054F76">
            <w:pPr>
              <w:pStyle w:val="Tabletext"/>
              <w:jc w:val="center"/>
            </w:pPr>
            <w:r w:rsidRPr="00A862C6">
              <w:t>0.05 (0.00,0.10)</w:t>
            </w:r>
          </w:p>
        </w:tc>
      </w:tr>
      <w:tr w:rsidR="00285CB1" w:rsidRPr="00A862C6" w:rsidTr="001F31BA">
        <w:trPr>
          <w:trHeight w:val="121"/>
        </w:trPr>
        <w:tc>
          <w:tcPr>
            <w:tcW w:w="2830" w:type="dxa"/>
            <w:gridSpan w:val="2"/>
          </w:tcPr>
          <w:p w:rsidR="00285CB1" w:rsidRPr="00A862C6" w:rsidRDefault="00285CB1" w:rsidP="00054F76">
            <w:pPr>
              <w:pStyle w:val="Tabletext"/>
            </w:pPr>
            <w:r w:rsidRPr="00A862C6">
              <w:t>Within 100 days of the last dose</w:t>
            </w:r>
          </w:p>
        </w:tc>
        <w:tc>
          <w:tcPr>
            <w:tcW w:w="1418" w:type="dxa"/>
            <w:vAlign w:val="center"/>
          </w:tcPr>
          <w:p w:rsidR="00285CB1" w:rsidRPr="00A862C6" w:rsidRDefault="00285CB1" w:rsidP="00054F76">
            <w:pPr>
              <w:pStyle w:val="Tabletext"/>
              <w:jc w:val="center"/>
            </w:pPr>
            <w:r w:rsidRPr="00A862C6">
              <w:t>62 (29.7)</w:t>
            </w:r>
          </w:p>
        </w:tc>
        <w:tc>
          <w:tcPr>
            <w:tcW w:w="992" w:type="dxa"/>
            <w:vAlign w:val="center"/>
          </w:tcPr>
          <w:p w:rsidR="00285CB1" w:rsidRPr="00A862C6" w:rsidRDefault="00285CB1" w:rsidP="00054F76">
            <w:pPr>
              <w:pStyle w:val="Tabletext"/>
              <w:jc w:val="center"/>
            </w:pPr>
            <w:r w:rsidRPr="00A862C6">
              <w:t>65 (31.3)</w:t>
            </w:r>
          </w:p>
        </w:tc>
        <w:tc>
          <w:tcPr>
            <w:tcW w:w="1701" w:type="dxa"/>
            <w:vAlign w:val="center"/>
          </w:tcPr>
          <w:p w:rsidR="00285CB1" w:rsidRPr="00A862C6" w:rsidRDefault="00285CB1" w:rsidP="00054F76">
            <w:pPr>
              <w:pStyle w:val="Tabletext"/>
              <w:jc w:val="center"/>
            </w:pPr>
            <w:r w:rsidRPr="00A862C6">
              <w:t>0.95 (0.71,1.27)</w:t>
            </w:r>
          </w:p>
        </w:tc>
        <w:tc>
          <w:tcPr>
            <w:tcW w:w="1701" w:type="dxa"/>
            <w:vAlign w:val="center"/>
          </w:tcPr>
          <w:p w:rsidR="00285CB1" w:rsidRPr="00A862C6" w:rsidRDefault="00285CB1" w:rsidP="00054F76">
            <w:pPr>
              <w:pStyle w:val="Tabletext"/>
              <w:jc w:val="center"/>
            </w:pPr>
            <w:r w:rsidRPr="00A862C6">
              <w:t>-0.02 (-0.10,0.07)</w:t>
            </w:r>
          </w:p>
        </w:tc>
      </w:tr>
    </w:tbl>
    <w:p w:rsidR="00285CB1" w:rsidRPr="00A862C6" w:rsidRDefault="00285CB1" w:rsidP="00285CB1">
      <w:pPr>
        <w:pStyle w:val="TableFooter"/>
      </w:pPr>
      <w:r w:rsidRPr="00A862C6">
        <w:t xml:space="preserve">Source: Table 33, p67 of the submission. </w:t>
      </w:r>
    </w:p>
    <w:p w:rsidR="00285CB1" w:rsidRPr="00A862C6" w:rsidRDefault="00285CB1" w:rsidP="00285CB1">
      <w:pPr>
        <w:pStyle w:val="TableFooter"/>
      </w:pPr>
      <w:r w:rsidRPr="00A862C6">
        <w:t>AEs = adverse events; CI = confidence interval; IC = investigators choice; NIVO = nivolumab; SAEs = serious adverse events; RD = risk difference; RR = relative risk</w:t>
      </w:r>
    </w:p>
    <w:p w:rsidR="00285CB1" w:rsidRPr="00A862C6" w:rsidRDefault="00285CB1" w:rsidP="00285CB1"/>
    <w:p w:rsidR="00285CB1" w:rsidRPr="00A862C6" w:rsidRDefault="00285CB1" w:rsidP="00DD46F0">
      <w:pPr>
        <w:pStyle w:val="ListParagraph"/>
        <w:widowControl/>
        <w:numPr>
          <w:ilvl w:val="1"/>
          <w:numId w:val="2"/>
        </w:numPr>
      </w:pPr>
      <w:r w:rsidRPr="00A862C6">
        <w:t xml:space="preserve">A summary of the drug-related AEs which were significantly different between treatment arms at the 18 month follow up is presented in </w:t>
      </w:r>
      <w:r w:rsidR="00F71DE4" w:rsidRPr="00F71DE4">
        <w:t>Table 8</w:t>
      </w:r>
      <w:r w:rsidRPr="00A862C6">
        <w:t xml:space="preserve">. </w:t>
      </w:r>
    </w:p>
    <w:p w:rsidR="00285CB1" w:rsidRPr="00A862C6" w:rsidRDefault="00285CB1" w:rsidP="00853F65">
      <w:pPr>
        <w:keepNext/>
        <w:keepLines/>
        <w:rPr>
          <w:rStyle w:val="CommentReference"/>
        </w:rPr>
      </w:pPr>
      <w:bookmarkStart w:id="30" w:name="_Ref70353474"/>
      <w:r w:rsidRPr="00A862C6">
        <w:rPr>
          <w:rStyle w:val="CommentReference"/>
        </w:rPr>
        <w:t xml:space="preserve">Table </w:t>
      </w:r>
      <w:r w:rsidR="00F71DE4">
        <w:rPr>
          <w:rStyle w:val="CommentReference"/>
          <w:noProof/>
        </w:rPr>
        <w:t>8</w:t>
      </w:r>
      <w:bookmarkEnd w:id="30"/>
      <w:r w:rsidR="00AF7E03" w:rsidRPr="00A862C6">
        <w:rPr>
          <w:rStyle w:val="CommentReference"/>
        </w:rPr>
        <w:t>:</w:t>
      </w:r>
      <w:r w:rsidRPr="00A862C6">
        <w:rPr>
          <w:rStyle w:val="CommentReference"/>
        </w:rPr>
        <w:t xml:space="preserve"> Drug</w:t>
      </w:r>
      <w:r w:rsidR="00F87134" w:rsidRPr="00A862C6">
        <w:rPr>
          <w:rStyle w:val="CommentReference"/>
        </w:rPr>
        <w:t>-</w:t>
      </w:r>
      <w:r w:rsidRPr="00A862C6">
        <w:rPr>
          <w:rStyle w:val="CommentReference"/>
        </w:rPr>
        <w:t>related adverse events which were significantly different between nivolumab and IC in ATTRACTION-3 at 18 month follow up</w:t>
      </w:r>
    </w:p>
    <w:tbl>
      <w:tblPr>
        <w:tblStyle w:val="TableGrid"/>
        <w:tblW w:w="5000" w:type="pct"/>
        <w:tblLook w:val="04A0" w:firstRow="1" w:lastRow="0" w:firstColumn="1" w:lastColumn="0" w:noHBand="0" w:noVBand="1"/>
        <w:tblCaption w:val="Table 8: Drug-related adverse events which were significantly different between nivolumab and IC in ATTRACTION-3 at 18 month follow up"/>
      </w:tblPr>
      <w:tblGrid>
        <w:gridCol w:w="2546"/>
        <w:gridCol w:w="994"/>
        <w:gridCol w:w="992"/>
        <w:gridCol w:w="1134"/>
        <w:gridCol w:w="1742"/>
        <w:gridCol w:w="1609"/>
      </w:tblGrid>
      <w:tr w:rsidR="00285CB1" w:rsidRPr="00A862C6" w:rsidTr="00E45BC9">
        <w:trPr>
          <w:tblHeader/>
        </w:trPr>
        <w:tc>
          <w:tcPr>
            <w:tcW w:w="1412" w:type="pct"/>
            <w:tcBorders>
              <w:bottom w:val="single" w:sz="4" w:space="0" w:color="auto"/>
            </w:tcBorders>
          </w:tcPr>
          <w:p w:rsidR="00285CB1" w:rsidRPr="00A862C6" w:rsidRDefault="00285CB1" w:rsidP="00853F65">
            <w:pPr>
              <w:keepNext/>
              <w:keepLines/>
              <w:rPr>
                <w:rFonts w:ascii="Arial Narrow" w:hAnsi="Arial Narrow"/>
                <w:b/>
                <w:bCs/>
                <w:sz w:val="20"/>
                <w:szCs w:val="20"/>
              </w:rPr>
            </w:pPr>
            <w:r w:rsidRPr="00A862C6">
              <w:rPr>
                <w:rFonts w:ascii="Arial Narrow" w:hAnsi="Arial Narrow"/>
                <w:b/>
                <w:bCs/>
                <w:sz w:val="20"/>
                <w:szCs w:val="20"/>
              </w:rPr>
              <w:t>Adverse Event</w:t>
            </w:r>
          </w:p>
        </w:tc>
        <w:tc>
          <w:tcPr>
            <w:tcW w:w="551" w:type="pct"/>
          </w:tcPr>
          <w:p w:rsidR="00285CB1" w:rsidRPr="00A862C6" w:rsidRDefault="00285CB1" w:rsidP="00853F65">
            <w:pPr>
              <w:keepNext/>
              <w:keepLines/>
              <w:rPr>
                <w:rFonts w:ascii="Arial Narrow" w:hAnsi="Arial Narrow"/>
                <w:b/>
                <w:bCs/>
                <w:sz w:val="20"/>
                <w:szCs w:val="20"/>
              </w:rPr>
            </w:pPr>
          </w:p>
        </w:tc>
        <w:tc>
          <w:tcPr>
            <w:tcW w:w="550" w:type="pct"/>
            <w:vAlign w:val="center"/>
          </w:tcPr>
          <w:p w:rsidR="00285CB1" w:rsidRPr="00A862C6" w:rsidRDefault="00285CB1" w:rsidP="00853F65">
            <w:pPr>
              <w:keepNext/>
              <w:keepLines/>
              <w:jc w:val="center"/>
              <w:rPr>
                <w:rFonts w:ascii="Arial Narrow" w:hAnsi="Arial Narrow"/>
                <w:b/>
                <w:bCs/>
                <w:sz w:val="20"/>
                <w:szCs w:val="20"/>
              </w:rPr>
            </w:pPr>
            <w:r w:rsidRPr="00A862C6">
              <w:rPr>
                <w:rFonts w:ascii="Arial Narrow" w:hAnsi="Arial Narrow"/>
                <w:b/>
                <w:bCs/>
                <w:sz w:val="20"/>
                <w:szCs w:val="20"/>
              </w:rPr>
              <w:t>NIVO</w:t>
            </w:r>
          </w:p>
          <w:p w:rsidR="00285CB1" w:rsidRPr="00A862C6" w:rsidRDefault="00285CB1" w:rsidP="00853F65">
            <w:pPr>
              <w:keepNext/>
              <w:keepLines/>
              <w:jc w:val="center"/>
              <w:rPr>
                <w:rFonts w:ascii="Arial Narrow" w:hAnsi="Arial Narrow"/>
                <w:b/>
                <w:bCs/>
                <w:sz w:val="20"/>
                <w:szCs w:val="20"/>
              </w:rPr>
            </w:pPr>
            <w:r w:rsidRPr="00A862C6">
              <w:rPr>
                <w:rFonts w:ascii="Arial Narrow" w:hAnsi="Arial Narrow"/>
                <w:b/>
                <w:bCs/>
                <w:sz w:val="20"/>
                <w:szCs w:val="20"/>
              </w:rPr>
              <w:t xml:space="preserve">(N=209), </w:t>
            </w:r>
            <w:r w:rsidR="007C2C3E" w:rsidRPr="00A862C6">
              <w:rPr>
                <w:rFonts w:ascii="Arial Narrow" w:hAnsi="Arial Narrow"/>
                <w:b/>
                <w:bCs/>
                <w:sz w:val="20"/>
                <w:szCs w:val="20"/>
              </w:rPr>
              <w:t>n (</w:t>
            </w:r>
            <w:r w:rsidRPr="00A862C6">
              <w:rPr>
                <w:rFonts w:ascii="Arial Narrow" w:hAnsi="Arial Narrow"/>
                <w:b/>
                <w:bCs/>
                <w:sz w:val="20"/>
                <w:szCs w:val="20"/>
              </w:rPr>
              <w:t>%)</w:t>
            </w:r>
          </w:p>
        </w:tc>
        <w:tc>
          <w:tcPr>
            <w:tcW w:w="629" w:type="pct"/>
            <w:vAlign w:val="center"/>
          </w:tcPr>
          <w:p w:rsidR="00285CB1" w:rsidRPr="00A862C6" w:rsidRDefault="00285CB1" w:rsidP="00853F65">
            <w:pPr>
              <w:keepNext/>
              <w:keepLines/>
              <w:jc w:val="center"/>
              <w:rPr>
                <w:rFonts w:ascii="Arial Narrow" w:hAnsi="Arial Narrow"/>
                <w:b/>
                <w:bCs/>
                <w:sz w:val="20"/>
                <w:szCs w:val="20"/>
              </w:rPr>
            </w:pPr>
            <w:r w:rsidRPr="00A862C6">
              <w:rPr>
                <w:rFonts w:ascii="Arial Narrow" w:hAnsi="Arial Narrow"/>
                <w:b/>
                <w:bCs/>
                <w:sz w:val="20"/>
                <w:szCs w:val="20"/>
              </w:rPr>
              <w:t xml:space="preserve">IC (N=208), </w:t>
            </w:r>
            <w:r w:rsidR="007C2C3E" w:rsidRPr="00A862C6">
              <w:rPr>
                <w:rFonts w:ascii="Arial Narrow" w:hAnsi="Arial Narrow"/>
                <w:b/>
                <w:bCs/>
                <w:sz w:val="20"/>
                <w:szCs w:val="20"/>
              </w:rPr>
              <w:t>n (</w:t>
            </w:r>
            <w:r w:rsidRPr="00A862C6">
              <w:rPr>
                <w:rFonts w:ascii="Arial Narrow" w:hAnsi="Arial Narrow"/>
                <w:b/>
                <w:bCs/>
                <w:sz w:val="20"/>
                <w:szCs w:val="20"/>
              </w:rPr>
              <w:t>%)</w:t>
            </w:r>
          </w:p>
        </w:tc>
        <w:tc>
          <w:tcPr>
            <w:tcW w:w="966" w:type="pct"/>
            <w:vAlign w:val="center"/>
          </w:tcPr>
          <w:p w:rsidR="00285CB1" w:rsidRPr="00A862C6" w:rsidRDefault="00285CB1" w:rsidP="00853F65">
            <w:pPr>
              <w:keepNext/>
              <w:keepLines/>
              <w:jc w:val="center"/>
              <w:rPr>
                <w:rFonts w:ascii="Arial Narrow" w:hAnsi="Arial Narrow"/>
                <w:b/>
                <w:bCs/>
                <w:sz w:val="20"/>
                <w:szCs w:val="20"/>
              </w:rPr>
            </w:pPr>
            <w:r w:rsidRPr="00A862C6">
              <w:rPr>
                <w:rFonts w:ascii="Arial Narrow" w:hAnsi="Arial Narrow"/>
                <w:b/>
                <w:bCs/>
                <w:sz w:val="20"/>
                <w:szCs w:val="20"/>
              </w:rPr>
              <w:t>RR (95%CI)</w:t>
            </w:r>
          </w:p>
        </w:tc>
        <w:tc>
          <w:tcPr>
            <w:tcW w:w="892" w:type="pct"/>
            <w:vAlign w:val="center"/>
          </w:tcPr>
          <w:p w:rsidR="00285CB1" w:rsidRPr="00A862C6" w:rsidRDefault="00285CB1" w:rsidP="00853F65">
            <w:pPr>
              <w:keepNext/>
              <w:keepLines/>
              <w:jc w:val="center"/>
              <w:rPr>
                <w:rFonts w:ascii="Arial Narrow" w:hAnsi="Arial Narrow"/>
                <w:b/>
                <w:bCs/>
                <w:sz w:val="20"/>
                <w:szCs w:val="20"/>
              </w:rPr>
            </w:pPr>
            <w:r w:rsidRPr="00A862C6">
              <w:rPr>
                <w:rFonts w:ascii="Arial Narrow" w:hAnsi="Arial Narrow"/>
                <w:b/>
                <w:bCs/>
                <w:sz w:val="20"/>
                <w:szCs w:val="20"/>
              </w:rPr>
              <w:t>RD (95%CI)</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adverse event</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137 (65.6)</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198 (95.2)</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0.69 (0.62, 0.76)</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-0.30 (-0.37, -0.30)</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38 (18.2)</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131 (62.7)</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0.29 (0.21, 0.39)</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-0.45 (-0.53, -0.36)</w:t>
            </w:r>
          </w:p>
        </w:tc>
      </w:tr>
      <w:tr w:rsidR="00285CB1" w:rsidRPr="00A862C6" w:rsidTr="005B42EC">
        <w:tc>
          <w:tcPr>
            <w:tcW w:w="1412" w:type="pct"/>
            <w:tcBorders>
              <w:top w:val="single" w:sz="4" w:space="0" w:color="auto"/>
              <w:bottom w:val="nil"/>
            </w:tcBorders>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Hypothyroidism</w:t>
            </w:r>
          </w:p>
        </w:tc>
        <w:tc>
          <w:tcPr>
            <w:tcW w:w="551" w:type="pct"/>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18 (8.1)</w:t>
            </w:r>
          </w:p>
        </w:tc>
        <w:tc>
          <w:tcPr>
            <w:tcW w:w="629"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966"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16.92 (2.27, 125.98)</w:t>
            </w:r>
          </w:p>
        </w:tc>
        <w:tc>
          <w:tcPr>
            <w:tcW w:w="892"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0.08 (0.04, 0.11)</w:t>
            </w:r>
          </w:p>
        </w:tc>
      </w:tr>
      <w:tr w:rsidR="00285CB1" w:rsidRPr="00A862C6" w:rsidTr="005B42EC">
        <w:tc>
          <w:tcPr>
            <w:tcW w:w="1412" w:type="pct"/>
            <w:tcBorders>
              <w:top w:val="nil"/>
              <w:bottom w:val="single" w:sz="4" w:space="0" w:color="auto"/>
            </w:tcBorders>
            <w:shd w:val="clear" w:color="auto" w:fill="auto"/>
          </w:tcPr>
          <w:p w:rsidR="00285CB1" w:rsidRPr="00A862C6" w:rsidRDefault="00285CB1" w:rsidP="00853F65">
            <w:pPr>
              <w:keepNext/>
              <w:keepLines/>
              <w:rPr>
                <w:rFonts w:ascii="Arial Narrow" w:hAnsi="Arial Narrow"/>
                <w:sz w:val="20"/>
                <w:szCs w:val="20"/>
              </w:rPr>
            </w:pPr>
          </w:p>
        </w:tc>
        <w:tc>
          <w:tcPr>
            <w:tcW w:w="551" w:type="pct"/>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629"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966"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w:t>
            </w:r>
          </w:p>
        </w:tc>
        <w:tc>
          <w:tcPr>
            <w:tcW w:w="892"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w:t>
            </w:r>
          </w:p>
        </w:tc>
      </w:tr>
      <w:tr w:rsidR="00285CB1" w:rsidRPr="00A862C6" w:rsidTr="005B42EC">
        <w:tc>
          <w:tcPr>
            <w:tcW w:w="1412" w:type="pct"/>
            <w:tcBorders>
              <w:top w:val="single" w:sz="4" w:space="0" w:color="auto"/>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Decreased Appetite</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16 (7.7)</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56 (26.9)</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0.28 (0.17, 0.48)</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-0.19 (-0.26, -0.12)</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2 (1)</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10 (4.8)</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0.20 (0.04, 0.90)</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-0.03 (-0.07, -0.01)</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Fatigue</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15 (7.2)</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43 (20.7)</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0.35 (0.20, 0.61)</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-0.13 (-0.20, -0.07)</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9 (4.3)</w:t>
            </w:r>
          </w:p>
        </w:tc>
        <w:tc>
          <w:tcPr>
            <w:tcW w:w="966"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0.11 (0.01, 0.87)</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-0.04 (-0.07, -0.01)</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Malaise</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9 (4.3)</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45 (21.6)</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0.20 (0.10, 0.40)</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-0.17 (-0.24, -0.11)</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629" w:type="pct"/>
            <w:vAlign w:val="center"/>
          </w:tcPr>
          <w:p w:rsidR="00285CB1" w:rsidRPr="00A862C6" w:rsidRDefault="00285CB1" w:rsidP="00F67B9F">
            <w:pPr>
              <w:keepNext/>
              <w:keepLines/>
              <w:jc w:val="center"/>
              <w:rPr>
                <w:rFonts w:ascii="Arial Narrow" w:hAnsi="Arial Narrow"/>
                <w:sz w:val="20"/>
                <w:szCs w:val="20"/>
              </w:rPr>
            </w:pPr>
            <w:r w:rsidRPr="00A862C6">
              <w:rPr>
                <w:rFonts w:ascii="Arial Narrow" w:hAnsi="Arial Narrow"/>
                <w:sz w:val="20"/>
                <w:szCs w:val="20"/>
              </w:rPr>
              <w:t>0 (0</w:t>
            </w:r>
            <w:r w:rsidR="00F67B9F" w:rsidRPr="00A862C6">
              <w:rPr>
                <w:rFonts w:ascii="Arial Narrow" w:hAnsi="Arial Narrow"/>
                <w:sz w:val="20"/>
                <w:szCs w:val="20"/>
              </w:rPr>
              <w:t>)</w:t>
            </w:r>
          </w:p>
        </w:tc>
        <w:tc>
          <w:tcPr>
            <w:tcW w:w="966"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w:t>
            </w:r>
          </w:p>
        </w:tc>
      </w:tr>
      <w:tr w:rsidR="00285CB1" w:rsidRPr="00A862C6" w:rsidTr="005B42EC">
        <w:tc>
          <w:tcPr>
            <w:tcW w:w="1412" w:type="pct"/>
            <w:tcBorders>
              <w:bottom w:val="nil"/>
            </w:tcBorders>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Anaemia</w:t>
            </w:r>
          </w:p>
        </w:tc>
        <w:tc>
          <w:tcPr>
            <w:tcW w:w="551" w:type="pct"/>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5 (2.4)</w:t>
            </w:r>
          </w:p>
        </w:tc>
        <w:tc>
          <w:tcPr>
            <w:tcW w:w="629"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49 (23.6)</w:t>
            </w:r>
          </w:p>
        </w:tc>
        <w:tc>
          <w:tcPr>
            <w:tcW w:w="966"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0.10 (0.04, 0.25)</w:t>
            </w:r>
          </w:p>
        </w:tc>
        <w:tc>
          <w:tcPr>
            <w:tcW w:w="892"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-0.21 (-0.27, -0.15)</w:t>
            </w:r>
          </w:p>
        </w:tc>
      </w:tr>
      <w:tr w:rsidR="00285CB1" w:rsidRPr="00A862C6" w:rsidTr="005B42EC">
        <w:tc>
          <w:tcPr>
            <w:tcW w:w="1412" w:type="pct"/>
            <w:tcBorders>
              <w:top w:val="nil"/>
              <w:bottom w:val="single" w:sz="4" w:space="0" w:color="auto"/>
            </w:tcBorders>
            <w:shd w:val="clear" w:color="auto" w:fill="auto"/>
          </w:tcPr>
          <w:p w:rsidR="00285CB1" w:rsidRPr="00A862C6" w:rsidRDefault="00285CB1" w:rsidP="00853F65">
            <w:pPr>
              <w:keepNext/>
              <w:keepLines/>
              <w:rPr>
                <w:rFonts w:ascii="Arial Narrow" w:hAnsi="Arial Narrow"/>
                <w:sz w:val="20"/>
                <w:szCs w:val="20"/>
              </w:rPr>
            </w:pPr>
          </w:p>
        </w:tc>
        <w:tc>
          <w:tcPr>
            <w:tcW w:w="551" w:type="pct"/>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 (1.9)</w:t>
            </w:r>
          </w:p>
        </w:tc>
        <w:tc>
          <w:tcPr>
            <w:tcW w:w="629"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19 (9.1)</w:t>
            </w:r>
          </w:p>
        </w:tc>
        <w:tc>
          <w:tcPr>
            <w:tcW w:w="966"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0.21 (0.07, 0.61)</w:t>
            </w:r>
          </w:p>
        </w:tc>
        <w:tc>
          <w:tcPr>
            <w:tcW w:w="892"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-0.07 (-0.12, -0.03)</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Stomatitis</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5 (2.4)</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25 (12)</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0.20 (0.08, 0.51)</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-0.10 (-0.15, 0.05)</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966"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1.00 (0.06, 15.81)</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0.00 (-0.01, 0.01)</w:t>
            </w:r>
          </w:p>
        </w:tc>
      </w:tr>
      <w:tr w:rsidR="00285CB1" w:rsidRPr="00A862C6" w:rsidTr="005B42EC">
        <w:tc>
          <w:tcPr>
            <w:tcW w:w="1412" w:type="pct"/>
            <w:tcBorders>
              <w:bottom w:val="nil"/>
            </w:tcBorders>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Constipation</w:t>
            </w:r>
          </w:p>
        </w:tc>
        <w:tc>
          <w:tcPr>
            <w:tcW w:w="551" w:type="pct"/>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 (1.9)</w:t>
            </w:r>
          </w:p>
        </w:tc>
        <w:tc>
          <w:tcPr>
            <w:tcW w:w="629"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16 (7.7)</w:t>
            </w:r>
          </w:p>
        </w:tc>
        <w:tc>
          <w:tcPr>
            <w:tcW w:w="966"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0.25 (0.08, 0.73)</w:t>
            </w:r>
          </w:p>
        </w:tc>
        <w:tc>
          <w:tcPr>
            <w:tcW w:w="892"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-0.06 (-0.10, -0.02)</w:t>
            </w:r>
          </w:p>
        </w:tc>
      </w:tr>
      <w:tr w:rsidR="00285CB1" w:rsidRPr="00A862C6" w:rsidTr="005B42EC">
        <w:tc>
          <w:tcPr>
            <w:tcW w:w="1412" w:type="pct"/>
            <w:tcBorders>
              <w:top w:val="nil"/>
              <w:bottom w:val="single" w:sz="4" w:space="0" w:color="auto"/>
            </w:tcBorders>
            <w:shd w:val="clear" w:color="auto" w:fill="auto"/>
          </w:tcPr>
          <w:p w:rsidR="00285CB1" w:rsidRPr="00A862C6" w:rsidRDefault="00285CB1" w:rsidP="00853F65">
            <w:pPr>
              <w:keepNext/>
              <w:keepLines/>
              <w:rPr>
                <w:rFonts w:ascii="Arial Narrow" w:hAnsi="Arial Narrow"/>
                <w:sz w:val="20"/>
                <w:szCs w:val="20"/>
              </w:rPr>
            </w:pPr>
          </w:p>
        </w:tc>
        <w:tc>
          <w:tcPr>
            <w:tcW w:w="551" w:type="pct"/>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629" w:type="pct"/>
            <w:shd w:val="clear" w:color="auto" w:fill="auto"/>
            <w:vAlign w:val="center"/>
          </w:tcPr>
          <w:p w:rsidR="00285CB1" w:rsidRPr="00A862C6" w:rsidRDefault="00285CB1" w:rsidP="00F67B9F">
            <w:pPr>
              <w:keepNext/>
              <w:keepLines/>
              <w:jc w:val="center"/>
              <w:rPr>
                <w:rFonts w:ascii="Arial Narrow" w:hAnsi="Arial Narrow"/>
                <w:sz w:val="20"/>
                <w:szCs w:val="20"/>
              </w:rPr>
            </w:pPr>
            <w:r w:rsidRPr="00A862C6">
              <w:rPr>
                <w:rFonts w:ascii="Arial Narrow" w:hAnsi="Arial Narrow"/>
                <w:sz w:val="20"/>
                <w:szCs w:val="20"/>
              </w:rPr>
              <w:t>0 (0</w:t>
            </w:r>
            <w:r w:rsidR="00F67B9F" w:rsidRPr="00A862C6">
              <w:rPr>
                <w:rFonts w:ascii="Arial Narrow" w:hAnsi="Arial Narrow"/>
                <w:sz w:val="20"/>
                <w:szCs w:val="20"/>
              </w:rPr>
              <w:t>)</w:t>
            </w:r>
          </w:p>
        </w:tc>
        <w:tc>
          <w:tcPr>
            <w:tcW w:w="966"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w:t>
            </w:r>
          </w:p>
        </w:tc>
        <w:tc>
          <w:tcPr>
            <w:tcW w:w="892"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w:t>
            </w:r>
          </w:p>
        </w:tc>
      </w:tr>
      <w:tr w:rsidR="00285CB1" w:rsidRPr="00A862C6" w:rsidTr="005B42EC">
        <w:tc>
          <w:tcPr>
            <w:tcW w:w="1412" w:type="pct"/>
            <w:tcBorders>
              <w:bottom w:val="nil"/>
            </w:tcBorders>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Lymphocyte count decreased</w:t>
            </w:r>
          </w:p>
        </w:tc>
        <w:tc>
          <w:tcPr>
            <w:tcW w:w="551" w:type="pct"/>
            <w:shd w:val="clear" w:color="auto" w:fill="auto"/>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 (1.9)</w:t>
            </w:r>
          </w:p>
        </w:tc>
        <w:tc>
          <w:tcPr>
            <w:tcW w:w="629" w:type="pct"/>
            <w:shd w:val="clear" w:color="auto" w:fill="auto"/>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18 (8.7)</w:t>
            </w:r>
          </w:p>
        </w:tc>
        <w:tc>
          <w:tcPr>
            <w:tcW w:w="966"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0.22 (0.08, 0.64)</w:t>
            </w:r>
          </w:p>
        </w:tc>
        <w:tc>
          <w:tcPr>
            <w:tcW w:w="892" w:type="pct"/>
            <w:shd w:val="clear" w:color="auto" w:fill="auto"/>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-0.07 (-0.11, -0.02)</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2 (1)</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12 (5.7)</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0.17 (0.04, 0.73)</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-0.05 (-0.08, -0.01)</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Nausea</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 (1.9)</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34 (16.3)</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0.12 (0.04, 0.32)</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-0.14 (-0.20, -0.09)</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966"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0.33 (0.01, 8.10)</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0.00 (-0.02, 0.01)</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Alopecia</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3 (1.4)</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98 (47.1)</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0.03 (0.01, 0.09)</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-0.46 (-0.53, -0.39)</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966"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Arthralgia</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3 (1.4)</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21 (10.1)</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0.14 (0.04, 0.47)</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-0.09 (-0.13, -0.04)</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966"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0.33 (0.01, 9.10)</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0.00 (-0.02, 0.01)</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Dysgeusia</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3 (1.4)</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14 (6.7)</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0.21 (0.06, 0.73)</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-0.05 (-0.09, -0.02)</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966" w:type="pct"/>
            <w:vAlign w:val="center"/>
          </w:tcPr>
          <w:p w:rsidR="00285CB1" w:rsidRPr="00A862C6" w:rsidRDefault="00285CB1" w:rsidP="00853F65">
            <w:pPr>
              <w:keepNext/>
              <w:keepLines/>
              <w:jc w:val="center"/>
              <w:rPr>
                <w:rFonts w:ascii="Arial Narrow" w:hAnsi="Arial Narrow"/>
                <w:b/>
                <w:bCs/>
                <w:sz w:val="20"/>
                <w:szCs w:val="20"/>
              </w:rPr>
            </w:pPr>
            <w:r w:rsidRPr="00A862C6">
              <w:rPr>
                <w:rFonts w:ascii="Arial Narrow" w:hAnsi="Arial Narrow"/>
                <w:b/>
                <w:bCs/>
                <w:sz w:val="20"/>
                <w:szCs w:val="20"/>
              </w:rPr>
              <w:t>-</w:t>
            </w:r>
          </w:p>
        </w:tc>
        <w:tc>
          <w:tcPr>
            <w:tcW w:w="892" w:type="pct"/>
            <w:vAlign w:val="center"/>
          </w:tcPr>
          <w:p w:rsidR="00285CB1" w:rsidRPr="00A862C6" w:rsidRDefault="00285CB1" w:rsidP="00853F65">
            <w:pPr>
              <w:keepNext/>
              <w:keepLines/>
              <w:jc w:val="center"/>
              <w:rPr>
                <w:rFonts w:ascii="Arial Narrow" w:hAnsi="Arial Narrow"/>
                <w:b/>
                <w:bCs/>
                <w:sz w:val="20"/>
                <w:szCs w:val="20"/>
              </w:rPr>
            </w:pPr>
            <w:r w:rsidRPr="00A862C6">
              <w:rPr>
                <w:rFonts w:ascii="Arial Narrow" w:hAnsi="Arial Narrow"/>
                <w:b/>
                <w:bCs/>
                <w:sz w:val="20"/>
                <w:szCs w:val="20"/>
              </w:rPr>
              <w:t>-</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Myalgia</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3 (1.4)</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18 (8.7)</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0.17 (0.05, 0.55)</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-0.07 (-0.11, -0.03)</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966"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2.99 (0.12, 72.87)</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0.00 (-0.01, 0.02)</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Neutrophil count decreased</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3 (1.4)</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76 (36.5)</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0.04 (0.01, 0.12)</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-0.35 (-0.42, -0.28)</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59 (28.2)</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0.02 (0.00, 0.12)</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-0.28 (-0.34, -0.22)</w:t>
            </w:r>
          </w:p>
        </w:tc>
      </w:tr>
      <w:tr w:rsidR="00285CB1" w:rsidRPr="00A862C6" w:rsidTr="005B42EC">
        <w:trPr>
          <w:trHeight w:val="247"/>
        </w:trPr>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Lung infection</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3 (1.4)</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11 (5.3)</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0.27 (0.08, 0.96)</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-0.04 (-0.07, 0.00)</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6 (2.9)</w:t>
            </w:r>
          </w:p>
        </w:tc>
        <w:tc>
          <w:tcPr>
            <w:tcW w:w="966"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0.17 (0.02, 1.37)</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-0.02 (-0.05, 0.00_</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WBC count decreased</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2 (1)</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72 (34.6)</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0.03 (0.01,0.11)</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-0.34 (-0.40,-0.27)</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46 (22)</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0.02 (0.00,0.16)</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-0.22 (-0.27,-0.16)</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Neutropenia</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40 (19.2)</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0.02 (0.00,0.18)</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-0.19 (-0.24,-0.13)</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29 (13.9)</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0.02 (0.00,0.27)</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-0.14 (-0.19,-0.09)</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Peripheral sensory neuropathy</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47 (22.6)</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0.02 (0.00,0.15)</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-0.22 (-0.28,-0.16)</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sz w:val="20"/>
                <w:szCs w:val="20"/>
              </w:rPr>
              <w:t>1 (0.5)</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sz w:val="20"/>
                <w:szCs w:val="20"/>
              </w:rPr>
              <w:t>0.33 (0.01,8.10)</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color w:val="000000"/>
                <w:sz w:val="20"/>
                <w:szCs w:val="20"/>
              </w:rPr>
              <w:t>0.00 (-0.02,0.01)</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Vomiting</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1 (0.5)</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14 (6.7)</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bCs/>
                <w:sz w:val="20"/>
                <w:szCs w:val="20"/>
              </w:rPr>
              <w:t>0.07 (0.01,0.54)</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-0.06 (-0.10,-0.03)</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1 (0.5)</w:t>
            </w:r>
          </w:p>
        </w:tc>
        <w:tc>
          <w:tcPr>
            <w:tcW w:w="966" w:type="pct"/>
            <w:vAlign w:val="center"/>
          </w:tcPr>
          <w:p w:rsidR="00285CB1" w:rsidRPr="00A862C6" w:rsidRDefault="00285CB1" w:rsidP="00853F65">
            <w:pPr>
              <w:keepNext/>
              <w:keepLines/>
              <w:jc w:val="center"/>
              <w:rPr>
                <w:rFonts w:ascii="Arial Narrow" w:hAnsi="Arial Narrow"/>
                <w:b/>
                <w:bCs/>
                <w:sz w:val="20"/>
                <w:szCs w:val="20"/>
              </w:rPr>
            </w:pPr>
            <w:r w:rsidRPr="00A862C6">
              <w:rPr>
                <w:rFonts w:ascii="Arial Narrow" w:hAnsi="Arial Narrow"/>
                <w:sz w:val="20"/>
                <w:szCs w:val="20"/>
              </w:rPr>
              <w:t>0.33 (0.01,8.10)</w:t>
            </w:r>
          </w:p>
        </w:tc>
        <w:tc>
          <w:tcPr>
            <w:tcW w:w="892" w:type="pct"/>
            <w:vAlign w:val="center"/>
          </w:tcPr>
          <w:p w:rsidR="00285CB1" w:rsidRPr="00A862C6" w:rsidRDefault="00285CB1" w:rsidP="00853F65">
            <w:pPr>
              <w:keepNext/>
              <w:keepLines/>
              <w:jc w:val="center"/>
              <w:rPr>
                <w:rFonts w:ascii="Arial Narrow" w:hAnsi="Arial Narrow"/>
                <w:b/>
                <w:bCs/>
                <w:sz w:val="20"/>
                <w:szCs w:val="20"/>
              </w:rPr>
            </w:pPr>
            <w:r w:rsidRPr="00A862C6">
              <w:rPr>
                <w:rFonts w:ascii="Arial Narrow" w:hAnsi="Arial Narrow" w:cs="Calibri"/>
                <w:color w:val="000000"/>
                <w:sz w:val="20"/>
                <w:szCs w:val="20"/>
              </w:rPr>
              <w:t>0.00 (-0.02,0.01)</w:t>
            </w:r>
          </w:p>
        </w:tc>
      </w:tr>
      <w:tr w:rsidR="00285CB1" w:rsidRPr="00A862C6" w:rsidTr="005B42EC">
        <w:tc>
          <w:tcPr>
            <w:tcW w:w="1412" w:type="pct"/>
            <w:tcBorders>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Febrile neutropenia</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22 (10.6)</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0.02 (0.00,0.36)</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-0.11 (-0.15,-0.06)</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22 (10.5)</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0.02 (0.00,0.36)</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-0.11 (-0.15,-0.06)</w:t>
            </w:r>
          </w:p>
        </w:tc>
      </w:tr>
      <w:tr w:rsidR="00285CB1" w:rsidRPr="00A862C6" w:rsidTr="005B42EC">
        <w:tc>
          <w:tcPr>
            <w:tcW w:w="1412" w:type="pct"/>
            <w:tcBorders>
              <w:top w:val="single" w:sz="4" w:space="0" w:color="auto"/>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Leukopenia</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17 (8.2)</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0.03 (0.00,0.47)</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-0.08 (-0.12,-0.04)</w:t>
            </w:r>
          </w:p>
        </w:tc>
      </w:tr>
      <w:tr w:rsidR="00285CB1" w:rsidRPr="00A862C6" w:rsidTr="005B42EC">
        <w:tc>
          <w:tcPr>
            <w:tcW w:w="1412" w:type="pct"/>
            <w:tcBorders>
              <w:top w:val="nil"/>
              <w:bottom w:val="single" w:sz="4" w:space="0" w:color="auto"/>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14 (6.7)</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0.03 (0.00,0.57)</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-0.07 (-0.10,-0.03)</w:t>
            </w:r>
          </w:p>
        </w:tc>
      </w:tr>
      <w:tr w:rsidR="00285CB1" w:rsidRPr="00A862C6" w:rsidTr="005B42EC">
        <w:tc>
          <w:tcPr>
            <w:tcW w:w="1412" w:type="pct"/>
            <w:tcBorders>
              <w:top w:val="single" w:sz="4" w:space="0" w:color="auto"/>
              <w:bottom w:val="nil"/>
            </w:tcBorders>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Neuropathy peripheral</w:t>
            </w: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Any grade</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22 (10.6)</w:t>
            </w:r>
          </w:p>
        </w:tc>
        <w:tc>
          <w:tcPr>
            <w:tcW w:w="966"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0.02 (0.00,0.36)</w:t>
            </w:r>
          </w:p>
        </w:tc>
        <w:tc>
          <w:tcPr>
            <w:tcW w:w="892" w:type="pct"/>
            <w:vAlign w:val="center"/>
          </w:tcPr>
          <w:p w:rsidR="00285CB1" w:rsidRPr="00A862C6" w:rsidRDefault="00285CB1" w:rsidP="00853F65">
            <w:pPr>
              <w:keepNext/>
              <w:keepLines/>
              <w:jc w:val="center"/>
              <w:rPr>
                <w:rFonts w:ascii="Arial Narrow" w:hAnsi="Arial Narrow"/>
                <w:bCs/>
                <w:sz w:val="20"/>
                <w:szCs w:val="20"/>
              </w:rPr>
            </w:pPr>
            <w:r w:rsidRPr="00A862C6">
              <w:rPr>
                <w:rFonts w:ascii="Arial Narrow" w:hAnsi="Arial Narrow" w:cs="Calibri"/>
                <w:bCs/>
                <w:color w:val="000000"/>
                <w:sz w:val="20"/>
                <w:szCs w:val="20"/>
              </w:rPr>
              <w:t>-0.11 (-0.15,-0.06)</w:t>
            </w:r>
          </w:p>
        </w:tc>
      </w:tr>
      <w:tr w:rsidR="00285CB1" w:rsidRPr="00A862C6" w:rsidTr="005B42EC">
        <w:tc>
          <w:tcPr>
            <w:tcW w:w="1412" w:type="pct"/>
            <w:tcBorders>
              <w:top w:val="nil"/>
            </w:tcBorders>
          </w:tcPr>
          <w:p w:rsidR="00285CB1" w:rsidRPr="00A862C6" w:rsidRDefault="00285CB1" w:rsidP="00853F65">
            <w:pPr>
              <w:keepNext/>
              <w:keepLines/>
              <w:rPr>
                <w:rFonts w:ascii="Arial Narrow" w:hAnsi="Arial Narrow"/>
                <w:sz w:val="20"/>
                <w:szCs w:val="20"/>
              </w:rPr>
            </w:pPr>
          </w:p>
        </w:tc>
        <w:tc>
          <w:tcPr>
            <w:tcW w:w="551" w:type="pct"/>
          </w:tcPr>
          <w:p w:rsidR="00285CB1" w:rsidRPr="00A862C6" w:rsidRDefault="00285CB1" w:rsidP="00853F65">
            <w:pPr>
              <w:keepNext/>
              <w:keepLines/>
              <w:rPr>
                <w:rFonts w:ascii="Arial Narrow" w:hAnsi="Arial Narrow"/>
                <w:sz w:val="20"/>
                <w:szCs w:val="20"/>
              </w:rPr>
            </w:pPr>
            <w:r w:rsidRPr="00A862C6">
              <w:rPr>
                <w:rFonts w:ascii="Arial Narrow" w:hAnsi="Arial Narrow"/>
                <w:sz w:val="20"/>
                <w:szCs w:val="20"/>
              </w:rPr>
              <w:t>Grade 3-4</w:t>
            </w:r>
          </w:p>
        </w:tc>
        <w:tc>
          <w:tcPr>
            <w:tcW w:w="550"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0 (0)</w:t>
            </w:r>
          </w:p>
        </w:tc>
        <w:tc>
          <w:tcPr>
            <w:tcW w:w="629"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1 (0.5)</w:t>
            </w:r>
          </w:p>
        </w:tc>
        <w:tc>
          <w:tcPr>
            <w:tcW w:w="966"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0.33 (0.01,8.10)</w:t>
            </w:r>
          </w:p>
        </w:tc>
        <w:tc>
          <w:tcPr>
            <w:tcW w:w="892" w:type="pct"/>
            <w:vAlign w:val="center"/>
          </w:tcPr>
          <w:p w:rsidR="00285CB1" w:rsidRPr="00A862C6" w:rsidRDefault="00285CB1" w:rsidP="00853F65">
            <w:pPr>
              <w:keepNext/>
              <w:keepLines/>
              <w:jc w:val="center"/>
              <w:rPr>
                <w:rFonts w:ascii="Arial Narrow" w:hAnsi="Arial Narrow"/>
                <w:sz w:val="20"/>
                <w:szCs w:val="20"/>
              </w:rPr>
            </w:pPr>
            <w:r w:rsidRPr="00A862C6">
              <w:rPr>
                <w:rFonts w:ascii="Arial Narrow" w:hAnsi="Arial Narrow" w:cs="Calibri"/>
                <w:color w:val="000000"/>
                <w:sz w:val="20"/>
                <w:szCs w:val="20"/>
              </w:rPr>
              <w:t>0.00 (-0.02,0.01)</w:t>
            </w:r>
          </w:p>
        </w:tc>
      </w:tr>
    </w:tbl>
    <w:p w:rsidR="00285CB1" w:rsidRPr="00A862C6" w:rsidRDefault="00285CB1" w:rsidP="00285CB1">
      <w:pPr>
        <w:keepNext/>
        <w:keepLines/>
        <w:rPr>
          <w:rFonts w:ascii="Arial Narrow" w:hAnsi="Arial Narrow"/>
          <w:sz w:val="18"/>
          <w:szCs w:val="18"/>
        </w:rPr>
      </w:pPr>
      <w:r w:rsidRPr="00A862C6">
        <w:rPr>
          <w:rFonts w:ascii="Arial Narrow" w:hAnsi="Arial Narrow"/>
          <w:sz w:val="18"/>
          <w:szCs w:val="18"/>
        </w:rPr>
        <w:t xml:space="preserve">Source: Table 36, p76-77 of the submission </w:t>
      </w:r>
    </w:p>
    <w:p w:rsidR="00CE1073" w:rsidRPr="00A862C6" w:rsidRDefault="00CE1073" w:rsidP="00285CB1">
      <w:pPr>
        <w:keepNext/>
        <w:keepLines/>
        <w:rPr>
          <w:rFonts w:ascii="Arial Narrow" w:hAnsi="Arial Narrow"/>
          <w:sz w:val="18"/>
          <w:szCs w:val="18"/>
        </w:rPr>
      </w:pPr>
    </w:p>
    <w:p w:rsidR="00853F65" w:rsidRPr="00A862C6" w:rsidRDefault="00285CB1" w:rsidP="00DD46F0">
      <w:pPr>
        <w:pStyle w:val="ListParagraph"/>
        <w:widowControl/>
        <w:numPr>
          <w:ilvl w:val="1"/>
          <w:numId w:val="2"/>
        </w:numPr>
      </w:pPr>
      <w:r w:rsidRPr="00A862C6">
        <w:t xml:space="preserve">Overall, </w:t>
      </w:r>
      <w:r w:rsidR="00853F65" w:rsidRPr="00A862C6">
        <w:t>with the exception of hypothyroidism, patients treated with nivolumab were significantly less likely to experience drug</w:t>
      </w:r>
      <w:r w:rsidR="00DC72EC" w:rsidRPr="00A862C6">
        <w:t>-</w:t>
      </w:r>
      <w:r w:rsidR="00853F65" w:rsidRPr="00A862C6">
        <w:t xml:space="preserve">related adverse events. </w:t>
      </w:r>
      <w:r w:rsidR="00EF54EC" w:rsidRPr="00A862C6">
        <w:t>The ESC considered hypothyroidism was not a clinically significant adverse event and could be managed in clinical practice</w:t>
      </w:r>
      <w:r w:rsidR="00A862C6">
        <w:t xml:space="preserve">. </w:t>
      </w:r>
    </w:p>
    <w:p w:rsidR="00285CB1" w:rsidRPr="00A862C6" w:rsidRDefault="00285CB1" w:rsidP="005C7257">
      <w:pPr>
        <w:pStyle w:val="Heading2"/>
        <w:spacing w:after="100"/>
      </w:pPr>
      <w:bookmarkStart w:id="31" w:name="_Toc72263300"/>
      <w:r w:rsidRPr="00A862C6">
        <w:t>Benefits/harms</w:t>
      </w:r>
      <w:bookmarkEnd w:id="31"/>
    </w:p>
    <w:p w:rsidR="00285CB1" w:rsidRPr="00A862C6" w:rsidRDefault="00285CB1" w:rsidP="00DD46F0">
      <w:pPr>
        <w:pStyle w:val="ListParagraph"/>
        <w:widowControl/>
        <w:numPr>
          <w:ilvl w:val="1"/>
          <w:numId w:val="2"/>
        </w:numPr>
      </w:pPr>
      <w:r w:rsidRPr="00A862C6">
        <w:t xml:space="preserve">A summary of the comparative benefits for </w:t>
      </w:r>
      <w:r w:rsidR="00853F65" w:rsidRPr="00A862C6">
        <w:t>nivolumab</w:t>
      </w:r>
      <w:r w:rsidRPr="00A862C6">
        <w:t xml:space="preserve"> versus </w:t>
      </w:r>
      <w:r w:rsidR="00853F65" w:rsidRPr="00A862C6">
        <w:t xml:space="preserve">IC </w:t>
      </w:r>
      <w:r w:rsidRPr="00A862C6">
        <w:t xml:space="preserve">is presented in the table below. </w:t>
      </w:r>
      <w:r w:rsidR="00853F65" w:rsidRPr="00A862C6">
        <w:t xml:space="preserve">A summary of the comparative harms was presented in </w:t>
      </w:r>
      <w:r w:rsidR="00F71DE4" w:rsidRPr="00F71DE4">
        <w:t>Table 8</w:t>
      </w:r>
      <w:r w:rsidR="00853F65" w:rsidRPr="00A862C6">
        <w:t>.</w:t>
      </w:r>
    </w:p>
    <w:p w:rsidR="00285CB1" w:rsidRPr="00A862C6" w:rsidRDefault="00285CB1" w:rsidP="00285CB1">
      <w:pPr>
        <w:pStyle w:val="Caption"/>
        <w:spacing w:after="0"/>
        <w:rPr>
          <w:rStyle w:val="CommentReference"/>
          <w:b/>
          <w:bCs w:val="0"/>
          <w:color w:val="auto"/>
        </w:rPr>
      </w:pPr>
      <w:r w:rsidRPr="00A862C6">
        <w:rPr>
          <w:rStyle w:val="CommentReference"/>
          <w:b/>
          <w:bCs w:val="0"/>
          <w:color w:val="auto"/>
        </w:rPr>
        <w:t xml:space="preserve">Table </w:t>
      </w:r>
      <w:r w:rsidR="00F71DE4">
        <w:rPr>
          <w:rStyle w:val="CommentReference"/>
          <w:b/>
          <w:bCs w:val="0"/>
          <w:noProof/>
          <w:color w:val="auto"/>
        </w:rPr>
        <w:t>9</w:t>
      </w:r>
      <w:r w:rsidRPr="00A862C6">
        <w:rPr>
          <w:rStyle w:val="CommentReference"/>
          <w:b/>
          <w:bCs w:val="0"/>
          <w:color w:val="auto"/>
        </w:rPr>
        <w:t>: Summary of comparative benefits for nivolumab versus investigator’s choice chemotherapy</w:t>
      </w:r>
    </w:p>
    <w:tbl>
      <w:tblPr>
        <w:tblStyle w:val="TableGrid"/>
        <w:tblW w:w="5000" w:type="pct"/>
        <w:tblCellMar>
          <w:left w:w="28" w:type="dxa"/>
          <w:right w:w="28" w:type="dxa"/>
        </w:tblCellMar>
        <w:tblLook w:val="04A0" w:firstRow="1" w:lastRow="0" w:firstColumn="1" w:lastColumn="0" w:noHBand="0" w:noVBand="1"/>
        <w:tblCaption w:val="Table 9: Summary of comparative benefits for nivolumab versus investigator’s choice chemotherapy"/>
      </w:tblPr>
      <w:tblGrid>
        <w:gridCol w:w="2255"/>
        <w:gridCol w:w="2254"/>
        <w:gridCol w:w="2254"/>
        <w:gridCol w:w="2254"/>
      </w:tblGrid>
      <w:tr w:rsidR="00285CB1" w:rsidRPr="00A862C6" w:rsidTr="00E45BC9">
        <w:trPr>
          <w:trHeight w:val="20"/>
          <w:tblHeader/>
        </w:trPr>
        <w:tc>
          <w:tcPr>
            <w:tcW w:w="5000" w:type="pct"/>
            <w:gridSpan w:val="4"/>
            <w:shd w:val="clear" w:color="auto" w:fill="auto"/>
          </w:tcPr>
          <w:p w:rsidR="00285CB1" w:rsidRPr="00A862C6" w:rsidRDefault="00285CB1" w:rsidP="00054F76">
            <w:pPr>
              <w:pStyle w:val="TableText0"/>
              <w:keepNext w:val="0"/>
              <w:widowControl w:val="0"/>
              <w:spacing w:before="0" w:after="0"/>
              <w:rPr>
                <w:b/>
              </w:rPr>
            </w:pPr>
            <w:r w:rsidRPr="00A862C6">
              <w:rPr>
                <w:b/>
              </w:rPr>
              <w:t>Benefits</w:t>
            </w:r>
          </w:p>
        </w:tc>
      </w:tr>
      <w:tr w:rsidR="00285CB1" w:rsidRPr="00A862C6" w:rsidTr="00F11121">
        <w:trPr>
          <w:trHeight w:val="20"/>
        </w:trPr>
        <w:tc>
          <w:tcPr>
            <w:tcW w:w="5000" w:type="pct"/>
            <w:gridSpan w:val="4"/>
            <w:shd w:val="clear" w:color="auto" w:fill="auto"/>
          </w:tcPr>
          <w:p w:rsidR="00285CB1" w:rsidRPr="00A862C6" w:rsidRDefault="00285CB1" w:rsidP="00054F76">
            <w:pPr>
              <w:pStyle w:val="TableText0"/>
              <w:keepNext w:val="0"/>
              <w:widowControl w:val="0"/>
              <w:spacing w:before="0" w:after="0"/>
              <w:rPr>
                <w:b/>
              </w:rPr>
            </w:pPr>
            <w:r w:rsidRPr="00A862C6">
              <w:rPr>
                <w:b/>
              </w:rPr>
              <w:t>Overall survival (median duration of follow up 10.55 months for nivolumab and 8.02 months for IC chemotherapy, at 18 month data cut)</w:t>
            </w:r>
          </w:p>
        </w:tc>
      </w:tr>
      <w:tr w:rsidR="008B6F9D" w:rsidRPr="00A862C6" w:rsidTr="00F11121">
        <w:trPr>
          <w:trHeight w:val="20"/>
        </w:trPr>
        <w:tc>
          <w:tcPr>
            <w:tcW w:w="1250" w:type="pct"/>
            <w:tcBorders>
              <w:bottom w:val="single" w:sz="4" w:space="0" w:color="auto"/>
            </w:tcBorders>
            <w:shd w:val="clear" w:color="auto" w:fill="auto"/>
          </w:tcPr>
          <w:p w:rsidR="008B6F9D" w:rsidRPr="00A862C6" w:rsidRDefault="008B6F9D" w:rsidP="00054F76">
            <w:pPr>
              <w:pStyle w:val="TableText0"/>
              <w:keepNext w:val="0"/>
              <w:widowControl w:val="0"/>
              <w:spacing w:before="0" w:after="0"/>
              <w:rPr>
                <w:b/>
              </w:rPr>
            </w:pPr>
            <w:r w:rsidRPr="00A862C6">
              <w:rPr>
                <w:b/>
              </w:rPr>
              <w:t>Event</w:t>
            </w:r>
          </w:p>
        </w:tc>
        <w:tc>
          <w:tcPr>
            <w:tcW w:w="1250" w:type="pct"/>
            <w:tcBorders>
              <w:bottom w:val="single" w:sz="4" w:space="0" w:color="auto"/>
            </w:tcBorders>
            <w:shd w:val="clear" w:color="auto" w:fill="auto"/>
          </w:tcPr>
          <w:p w:rsidR="008B6F9D" w:rsidRPr="00A862C6" w:rsidRDefault="008B6F9D" w:rsidP="00054F76">
            <w:pPr>
              <w:pStyle w:val="TableText0"/>
              <w:keepNext w:val="0"/>
              <w:widowControl w:val="0"/>
              <w:spacing w:before="0" w:after="0"/>
              <w:jc w:val="center"/>
              <w:rPr>
                <w:b/>
              </w:rPr>
            </w:pPr>
            <w:r w:rsidRPr="00A862C6">
              <w:rPr>
                <w:b/>
              </w:rPr>
              <w:t>Nivolumab</w:t>
            </w:r>
          </w:p>
        </w:tc>
        <w:tc>
          <w:tcPr>
            <w:tcW w:w="1250" w:type="pct"/>
            <w:tcBorders>
              <w:bottom w:val="single" w:sz="4" w:space="0" w:color="auto"/>
            </w:tcBorders>
            <w:shd w:val="clear" w:color="auto" w:fill="auto"/>
          </w:tcPr>
          <w:p w:rsidR="008B6F9D" w:rsidRPr="00A862C6" w:rsidRDefault="008B6F9D" w:rsidP="00054F76">
            <w:pPr>
              <w:pStyle w:val="TableText0"/>
              <w:keepNext w:val="0"/>
              <w:widowControl w:val="0"/>
              <w:spacing w:before="0" w:after="0"/>
              <w:jc w:val="center"/>
              <w:rPr>
                <w:b/>
              </w:rPr>
            </w:pPr>
            <w:r w:rsidRPr="00A862C6">
              <w:rPr>
                <w:b/>
              </w:rPr>
              <w:t>IC chemotherapy</w:t>
            </w:r>
          </w:p>
        </w:tc>
        <w:tc>
          <w:tcPr>
            <w:tcW w:w="1250" w:type="pct"/>
            <w:tcBorders>
              <w:bottom w:val="single" w:sz="4" w:space="0" w:color="auto"/>
            </w:tcBorders>
            <w:shd w:val="clear" w:color="auto" w:fill="auto"/>
          </w:tcPr>
          <w:p w:rsidR="008B6F9D" w:rsidRPr="00A862C6" w:rsidRDefault="008B6F9D" w:rsidP="00054F76">
            <w:pPr>
              <w:pStyle w:val="TableText0"/>
              <w:keepNext w:val="0"/>
              <w:widowControl w:val="0"/>
              <w:spacing w:before="0" w:after="0"/>
              <w:jc w:val="center"/>
              <w:rPr>
                <w:b/>
              </w:rPr>
            </w:pPr>
            <w:r w:rsidRPr="00A862C6">
              <w:rPr>
                <w:b/>
              </w:rPr>
              <w:t>HR (95% CI)</w:t>
            </w:r>
          </w:p>
        </w:tc>
      </w:tr>
      <w:tr w:rsidR="008B6F9D" w:rsidRPr="00A862C6" w:rsidTr="00F11121">
        <w:trPr>
          <w:trHeight w:val="20"/>
        </w:trPr>
        <w:tc>
          <w:tcPr>
            <w:tcW w:w="1250" w:type="pct"/>
            <w:tcBorders>
              <w:bottom w:val="single" w:sz="4" w:space="0" w:color="auto"/>
              <w:right w:val="single" w:sz="4" w:space="0" w:color="auto"/>
            </w:tcBorders>
            <w:shd w:val="clear" w:color="auto" w:fill="auto"/>
          </w:tcPr>
          <w:p w:rsidR="008B6F9D" w:rsidRPr="00A862C6" w:rsidRDefault="008B6F9D" w:rsidP="00054F76">
            <w:pPr>
              <w:pStyle w:val="TableText0"/>
              <w:keepNext w:val="0"/>
              <w:widowControl w:val="0"/>
              <w:spacing w:before="0" w:after="0"/>
            </w:pPr>
            <w:r w:rsidRPr="00A862C6">
              <w:t xml:space="preserve">Deaths, n/N (%) </w:t>
            </w:r>
          </w:p>
        </w:tc>
        <w:tc>
          <w:tcPr>
            <w:tcW w:w="1250" w:type="pct"/>
            <w:tcBorders>
              <w:left w:val="single" w:sz="4" w:space="0" w:color="auto"/>
              <w:bottom w:val="single" w:sz="4" w:space="0" w:color="auto"/>
              <w:right w:val="single" w:sz="4" w:space="0" w:color="auto"/>
            </w:tcBorders>
            <w:shd w:val="clear" w:color="auto" w:fill="auto"/>
          </w:tcPr>
          <w:p w:rsidR="008B6F9D" w:rsidRPr="00A862C6" w:rsidRDefault="008B6F9D" w:rsidP="00054F76">
            <w:pPr>
              <w:pStyle w:val="TableText0"/>
              <w:keepNext w:val="0"/>
              <w:widowControl w:val="0"/>
              <w:spacing w:before="0" w:after="0"/>
              <w:jc w:val="center"/>
            </w:pPr>
            <w:r w:rsidRPr="00A862C6">
              <w:rPr>
                <w:rFonts w:cs="Times New Roman"/>
                <w:szCs w:val="20"/>
              </w:rPr>
              <w:t>160/210 (76.2%)</w:t>
            </w:r>
          </w:p>
        </w:tc>
        <w:tc>
          <w:tcPr>
            <w:tcW w:w="1250" w:type="pct"/>
            <w:tcBorders>
              <w:left w:val="single" w:sz="4" w:space="0" w:color="auto"/>
              <w:bottom w:val="single" w:sz="4" w:space="0" w:color="auto"/>
              <w:right w:val="single" w:sz="4" w:space="0" w:color="auto"/>
            </w:tcBorders>
            <w:shd w:val="clear" w:color="auto" w:fill="auto"/>
          </w:tcPr>
          <w:p w:rsidR="008B6F9D" w:rsidRPr="00A862C6" w:rsidRDefault="008B6F9D" w:rsidP="00054F76">
            <w:pPr>
              <w:pStyle w:val="TableText0"/>
              <w:keepNext w:val="0"/>
              <w:widowControl w:val="0"/>
              <w:spacing w:before="0" w:after="0"/>
              <w:jc w:val="center"/>
            </w:pPr>
            <w:r w:rsidRPr="00A862C6">
              <w:rPr>
                <w:rFonts w:cs="Times New Roman"/>
                <w:szCs w:val="20"/>
              </w:rPr>
              <w:t>173/209 (82.8%)</w:t>
            </w:r>
          </w:p>
        </w:tc>
        <w:tc>
          <w:tcPr>
            <w:tcW w:w="1250" w:type="pct"/>
            <w:tcBorders>
              <w:left w:val="single" w:sz="4" w:space="0" w:color="auto"/>
              <w:bottom w:val="single" w:sz="4" w:space="0" w:color="auto"/>
            </w:tcBorders>
            <w:shd w:val="clear" w:color="auto" w:fill="auto"/>
          </w:tcPr>
          <w:p w:rsidR="008B6F9D" w:rsidRPr="00A862C6" w:rsidRDefault="008B6F9D" w:rsidP="009B7EA3">
            <w:pPr>
              <w:pStyle w:val="TableText0"/>
              <w:keepNext w:val="0"/>
              <w:widowControl w:val="0"/>
              <w:spacing w:before="0" w:after="0"/>
              <w:jc w:val="center"/>
            </w:pPr>
            <w:r w:rsidRPr="00A862C6">
              <w:rPr>
                <w:szCs w:val="20"/>
              </w:rPr>
              <w:t>0.77 (0.62, 0.96) P=0.0189</w:t>
            </w:r>
          </w:p>
        </w:tc>
      </w:tr>
      <w:tr w:rsidR="00285CB1" w:rsidRPr="00A862C6" w:rsidTr="00F1112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85CB1" w:rsidRPr="00A862C6" w:rsidRDefault="00285CB1" w:rsidP="001F31BA">
            <w:pPr>
              <w:pStyle w:val="TableText0"/>
              <w:keepNext w:val="0"/>
              <w:widowControl w:val="0"/>
              <w:spacing w:before="0" w:after="0"/>
            </w:pPr>
            <w:r w:rsidRPr="00A862C6">
              <w:rPr>
                <w:b/>
              </w:rPr>
              <w:t>Overall survival (at 3-year data cut)</w:t>
            </w:r>
          </w:p>
        </w:tc>
      </w:tr>
      <w:tr w:rsidR="008B6F9D" w:rsidRPr="00A862C6" w:rsidTr="00F11121">
        <w:trPr>
          <w:trHeight w:val="20"/>
        </w:trPr>
        <w:tc>
          <w:tcPr>
            <w:tcW w:w="1250" w:type="pct"/>
            <w:tcBorders>
              <w:top w:val="single" w:sz="4" w:space="0" w:color="auto"/>
              <w:left w:val="single" w:sz="4" w:space="0" w:color="auto"/>
              <w:bottom w:val="single" w:sz="4" w:space="0" w:color="auto"/>
              <w:right w:val="single" w:sz="4" w:space="0" w:color="auto"/>
            </w:tcBorders>
            <w:shd w:val="clear" w:color="auto" w:fill="auto"/>
          </w:tcPr>
          <w:p w:rsidR="008B6F9D" w:rsidRPr="00A862C6" w:rsidRDefault="008B6F9D" w:rsidP="00054F76">
            <w:pPr>
              <w:pStyle w:val="TableText0"/>
              <w:keepNext w:val="0"/>
              <w:widowControl w:val="0"/>
              <w:spacing w:before="0" w:after="0"/>
            </w:pPr>
            <w:r w:rsidRPr="00A862C6">
              <w:t xml:space="preserve">Deaths, n/N (%) </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8B6F9D" w:rsidRPr="00A862C6" w:rsidRDefault="008B6F9D" w:rsidP="00054F76">
            <w:pPr>
              <w:pStyle w:val="TableText0"/>
              <w:keepNext w:val="0"/>
              <w:widowControl w:val="0"/>
              <w:spacing w:before="0" w:after="0"/>
              <w:jc w:val="center"/>
            </w:pPr>
            <w:r w:rsidRPr="00A862C6">
              <w:rPr>
                <w:rFonts w:cs="Times New Roman"/>
                <w:szCs w:val="20"/>
              </w:rPr>
              <w:t>179/210 (85.2%)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8B6F9D" w:rsidRPr="00A862C6" w:rsidRDefault="008B6F9D" w:rsidP="00054F76">
            <w:pPr>
              <w:pStyle w:val="TableText0"/>
              <w:keepNext w:val="0"/>
              <w:widowControl w:val="0"/>
              <w:spacing w:before="0" w:after="0"/>
              <w:jc w:val="center"/>
            </w:pPr>
            <w:r w:rsidRPr="00A862C6">
              <w:rPr>
                <w:rFonts w:cs="Times New Roman"/>
                <w:szCs w:val="20"/>
              </w:rPr>
              <w:t>186/209 (89.0%)</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8B6F9D" w:rsidRPr="00A862C6" w:rsidRDefault="008B6F9D" w:rsidP="009B7EA3">
            <w:pPr>
              <w:pStyle w:val="TableText0"/>
              <w:keepNext w:val="0"/>
              <w:widowControl w:val="0"/>
              <w:spacing w:before="0" w:after="0"/>
              <w:jc w:val="center"/>
            </w:pPr>
            <w:r w:rsidRPr="00A862C6">
              <w:rPr>
                <w:szCs w:val="20"/>
              </w:rPr>
              <w:t>0.79 (0.64, 0.97) P=0.0264</w:t>
            </w:r>
          </w:p>
        </w:tc>
      </w:tr>
      <w:tr w:rsidR="00CE1073" w:rsidRPr="00A862C6" w:rsidTr="00CE1073">
        <w:trPr>
          <w:trHeight w:val="20"/>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rsidR="00CE1073" w:rsidRPr="00A862C6" w:rsidRDefault="00CE1073" w:rsidP="001511EB">
            <w:pPr>
              <w:pStyle w:val="TableText0"/>
              <w:keepNext w:val="0"/>
              <w:widowControl w:val="0"/>
              <w:spacing w:before="0" w:after="0"/>
              <w:rPr>
                <w:b/>
                <w:szCs w:val="20"/>
              </w:rPr>
            </w:pPr>
            <w:r w:rsidRPr="00A862C6">
              <w:rPr>
                <w:b/>
                <w:szCs w:val="20"/>
              </w:rPr>
              <w:t xml:space="preserve">Overall survival rates at various </w:t>
            </w:r>
            <w:r w:rsidR="007C2C3E" w:rsidRPr="00A862C6">
              <w:rPr>
                <w:b/>
                <w:szCs w:val="20"/>
              </w:rPr>
              <w:t>time points</w:t>
            </w:r>
            <w:r w:rsidRPr="00A862C6">
              <w:rPr>
                <w:b/>
                <w:szCs w:val="20"/>
              </w:rPr>
              <w:t xml:space="preserve"> </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E1073" w:rsidRPr="00A862C6" w:rsidRDefault="00CE1073" w:rsidP="00CE1073">
            <w:pPr>
              <w:pStyle w:val="TableText0"/>
              <w:keepNext w:val="0"/>
              <w:widowControl w:val="0"/>
              <w:spacing w:before="0" w:after="0"/>
              <w:jc w:val="center"/>
              <w:rPr>
                <w:b/>
                <w:szCs w:val="20"/>
              </w:rPr>
            </w:pPr>
            <w:r w:rsidRPr="00A862C6">
              <w:rPr>
                <w:b/>
                <w:szCs w:val="20"/>
              </w:rPr>
              <w:t>Difference</w:t>
            </w:r>
          </w:p>
        </w:tc>
      </w:tr>
      <w:tr w:rsidR="00FD3808" w:rsidRPr="00A862C6" w:rsidTr="00F11121">
        <w:trPr>
          <w:trHeight w:val="20"/>
        </w:trPr>
        <w:tc>
          <w:tcPr>
            <w:tcW w:w="1250" w:type="pct"/>
            <w:tcBorders>
              <w:top w:val="single" w:sz="4" w:space="0" w:color="auto"/>
              <w:left w:val="single" w:sz="4" w:space="0" w:color="auto"/>
              <w:bottom w:val="single" w:sz="4" w:space="0" w:color="auto"/>
              <w:right w:val="single" w:sz="4" w:space="0" w:color="auto"/>
            </w:tcBorders>
            <w:shd w:val="clear" w:color="auto" w:fill="auto"/>
          </w:tcPr>
          <w:p w:rsidR="00FD3808" w:rsidRPr="00A862C6" w:rsidRDefault="00FD3808" w:rsidP="00FD3808">
            <w:pPr>
              <w:pStyle w:val="TableText0"/>
              <w:keepNext w:val="0"/>
              <w:widowControl w:val="0"/>
              <w:spacing w:before="0" w:after="0"/>
            </w:pPr>
            <w:r w:rsidRPr="00A862C6">
              <w:t>12-month</w:t>
            </w:r>
            <w:r w:rsidR="00B23280" w:rsidRPr="00A862C6">
              <w:t xml:space="preserve"> (95%</w:t>
            </w:r>
            <w:r w:rsidR="00174A2F" w:rsidRPr="00A862C6">
              <w:t xml:space="preserve"> </w:t>
            </w:r>
            <w:r w:rsidR="00B23280" w:rsidRPr="00A862C6">
              <w:t>CI)</w:t>
            </w:r>
          </w:p>
        </w:tc>
        <w:tc>
          <w:tcPr>
            <w:tcW w:w="1250" w:type="pct"/>
            <w:shd w:val="clear" w:color="auto" w:fill="auto"/>
            <w:vAlign w:val="center"/>
          </w:tcPr>
          <w:p w:rsidR="00FD3808" w:rsidRPr="00A862C6" w:rsidRDefault="00FD3808" w:rsidP="00FD3808">
            <w:pPr>
              <w:pStyle w:val="TableText0"/>
              <w:keepNext w:val="0"/>
              <w:widowControl w:val="0"/>
              <w:spacing w:before="0" w:after="0"/>
              <w:jc w:val="center"/>
              <w:rPr>
                <w:rFonts w:cs="Times New Roman"/>
                <w:szCs w:val="20"/>
              </w:rPr>
            </w:pPr>
            <w:r w:rsidRPr="00A862C6">
              <w:t>46.9 (39.9, 53.5)</w:t>
            </w:r>
          </w:p>
        </w:tc>
        <w:tc>
          <w:tcPr>
            <w:tcW w:w="1250" w:type="pct"/>
            <w:shd w:val="clear" w:color="auto" w:fill="auto"/>
            <w:vAlign w:val="center"/>
          </w:tcPr>
          <w:p w:rsidR="00FD3808" w:rsidRPr="00A862C6" w:rsidRDefault="00FD3808" w:rsidP="00FD3808">
            <w:pPr>
              <w:pStyle w:val="TableText0"/>
              <w:keepNext w:val="0"/>
              <w:widowControl w:val="0"/>
              <w:spacing w:before="0" w:after="0"/>
              <w:jc w:val="center"/>
              <w:rPr>
                <w:rFonts w:cs="Times New Roman"/>
                <w:szCs w:val="20"/>
              </w:rPr>
            </w:pPr>
            <w:r w:rsidRPr="00A862C6">
              <w:t>34.7 (28.2, 41.2)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FD3808" w:rsidRPr="00A862C6" w:rsidRDefault="00CE1073" w:rsidP="00FD3808">
            <w:pPr>
              <w:pStyle w:val="TableText0"/>
              <w:keepNext w:val="0"/>
              <w:widowControl w:val="0"/>
              <w:spacing w:before="0" w:after="0"/>
              <w:jc w:val="center"/>
              <w:rPr>
                <w:szCs w:val="20"/>
              </w:rPr>
            </w:pPr>
            <w:r w:rsidRPr="00A862C6">
              <w:rPr>
                <w:szCs w:val="20"/>
              </w:rPr>
              <w:t>12.2</w:t>
            </w:r>
          </w:p>
        </w:tc>
      </w:tr>
      <w:tr w:rsidR="00FD3808" w:rsidRPr="00A862C6" w:rsidTr="00F11121">
        <w:trPr>
          <w:trHeight w:val="20"/>
        </w:trPr>
        <w:tc>
          <w:tcPr>
            <w:tcW w:w="1250" w:type="pct"/>
            <w:tcBorders>
              <w:top w:val="single" w:sz="4" w:space="0" w:color="auto"/>
              <w:left w:val="single" w:sz="4" w:space="0" w:color="auto"/>
              <w:bottom w:val="single" w:sz="4" w:space="0" w:color="auto"/>
              <w:right w:val="single" w:sz="4" w:space="0" w:color="auto"/>
            </w:tcBorders>
            <w:shd w:val="clear" w:color="auto" w:fill="auto"/>
          </w:tcPr>
          <w:p w:rsidR="00FD3808" w:rsidRPr="00A862C6" w:rsidRDefault="00FD3808" w:rsidP="00FD3808">
            <w:pPr>
              <w:pStyle w:val="TableText0"/>
              <w:keepNext w:val="0"/>
              <w:widowControl w:val="0"/>
              <w:spacing w:before="0" w:after="0"/>
            </w:pPr>
            <w:r w:rsidRPr="00A862C6">
              <w:t>24-month</w:t>
            </w:r>
            <w:r w:rsidR="00B23280" w:rsidRPr="00A862C6">
              <w:t xml:space="preserve"> (95%</w:t>
            </w:r>
            <w:r w:rsidR="00174A2F" w:rsidRPr="00A862C6">
              <w:t xml:space="preserve"> </w:t>
            </w:r>
            <w:r w:rsidR="00B23280" w:rsidRPr="00A862C6">
              <w:t>CI)</w:t>
            </w:r>
          </w:p>
        </w:tc>
        <w:tc>
          <w:tcPr>
            <w:tcW w:w="1250" w:type="pct"/>
            <w:shd w:val="clear" w:color="auto" w:fill="auto"/>
            <w:vAlign w:val="center"/>
          </w:tcPr>
          <w:p w:rsidR="00FD3808" w:rsidRPr="00A862C6" w:rsidRDefault="00FD3808" w:rsidP="00FD3808">
            <w:pPr>
              <w:pStyle w:val="TableText0"/>
              <w:keepNext w:val="0"/>
              <w:widowControl w:val="0"/>
              <w:spacing w:before="0" w:after="0"/>
              <w:jc w:val="center"/>
              <w:rPr>
                <w:rFonts w:cs="Times New Roman"/>
                <w:szCs w:val="20"/>
              </w:rPr>
            </w:pPr>
            <w:r w:rsidRPr="00A862C6">
              <w:t>20.2 (15.0, 26.0)</w:t>
            </w:r>
          </w:p>
        </w:tc>
        <w:tc>
          <w:tcPr>
            <w:tcW w:w="1250" w:type="pct"/>
            <w:shd w:val="clear" w:color="auto" w:fill="auto"/>
            <w:vAlign w:val="center"/>
          </w:tcPr>
          <w:p w:rsidR="00FD3808" w:rsidRPr="00A862C6" w:rsidRDefault="00FD3808" w:rsidP="00FD3808">
            <w:pPr>
              <w:pStyle w:val="TableText0"/>
              <w:keepNext w:val="0"/>
              <w:widowControl w:val="0"/>
              <w:spacing w:before="0" w:after="0"/>
              <w:jc w:val="center"/>
              <w:rPr>
                <w:rFonts w:cs="Times New Roman"/>
                <w:szCs w:val="20"/>
              </w:rPr>
            </w:pPr>
            <w:r w:rsidRPr="00A862C6">
              <w:t>13.5 (9.2, 18.6)</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FD3808" w:rsidRPr="00A862C6" w:rsidRDefault="00CE1073" w:rsidP="00FD3808">
            <w:pPr>
              <w:pStyle w:val="TableText0"/>
              <w:keepNext w:val="0"/>
              <w:widowControl w:val="0"/>
              <w:spacing w:before="0" w:after="0"/>
              <w:jc w:val="center"/>
              <w:rPr>
                <w:szCs w:val="20"/>
              </w:rPr>
            </w:pPr>
            <w:r w:rsidRPr="00A862C6">
              <w:rPr>
                <w:szCs w:val="20"/>
              </w:rPr>
              <w:t>6.7</w:t>
            </w:r>
          </w:p>
        </w:tc>
      </w:tr>
      <w:tr w:rsidR="00FD3808" w:rsidRPr="00A862C6" w:rsidTr="00F11121">
        <w:trPr>
          <w:trHeight w:val="20"/>
        </w:trPr>
        <w:tc>
          <w:tcPr>
            <w:tcW w:w="1250" w:type="pct"/>
            <w:tcBorders>
              <w:top w:val="single" w:sz="4" w:space="0" w:color="auto"/>
              <w:left w:val="single" w:sz="4" w:space="0" w:color="auto"/>
              <w:bottom w:val="single" w:sz="4" w:space="0" w:color="auto"/>
              <w:right w:val="single" w:sz="4" w:space="0" w:color="auto"/>
            </w:tcBorders>
            <w:shd w:val="clear" w:color="auto" w:fill="auto"/>
          </w:tcPr>
          <w:p w:rsidR="00FD3808" w:rsidRPr="00A862C6" w:rsidRDefault="00FD3808" w:rsidP="00FD3808">
            <w:pPr>
              <w:pStyle w:val="TableText0"/>
              <w:keepNext w:val="0"/>
              <w:widowControl w:val="0"/>
              <w:spacing w:before="0" w:after="0"/>
            </w:pPr>
            <w:r w:rsidRPr="00A862C6">
              <w:t>36-month</w:t>
            </w:r>
            <w:r w:rsidR="00B23280" w:rsidRPr="00A862C6">
              <w:t xml:space="preserve"> (95%</w:t>
            </w:r>
            <w:r w:rsidR="00174A2F" w:rsidRPr="00A862C6">
              <w:t xml:space="preserve"> </w:t>
            </w:r>
            <w:r w:rsidR="00B23280" w:rsidRPr="00A862C6">
              <w:t>CI)</w:t>
            </w:r>
          </w:p>
        </w:tc>
        <w:tc>
          <w:tcPr>
            <w:tcW w:w="1250" w:type="pct"/>
            <w:shd w:val="clear" w:color="auto" w:fill="auto"/>
            <w:vAlign w:val="center"/>
          </w:tcPr>
          <w:p w:rsidR="00FD3808" w:rsidRPr="00A862C6" w:rsidRDefault="00FD3808" w:rsidP="00FD3808">
            <w:pPr>
              <w:pStyle w:val="TableText0"/>
              <w:keepNext w:val="0"/>
              <w:widowControl w:val="0"/>
              <w:spacing w:before="0" w:after="0"/>
              <w:jc w:val="center"/>
              <w:rPr>
                <w:rFonts w:cs="Times New Roman"/>
                <w:szCs w:val="20"/>
              </w:rPr>
            </w:pPr>
            <w:r w:rsidRPr="00A862C6">
              <w:t>15.3 (10.7, 20.6)</w:t>
            </w:r>
          </w:p>
        </w:tc>
        <w:tc>
          <w:tcPr>
            <w:tcW w:w="1250" w:type="pct"/>
            <w:shd w:val="clear" w:color="auto" w:fill="auto"/>
            <w:vAlign w:val="center"/>
          </w:tcPr>
          <w:p w:rsidR="00FD3808" w:rsidRPr="00A862C6" w:rsidRDefault="00FD3808" w:rsidP="00FD3808">
            <w:pPr>
              <w:pStyle w:val="TableText0"/>
              <w:keepNext w:val="0"/>
              <w:widowControl w:val="0"/>
              <w:spacing w:before="0" w:after="0"/>
              <w:jc w:val="center"/>
              <w:rPr>
                <w:rFonts w:cs="Times New Roman"/>
                <w:szCs w:val="20"/>
              </w:rPr>
            </w:pPr>
            <w:r w:rsidRPr="00A862C6">
              <w:t>8.7 (5.3, 13.2)</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FD3808" w:rsidRPr="00A862C6" w:rsidRDefault="00CE1073" w:rsidP="00FD3808">
            <w:pPr>
              <w:pStyle w:val="TableText0"/>
              <w:keepNext w:val="0"/>
              <w:widowControl w:val="0"/>
              <w:spacing w:before="0" w:after="0"/>
              <w:jc w:val="center"/>
              <w:rPr>
                <w:szCs w:val="20"/>
              </w:rPr>
            </w:pPr>
            <w:r w:rsidRPr="00A862C6">
              <w:rPr>
                <w:szCs w:val="20"/>
              </w:rPr>
              <w:t>6.6</w:t>
            </w:r>
          </w:p>
        </w:tc>
      </w:tr>
    </w:tbl>
    <w:p w:rsidR="006E2E29" w:rsidRPr="00A862C6" w:rsidRDefault="00285CB1" w:rsidP="00285CB1">
      <w:pPr>
        <w:pStyle w:val="TableFooter"/>
      </w:pPr>
      <w:r w:rsidRPr="00A862C6">
        <w:t>CI = confidence interval; HR = hazard ratio</w:t>
      </w:r>
      <w:r w:rsidR="006C3985" w:rsidRPr="00A862C6">
        <w:t>; NR = not reported</w:t>
      </w:r>
    </w:p>
    <w:p w:rsidR="00285CB1" w:rsidRPr="00A862C6" w:rsidRDefault="00285CB1" w:rsidP="00285CB1">
      <w:pPr>
        <w:pStyle w:val="TableFooter"/>
        <w:rPr>
          <w:szCs w:val="18"/>
        </w:rPr>
      </w:pPr>
      <w:r w:rsidRPr="00A862C6">
        <w:rPr>
          <w:szCs w:val="18"/>
        </w:rPr>
        <w:t>Source: Table 28, p59 of the submission and Table 1, p5 of the 3 year update report.</w:t>
      </w:r>
    </w:p>
    <w:p w:rsidR="00285CB1" w:rsidRPr="00A862C6" w:rsidRDefault="00285CB1" w:rsidP="00285CB1">
      <w:pPr>
        <w:widowControl/>
      </w:pPr>
    </w:p>
    <w:p w:rsidR="00CE1073" w:rsidRPr="00A862C6" w:rsidRDefault="00CE1073" w:rsidP="00DD46F0">
      <w:pPr>
        <w:pStyle w:val="ListParagraph"/>
        <w:widowControl/>
        <w:numPr>
          <w:ilvl w:val="1"/>
          <w:numId w:val="2"/>
        </w:numPr>
        <w:spacing w:after="0"/>
      </w:pPr>
      <w:bookmarkStart w:id="32" w:name="_Ref70384535"/>
      <w:r w:rsidRPr="00A862C6">
        <w:t>On the basis of the direct evidence presented by the submission, for every 100 patients treated with nivolumab in comparison to IC</w:t>
      </w:r>
      <w:r w:rsidR="001F31BA" w:rsidRPr="00A862C6">
        <w:t>,</w:t>
      </w:r>
      <w:r w:rsidRPr="00A862C6">
        <w:t xml:space="preserve"> 13 additional people will be alive at 12 months and 7 additional people will be alive at 24 and 36 months.</w:t>
      </w:r>
    </w:p>
    <w:p w:rsidR="00CE1073" w:rsidRPr="00A862C6" w:rsidRDefault="00CE1073" w:rsidP="00CE1073">
      <w:pPr>
        <w:widowControl/>
      </w:pPr>
    </w:p>
    <w:p w:rsidR="00285CB1" w:rsidRPr="00A862C6" w:rsidRDefault="00285CB1" w:rsidP="00DD46F0">
      <w:pPr>
        <w:pStyle w:val="ListParagraph"/>
        <w:widowControl/>
        <w:numPr>
          <w:ilvl w:val="1"/>
          <w:numId w:val="2"/>
        </w:numPr>
        <w:spacing w:after="0"/>
      </w:pPr>
      <w:r w:rsidRPr="00A862C6">
        <w:t xml:space="preserve">On the basis of </w:t>
      </w:r>
      <w:r w:rsidR="00342ED1" w:rsidRPr="00A862C6">
        <w:t xml:space="preserve">the </w:t>
      </w:r>
      <w:r w:rsidRPr="00A862C6">
        <w:t>direct evidence presented by the submission, for every 100 patients treated with nivolumab in comparison to IC and over a median duration of follow-up of 10.55 months (for nivolumab) and 8.02 months (for IC):</w:t>
      </w:r>
      <w:bookmarkEnd w:id="32"/>
    </w:p>
    <w:p w:rsidR="00285CB1" w:rsidRPr="00A862C6" w:rsidRDefault="00285CB1" w:rsidP="00DD46F0">
      <w:pPr>
        <w:pStyle w:val="ListParagraph"/>
        <w:widowControl/>
        <w:numPr>
          <w:ilvl w:val="0"/>
          <w:numId w:val="1"/>
        </w:numPr>
        <w:spacing w:after="0"/>
        <w:ind w:left="993" w:hanging="284"/>
      </w:pPr>
      <w:r w:rsidRPr="00A862C6">
        <w:t>Approximately 45 fewer patients will experience any adverse event (grade</w:t>
      </w:r>
      <w:r w:rsidR="00CF56B3" w:rsidRPr="00A862C6">
        <w:t xml:space="preserve"> </w:t>
      </w:r>
      <w:r w:rsidRPr="00A862C6">
        <w:t>3-4)</w:t>
      </w:r>
      <w:r w:rsidR="009B7EA3" w:rsidRPr="00A862C6">
        <w:t>;</w:t>
      </w:r>
    </w:p>
    <w:p w:rsidR="00B62330" w:rsidRPr="00A862C6" w:rsidRDefault="00B62330" w:rsidP="00DD46F0">
      <w:pPr>
        <w:pStyle w:val="ListParagraph"/>
        <w:widowControl/>
        <w:numPr>
          <w:ilvl w:val="0"/>
          <w:numId w:val="1"/>
        </w:numPr>
        <w:spacing w:after="0"/>
        <w:ind w:left="993" w:hanging="284"/>
      </w:pPr>
      <w:r w:rsidRPr="00A862C6">
        <w:t>Approximately 8 additional patients will experience hypothyroidism (any grade);</w:t>
      </w:r>
    </w:p>
    <w:p w:rsidR="00285CB1" w:rsidRPr="00A862C6" w:rsidRDefault="00285CB1" w:rsidP="00DD46F0">
      <w:pPr>
        <w:pStyle w:val="ListParagraph"/>
        <w:widowControl/>
        <w:numPr>
          <w:ilvl w:val="0"/>
          <w:numId w:val="1"/>
        </w:numPr>
        <w:spacing w:after="0"/>
        <w:ind w:left="993" w:hanging="284"/>
      </w:pPr>
      <w:r w:rsidRPr="00A862C6">
        <w:t>Approximately 7 fewer patients will experience anaemia (grade 3-4)</w:t>
      </w:r>
      <w:r w:rsidR="009B7EA3" w:rsidRPr="00A862C6">
        <w:t>;</w:t>
      </w:r>
    </w:p>
    <w:p w:rsidR="00285CB1" w:rsidRPr="00A862C6" w:rsidRDefault="00285CB1" w:rsidP="00DD46F0">
      <w:pPr>
        <w:pStyle w:val="ListParagraph"/>
        <w:widowControl/>
        <w:numPr>
          <w:ilvl w:val="0"/>
          <w:numId w:val="1"/>
        </w:numPr>
        <w:spacing w:after="0"/>
        <w:ind w:left="993" w:hanging="284"/>
      </w:pPr>
      <w:r w:rsidRPr="00A862C6">
        <w:t>Approximately 14 fewer patients will experience neutropenia (grade 3-4)</w:t>
      </w:r>
      <w:r w:rsidR="009B7EA3" w:rsidRPr="00A862C6">
        <w:t>;</w:t>
      </w:r>
    </w:p>
    <w:p w:rsidR="00285CB1" w:rsidRPr="00A862C6" w:rsidRDefault="00285CB1" w:rsidP="00DD46F0">
      <w:pPr>
        <w:pStyle w:val="ListParagraph"/>
        <w:widowControl/>
        <w:numPr>
          <w:ilvl w:val="0"/>
          <w:numId w:val="1"/>
        </w:numPr>
        <w:ind w:left="993" w:hanging="284"/>
      </w:pPr>
      <w:r w:rsidRPr="00A862C6">
        <w:t>Approximately 11 fewer patients will experience febrile neutropenia (grade 3-4)</w:t>
      </w:r>
      <w:r w:rsidR="009B7EA3" w:rsidRPr="00A862C6">
        <w:t>;</w:t>
      </w:r>
    </w:p>
    <w:p w:rsidR="00285CB1" w:rsidRPr="00A862C6" w:rsidRDefault="00285CB1" w:rsidP="00285CB1">
      <w:pPr>
        <w:pStyle w:val="Heading2"/>
      </w:pPr>
      <w:bookmarkStart w:id="33" w:name="_Toc72263301"/>
      <w:r w:rsidRPr="00A862C6">
        <w:t>Clinical claim</w:t>
      </w:r>
      <w:bookmarkEnd w:id="33"/>
    </w:p>
    <w:p w:rsidR="00285CB1" w:rsidRPr="00A862C6" w:rsidRDefault="00285CB1" w:rsidP="00285CB1">
      <w:pPr>
        <w:ind w:left="720" w:hanging="720"/>
      </w:pPr>
    </w:p>
    <w:p w:rsidR="00285CB1" w:rsidRPr="00A862C6" w:rsidRDefault="00285CB1" w:rsidP="00DD46F0">
      <w:pPr>
        <w:pStyle w:val="ListParagraph"/>
        <w:widowControl/>
        <w:numPr>
          <w:ilvl w:val="1"/>
          <w:numId w:val="2"/>
        </w:numPr>
      </w:pPr>
      <w:r w:rsidRPr="00A862C6">
        <w:t xml:space="preserve">The submission described nivolumab as superior in terms of effectiveness compared with IC (docetaxel or paclitaxel). The </w:t>
      </w:r>
      <w:r w:rsidR="004A288C" w:rsidRPr="00A862C6">
        <w:t xml:space="preserve">evaluation considered the </w:t>
      </w:r>
      <w:r w:rsidRPr="00A862C6">
        <w:t>therapeutic conclusion presented in the submission</w:t>
      </w:r>
      <w:r w:rsidR="005D6489" w:rsidRPr="00A862C6">
        <w:t xml:space="preserve"> was subject to the following uncertainty:</w:t>
      </w:r>
      <w:r w:rsidRPr="00A862C6">
        <w:t xml:space="preserve"> </w:t>
      </w:r>
    </w:p>
    <w:p w:rsidR="009B7EA3" w:rsidRPr="00A862C6" w:rsidRDefault="009B7EA3" w:rsidP="00DD46F0">
      <w:pPr>
        <w:pStyle w:val="Bulletpoints"/>
        <w:numPr>
          <w:ilvl w:val="0"/>
          <w:numId w:val="1"/>
        </w:numPr>
        <w:spacing w:after="120"/>
        <w:ind w:left="993" w:hanging="284"/>
      </w:pPr>
      <w:r w:rsidRPr="00A862C6">
        <w:t xml:space="preserve">In ATTRACTION-3, while there was a statistically significant OS benefit (OS HR = 0.79, 95%CI 0.64, 0.97) there was a higher hazard of death associated with nivolumab in the beginning of treatment, with the Kaplan-Meier OS </w:t>
      </w:r>
      <w:r w:rsidR="005A7896" w:rsidRPr="00A862C6">
        <w:t>curves crossing around the five-</w:t>
      </w:r>
      <w:r w:rsidRPr="00A862C6">
        <w:t>month time point</w:t>
      </w:r>
      <w:r w:rsidR="006937F4" w:rsidRPr="00A862C6">
        <w:t xml:space="preserve"> (paragraph </w:t>
      </w:r>
      <w:r w:rsidR="00F71DE4" w:rsidRPr="00F71DE4">
        <w:t>6.17</w:t>
      </w:r>
      <w:r w:rsidR="004852F3" w:rsidRPr="00F71DE4">
        <w:t>)</w:t>
      </w:r>
      <w:r w:rsidRPr="00F71DE4">
        <w:t>.</w:t>
      </w:r>
      <w:r w:rsidR="008B6F9D" w:rsidRPr="00A862C6">
        <w:t xml:space="preserve"> </w:t>
      </w:r>
    </w:p>
    <w:p w:rsidR="009B7EA3" w:rsidRPr="00A862C6" w:rsidRDefault="009B7EA3" w:rsidP="00DD46F0">
      <w:pPr>
        <w:pStyle w:val="Bulletpoints"/>
        <w:numPr>
          <w:ilvl w:val="0"/>
          <w:numId w:val="1"/>
        </w:numPr>
        <w:spacing w:after="120"/>
        <w:ind w:left="993" w:hanging="284"/>
      </w:pPr>
      <w:r w:rsidRPr="00A862C6">
        <w:t>The incremental benefit of nivolumab in non-Asian patients was uncertain. Trial results were based on a trial population made up of mostly (~96%) Asian patients, with only a small number of Western patients</w:t>
      </w:r>
      <w:r w:rsidR="002B21DA" w:rsidRPr="00A862C6">
        <w:t xml:space="preserve">. </w:t>
      </w:r>
      <w:r w:rsidR="004A288C" w:rsidRPr="00A862C6">
        <w:t>T</w:t>
      </w:r>
      <w:r w:rsidR="002B21DA" w:rsidRPr="00A862C6">
        <w:t>he</w:t>
      </w:r>
      <w:r w:rsidR="009D2FB5" w:rsidRPr="00A862C6">
        <w:t xml:space="preserve"> PSCR </w:t>
      </w:r>
      <w:r w:rsidR="007F57F7" w:rsidRPr="00A862C6">
        <w:t>stated</w:t>
      </w:r>
      <w:r w:rsidR="002B21DA" w:rsidRPr="00A862C6">
        <w:t xml:space="preserve"> that both the EMA and NICE have accepted that the results from ATTRACTION-3 </w:t>
      </w:r>
      <w:r w:rsidR="002B21DA" w:rsidRPr="00F71DE4">
        <w:t>are generalisable to their respective western OSCC populations</w:t>
      </w:r>
      <w:r w:rsidR="006937F4" w:rsidRPr="00F71DE4">
        <w:t xml:space="preserve"> (paragraph</w:t>
      </w:r>
      <w:r w:rsidR="00D4226E" w:rsidRPr="00F71DE4">
        <w:t xml:space="preserve"> </w:t>
      </w:r>
      <w:r w:rsidR="00F71DE4" w:rsidRPr="00F71DE4">
        <w:t>6.12</w:t>
      </w:r>
      <w:r w:rsidR="00D4226E" w:rsidRPr="00A862C6">
        <w:t>)</w:t>
      </w:r>
      <w:r w:rsidRPr="00A862C6">
        <w:t xml:space="preserve">. </w:t>
      </w:r>
    </w:p>
    <w:p w:rsidR="009B7EA3" w:rsidRPr="00A862C6" w:rsidRDefault="009B7EA3" w:rsidP="00DD46F0">
      <w:pPr>
        <w:pStyle w:val="Bulletpoints"/>
        <w:numPr>
          <w:ilvl w:val="0"/>
          <w:numId w:val="1"/>
        </w:numPr>
        <w:spacing w:after="120"/>
        <w:ind w:left="993" w:hanging="284"/>
      </w:pPr>
      <w:r w:rsidRPr="00A862C6">
        <w:t xml:space="preserve">Even though the OS HR point estimates met the submission’s nominated MCID (OS HR </w:t>
      </w:r>
      <w:r w:rsidRPr="00A862C6">
        <w:rPr>
          <w:rFonts w:cs="Calibri"/>
        </w:rPr>
        <w:t>≤0.</w:t>
      </w:r>
      <w:r w:rsidRPr="00A862C6">
        <w:t>8) at both data cuts, the</w:t>
      </w:r>
      <w:r w:rsidR="001501C2" w:rsidRPr="00A862C6">
        <w:t xml:space="preserve"> MCID</w:t>
      </w:r>
      <w:r w:rsidRPr="00A862C6">
        <w:t xml:space="preserve"> targets provided by Ellis et al. rang</w:t>
      </w:r>
      <w:r w:rsidR="001501C2" w:rsidRPr="00A862C6">
        <w:t>ed</w:t>
      </w:r>
      <w:r w:rsidRPr="00A862C6">
        <w:t xml:space="preserve"> from 0.6-0.8 (a HR of 0.7 was assumed in the sample size calculation for ATTRACTION-3). </w:t>
      </w:r>
    </w:p>
    <w:p w:rsidR="009B7EA3" w:rsidRPr="00A862C6" w:rsidRDefault="009B7EA3" w:rsidP="00DD46F0">
      <w:pPr>
        <w:pStyle w:val="Bulletpoints"/>
        <w:numPr>
          <w:ilvl w:val="0"/>
          <w:numId w:val="1"/>
        </w:numPr>
        <w:spacing w:after="120"/>
        <w:ind w:left="993" w:hanging="284"/>
      </w:pPr>
      <w:r w:rsidRPr="00A862C6">
        <w:t xml:space="preserve">No significant difference in ORR was reported between the two treatment groups in ATTRACTION-3. While ORR was comparable between nivolumab and IC, </w:t>
      </w:r>
      <w:r w:rsidRPr="00A862C6">
        <w:rPr>
          <w:szCs w:val="20"/>
        </w:rPr>
        <w:t xml:space="preserve">a larger proportion of patients randomised to the </w:t>
      </w:r>
      <w:r w:rsidR="005B42EC" w:rsidRPr="00A862C6">
        <w:rPr>
          <w:szCs w:val="20"/>
        </w:rPr>
        <w:t xml:space="preserve">nivolumab </w:t>
      </w:r>
      <w:r w:rsidRPr="00A862C6">
        <w:rPr>
          <w:szCs w:val="20"/>
        </w:rPr>
        <w:t xml:space="preserve">group compared to the </w:t>
      </w:r>
      <w:r w:rsidR="005B42EC" w:rsidRPr="00A862C6">
        <w:rPr>
          <w:szCs w:val="20"/>
        </w:rPr>
        <w:t xml:space="preserve">IC </w:t>
      </w:r>
      <w:r w:rsidRPr="00A862C6">
        <w:rPr>
          <w:szCs w:val="20"/>
        </w:rPr>
        <w:t>group experienced progressive disease</w:t>
      </w:r>
      <w:r w:rsidR="005B42EC">
        <w:rPr>
          <w:szCs w:val="20"/>
        </w:rPr>
        <w:t xml:space="preserve"> as best </w:t>
      </w:r>
      <w:r w:rsidR="001A0C40">
        <w:rPr>
          <w:szCs w:val="20"/>
        </w:rPr>
        <w:t>response</w:t>
      </w:r>
      <w:r w:rsidR="00460C87" w:rsidRPr="00A862C6">
        <w:rPr>
          <w:szCs w:val="20"/>
        </w:rPr>
        <w:t>.</w:t>
      </w:r>
      <w:r w:rsidR="00870915" w:rsidRPr="00A862C6">
        <w:rPr>
          <w:szCs w:val="20"/>
        </w:rPr>
        <w:t xml:space="preserve"> </w:t>
      </w:r>
    </w:p>
    <w:p w:rsidR="009B7EA3" w:rsidRPr="00A862C6" w:rsidRDefault="009B7EA3" w:rsidP="00DD46F0">
      <w:pPr>
        <w:pStyle w:val="Bulletpoints"/>
        <w:widowControl/>
        <w:numPr>
          <w:ilvl w:val="0"/>
          <w:numId w:val="1"/>
        </w:numPr>
        <w:spacing w:after="160"/>
        <w:ind w:left="993"/>
      </w:pPr>
      <w:r w:rsidRPr="00A862C6">
        <w:t xml:space="preserve">As with OS, Kaplan-Meier PFS curves crossed around the four-month time point, before which there was an increased hazard of progression or death associated with nivolumab. </w:t>
      </w:r>
      <w:r w:rsidR="004A288C" w:rsidRPr="00A862C6">
        <w:t>T</w:t>
      </w:r>
      <w:r w:rsidR="008741D1" w:rsidRPr="00A862C6">
        <w:t xml:space="preserve">he PSCR </w:t>
      </w:r>
      <w:r w:rsidR="007F57F7" w:rsidRPr="00A862C6">
        <w:t>stated</w:t>
      </w:r>
      <w:r w:rsidR="008741D1" w:rsidRPr="00A862C6">
        <w:t xml:space="preserve"> that PFS favours nivolumab after 4 months and is durable over the 3 years of available trial data. </w:t>
      </w:r>
      <w:r w:rsidR="006775D7" w:rsidRPr="00A862C6">
        <w:t>The</w:t>
      </w:r>
      <w:r w:rsidR="007F57F7" w:rsidRPr="00A862C6">
        <w:t xml:space="preserve"> PSCR</w:t>
      </w:r>
      <w:r w:rsidR="006775D7" w:rsidRPr="00A862C6">
        <w:t xml:space="preserve"> f</w:t>
      </w:r>
      <w:r w:rsidR="008741D1" w:rsidRPr="00A862C6">
        <w:t>urther</w:t>
      </w:r>
      <w:r w:rsidR="006775D7" w:rsidRPr="00A862C6">
        <w:t xml:space="preserve"> stated that</w:t>
      </w:r>
      <w:r w:rsidR="008741D1" w:rsidRPr="00A862C6">
        <w:t>, whilst ORR and PFS are not driving the OS results for patients treated with nivolumab, there is a marked difference in the</w:t>
      </w:r>
      <w:r w:rsidR="006775D7" w:rsidRPr="00A862C6">
        <w:t xml:space="preserve"> median</w:t>
      </w:r>
      <w:r w:rsidR="008741D1" w:rsidRPr="00A862C6">
        <w:t xml:space="preserve"> duration of response between treatment arms</w:t>
      </w:r>
      <w:r w:rsidR="006775D7" w:rsidRPr="00A862C6">
        <w:t xml:space="preserve">, which was </w:t>
      </w:r>
      <w:r w:rsidR="008741D1" w:rsidRPr="00A862C6">
        <w:t xml:space="preserve">substantially longer with </w:t>
      </w:r>
      <w:r w:rsidR="006775D7" w:rsidRPr="00A862C6">
        <w:t>nivolumab</w:t>
      </w:r>
      <w:r w:rsidR="008741D1" w:rsidRPr="00A862C6">
        <w:t xml:space="preserve"> compared to IC (</w:t>
      </w:r>
      <w:r w:rsidR="006775D7" w:rsidRPr="00A862C6">
        <w:t>Table 5</w:t>
      </w:r>
      <w:r w:rsidR="008741D1" w:rsidRPr="00A862C6">
        <w:t>)</w:t>
      </w:r>
      <w:r w:rsidR="006775D7" w:rsidRPr="00A862C6">
        <w:t>.</w:t>
      </w:r>
    </w:p>
    <w:p w:rsidR="004A288C" w:rsidRPr="00A61C48" w:rsidRDefault="004A288C" w:rsidP="00DD46F0">
      <w:pPr>
        <w:pStyle w:val="ListParagraph"/>
        <w:widowControl/>
        <w:numPr>
          <w:ilvl w:val="1"/>
          <w:numId w:val="2"/>
        </w:numPr>
      </w:pPr>
      <w:r w:rsidRPr="00F71DE4">
        <w:t>The</w:t>
      </w:r>
      <w:r w:rsidR="00DA4530" w:rsidRPr="00F71DE4">
        <w:t xml:space="preserve"> PBAC </w:t>
      </w:r>
      <w:r w:rsidR="00D6685F" w:rsidRPr="00F71DE4">
        <w:t>considered that</w:t>
      </w:r>
      <w:r w:rsidRPr="00F71DE4">
        <w:t xml:space="preserve"> nivolumab </w:t>
      </w:r>
      <w:r w:rsidR="00D6685F" w:rsidRPr="00F71DE4">
        <w:t xml:space="preserve">provided </w:t>
      </w:r>
      <w:r w:rsidRPr="00F71DE4">
        <w:t xml:space="preserve">a </w:t>
      </w:r>
      <w:r w:rsidR="002504DD" w:rsidRPr="00F71DE4">
        <w:t xml:space="preserve">small </w:t>
      </w:r>
      <w:r w:rsidRPr="00F71DE4">
        <w:t>OS benefit</w:t>
      </w:r>
      <w:r w:rsidR="00D6685F" w:rsidRPr="00F71DE4">
        <w:t xml:space="preserve"> and improved quality of life</w:t>
      </w:r>
      <w:r w:rsidRPr="00F71DE4">
        <w:t xml:space="preserve"> in a poor prognosis patient group with </w:t>
      </w:r>
      <w:r w:rsidR="00D6685F" w:rsidRPr="00F71DE4">
        <w:t xml:space="preserve">a moderate </w:t>
      </w:r>
      <w:r w:rsidRPr="00F71DE4">
        <w:t xml:space="preserve">clinical need. The </w:t>
      </w:r>
      <w:r w:rsidR="00143167" w:rsidRPr="00F71DE4">
        <w:t xml:space="preserve">PBAC </w:t>
      </w:r>
      <w:r w:rsidR="00616525" w:rsidRPr="00F71DE4">
        <w:t xml:space="preserve">noted the concerns raised in the evaluation but </w:t>
      </w:r>
      <w:r w:rsidR="005B42EC" w:rsidRPr="00F71DE4">
        <w:t xml:space="preserve">had high confidence </w:t>
      </w:r>
      <w:r w:rsidRPr="00F71DE4">
        <w:t>that, overall, nivolumab is superior in terms of effectiveness compared with IC</w:t>
      </w:r>
      <w:r w:rsidR="00C94385" w:rsidRPr="00F71DE4">
        <w:t xml:space="preserve"> </w:t>
      </w:r>
      <w:r w:rsidRPr="00F71DE4">
        <w:t>(docetaxel or paclitaxel).</w:t>
      </w:r>
      <w:r w:rsidR="00143167" w:rsidRPr="00A61C48">
        <w:t xml:space="preserve"> While the PBAC noted that </w:t>
      </w:r>
      <w:r w:rsidR="00143167" w:rsidRPr="00A61C48">
        <w:rPr>
          <w:rFonts w:asciiTheme="minorHAnsi" w:hAnsiTheme="minorHAnsi"/>
          <w:szCs w:val="20"/>
        </w:rPr>
        <w:t xml:space="preserve">there was a higher hazard of death with nivolumab up until approximately 5 months, it </w:t>
      </w:r>
      <w:r w:rsidR="00143167" w:rsidRPr="00A61C48">
        <w:t>acknowledged that</w:t>
      </w:r>
      <w:r w:rsidR="00562AAE" w:rsidRPr="00A61C48">
        <w:t xml:space="preserve"> this has been observed </w:t>
      </w:r>
      <w:r w:rsidR="0069647B" w:rsidRPr="00A61C48">
        <w:t xml:space="preserve">for </w:t>
      </w:r>
      <w:r w:rsidR="00143167" w:rsidRPr="00A61C48">
        <w:t>immunotherapy versus chemotherapy studies</w:t>
      </w:r>
      <w:r w:rsidR="00562AAE" w:rsidRPr="00A61C48">
        <w:t xml:space="preserve"> in other indications</w:t>
      </w:r>
      <w:r w:rsidR="00143167" w:rsidRPr="00A61C48">
        <w:t>.</w:t>
      </w:r>
    </w:p>
    <w:p w:rsidR="00C906CD" w:rsidRPr="00A862C6" w:rsidRDefault="00285CB1" w:rsidP="00DD46F0">
      <w:pPr>
        <w:pStyle w:val="ListParagraph"/>
        <w:widowControl/>
        <w:numPr>
          <w:ilvl w:val="1"/>
          <w:numId w:val="2"/>
        </w:numPr>
      </w:pPr>
      <w:r w:rsidRPr="00A862C6">
        <w:t xml:space="preserve">With regards to safety, the submission described nivolumab as favourable in terms of safety compared to IC. </w:t>
      </w:r>
      <w:r w:rsidR="00783D77" w:rsidRPr="00A862C6">
        <w:t xml:space="preserve">The ESC </w:t>
      </w:r>
      <w:r w:rsidR="008C3F4B" w:rsidRPr="00A862C6">
        <w:t>not</w:t>
      </w:r>
      <w:r w:rsidR="00793EED" w:rsidRPr="00A862C6">
        <w:t xml:space="preserve">ed </w:t>
      </w:r>
      <w:r w:rsidR="008C3F4B" w:rsidRPr="00A862C6">
        <w:t>that TEAE rates were generally significantly reduced in the</w:t>
      </w:r>
      <w:r w:rsidR="0073544C" w:rsidRPr="00A862C6">
        <w:t xml:space="preserve"> nivolumab arm, </w:t>
      </w:r>
      <w:r w:rsidR="008C3F4B" w:rsidRPr="00A862C6">
        <w:t>with the exception of hypothyroidism</w:t>
      </w:r>
      <w:r w:rsidR="004A288C" w:rsidRPr="00A862C6">
        <w:t xml:space="preserve"> (which was a clinically manageable AE)</w:t>
      </w:r>
      <w:r w:rsidRPr="00A862C6">
        <w:t>.</w:t>
      </w:r>
      <w:r w:rsidR="00143167" w:rsidRPr="00A862C6">
        <w:t xml:space="preserve"> </w:t>
      </w:r>
      <w:r w:rsidR="00097E21" w:rsidRPr="00A862C6">
        <w:rPr>
          <w:rFonts w:asciiTheme="minorHAnsi" w:hAnsiTheme="minorHAnsi"/>
          <w:szCs w:val="20"/>
        </w:rPr>
        <w:t>The PBAC considered that nivolumab has an improved safety profile over chemotherapy and that the claim of superior comparative safety was reasonable.</w:t>
      </w:r>
    </w:p>
    <w:p w:rsidR="00285CB1" w:rsidRPr="00A862C6" w:rsidRDefault="00285CB1" w:rsidP="0093470E">
      <w:pPr>
        <w:pStyle w:val="Heading2"/>
        <w:keepNext/>
        <w:keepLines/>
      </w:pPr>
      <w:bookmarkStart w:id="34" w:name="_Toc72263302"/>
      <w:r w:rsidRPr="00A862C6">
        <w:t>Economic analysis</w:t>
      </w:r>
      <w:bookmarkEnd w:id="34"/>
      <w:r w:rsidRPr="00A862C6">
        <w:t xml:space="preserve"> </w:t>
      </w:r>
    </w:p>
    <w:p w:rsidR="00285CB1" w:rsidRPr="00A862C6" w:rsidRDefault="00285CB1" w:rsidP="0093470E">
      <w:pPr>
        <w:keepNext/>
        <w:keepLines/>
        <w:ind w:left="720" w:hanging="720"/>
      </w:pPr>
    </w:p>
    <w:p w:rsidR="006E56B4" w:rsidRPr="00A862C6" w:rsidRDefault="00285CB1" w:rsidP="00DD46F0">
      <w:pPr>
        <w:pStyle w:val="ListParagraph"/>
        <w:keepNext/>
        <w:keepLines/>
        <w:widowControl/>
        <w:numPr>
          <w:ilvl w:val="1"/>
          <w:numId w:val="2"/>
        </w:numPr>
      </w:pPr>
      <w:r w:rsidRPr="00A862C6">
        <w:rPr>
          <w:rFonts w:cs="Calibri"/>
          <w:snapToGrid/>
          <w:szCs w:val="24"/>
          <w:lang w:eastAsia="en-AU"/>
        </w:rPr>
        <w:t xml:space="preserve">The submission presented a stepped economic evaluation based on the ATTRACTION-3 trial. The type of economic evaluation presented was a cost-utility </w:t>
      </w:r>
      <w:r w:rsidR="00DC333F" w:rsidRPr="00A862C6">
        <w:rPr>
          <w:rFonts w:cs="Calibri"/>
          <w:snapToGrid/>
          <w:szCs w:val="24"/>
          <w:lang w:eastAsia="en-AU"/>
        </w:rPr>
        <w:t>analysis</w:t>
      </w:r>
      <w:r w:rsidRPr="00A862C6">
        <w:rPr>
          <w:rFonts w:cs="Calibri"/>
          <w:snapToGrid/>
          <w:szCs w:val="24"/>
          <w:lang w:eastAsia="en-AU"/>
        </w:rPr>
        <w:t>.</w:t>
      </w:r>
      <w:r w:rsidR="006E56B4" w:rsidRPr="00A862C6">
        <w:rPr>
          <w:rFonts w:cs="Calibri"/>
          <w:snapToGrid/>
          <w:szCs w:val="24"/>
          <w:lang w:eastAsia="en-AU"/>
        </w:rPr>
        <w:t xml:space="preserve"> </w:t>
      </w:r>
    </w:p>
    <w:p w:rsidR="00285CB1" w:rsidRPr="00A862C6" w:rsidRDefault="00F71DE4" w:rsidP="00DD46F0">
      <w:pPr>
        <w:pStyle w:val="ListParagraph"/>
        <w:widowControl/>
        <w:numPr>
          <w:ilvl w:val="1"/>
          <w:numId w:val="2"/>
        </w:numPr>
      </w:pPr>
      <w:r w:rsidRPr="00F71DE4">
        <w:rPr>
          <w:rFonts w:cs="Calibri"/>
          <w:snapToGrid/>
          <w:szCs w:val="24"/>
          <w:lang w:eastAsia="en-AU"/>
        </w:rPr>
        <w:t>Table 10</w:t>
      </w:r>
      <w:r w:rsidR="00285CB1" w:rsidRPr="00A862C6">
        <w:rPr>
          <w:rFonts w:cs="Calibri"/>
          <w:snapToGrid/>
          <w:szCs w:val="24"/>
          <w:lang w:eastAsia="en-AU"/>
        </w:rPr>
        <w:t xml:space="preserve"> and </w:t>
      </w:r>
      <w:r w:rsidRPr="00F71DE4">
        <w:rPr>
          <w:rFonts w:cs="Calibri"/>
          <w:snapToGrid/>
          <w:szCs w:val="24"/>
          <w:lang w:eastAsia="en-AU"/>
        </w:rPr>
        <w:t>Table 11</w:t>
      </w:r>
      <w:r w:rsidR="00285CB1" w:rsidRPr="00A862C6">
        <w:rPr>
          <w:rFonts w:cs="Calibri"/>
          <w:snapToGrid/>
          <w:szCs w:val="24"/>
          <w:lang w:eastAsia="en-AU"/>
        </w:rPr>
        <w:t xml:space="preserve"> present the summary of the model structure and the utilities used in the economic evaluation presented in the submission, respectively.</w:t>
      </w:r>
    </w:p>
    <w:p w:rsidR="00285CB1" w:rsidRPr="00A862C6" w:rsidRDefault="00285CB1" w:rsidP="007C2C3E">
      <w:pPr>
        <w:pStyle w:val="Caption"/>
        <w:keepNext/>
        <w:keepLines/>
        <w:spacing w:after="0"/>
        <w:rPr>
          <w:rStyle w:val="CommentReference"/>
          <w:b/>
          <w:bCs w:val="0"/>
          <w:color w:val="auto"/>
        </w:rPr>
      </w:pPr>
      <w:bookmarkStart w:id="35" w:name="_Ref70358057"/>
      <w:r w:rsidRPr="00A862C6">
        <w:rPr>
          <w:rStyle w:val="CommentReference"/>
          <w:b/>
          <w:bCs w:val="0"/>
          <w:color w:val="auto"/>
        </w:rPr>
        <w:t xml:space="preserve">Table </w:t>
      </w:r>
      <w:r w:rsidR="00F71DE4">
        <w:rPr>
          <w:rStyle w:val="CommentReference"/>
          <w:b/>
          <w:bCs w:val="0"/>
          <w:noProof/>
          <w:color w:val="auto"/>
        </w:rPr>
        <w:t>10</w:t>
      </w:r>
      <w:bookmarkEnd w:id="35"/>
      <w:r w:rsidRPr="00A862C6">
        <w:rPr>
          <w:rStyle w:val="CommentReference"/>
          <w:b/>
          <w:bCs w:val="0"/>
          <w:color w:val="auto"/>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3802"/>
        <w:gridCol w:w="3802"/>
      </w:tblGrid>
      <w:tr w:rsidR="00285CB1" w:rsidRPr="00A862C6" w:rsidTr="00CA1323">
        <w:trPr>
          <w:tblHeader/>
        </w:trPr>
        <w:tc>
          <w:tcPr>
            <w:tcW w:w="784" w:type="pct"/>
          </w:tcPr>
          <w:p w:rsidR="00285CB1" w:rsidRPr="00A862C6" w:rsidRDefault="00285CB1" w:rsidP="007C2C3E">
            <w:pPr>
              <w:pStyle w:val="Tabletext"/>
              <w:keepNext/>
              <w:keepLines/>
              <w:rPr>
                <w:b/>
              </w:rPr>
            </w:pPr>
            <w:r w:rsidRPr="00A862C6">
              <w:rPr>
                <w:b/>
              </w:rPr>
              <w:t>Component</w:t>
            </w:r>
          </w:p>
        </w:tc>
        <w:tc>
          <w:tcPr>
            <w:tcW w:w="2108" w:type="pct"/>
          </w:tcPr>
          <w:p w:rsidR="00285CB1" w:rsidRPr="00A862C6" w:rsidRDefault="00285CB1" w:rsidP="007C2C3E">
            <w:pPr>
              <w:pStyle w:val="Tabletext"/>
              <w:keepNext/>
              <w:keepLines/>
              <w:jc w:val="center"/>
              <w:rPr>
                <w:b/>
              </w:rPr>
            </w:pPr>
            <w:r w:rsidRPr="00A862C6">
              <w:rPr>
                <w:b/>
              </w:rPr>
              <w:t>Description</w:t>
            </w:r>
          </w:p>
        </w:tc>
        <w:tc>
          <w:tcPr>
            <w:tcW w:w="2108" w:type="pct"/>
          </w:tcPr>
          <w:p w:rsidR="00285CB1" w:rsidRPr="00A862C6" w:rsidRDefault="00D36914" w:rsidP="007C2C3E">
            <w:pPr>
              <w:pStyle w:val="Tabletext"/>
              <w:keepNext/>
              <w:keepLines/>
              <w:jc w:val="center"/>
              <w:rPr>
                <w:b/>
              </w:rPr>
            </w:pPr>
            <w:r w:rsidRPr="00A862C6">
              <w:rPr>
                <w:b/>
              </w:rPr>
              <w:t xml:space="preserve">Evaluation </w:t>
            </w:r>
            <w:r w:rsidR="00285CB1" w:rsidRPr="00A862C6">
              <w:rPr>
                <w:b/>
              </w:rPr>
              <w:t>comments</w:t>
            </w:r>
          </w:p>
        </w:tc>
      </w:tr>
      <w:tr w:rsidR="00285CB1" w:rsidRPr="00A862C6" w:rsidTr="00687326">
        <w:tc>
          <w:tcPr>
            <w:tcW w:w="784" w:type="pct"/>
          </w:tcPr>
          <w:p w:rsidR="00285CB1" w:rsidRPr="00A862C6" w:rsidRDefault="00285CB1" w:rsidP="007C2C3E">
            <w:pPr>
              <w:pStyle w:val="Tabletext"/>
              <w:keepNext/>
              <w:keepLines/>
            </w:pPr>
            <w:r w:rsidRPr="00A862C6">
              <w:t>Outcomes</w:t>
            </w:r>
          </w:p>
        </w:tc>
        <w:tc>
          <w:tcPr>
            <w:tcW w:w="2108" w:type="pct"/>
          </w:tcPr>
          <w:p w:rsidR="00285CB1" w:rsidRPr="00A862C6" w:rsidRDefault="00285CB1" w:rsidP="007C2C3E">
            <w:pPr>
              <w:pStyle w:val="Tabletext"/>
              <w:keepNext/>
              <w:keepLines/>
            </w:pPr>
            <w:r w:rsidRPr="00A862C6">
              <w:t>Life years gained, quality-adjusted life years</w:t>
            </w:r>
          </w:p>
        </w:tc>
        <w:tc>
          <w:tcPr>
            <w:tcW w:w="2108" w:type="pct"/>
          </w:tcPr>
          <w:p w:rsidR="00285CB1" w:rsidRPr="00A862C6" w:rsidRDefault="00285CB1" w:rsidP="007C2C3E">
            <w:pPr>
              <w:pStyle w:val="Tabletext"/>
              <w:keepNext/>
              <w:keepLines/>
            </w:pPr>
            <w:r w:rsidRPr="00A862C6">
              <w:t>Appropriate</w:t>
            </w:r>
          </w:p>
        </w:tc>
      </w:tr>
      <w:tr w:rsidR="00285CB1" w:rsidRPr="00A862C6" w:rsidTr="00687326">
        <w:tc>
          <w:tcPr>
            <w:tcW w:w="784" w:type="pct"/>
          </w:tcPr>
          <w:p w:rsidR="00285CB1" w:rsidRPr="00A862C6" w:rsidRDefault="00285CB1" w:rsidP="007C2C3E">
            <w:pPr>
              <w:pStyle w:val="Tabletext"/>
              <w:keepNext/>
              <w:keepLines/>
            </w:pPr>
            <w:r w:rsidRPr="00A862C6">
              <w:t>Time horizon</w:t>
            </w:r>
          </w:p>
        </w:tc>
        <w:tc>
          <w:tcPr>
            <w:tcW w:w="2108" w:type="pct"/>
          </w:tcPr>
          <w:p w:rsidR="00285CB1" w:rsidRPr="00A862C6" w:rsidRDefault="00285CB1" w:rsidP="007C2C3E">
            <w:pPr>
              <w:pStyle w:val="Tabletext"/>
              <w:keepNext/>
              <w:keepLines/>
            </w:pPr>
            <w:r w:rsidRPr="00A862C6">
              <w:t>Seven years in the model base case vs. minimum follow-up time of three years in the key trial</w:t>
            </w:r>
          </w:p>
        </w:tc>
        <w:tc>
          <w:tcPr>
            <w:tcW w:w="2108" w:type="pct"/>
          </w:tcPr>
          <w:p w:rsidR="00285CB1" w:rsidRPr="00A862C6" w:rsidRDefault="00285CB1" w:rsidP="007B6B90">
            <w:pPr>
              <w:pStyle w:val="Tabletext"/>
              <w:keepNext/>
              <w:keepLines/>
            </w:pPr>
            <w:r w:rsidRPr="00A862C6">
              <w:t xml:space="preserve">Given the nature of the disease and low 5-year survival rate, </w:t>
            </w:r>
            <w:r w:rsidR="007B6B90" w:rsidRPr="00A862C6">
              <w:t>the evaluation considered a 7 year time horizon might be optimistic</w:t>
            </w:r>
            <w:r w:rsidR="001526B7" w:rsidRPr="00A862C6">
              <w:t>.</w:t>
            </w:r>
            <w:r w:rsidR="007B6B90" w:rsidRPr="00A862C6">
              <w:t xml:space="preserve"> </w:t>
            </w:r>
          </w:p>
        </w:tc>
      </w:tr>
      <w:tr w:rsidR="00285CB1" w:rsidRPr="00A862C6" w:rsidTr="00687326">
        <w:tc>
          <w:tcPr>
            <w:tcW w:w="784" w:type="pct"/>
          </w:tcPr>
          <w:p w:rsidR="00285CB1" w:rsidRPr="00A862C6" w:rsidRDefault="00285CB1" w:rsidP="007C2C3E">
            <w:pPr>
              <w:pStyle w:val="Tabletext"/>
              <w:keepNext/>
              <w:keepLines/>
            </w:pPr>
            <w:r w:rsidRPr="00A862C6">
              <w:t>Health states</w:t>
            </w:r>
          </w:p>
        </w:tc>
        <w:tc>
          <w:tcPr>
            <w:tcW w:w="2108" w:type="pct"/>
          </w:tcPr>
          <w:p w:rsidR="00285CB1" w:rsidRPr="00A862C6" w:rsidRDefault="00285CB1" w:rsidP="007C2C3E">
            <w:pPr>
              <w:pStyle w:val="Tabletext"/>
              <w:keepNext/>
              <w:keepLines/>
            </w:pPr>
            <w:r w:rsidRPr="00A862C6">
              <w:t>Alive without progression, alive following progression, death</w:t>
            </w:r>
          </w:p>
        </w:tc>
        <w:tc>
          <w:tcPr>
            <w:tcW w:w="2108" w:type="pct"/>
          </w:tcPr>
          <w:p w:rsidR="00285CB1" w:rsidRPr="00A862C6" w:rsidRDefault="00285CB1" w:rsidP="007C2C3E">
            <w:pPr>
              <w:pStyle w:val="Tabletext"/>
              <w:keepNext/>
              <w:keepLines/>
            </w:pPr>
            <w:r w:rsidRPr="00A862C6">
              <w:t>Appropriate</w:t>
            </w:r>
          </w:p>
        </w:tc>
      </w:tr>
      <w:tr w:rsidR="00285CB1" w:rsidRPr="00A862C6" w:rsidTr="00687326">
        <w:tc>
          <w:tcPr>
            <w:tcW w:w="784" w:type="pct"/>
          </w:tcPr>
          <w:p w:rsidR="00285CB1" w:rsidRPr="00A862C6" w:rsidRDefault="00285CB1" w:rsidP="007C2C3E">
            <w:pPr>
              <w:pStyle w:val="Tabletext"/>
              <w:keepNext/>
              <w:keepLines/>
            </w:pPr>
            <w:r w:rsidRPr="00A862C6">
              <w:t>Cycle length</w:t>
            </w:r>
          </w:p>
        </w:tc>
        <w:tc>
          <w:tcPr>
            <w:tcW w:w="2108" w:type="pct"/>
          </w:tcPr>
          <w:p w:rsidR="00285CB1" w:rsidRPr="00A862C6" w:rsidRDefault="00285CB1" w:rsidP="007C2C3E">
            <w:pPr>
              <w:pStyle w:val="Tabletext"/>
              <w:keepNext/>
              <w:keepLines/>
            </w:pPr>
            <w:r w:rsidRPr="00A862C6">
              <w:t>1 week</w:t>
            </w:r>
          </w:p>
        </w:tc>
        <w:tc>
          <w:tcPr>
            <w:tcW w:w="2108" w:type="pct"/>
          </w:tcPr>
          <w:p w:rsidR="00285CB1" w:rsidRPr="00A862C6" w:rsidRDefault="00285CB1" w:rsidP="007C2C3E">
            <w:pPr>
              <w:pStyle w:val="Tabletext"/>
              <w:keepNext/>
              <w:keepLines/>
            </w:pPr>
            <w:r w:rsidRPr="00A862C6">
              <w:t>Likely to be reasonable</w:t>
            </w:r>
          </w:p>
        </w:tc>
      </w:tr>
      <w:tr w:rsidR="00285CB1" w:rsidRPr="00A862C6" w:rsidTr="00687326">
        <w:tc>
          <w:tcPr>
            <w:tcW w:w="784" w:type="pct"/>
          </w:tcPr>
          <w:p w:rsidR="00285CB1" w:rsidRPr="00A862C6" w:rsidRDefault="00285CB1" w:rsidP="007C2C3E">
            <w:pPr>
              <w:pStyle w:val="Tabletext"/>
              <w:keepNext/>
              <w:keepLines/>
            </w:pPr>
            <w:r w:rsidRPr="00A862C6">
              <w:t>Methods used to generate results</w:t>
            </w:r>
          </w:p>
        </w:tc>
        <w:tc>
          <w:tcPr>
            <w:tcW w:w="2108" w:type="pct"/>
          </w:tcPr>
          <w:p w:rsidR="00285CB1" w:rsidRPr="00A862C6" w:rsidRDefault="00285CB1" w:rsidP="007C2C3E">
            <w:pPr>
              <w:pStyle w:val="Tabletext"/>
              <w:keepNext/>
              <w:keepLines/>
            </w:pPr>
            <w:r w:rsidRPr="00A862C6">
              <w:t>OS and PFS curves from ATTRACTION-3 were used to estimate the proportion of patients who are in each health state.</w:t>
            </w:r>
          </w:p>
          <w:p w:rsidR="00285CB1" w:rsidRPr="00A862C6" w:rsidRDefault="00285CB1" w:rsidP="007C2C3E">
            <w:pPr>
              <w:pStyle w:val="Tabletext"/>
              <w:keepNext/>
              <w:keepLines/>
            </w:pPr>
          </w:p>
          <w:p w:rsidR="00285CB1" w:rsidRPr="00A862C6" w:rsidRDefault="009C08DB" w:rsidP="007C2C3E">
            <w:pPr>
              <w:pStyle w:val="Tabletext"/>
              <w:keepNext/>
              <w:keepLines/>
            </w:pPr>
            <w:r w:rsidRPr="00A862C6">
              <w:t>KM</w:t>
            </w:r>
            <w:r w:rsidR="00285CB1" w:rsidRPr="00A862C6">
              <w:t xml:space="preserve"> estimates based on individual patient data was used for </w:t>
            </w:r>
            <w:r w:rsidR="00357AE4" w:rsidRPr="00A862C6">
              <w:t>40.2 months</w:t>
            </w:r>
            <w:r w:rsidR="00285CB1" w:rsidRPr="00A862C6">
              <w:t xml:space="preserve"> (</w:t>
            </w:r>
            <w:r w:rsidR="005051AC" w:rsidRPr="00A862C6">
              <w:t xml:space="preserve">174 cycles, </w:t>
            </w:r>
            <w:r w:rsidR="00285CB1" w:rsidRPr="00A862C6">
              <w:t xml:space="preserve">median follow-up), after which an extrapolated function was used, until the time horizon of 7 years. </w:t>
            </w:r>
          </w:p>
          <w:p w:rsidR="00285CB1" w:rsidRPr="00A862C6" w:rsidRDefault="00285CB1" w:rsidP="007C2C3E">
            <w:pPr>
              <w:pStyle w:val="Tabletext"/>
              <w:keepNext/>
              <w:keepLines/>
            </w:pPr>
          </w:p>
          <w:p w:rsidR="00F2629B" w:rsidRPr="00A862C6" w:rsidRDefault="00285CB1" w:rsidP="007C2C3E">
            <w:pPr>
              <w:pStyle w:val="Tabletext"/>
              <w:keepNext/>
              <w:keepLines/>
            </w:pPr>
            <w:r w:rsidRPr="00A862C6">
              <w:t xml:space="preserve">TTD curves from ATTRACTION-3 were used to inform duration of therapy (up to </w:t>
            </w:r>
            <w:r w:rsidR="00357AE4" w:rsidRPr="00A862C6">
              <w:t>44.6 months (</w:t>
            </w:r>
            <w:r w:rsidRPr="00A862C6">
              <w:t>cycle 194</w:t>
            </w:r>
            <w:r w:rsidR="00357AE4" w:rsidRPr="00A862C6">
              <w:t>)</w:t>
            </w:r>
            <w:r w:rsidRPr="00A862C6">
              <w:t xml:space="preserve"> for nivolumab and </w:t>
            </w:r>
            <w:r w:rsidR="00357AE4" w:rsidRPr="00A862C6">
              <w:t>40.2 months (</w:t>
            </w:r>
            <w:r w:rsidRPr="00A862C6">
              <w:t>cycle 174</w:t>
            </w:r>
            <w:r w:rsidR="00357AE4" w:rsidRPr="00A862C6">
              <w:t>)</w:t>
            </w:r>
            <w:r w:rsidRPr="00A862C6">
              <w:t xml:space="preserve"> for IC). </w:t>
            </w:r>
          </w:p>
          <w:p w:rsidR="00F2629B" w:rsidRPr="00A862C6" w:rsidRDefault="00F2629B" w:rsidP="007C2C3E">
            <w:pPr>
              <w:pStyle w:val="Tabletext"/>
              <w:keepNext/>
              <w:keepLines/>
            </w:pPr>
          </w:p>
          <w:p w:rsidR="00285CB1" w:rsidRPr="00A862C6" w:rsidRDefault="00285CB1" w:rsidP="007C2C3E">
            <w:pPr>
              <w:pStyle w:val="Tabletext"/>
              <w:keepNext/>
              <w:keepLines/>
            </w:pPr>
            <w:r w:rsidRPr="00A862C6">
              <w:t>The expected costs of treating AEs were applied upfront at week 0. Ongoing costs for disease management differed by alive health states but were same for both treatment arms. Patients who died in a cycle had a terminal cost applied to that cycle.</w:t>
            </w:r>
          </w:p>
          <w:p w:rsidR="00285CB1" w:rsidRPr="00A862C6" w:rsidRDefault="00285CB1" w:rsidP="007C2C3E">
            <w:pPr>
              <w:pStyle w:val="Tabletext"/>
              <w:keepNext/>
              <w:keepLines/>
            </w:pPr>
          </w:p>
          <w:p w:rsidR="00285CB1" w:rsidRPr="00A862C6" w:rsidRDefault="00285CB1" w:rsidP="007C2C3E">
            <w:pPr>
              <w:pStyle w:val="Tabletext"/>
              <w:keepNext/>
              <w:keepLines/>
            </w:pPr>
            <w:r w:rsidRPr="00A862C6">
              <w:t xml:space="preserve">Utilities were assigned depending on the proportion of patients in each health state, as well as what treatment arm the patient was in, but was independent of whether the patient was on treatment or not. No disutility on </w:t>
            </w:r>
            <w:r w:rsidR="006E44CB" w:rsidRPr="00A862C6">
              <w:t>AEs</w:t>
            </w:r>
            <w:r w:rsidRPr="00A862C6">
              <w:t xml:space="preserve"> was considered.</w:t>
            </w:r>
          </w:p>
        </w:tc>
        <w:tc>
          <w:tcPr>
            <w:tcW w:w="2108" w:type="pct"/>
          </w:tcPr>
          <w:p w:rsidR="00B312E2" w:rsidRPr="00A862C6" w:rsidRDefault="00285CB1" w:rsidP="007C2C3E">
            <w:pPr>
              <w:pStyle w:val="Tabletext"/>
              <w:keepNext/>
              <w:keepLines/>
            </w:pPr>
            <w:r w:rsidRPr="00A862C6">
              <w:t>The use of OS and PFS curves to inform partition survival analysis is reasonable. However, the submission’s nominated extrapolations (as determined by the lowest AIC) appeared to have favoured nivolumab for both OS and PFS.</w:t>
            </w:r>
            <w:r w:rsidR="00F750E6" w:rsidRPr="00A862C6">
              <w:t xml:space="preserve"> </w:t>
            </w:r>
            <w:r w:rsidR="002759FE" w:rsidRPr="00A862C6">
              <w:t>e</w:t>
            </w:r>
            <w:r w:rsidR="00F750E6" w:rsidRPr="00A862C6">
              <w:t xml:space="preserve">.g. for OS, it appeared to have overestimated OS in the nivolumab arm and underestimated OS in the IC arm when compared to the observed ATTRACTION-3 data up to 3.35 years. </w:t>
            </w:r>
          </w:p>
          <w:p w:rsidR="00B312E2" w:rsidRPr="00A862C6" w:rsidRDefault="00B312E2" w:rsidP="007C2C3E">
            <w:pPr>
              <w:pStyle w:val="Tabletext"/>
              <w:keepNext/>
              <w:keepLines/>
            </w:pPr>
          </w:p>
          <w:p w:rsidR="00285CB1" w:rsidRPr="00A862C6" w:rsidRDefault="00B312E2" w:rsidP="007C2C3E">
            <w:pPr>
              <w:pStyle w:val="Tabletext"/>
              <w:keepNext/>
              <w:keepLines/>
            </w:pPr>
            <w:r w:rsidRPr="00A862C6">
              <w:t xml:space="preserve">It was noted that clinical data from ATTRACTION-3 did not support a PFS benefit associated with nivolumab. </w:t>
            </w:r>
            <w:r w:rsidR="003B1453" w:rsidRPr="00A862C6">
              <w:t>Th</w:t>
            </w:r>
            <w:r w:rsidR="00DB3300" w:rsidRPr="00A862C6">
              <w:t>e ESC</w:t>
            </w:r>
            <w:r w:rsidR="001D639A" w:rsidRPr="00A862C6">
              <w:t xml:space="preserve"> considered it was not appropriate to assume a PFS benefit for nivolumab over the time horizon of the model and </w:t>
            </w:r>
            <w:r w:rsidR="00DB3300" w:rsidRPr="00A862C6">
              <w:t>noted a</w:t>
            </w:r>
            <w:r w:rsidRPr="00A862C6">
              <w:t xml:space="preserve">ssuming </w:t>
            </w:r>
            <w:r w:rsidR="00DB3300" w:rsidRPr="00A862C6">
              <w:t xml:space="preserve">the </w:t>
            </w:r>
            <w:r w:rsidRPr="00A862C6">
              <w:t>same IC PFS for both treatment arms</w:t>
            </w:r>
            <w:r w:rsidR="00DB3300" w:rsidRPr="00A862C6">
              <w:t xml:space="preserve"> increased the ICER by </w:t>
            </w:r>
            <w:r w:rsidR="001775F1" w:rsidRPr="00A862C6">
              <w:t>~10%</w:t>
            </w:r>
            <w:r w:rsidR="003B1453" w:rsidRPr="00A862C6">
              <w:t xml:space="preserve">. </w:t>
            </w:r>
            <w:r w:rsidR="000868FE" w:rsidRPr="00A862C6">
              <w:t>N</w:t>
            </w:r>
            <w:r w:rsidR="00285CB1" w:rsidRPr="00A862C6">
              <w:t xml:space="preserve">o convergence of survival was assumed, which was optimistic and favoured nivolumab. </w:t>
            </w:r>
          </w:p>
          <w:p w:rsidR="00285CB1" w:rsidRPr="00A862C6" w:rsidRDefault="00285CB1" w:rsidP="007C2C3E">
            <w:pPr>
              <w:pStyle w:val="Tabletext"/>
              <w:keepNext/>
              <w:keepLines/>
            </w:pPr>
          </w:p>
          <w:p w:rsidR="00F2629B" w:rsidRPr="00A862C6" w:rsidRDefault="00285CB1" w:rsidP="007C2C3E">
            <w:pPr>
              <w:pStyle w:val="Tabletext"/>
              <w:keepNext/>
            </w:pPr>
            <w:r w:rsidRPr="00A862C6">
              <w:t xml:space="preserve">Use of </w:t>
            </w:r>
            <w:r w:rsidR="000868FE" w:rsidRPr="00A862C6">
              <w:t xml:space="preserve">PFS to inform treatment duration </w:t>
            </w:r>
            <w:r w:rsidRPr="00A862C6">
              <w:t xml:space="preserve">rather than </w:t>
            </w:r>
            <w:r w:rsidR="000868FE" w:rsidRPr="00A862C6">
              <w:t xml:space="preserve">TTD </w:t>
            </w:r>
            <w:r w:rsidRPr="00A862C6">
              <w:t xml:space="preserve">was tested in a sensitivity analysis by the submission and was shown to have a moderate impact (19.5% increase) on the ICER. </w:t>
            </w:r>
          </w:p>
          <w:p w:rsidR="00F2629B" w:rsidRPr="00A862C6" w:rsidRDefault="00F2629B" w:rsidP="007C2C3E">
            <w:pPr>
              <w:pStyle w:val="Tabletext"/>
              <w:keepNext/>
            </w:pPr>
          </w:p>
          <w:p w:rsidR="00285CB1" w:rsidRPr="00A862C6" w:rsidRDefault="00285CB1" w:rsidP="007C2C3E">
            <w:pPr>
              <w:pStyle w:val="Tabletext"/>
              <w:keepNext/>
            </w:pPr>
            <w:r w:rsidRPr="00A862C6">
              <w:t xml:space="preserve">Applying the </w:t>
            </w:r>
            <w:r w:rsidR="000868FE" w:rsidRPr="00A862C6">
              <w:t xml:space="preserve">AE </w:t>
            </w:r>
            <w:r w:rsidRPr="00A862C6">
              <w:t>costs upfront will result in the cost of managing AEs not being discounted correctly</w:t>
            </w:r>
            <w:r w:rsidR="0079505C" w:rsidRPr="00A862C6">
              <w:t>, though this is not expected to have a large impact on the estimated ICER</w:t>
            </w:r>
            <w:r w:rsidR="000868FE" w:rsidRPr="00A862C6">
              <w:t>.</w:t>
            </w:r>
            <w:r w:rsidRPr="00A862C6">
              <w:t xml:space="preserve"> Inclusion of </w:t>
            </w:r>
            <w:r w:rsidR="000868FE" w:rsidRPr="00A862C6">
              <w:t xml:space="preserve">terminal </w:t>
            </w:r>
            <w:r w:rsidRPr="00A862C6">
              <w:t>costs may not be appropriate given patients are not expected to be cured from the disease</w:t>
            </w:r>
            <w:r w:rsidR="006C2ED2" w:rsidRPr="00A862C6">
              <w:t>.</w:t>
            </w:r>
            <w:r w:rsidRPr="00A862C6">
              <w:t xml:space="preserve"> </w:t>
            </w:r>
          </w:p>
          <w:p w:rsidR="00285CB1" w:rsidRPr="00A862C6" w:rsidRDefault="00285CB1" w:rsidP="007C2C3E">
            <w:pPr>
              <w:pStyle w:val="Tabletext"/>
              <w:keepNext/>
            </w:pPr>
          </w:p>
          <w:p w:rsidR="00285CB1" w:rsidRPr="00A862C6" w:rsidRDefault="00285CB1" w:rsidP="006B1A5E">
            <w:pPr>
              <w:pStyle w:val="Tabletext"/>
              <w:keepNext/>
            </w:pPr>
            <w:r w:rsidRPr="00A862C6">
              <w:t xml:space="preserve">The economic model did not adjust for disutility associated with </w:t>
            </w:r>
            <w:r w:rsidR="006E44CB" w:rsidRPr="00A862C6">
              <w:t>AEs</w:t>
            </w:r>
            <w:r w:rsidRPr="00A862C6">
              <w:t xml:space="preserve"> – this was assumed to be captured via the treatment-based health state. </w:t>
            </w:r>
          </w:p>
        </w:tc>
      </w:tr>
      <w:tr w:rsidR="00285CB1" w:rsidRPr="00A862C6" w:rsidTr="00687326">
        <w:tc>
          <w:tcPr>
            <w:tcW w:w="784" w:type="pct"/>
          </w:tcPr>
          <w:p w:rsidR="00285CB1" w:rsidRPr="00A862C6" w:rsidRDefault="00285CB1" w:rsidP="00B312E2">
            <w:pPr>
              <w:pStyle w:val="Tabletext"/>
              <w:keepLines/>
            </w:pPr>
            <w:r w:rsidRPr="00A862C6">
              <w:t xml:space="preserve">Utilities </w:t>
            </w:r>
          </w:p>
        </w:tc>
        <w:tc>
          <w:tcPr>
            <w:tcW w:w="2108" w:type="pct"/>
          </w:tcPr>
          <w:p w:rsidR="00285CB1" w:rsidRPr="00A862C6" w:rsidRDefault="00285CB1" w:rsidP="00B312E2">
            <w:pPr>
              <w:pStyle w:val="Tabletext"/>
              <w:keepLines/>
            </w:pPr>
            <w:r w:rsidRPr="00A862C6">
              <w:t xml:space="preserve">See </w:t>
            </w:r>
            <w:r w:rsidR="00F71DE4" w:rsidRPr="00F71DE4">
              <w:t>Table 11</w:t>
            </w:r>
          </w:p>
        </w:tc>
        <w:tc>
          <w:tcPr>
            <w:tcW w:w="2108" w:type="pct"/>
          </w:tcPr>
          <w:p w:rsidR="00285CB1" w:rsidRPr="00A862C6" w:rsidRDefault="00285CB1" w:rsidP="00B312E2">
            <w:pPr>
              <w:pStyle w:val="Tabletext"/>
              <w:keepLines/>
            </w:pPr>
            <w:r w:rsidRPr="00A862C6">
              <w:t xml:space="preserve">The </w:t>
            </w:r>
            <w:r w:rsidR="007B6B90" w:rsidRPr="00A862C6">
              <w:t xml:space="preserve">evaluation considered the </w:t>
            </w:r>
            <w:r w:rsidRPr="00A862C6">
              <w:t xml:space="preserve">assumption that all patients in the nivolumab arm of the model would have higher utility irrespective of whether they remained on treatment or not was </w:t>
            </w:r>
            <w:r w:rsidR="0079505C" w:rsidRPr="00A862C6">
              <w:t>unlikely</w:t>
            </w:r>
            <w:r w:rsidRPr="00A862C6">
              <w:t xml:space="preserve">. </w:t>
            </w:r>
          </w:p>
        </w:tc>
      </w:tr>
    </w:tbl>
    <w:p w:rsidR="00285CB1" w:rsidRPr="00A862C6" w:rsidRDefault="00285CB1" w:rsidP="00B312E2">
      <w:pPr>
        <w:pStyle w:val="TableFooter"/>
        <w:keepLines/>
      </w:pPr>
      <w:r w:rsidRPr="00A862C6">
        <w:t>Source: Table 53, p112 of the submission</w:t>
      </w:r>
      <w:r w:rsidR="006C2ED2" w:rsidRPr="00A862C6">
        <w:t>, and complied during evaluation</w:t>
      </w:r>
      <w:r w:rsidRPr="00A862C6">
        <w:t>.</w:t>
      </w:r>
    </w:p>
    <w:p w:rsidR="009C08DB" w:rsidRPr="00A862C6" w:rsidRDefault="009C08DB" w:rsidP="00B312E2">
      <w:pPr>
        <w:pStyle w:val="TableFooter"/>
        <w:keepLines/>
        <w:rPr>
          <w:sz w:val="20"/>
        </w:rPr>
      </w:pPr>
      <w:r w:rsidRPr="00A862C6">
        <w:t>AE = adverse event; AIC = Akaike’s information criteria; IC = investigator’s choice; ICER = incremental cost effectiveness ratio; KM = Kaplan-Meier; OS = overall survival; PFS = progression free survival; TTD = time to treatment discontinuation.</w:t>
      </w:r>
    </w:p>
    <w:p w:rsidR="00285CB1" w:rsidRPr="00A862C6" w:rsidRDefault="00285CB1" w:rsidP="00285CB1"/>
    <w:p w:rsidR="00285CB1" w:rsidRPr="00A862C6" w:rsidRDefault="00285CB1" w:rsidP="00D36914">
      <w:pPr>
        <w:keepNext/>
        <w:keepLines/>
        <w:rPr>
          <w:rFonts w:ascii="Arial Narrow" w:hAnsi="Arial Narrow"/>
          <w:b/>
          <w:sz w:val="20"/>
          <w:szCs w:val="16"/>
        </w:rPr>
      </w:pPr>
      <w:bookmarkStart w:id="36" w:name="_Ref70358120"/>
      <w:r w:rsidRPr="00A862C6">
        <w:rPr>
          <w:rStyle w:val="CommentReference"/>
        </w:rPr>
        <w:t xml:space="preserve">Table </w:t>
      </w:r>
      <w:r w:rsidR="00F71DE4">
        <w:rPr>
          <w:rStyle w:val="CommentReference"/>
          <w:noProof/>
        </w:rPr>
        <w:t>11</w:t>
      </w:r>
      <w:bookmarkEnd w:id="36"/>
      <w:r w:rsidRPr="00A862C6">
        <w:rPr>
          <w:rStyle w:val="CommentReference"/>
        </w:rPr>
        <w:t>: Utility values used in the economic evaluation</w:t>
      </w:r>
    </w:p>
    <w:tbl>
      <w:tblPr>
        <w:tblStyle w:val="TableGrid"/>
        <w:tblW w:w="5000" w:type="pct"/>
        <w:tblLook w:val="04A0" w:firstRow="1" w:lastRow="0" w:firstColumn="1" w:lastColumn="0" w:noHBand="0" w:noVBand="1"/>
        <w:tblCaption w:val="Table 11: Utility values used in the economic evaluation"/>
      </w:tblPr>
      <w:tblGrid>
        <w:gridCol w:w="1741"/>
        <w:gridCol w:w="1770"/>
        <w:gridCol w:w="1769"/>
        <w:gridCol w:w="1845"/>
        <w:gridCol w:w="1892"/>
      </w:tblGrid>
      <w:tr w:rsidR="00285CB1" w:rsidRPr="00A862C6" w:rsidTr="00E45BC9">
        <w:trPr>
          <w:tblHeader/>
        </w:trPr>
        <w:tc>
          <w:tcPr>
            <w:tcW w:w="965" w:type="pct"/>
            <w:tcBorders>
              <w:top w:val="single" w:sz="4" w:space="0" w:color="auto"/>
              <w:left w:val="single" w:sz="4" w:space="0" w:color="auto"/>
              <w:bottom w:val="single" w:sz="4" w:space="0" w:color="auto"/>
              <w:right w:val="single" w:sz="4" w:space="0" w:color="auto"/>
            </w:tcBorders>
            <w:shd w:val="clear" w:color="auto" w:fill="auto"/>
          </w:tcPr>
          <w:p w:rsidR="00285CB1" w:rsidRPr="00A862C6" w:rsidRDefault="00285CB1" w:rsidP="00D36914">
            <w:pPr>
              <w:pStyle w:val="Tabletext"/>
              <w:keepNext/>
              <w:keepLines/>
              <w:rPr>
                <w:b/>
              </w:rPr>
            </w:pPr>
            <w:r w:rsidRPr="00A862C6">
              <w:rPr>
                <w:b/>
              </w:rPr>
              <w:t>Health state utility</w:t>
            </w:r>
          </w:p>
          <w:p w:rsidR="00285CB1" w:rsidRPr="00A862C6" w:rsidRDefault="00285CB1" w:rsidP="00D36914">
            <w:pPr>
              <w:pStyle w:val="Tabletext"/>
              <w:keepNext/>
              <w:keepLines/>
              <w:rPr>
                <w:b/>
              </w:rPr>
            </w:pPr>
            <w:r w:rsidRPr="00A862C6">
              <w:rPr>
                <w:b/>
              </w:rPr>
              <w:t>Mean (95%CI)</w:t>
            </w:r>
          </w:p>
        </w:tc>
        <w:tc>
          <w:tcPr>
            <w:tcW w:w="981" w:type="pct"/>
            <w:tcBorders>
              <w:top w:val="single" w:sz="4" w:space="0" w:color="auto"/>
              <w:left w:val="single" w:sz="4" w:space="0" w:color="auto"/>
              <w:bottom w:val="single" w:sz="4" w:space="0" w:color="auto"/>
              <w:right w:val="single" w:sz="4" w:space="0" w:color="auto"/>
            </w:tcBorders>
            <w:shd w:val="clear" w:color="auto" w:fill="auto"/>
          </w:tcPr>
          <w:p w:rsidR="00285CB1" w:rsidRPr="00A862C6" w:rsidRDefault="00285CB1" w:rsidP="00D36914">
            <w:pPr>
              <w:pStyle w:val="Tabletext"/>
              <w:keepNext/>
              <w:keepLines/>
              <w:jc w:val="center"/>
              <w:rPr>
                <w:b/>
              </w:rPr>
            </w:pPr>
            <w:r w:rsidRPr="00A862C6">
              <w:rPr>
                <w:b/>
              </w:rPr>
              <w:t>NIVO</w:t>
            </w:r>
          </w:p>
        </w:tc>
        <w:tc>
          <w:tcPr>
            <w:tcW w:w="981" w:type="pct"/>
            <w:tcBorders>
              <w:top w:val="single" w:sz="4" w:space="0" w:color="auto"/>
              <w:left w:val="single" w:sz="4" w:space="0" w:color="auto"/>
              <w:bottom w:val="single" w:sz="4" w:space="0" w:color="auto"/>
              <w:right w:val="single" w:sz="4" w:space="0" w:color="auto"/>
            </w:tcBorders>
            <w:shd w:val="clear" w:color="auto" w:fill="auto"/>
          </w:tcPr>
          <w:p w:rsidR="00285CB1" w:rsidRPr="00A862C6" w:rsidRDefault="00285CB1" w:rsidP="00D36914">
            <w:pPr>
              <w:pStyle w:val="Tabletext"/>
              <w:keepNext/>
              <w:keepLines/>
              <w:jc w:val="center"/>
              <w:rPr>
                <w:b/>
              </w:rPr>
            </w:pPr>
            <w:r w:rsidRPr="00A862C6">
              <w:rPr>
                <w:b/>
              </w:rPr>
              <w:t>IC</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285CB1" w:rsidRPr="00A862C6" w:rsidRDefault="00285CB1" w:rsidP="00D36914">
            <w:pPr>
              <w:pStyle w:val="Tabletext"/>
              <w:keepNext/>
              <w:keepLines/>
              <w:jc w:val="center"/>
              <w:rPr>
                <w:b/>
              </w:rPr>
            </w:pPr>
            <w:r w:rsidRPr="00A862C6">
              <w:rPr>
                <w:b/>
              </w:rPr>
              <w:t>Difference</w:t>
            </w:r>
            <w:r w:rsidR="002C7CC2" w:rsidRPr="00A862C6">
              <w:rPr>
                <w:b/>
                <w:vertAlign w:val="superscript"/>
              </w:rPr>
              <w:t>a</w:t>
            </w:r>
          </w:p>
          <w:p w:rsidR="00285CB1" w:rsidRPr="00A862C6" w:rsidRDefault="00DB3300" w:rsidP="00D36914">
            <w:pPr>
              <w:pStyle w:val="Tabletext"/>
              <w:keepNext/>
              <w:keepLines/>
              <w:jc w:val="center"/>
              <w:rPr>
                <w:b/>
              </w:rPr>
            </w:pPr>
            <w:r w:rsidRPr="00A862C6">
              <w:rPr>
                <w:b/>
              </w:rPr>
              <w:t xml:space="preserve"> (95% CI)</w:t>
            </w:r>
            <w:r w:rsidR="00D36914" w:rsidRPr="00A862C6">
              <w:rPr>
                <w:b/>
              </w:rPr>
              <w:t xml:space="preserve"> </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285CB1" w:rsidRPr="00A862C6" w:rsidRDefault="00285CB1" w:rsidP="00D36914">
            <w:pPr>
              <w:pStyle w:val="Tabletext"/>
              <w:keepNext/>
              <w:keepLines/>
              <w:jc w:val="center"/>
              <w:rPr>
                <w:b/>
              </w:rPr>
            </w:pPr>
            <w:r w:rsidRPr="00A862C6">
              <w:rPr>
                <w:b/>
              </w:rPr>
              <w:t>Overall</w:t>
            </w:r>
          </w:p>
        </w:tc>
      </w:tr>
      <w:tr w:rsidR="00285CB1" w:rsidRPr="00A862C6" w:rsidTr="001C45AE">
        <w:tc>
          <w:tcPr>
            <w:tcW w:w="965" w:type="pct"/>
            <w:tcBorders>
              <w:top w:val="single" w:sz="4" w:space="0" w:color="auto"/>
              <w:left w:val="single" w:sz="4" w:space="0" w:color="auto"/>
              <w:bottom w:val="single" w:sz="4" w:space="0" w:color="auto"/>
              <w:right w:val="single" w:sz="4" w:space="0" w:color="auto"/>
            </w:tcBorders>
          </w:tcPr>
          <w:p w:rsidR="00285CB1" w:rsidRPr="00A862C6" w:rsidRDefault="00285CB1" w:rsidP="00D36914">
            <w:pPr>
              <w:pStyle w:val="Tabletext"/>
              <w:keepNext/>
              <w:keepLines/>
            </w:pPr>
            <w:r w:rsidRPr="00A862C6">
              <w:t>Alive without progression</w:t>
            </w:r>
          </w:p>
        </w:tc>
        <w:tc>
          <w:tcPr>
            <w:tcW w:w="981" w:type="pct"/>
            <w:tcBorders>
              <w:top w:val="single" w:sz="4" w:space="0" w:color="auto"/>
              <w:left w:val="single" w:sz="4" w:space="0" w:color="auto"/>
              <w:bottom w:val="single" w:sz="4" w:space="0" w:color="auto"/>
              <w:right w:val="single" w:sz="4" w:space="0" w:color="auto"/>
            </w:tcBorders>
            <w:vAlign w:val="center"/>
          </w:tcPr>
          <w:p w:rsidR="00285CB1" w:rsidRPr="00A862C6" w:rsidRDefault="00285CB1" w:rsidP="00D36914">
            <w:pPr>
              <w:pStyle w:val="Tabletext"/>
              <w:keepNext/>
              <w:keepLines/>
              <w:jc w:val="center"/>
            </w:pPr>
            <w:r w:rsidRPr="00A862C6">
              <w:t>0.796 (0.762, 0.830)</w:t>
            </w:r>
          </w:p>
        </w:tc>
        <w:tc>
          <w:tcPr>
            <w:tcW w:w="981" w:type="pct"/>
            <w:tcBorders>
              <w:top w:val="single" w:sz="4" w:space="0" w:color="auto"/>
              <w:left w:val="single" w:sz="4" w:space="0" w:color="auto"/>
              <w:bottom w:val="single" w:sz="4" w:space="0" w:color="auto"/>
              <w:right w:val="single" w:sz="4" w:space="0" w:color="auto"/>
            </w:tcBorders>
            <w:vAlign w:val="center"/>
          </w:tcPr>
          <w:p w:rsidR="00285CB1" w:rsidRPr="00A862C6" w:rsidRDefault="00285CB1" w:rsidP="00D36914">
            <w:pPr>
              <w:pStyle w:val="Tabletext"/>
              <w:keepNext/>
              <w:keepLines/>
              <w:jc w:val="center"/>
            </w:pPr>
            <w:r w:rsidRPr="00A862C6">
              <w:t>0.737 (0.705, 0.769)</w:t>
            </w:r>
          </w:p>
        </w:tc>
        <w:tc>
          <w:tcPr>
            <w:tcW w:w="1023" w:type="pct"/>
            <w:tcBorders>
              <w:top w:val="single" w:sz="4" w:space="0" w:color="auto"/>
              <w:left w:val="single" w:sz="4" w:space="0" w:color="auto"/>
              <w:bottom w:val="single" w:sz="4" w:space="0" w:color="auto"/>
              <w:right w:val="single" w:sz="4" w:space="0" w:color="auto"/>
            </w:tcBorders>
            <w:vAlign w:val="center"/>
          </w:tcPr>
          <w:p w:rsidR="00BD4FCA" w:rsidRPr="00A862C6" w:rsidRDefault="00BD4FCA" w:rsidP="001C45AE">
            <w:pPr>
              <w:pStyle w:val="Tabletext"/>
              <w:keepNext/>
              <w:keepLines/>
              <w:jc w:val="center"/>
            </w:pPr>
            <w:r w:rsidRPr="00A862C6">
              <w:t>0.059 (0.023, 0.095)</w:t>
            </w:r>
            <w:r w:rsidR="001C45AE" w:rsidRPr="00A862C6">
              <w:rPr>
                <w:vertAlign w:val="superscript"/>
              </w:rPr>
              <w:t>b</w:t>
            </w:r>
          </w:p>
        </w:tc>
        <w:tc>
          <w:tcPr>
            <w:tcW w:w="1049" w:type="pct"/>
            <w:tcBorders>
              <w:top w:val="single" w:sz="4" w:space="0" w:color="auto"/>
              <w:left w:val="single" w:sz="4" w:space="0" w:color="auto"/>
              <w:bottom w:val="single" w:sz="4" w:space="0" w:color="auto"/>
              <w:right w:val="single" w:sz="4" w:space="0" w:color="auto"/>
            </w:tcBorders>
            <w:vAlign w:val="center"/>
          </w:tcPr>
          <w:p w:rsidR="00285CB1" w:rsidRPr="00A862C6" w:rsidRDefault="00285CB1" w:rsidP="006644C9">
            <w:pPr>
              <w:pStyle w:val="Tabletext"/>
              <w:keepNext/>
              <w:keepLines/>
              <w:jc w:val="center"/>
            </w:pPr>
            <w:r w:rsidRPr="00A862C6">
              <w:t>0.76</w:t>
            </w:r>
            <w:r w:rsidR="006644C9" w:rsidRPr="00A862C6">
              <w:t>7</w:t>
            </w:r>
            <w:r w:rsidRPr="00A862C6">
              <w:t xml:space="preserve"> (0.739, 0.79</w:t>
            </w:r>
            <w:r w:rsidR="006644C9" w:rsidRPr="00A862C6">
              <w:t>4</w:t>
            </w:r>
            <w:r w:rsidRPr="00A862C6">
              <w:t>)</w:t>
            </w:r>
            <w:r w:rsidR="001C45AE" w:rsidRPr="00A862C6">
              <w:rPr>
                <w:vertAlign w:val="superscript"/>
              </w:rPr>
              <w:t>b</w:t>
            </w:r>
          </w:p>
        </w:tc>
      </w:tr>
      <w:tr w:rsidR="00285CB1" w:rsidRPr="00A862C6" w:rsidTr="001C45AE">
        <w:tc>
          <w:tcPr>
            <w:tcW w:w="965" w:type="pct"/>
            <w:tcBorders>
              <w:top w:val="single" w:sz="4" w:space="0" w:color="auto"/>
              <w:left w:val="single" w:sz="4" w:space="0" w:color="auto"/>
              <w:bottom w:val="single" w:sz="4" w:space="0" w:color="auto"/>
              <w:right w:val="single" w:sz="4" w:space="0" w:color="auto"/>
            </w:tcBorders>
          </w:tcPr>
          <w:p w:rsidR="00285CB1" w:rsidRPr="00A862C6" w:rsidRDefault="00285CB1" w:rsidP="00D36914">
            <w:pPr>
              <w:pStyle w:val="Tabletext"/>
              <w:keepNext/>
              <w:keepLines/>
            </w:pPr>
            <w:r w:rsidRPr="00A862C6">
              <w:t>Alive following progression</w:t>
            </w:r>
          </w:p>
        </w:tc>
        <w:tc>
          <w:tcPr>
            <w:tcW w:w="981" w:type="pct"/>
            <w:tcBorders>
              <w:top w:val="single" w:sz="4" w:space="0" w:color="auto"/>
              <w:left w:val="single" w:sz="4" w:space="0" w:color="auto"/>
              <w:bottom w:val="single" w:sz="4" w:space="0" w:color="auto"/>
              <w:right w:val="single" w:sz="4" w:space="0" w:color="auto"/>
            </w:tcBorders>
            <w:vAlign w:val="center"/>
          </w:tcPr>
          <w:p w:rsidR="00285CB1" w:rsidRPr="00A862C6" w:rsidRDefault="00285CB1" w:rsidP="00D36914">
            <w:pPr>
              <w:pStyle w:val="Tabletext"/>
              <w:keepNext/>
              <w:keepLines/>
              <w:jc w:val="center"/>
            </w:pPr>
            <w:r w:rsidRPr="00A862C6">
              <w:t>0.583 (0.530, 0.636)</w:t>
            </w:r>
          </w:p>
        </w:tc>
        <w:tc>
          <w:tcPr>
            <w:tcW w:w="981" w:type="pct"/>
            <w:tcBorders>
              <w:top w:val="single" w:sz="4" w:space="0" w:color="auto"/>
              <w:left w:val="single" w:sz="4" w:space="0" w:color="auto"/>
              <w:bottom w:val="single" w:sz="4" w:space="0" w:color="auto"/>
              <w:right w:val="single" w:sz="4" w:space="0" w:color="auto"/>
            </w:tcBorders>
            <w:vAlign w:val="center"/>
          </w:tcPr>
          <w:p w:rsidR="00285CB1" w:rsidRPr="00A862C6" w:rsidRDefault="00285CB1" w:rsidP="00D36914">
            <w:pPr>
              <w:pStyle w:val="Tabletext"/>
              <w:keepNext/>
              <w:keepLines/>
              <w:jc w:val="center"/>
            </w:pPr>
            <w:r w:rsidRPr="00A862C6">
              <w:t>0.519 (0.465, 0.572)</w:t>
            </w:r>
          </w:p>
        </w:tc>
        <w:tc>
          <w:tcPr>
            <w:tcW w:w="1023" w:type="pct"/>
            <w:tcBorders>
              <w:top w:val="single" w:sz="4" w:space="0" w:color="auto"/>
              <w:left w:val="single" w:sz="4" w:space="0" w:color="auto"/>
              <w:bottom w:val="single" w:sz="4" w:space="0" w:color="auto"/>
              <w:right w:val="single" w:sz="4" w:space="0" w:color="auto"/>
            </w:tcBorders>
            <w:vAlign w:val="center"/>
          </w:tcPr>
          <w:p w:rsidR="00285CB1" w:rsidRPr="00A862C6" w:rsidRDefault="00285CB1" w:rsidP="00D36914">
            <w:pPr>
              <w:pStyle w:val="Tabletext"/>
              <w:keepNext/>
              <w:keepLines/>
              <w:jc w:val="center"/>
            </w:pPr>
            <w:r w:rsidRPr="00A862C6">
              <w:t>0.064 (0.0</w:t>
            </w:r>
            <w:r w:rsidR="00BD4FCA" w:rsidRPr="00A862C6">
              <w:t>0</w:t>
            </w:r>
            <w:r w:rsidRPr="00A862C6">
              <w:t>5, 0.124)</w:t>
            </w:r>
            <w:r w:rsidR="001C45AE" w:rsidRPr="00A862C6">
              <w:rPr>
                <w:vertAlign w:val="superscript"/>
              </w:rPr>
              <w:t>b</w:t>
            </w:r>
          </w:p>
        </w:tc>
        <w:tc>
          <w:tcPr>
            <w:tcW w:w="1049" w:type="pct"/>
            <w:tcBorders>
              <w:top w:val="single" w:sz="4" w:space="0" w:color="auto"/>
              <w:left w:val="single" w:sz="4" w:space="0" w:color="auto"/>
              <w:bottom w:val="single" w:sz="4" w:space="0" w:color="auto"/>
              <w:right w:val="single" w:sz="4" w:space="0" w:color="auto"/>
            </w:tcBorders>
            <w:vAlign w:val="center"/>
          </w:tcPr>
          <w:p w:rsidR="00285CB1" w:rsidRPr="00A862C6" w:rsidRDefault="00285CB1" w:rsidP="00D36914">
            <w:pPr>
              <w:pStyle w:val="Tabletext"/>
              <w:keepNext/>
              <w:keepLines/>
              <w:jc w:val="center"/>
            </w:pPr>
            <w:r w:rsidRPr="00A862C6">
              <w:t>0.551 (0.506, 0.595)</w:t>
            </w:r>
          </w:p>
        </w:tc>
      </w:tr>
    </w:tbl>
    <w:p w:rsidR="00285CB1" w:rsidRPr="00A862C6" w:rsidRDefault="00285CB1" w:rsidP="00D36914">
      <w:pPr>
        <w:pStyle w:val="TableFooter"/>
        <w:keepNext/>
        <w:keepLines/>
      </w:pPr>
      <w:r w:rsidRPr="00A862C6">
        <w:t>Source: Table 66, p136 of the submission.</w:t>
      </w:r>
    </w:p>
    <w:p w:rsidR="00285CB1" w:rsidRPr="00A862C6" w:rsidRDefault="00285CB1" w:rsidP="00D36914">
      <w:pPr>
        <w:pStyle w:val="TableFooter"/>
        <w:keepNext/>
        <w:keepLines/>
      </w:pPr>
      <w:r w:rsidRPr="00A862C6">
        <w:t>CI = confidence interval; IC = investigator’s choice; NI</w:t>
      </w:r>
      <w:r w:rsidR="002C7CC2" w:rsidRPr="00A862C6">
        <w:t>V</w:t>
      </w:r>
      <w:r w:rsidRPr="00A862C6">
        <w:t>O = nivolumab</w:t>
      </w:r>
    </w:p>
    <w:p w:rsidR="00285CB1" w:rsidRPr="00A862C6" w:rsidRDefault="002C7CC2" w:rsidP="00D36914">
      <w:pPr>
        <w:pStyle w:val="TableFooter"/>
        <w:keepNext/>
        <w:keepLines/>
      </w:pPr>
      <w:r w:rsidRPr="00A862C6">
        <w:t>a B</w:t>
      </w:r>
      <w:r w:rsidR="00285CB1" w:rsidRPr="00A862C6">
        <w:t>ased on standard unpaired t-test</w:t>
      </w:r>
      <w:r w:rsidR="00DB3300" w:rsidRPr="00A862C6">
        <w:t xml:space="preserve">. </w:t>
      </w:r>
    </w:p>
    <w:p w:rsidR="001C45AE" w:rsidRPr="00A862C6" w:rsidRDefault="001C45AE" w:rsidP="00D36914">
      <w:pPr>
        <w:pStyle w:val="TableFooter"/>
        <w:keepNext/>
        <w:keepLines/>
      </w:pPr>
      <w:r w:rsidRPr="00A862C6">
        <w:t xml:space="preserve">b The PSCR </w:t>
      </w:r>
      <w:r w:rsidR="001846F3" w:rsidRPr="00A862C6">
        <w:t xml:space="preserve">provided </w:t>
      </w:r>
      <w:r w:rsidRPr="00A862C6">
        <w:t>corrected utility values from ATTRACTION-3 (PSCR p6)</w:t>
      </w:r>
    </w:p>
    <w:p w:rsidR="00285CB1" w:rsidRPr="00A862C6" w:rsidRDefault="00285CB1" w:rsidP="00285CB1"/>
    <w:p w:rsidR="00285CB1" w:rsidRPr="00A862C6" w:rsidRDefault="00F71DE4" w:rsidP="00DD46F0">
      <w:pPr>
        <w:pStyle w:val="ListParagraph"/>
        <w:widowControl/>
        <w:numPr>
          <w:ilvl w:val="1"/>
          <w:numId w:val="2"/>
        </w:numPr>
      </w:pPr>
      <w:r w:rsidRPr="00F71DE4">
        <w:t>Table 12</w:t>
      </w:r>
      <w:r w:rsidR="00285CB1" w:rsidRPr="00A862C6">
        <w:t xml:space="preserve"> summarises the key drive</w:t>
      </w:r>
      <w:r w:rsidR="00463311" w:rsidRPr="00A862C6">
        <w:t>r</w:t>
      </w:r>
      <w:r w:rsidR="00285CB1" w:rsidRPr="00A862C6">
        <w:t xml:space="preserve">s for the </w:t>
      </w:r>
      <w:r w:rsidR="00463311" w:rsidRPr="00A862C6">
        <w:t xml:space="preserve">economic </w:t>
      </w:r>
      <w:r w:rsidR="00285CB1" w:rsidRPr="00A862C6">
        <w:t>model.</w:t>
      </w:r>
      <w:r w:rsidR="001775F1" w:rsidRPr="00A862C6">
        <w:t xml:space="preserve"> </w:t>
      </w:r>
      <w:r w:rsidR="001775F1" w:rsidRPr="00A862C6">
        <w:rPr>
          <w:iCs/>
        </w:rPr>
        <w:t>It was noted that the benefit in OS of nivolumab compared to IC</w:t>
      </w:r>
      <w:r w:rsidR="00614886" w:rsidRPr="00A862C6">
        <w:rPr>
          <w:iCs/>
        </w:rPr>
        <w:t xml:space="preserve"> </w:t>
      </w:r>
      <w:r w:rsidR="001775F1" w:rsidRPr="00A862C6">
        <w:rPr>
          <w:iCs/>
        </w:rPr>
        <w:t xml:space="preserve">was likely </w:t>
      </w:r>
      <w:r w:rsidR="00CA40B3" w:rsidRPr="00A862C6">
        <w:rPr>
          <w:iCs/>
        </w:rPr>
        <w:t xml:space="preserve">to be </w:t>
      </w:r>
      <w:r w:rsidR="001775F1" w:rsidRPr="00A862C6">
        <w:rPr>
          <w:iCs/>
        </w:rPr>
        <w:t>a key driver of the model</w:t>
      </w:r>
      <w:r w:rsidR="00F2629B" w:rsidRPr="00A862C6">
        <w:rPr>
          <w:iCs/>
        </w:rPr>
        <w:t>; h</w:t>
      </w:r>
      <w:r w:rsidR="001775F1" w:rsidRPr="00A862C6">
        <w:rPr>
          <w:iCs/>
        </w:rPr>
        <w:t>owever</w:t>
      </w:r>
      <w:r w:rsidR="00F2629B" w:rsidRPr="00A862C6">
        <w:rPr>
          <w:iCs/>
        </w:rPr>
        <w:t>,</w:t>
      </w:r>
      <w:r w:rsidR="001775F1" w:rsidRPr="00A862C6">
        <w:rPr>
          <w:iCs/>
        </w:rPr>
        <w:t xml:space="preserve"> this was difficult to test during sensitivity analysis and its</w:t>
      </w:r>
      <w:r w:rsidR="000E4C13" w:rsidRPr="00A862C6">
        <w:rPr>
          <w:iCs/>
        </w:rPr>
        <w:t xml:space="preserve"> impact could not be quantified.</w:t>
      </w:r>
    </w:p>
    <w:p w:rsidR="00285CB1" w:rsidRPr="00A862C6" w:rsidRDefault="00285CB1" w:rsidP="006E56B4">
      <w:pPr>
        <w:pStyle w:val="Caption"/>
        <w:keepNext/>
        <w:keepLines/>
        <w:spacing w:after="0"/>
        <w:rPr>
          <w:rStyle w:val="CommentReference"/>
          <w:b/>
          <w:bCs w:val="0"/>
          <w:color w:val="auto"/>
        </w:rPr>
      </w:pPr>
      <w:bookmarkStart w:id="37" w:name="_Ref70358218"/>
      <w:r w:rsidRPr="00A862C6">
        <w:rPr>
          <w:rStyle w:val="CommentReference"/>
          <w:b/>
          <w:bCs w:val="0"/>
          <w:color w:val="auto"/>
        </w:rPr>
        <w:t xml:space="preserve">Table </w:t>
      </w:r>
      <w:r w:rsidR="00F71DE4">
        <w:rPr>
          <w:rStyle w:val="CommentReference"/>
          <w:b/>
          <w:bCs w:val="0"/>
          <w:noProof/>
          <w:color w:val="auto"/>
        </w:rPr>
        <w:t>12</w:t>
      </w:r>
      <w:bookmarkEnd w:id="37"/>
      <w:r w:rsidRPr="00A862C6">
        <w:rPr>
          <w:rStyle w:val="CommentReference"/>
          <w:b/>
          <w:bCs w:val="0"/>
          <w:color w:val="auto"/>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4963"/>
        <w:gridCol w:w="2925"/>
      </w:tblGrid>
      <w:tr w:rsidR="00285CB1" w:rsidRPr="00A862C6" w:rsidTr="006C7F55">
        <w:trPr>
          <w:tblHeader/>
        </w:trPr>
        <w:tc>
          <w:tcPr>
            <w:tcW w:w="626" w:type="pct"/>
            <w:shd w:val="clear" w:color="auto" w:fill="auto"/>
            <w:vAlign w:val="center"/>
          </w:tcPr>
          <w:p w:rsidR="00285CB1" w:rsidRPr="00A862C6" w:rsidRDefault="00285CB1" w:rsidP="006E56B4">
            <w:pPr>
              <w:pStyle w:val="Tabletext"/>
              <w:keepNext/>
              <w:keepLines/>
              <w:rPr>
                <w:b/>
              </w:rPr>
            </w:pPr>
            <w:r w:rsidRPr="00A862C6">
              <w:rPr>
                <w:b/>
              </w:rPr>
              <w:t>Description</w:t>
            </w:r>
          </w:p>
        </w:tc>
        <w:tc>
          <w:tcPr>
            <w:tcW w:w="2752" w:type="pct"/>
            <w:shd w:val="clear" w:color="auto" w:fill="auto"/>
            <w:vAlign w:val="center"/>
          </w:tcPr>
          <w:p w:rsidR="00285CB1" w:rsidRPr="00A862C6" w:rsidRDefault="00285CB1" w:rsidP="006E56B4">
            <w:pPr>
              <w:pStyle w:val="Tabletext"/>
              <w:keepNext/>
              <w:keepLines/>
              <w:jc w:val="center"/>
              <w:rPr>
                <w:b/>
              </w:rPr>
            </w:pPr>
            <w:r w:rsidRPr="00A862C6">
              <w:rPr>
                <w:b/>
              </w:rPr>
              <w:t>Method/Value</w:t>
            </w:r>
          </w:p>
        </w:tc>
        <w:tc>
          <w:tcPr>
            <w:tcW w:w="1622" w:type="pct"/>
            <w:shd w:val="clear" w:color="auto" w:fill="auto"/>
            <w:vAlign w:val="center"/>
          </w:tcPr>
          <w:p w:rsidR="00285CB1" w:rsidRPr="00A862C6" w:rsidRDefault="00285CB1" w:rsidP="006E56B4">
            <w:pPr>
              <w:pStyle w:val="Tabletext"/>
              <w:keepNext/>
              <w:keepLines/>
              <w:jc w:val="center"/>
              <w:rPr>
                <w:b/>
              </w:rPr>
            </w:pPr>
            <w:r w:rsidRPr="00A862C6">
              <w:rPr>
                <w:b/>
              </w:rPr>
              <w:t>Impact</w:t>
            </w:r>
          </w:p>
          <w:p w:rsidR="00F24E60" w:rsidRPr="00A862C6" w:rsidRDefault="00634BC1" w:rsidP="006E56B4">
            <w:pPr>
              <w:pStyle w:val="Tabletext"/>
              <w:keepNext/>
              <w:keepLines/>
              <w:jc w:val="center"/>
              <w:rPr>
                <w:b/>
              </w:rPr>
            </w:pPr>
            <w:r w:rsidRPr="00A862C6">
              <w:rPr>
                <w:b/>
              </w:rPr>
              <w:t>Base case: $</w:t>
            </w:r>
            <w:r w:rsidR="00027DFC">
              <w:rPr>
                <w:b/>
                <w:noProof/>
                <w:color w:val="000000"/>
                <w:highlight w:val="black"/>
              </w:rPr>
              <w:t>'''''''''''''</w:t>
            </w:r>
            <w:r w:rsidR="00A54056">
              <w:rPr>
                <w:vertAlign w:val="superscript"/>
              </w:rPr>
              <w:t>1</w:t>
            </w:r>
            <w:r w:rsidRPr="00A862C6">
              <w:rPr>
                <w:b/>
              </w:rPr>
              <w:t>/</w:t>
            </w:r>
            <w:r w:rsidR="00F24E60" w:rsidRPr="00A862C6">
              <w:rPr>
                <w:b/>
              </w:rPr>
              <w:t>QALY gained</w:t>
            </w:r>
          </w:p>
        </w:tc>
      </w:tr>
      <w:tr w:rsidR="00285CB1" w:rsidRPr="00A862C6" w:rsidTr="006C7F55">
        <w:tc>
          <w:tcPr>
            <w:tcW w:w="626" w:type="pct"/>
            <w:shd w:val="clear" w:color="auto" w:fill="auto"/>
            <w:vAlign w:val="center"/>
          </w:tcPr>
          <w:p w:rsidR="00285CB1" w:rsidRPr="00A862C6" w:rsidRDefault="00285CB1" w:rsidP="006E56B4">
            <w:pPr>
              <w:pStyle w:val="Tabletext"/>
              <w:keepNext/>
              <w:keepLines/>
            </w:pPr>
            <w:r w:rsidRPr="00A862C6">
              <w:t>Utilities</w:t>
            </w:r>
          </w:p>
        </w:tc>
        <w:tc>
          <w:tcPr>
            <w:tcW w:w="2752" w:type="pct"/>
            <w:shd w:val="clear" w:color="auto" w:fill="auto"/>
            <w:vAlign w:val="center"/>
          </w:tcPr>
          <w:p w:rsidR="00285CB1" w:rsidRPr="00A54056" w:rsidRDefault="00285CB1" w:rsidP="00A54056">
            <w:pPr>
              <w:pStyle w:val="Tabletext"/>
              <w:keepNext/>
              <w:keepLines/>
              <w:rPr>
                <w:vertAlign w:val="superscript"/>
              </w:rPr>
            </w:pPr>
            <w:r w:rsidRPr="00A862C6">
              <w:t xml:space="preserve">Values for model health states taken from ATTRACTION-3 </w:t>
            </w:r>
            <w:r w:rsidR="00463311" w:rsidRPr="00A862C6">
              <w:t xml:space="preserve">and scored using Australian tariffs (Viney 2011). Differential utility applied for same health state depending on treatment arm, but independent </w:t>
            </w:r>
            <w:r w:rsidR="002C7CC2" w:rsidRPr="00A862C6">
              <w:t>to</w:t>
            </w:r>
            <w:r w:rsidR="00463311" w:rsidRPr="00A862C6">
              <w:t xml:space="preserve"> whether patient was on treatment or not</w:t>
            </w:r>
            <w:r w:rsidR="00A862C6">
              <w:t xml:space="preserve">. </w:t>
            </w:r>
          </w:p>
        </w:tc>
        <w:tc>
          <w:tcPr>
            <w:tcW w:w="1622" w:type="pct"/>
            <w:shd w:val="clear" w:color="auto" w:fill="auto"/>
            <w:vAlign w:val="center"/>
          </w:tcPr>
          <w:p w:rsidR="00285CB1" w:rsidRPr="00A862C6" w:rsidRDefault="00D2338B" w:rsidP="00F24E60">
            <w:pPr>
              <w:pStyle w:val="Tabletext"/>
              <w:keepNext/>
              <w:keepLines/>
            </w:pPr>
            <w:r w:rsidRPr="00A862C6">
              <w:t>Moderate</w:t>
            </w:r>
            <w:r w:rsidR="00285CB1" w:rsidRPr="00A862C6">
              <w:t>, favour</w:t>
            </w:r>
            <w:r w:rsidR="006E56B4" w:rsidRPr="00A862C6">
              <w:t>ed</w:t>
            </w:r>
            <w:r w:rsidR="00285CB1" w:rsidRPr="00A862C6">
              <w:t xml:space="preserve"> nivolumab. Assuming no differen</w:t>
            </w:r>
            <w:r w:rsidR="006E56B4" w:rsidRPr="00A862C6">
              <w:t>tial</w:t>
            </w:r>
            <w:r w:rsidR="00285CB1" w:rsidRPr="00A862C6">
              <w:t xml:space="preserve"> utility </w:t>
            </w:r>
            <w:r w:rsidR="00463311" w:rsidRPr="00A862C6">
              <w:t xml:space="preserve">between </w:t>
            </w:r>
            <w:r w:rsidR="00285CB1" w:rsidRPr="00A862C6">
              <w:t>treatment arm</w:t>
            </w:r>
            <w:r w:rsidR="00B71DC3" w:rsidRPr="00A862C6">
              <w:t>s</w:t>
            </w:r>
            <w:r w:rsidR="00285CB1" w:rsidRPr="00A862C6">
              <w:t xml:space="preserve"> increased the ICER </w:t>
            </w:r>
            <w:r w:rsidR="00F24E60" w:rsidRPr="00A862C6">
              <w:t xml:space="preserve">to </w:t>
            </w:r>
            <w:r w:rsidR="0083308D" w:rsidRPr="00A862C6">
              <w:t>$</w:t>
            </w:r>
            <w:r w:rsidR="00027DFC">
              <w:rPr>
                <w:noProof/>
                <w:color w:val="000000"/>
                <w:highlight w:val="black"/>
              </w:rPr>
              <w:t>'''''''''''''''</w:t>
            </w:r>
            <w:r w:rsidR="00A54056">
              <w:rPr>
                <w:vertAlign w:val="superscript"/>
              </w:rPr>
              <w:t>2</w:t>
            </w:r>
            <w:r w:rsidR="00634BC1" w:rsidRPr="00A862C6">
              <w:t>.</w:t>
            </w:r>
          </w:p>
        </w:tc>
      </w:tr>
      <w:tr w:rsidR="00463311" w:rsidRPr="00A862C6" w:rsidTr="006C7F55">
        <w:tc>
          <w:tcPr>
            <w:tcW w:w="626" w:type="pct"/>
            <w:shd w:val="clear" w:color="auto" w:fill="auto"/>
            <w:vAlign w:val="center"/>
          </w:tcPr>
          <w:p w:rsidR="00463311" w:rsidRPr="00A862C6" w:rsidRDefault="00463311" w:rsidP="006E56B4">
            <w:pPr>
              <w:pStyle w:val="Tabletext"/>
              <w:keepNext/>
              <w:keepLines/>
            </w:pPr>
            <w:r w:rsidRPr="00A862C6">
              <w:t>Time horizon</w:t>
            </w:r>
          </w:p>
        </w:tc>
        <w:tc>
          <w:tcPr>
            <w:tcW w:w="2752" w:type="pct"/>
            <w:shd w:val="clear" w:color="auto" w:fill="auto"/>
            <w:vAlign w:val="center"/>
          </w:tcPr>
          <w:p w:rsidR="00463311" w:rsidRPr="00A862C6" w:rsidRDefault="00463311" w:rsidP="006E56B4">
            <w:pPr>
              <w:pStyle w:val="Tabletext"/>
              <w:keepNext/>
              <w:keepLines/>
            </w:pPr>
            <w:r w:rsidRPr="00A862C6">
              <w:t xml:space="preserve">Base case time horizon was 7 years but given the nature of the disease and low five-year survival rates (4.9%), it might be optimistic. </w:t>
            </w:r>
          </w:p>
        </w:tc>
        <w:tc>
          <w:tcPr>
            <w:tcW w:w="1622" w:type="pct"/>
            <w:shd w:val="clear" w:color="auto" w:fill="auto"/>
            <w:vAlign w:val="center"/>
          </w:tcPr>
          <w:p w:rsidR="00463311" w:rsidRPr="00A862C6" w:rsidRDefault="00463311" w:rsidP="00B94B64">
            <w:pPr>
              <w:pStyle w:val="Tabletext"/>
              <w:keepNext/>
              <w:keepLines/>
            </w:pPr>
            <w:r w:rsidRPr="00A862C6">
              <w:t>Moderate</w:t>
            </w:r>
            <w:r w:rsidR="00F24E60" w:rsidRPr="00A862C6">
              <w:t>,</w:t>
            </w:r>
            <w:r w:rsidRPr="00A862C6">
              <w:t xml:space="preserve"> favour</w:t>
            </w:r>
            <w:r w:rsidR="006E56B4" w:rsidRPr="00A862C6">
              <w:t>ed</w:t>
            </w:r>
            <w:r w:rsidRPr="00A862C6">
              <w:t xml:space="preserve"> nivolumab. </w:t>
            </w:r>
            <w:r w:rsidR="00B94B64" w:rsidRPr="00A862C6">
              <w:t xml:space="preserve">Changing </w:t>
            </w:r>
            <w:r w:rsidRPr="00A862C6">
              <w:t xml:space="preserve">time horizon to 5 years increased </w:t>
            </w:r>
            <w:r w:rsidR="00382C4D" w:rsidRPr="00A862C6">
              <w:t xml:space="preserve">the </w:t>
            </w:r>
            <w:r w:rsidRPr="00A862C6">
              <w:t xml:space="preserve">ICER </w:t>
            </w:r>
            <w:r w:rsidR="00F24E60" w:rsidRPr="00A862C6">
              <w:t xml:space="preserve">to </w:t>
            </w:r>
            <w:r w:rsidR="00634BC1" w:rsidRPr="00A862C6">
              <w:t>$</w:t>
            </w:r>
            <w:r w:rsidR="00027DFC">
              <w:rPr>
                <w:noProof/>
                <w:color w:val="000000"/>
                <w:highlight w:val="black"/>
              </w:rPr>
              <w:t>'''''''''''''''</w:t>
            </w:r>
            <w:r w:rsidR="00A54056">
              <w:rPr>
                <w:vertAlign w:val="superscript"/>
              </w:rPr>
              <w:t>2</w:t>
            </w:r>
            <w:r w:rsidR="00634BC1" w:rsidRPr="00A862C6">
              <w:t>.</w:t>
            </w:r>
          </w:p>
        </w:tc>
      </w:tr>
      <w:tr w:rsidR="006E56B4" w:rsidRPr="00A862C6" w:rsidTr="006C7F55">
        <w:tc>
          <w:tcPr>
            <w:tcW w:w="626" w:type="pct"/>
            <w:shd w:val="clear" w:color="auto" w:fill="auto"/>
            <w:vAlign w:val="center"/>
          </w:tcPr>
          <w:p w:rsidR="006E56B4" w:rsidRPr="00A862C6" w:rsidRDefault="006E56B4" w:rsidP="006E56B4">
            <w:pPr>
              <w:pStyle w:val="Tabletext"/>
              <w:keepNext/>
              <w:keepLines/>
            </w:pPr>
            <w:r w:rsidRPr="00A862C6">
              <w:t xml:space="preserve">Adverse events </w:t>
            </w:r>
          </w:p>
        </w:tc>
        <w:tc>
          <w:tcPr>
            <w:tcW w:w="2752" w:type="pct"/>
            <w:shd w:val="clear" w:color="auto" w:fill="auto"/>
            <w:vAlign w:val="center"/>
          </w:tcPr>
          <w:p w:rsidR="006E56B4" w:rsidRPr="00A862C6" w:rsidRDefault="006E56B4" w:rsidP="006E56B4">
            <w:pPr>
              <w:pStyle w:val="Tabletext"/>
              <w:keepNext/>
              <w:keepLines/>
            </w:pPr>
            <w:r w:rsidRPr="00A862C6">
              <w:t>The costs of managing drug-related grade 3 or 4 AEs that occurred in ≥5% of patients in either arm of ATTRACTION-3 that were statistically significantly different between treatment arms were included, and it was assumed each AE involved hospitalisation.</w:t>
            </w:r>
          </w:p>
          <w:p w:rsidR="006E56B4" w:rsidRPr="00A862C6" w:rsidRDefault="006E56B4" w:rsidP="006E56B4">
            <w:pPr>
              <w:pStyle w:val="Tabletext"/>
              <w:keepNext/>
              <w:keepLines/>
            </w:pPr>
          </w:p>
          <w:p w:rsidR="006E56B4" w:rsidRPr="00A862C6" w:rsidRDefault="006E56B4" w:rsidP="006E56B4">
            <w:pPr>
              <w:pStyle w:val="Tabletext"/>
              <w:keepNext/>
              <w:keepLines/>
            </w:pPr>
            <w:r w:rsidRPr="00A862C6">
              <w:t>While it was reasonable to assume a reduction in cost of managing AE with nivolumab to be consistent with a claim of superior safety, the unit costs of managing AEs may have been overestimated by the submission.</w:t>
            </w:r>
          </w:p>
        </w:tc>
        <w:tc>
          <w:tcPr>
            <w:tcW w:w="1622" w:type="pct"/>
            <w:shd w:val="clear" w:color="auto" w:fill="auto"/>
            <w:vAlign w:val="center"/>
          </w:tcPr>
          <w:p w:rsidR="006E56B4" w:rsidRPr="00A862C6" w:rsidRDefault="006E56B4" w:rsidP="00382C4D">
            <w:pPr>
              <w:pStyle w:val="Tabletext"/>
              <w:keepNext/>
              <w:keepLines/>
            </w:pPr>
            <w:r w:rsidRPr="00A862C6">
              <w:t>Moderate, favoured nivolumab. Removal of AE costs in the economic model increase</w:t>
            </w:r>
            <w:r w:rsidR="00382C4D" w:rsidRPr="00A862C6">
              <w:t>d</w:t>
            </w:r>
            <w:r w:rsidRPr="00A862C6">
              <w:t xml:space="preserve"> the estimated ICER</w:t>
            </w:r>
            <w:r w:rsidR="00382C4D" w:rsidRPr="00A862C6">
              <w:t xml:space="preserve"> to $</w:t>
            </w:r>
            <w:r w:rsidR="00027DFC">
              <w:rPr>
                <w:noProof/>
                <w:color w:val="000000"/>
                <w:highlight w:val="black"/>
              </w:rPr>
              <w:t>'''''''''''''''''</w:t>
            </w:r>
            <w:r w:rsidR="00A54056">
              <w:rPr>
                <w:vertAlign w:val="superscript"/>
              </w:rPr>
              <w:t>2</w:t>
            </w:r>
            <w:r w:rsidRPr="00A862C6">
              <w:t xml:space="preserve">. While this was an implausible scenario (it would be reasonable to assume higher AE management costs for IC compared to nivolumab) it illustrates the upper limit of the impact of the estimate for AE management costs. </w:t>
            </w:r>
          </w:p>
        </w:tc>
      </w:tr>
    </w:tbl>
    <w:p w:rsidR="00B71DC3" w:rsidRPr="00A862C6" w:rsidRDefault="00285CB1" w:rsidP="006E56B4">
      <w:pPr>
        <w:pStyle w:val="TableFooter"/>
        <w:keepNext/>
        <w:keepLines/>
      </w:pPr>
      <w:r w:rsidRPr="00A862C6">
        <w:t>Source: Complied during evaluation.</w:t>
      </w:r>
    </w:p>
    <w:p w:rsidR="00285CB1" w:rsidRPr="00A862C6" w:rsidRDefault="006C7F55" w:rsidP="006E56B4">
      <w:pPr>
        <w:pStyle w:val="TableFooter"/>
        <w:keepNext/>
        <w:keepLines/>
      </w:pPr>
      <w:r w:rsidRPr="00A862C6">
        <w:t>AE =</w:t>
      </w:r>
      <w:r w:rsidR="00FB5DEF" w:rsidRPr="00A862C6">
        <w:t xml:space="preserve"> adverse event;</w:t>
      </w:r>
      <w:r w:rsidRPr="00A862C6">
        <w:t xml:space="preserve"> AIC = </w:t>
      </w:r>
      <w:r w:rsidR="00FB5DEF" w:rsidRPr="00A862C6">
        <w:t>Akaike’s information criteria</w:t>
      </w:r>
      <w:r w:rsidRPr="00A862C6">
        <w:t>; BIC =</w:t>
      </w:r>
      <w:r w:rsidR="00FB5DEF" w:rsidRPr="00A862C6">
        <w:t xml:space="preserve"> Bayesian information criteria</w:t>
      </w:r>
      <w:r w:rsidRPr="00A862C6">
        <w:t xml:space="preserve">; IC = </w:t>
      </w:r>
      <w:r w:rsidR="00FB5DEF" w:rsidRPr="00A862C6">
        <w:t xml:space="preserve">investigator’s choice; </w:t>
      </w:r>
      <w:r w:rsidRPr="00A862C6">
        <w:t xml:space="preserve">ICER = </w:t>
      </w:r>
      <w:r w:rsidR="00FB5DEF" w:rsidRPr="00A862C6">
        <w:t xml:space="preserve">incremental cost effectiveness ratio; </w:t>
      </w:r>
      <w:r w:rsidRPr="00A862C6">
        <w:t xml:space="preserve">PFS </w:t>
      </w:r>
      <w:r w:rsidR="00FB5DEF" w:rsidRPr="00A862C6">
        <w:t xml:space="preserve">= progression free survival; </w:t>
      </w:r>
      <w:r w:rsidRPr="00A862C6">
        <w:t>OS</w:t>
      </w:r>
      <w:r w:rsidR="00FB5DEF" w:rsidRPr="00A862C6">
        <w:t xml:space="preserve"> = overall survival </w:t>
      </w:r>
    </w:p>
    <w:p w:rsidR="00A54056" w:rsidRDefault="00A54056" w:rsidP="00A54056">
      <w:pPr>
        <w:pStyle w:val="TableFigureFooter"/>
        <w:spacing w:after="0"/>
        <w:contextualSpacing w:val="0"/>
        <w:rPr>
          <w:i/>
        </w:rPr>
      </w:pPr>
      <w:r w:rsidRPr="009868C4">
        <w:rPr>
          <w:i/>
        </w:rPr>
        <w:t>The redacted values correspond to the following ranges</w:t>
      </w:r>
      <w:r>
        <w:rPr>
          <w:i/>
        </w:rPr>
        <w:t xml:space="preserve">: </w:t>
      </w:r>
    </w:p>
    <w:p w:rsidR="00A54056" w:rsidRPr="00870C5D" w:rsidRDefault="00A54056" w:rsidP="00A54056">
      <w:pPr>
        <w:pStyle w:val="TableFigureFooter"/>
        <w:spacing w:after="0"/>
        <w:contextualSpacing w:val="0"/>
      </w:pPr>
      <w:r>
        <w:rPr>
          <w:i/>
          <w:vertAlign w:val="superscript"/>
        </w:rPr>
        <w:t>1</w:t>
      </w:r>
      <w:r>
        <w:rPr>
          <w:i/>
        </w:rPr>
        <w:t xml:space="preserve"> </w:t>
      </w:r>
      <w:r w:rsidRPr="00A54056">
        <w:rPr>
          <w:i/>
        </w:rPr>
        <w:t>$55,000 to &lt; $75,000</w:t>
      </w:r>
    </w:p>
    <w:p w:rsidR="00A54056" w:rsidRPr="00870C5D" w:rsidRDefault="00A54056" w:rsidP="00A54056">
      <w:pPr>
        <w:pStyle w:val="TableFigureFooter"/>
        <w:spacing w:after="0"/>
        <w:contextualSpacing w:val="0"/>
      </w:pPr>
      <w:r>
        <w:rPr>
          <w:i/>
          <w:vertAlign w:val="superscript"/>
        </w:rPr>
        <w:t>2</w:t>
      </w:r>
      <w:r>
        <w:rPr>
          <w:i/>
        </w:rPr>
        <w:t xml:space="preserve"> </w:t>
      </w:r>
      <w:r w:rsidRPr="00A54056">
        <w:rPr>
          <w:i/>
        </w:rPr>
        <w:t>$75,000 to &lt; $95,000</w:t>
      </w:r>
    </w:p>
    <w:p w:rsidR="00285CB1" w:rsidRPr="00A862C6" w:rsidRDefault="00285CB1" w:rsidP="00285CB1">
      <w:pPr>
        <w:widowControl/>
      </w:pPr>
    </w:p>
    <w:p w:rsidR="00285CB1" w:rsidRPr="00A862C6" w:rsidRDefault="00F71DE4" w:rsidP="00DD46F0">
      <w:pPr>
        <w:pStyle w:val="ListParagraph"/>
        <w:widowControl/>
        <w:numPr>
          <w:ilvl w:val="1"/>
          <w:numId w:val="2"/>
        </w:numPr>
      </w:pPr>
      <w:r w:rsidRPr="00F71DE4">
        <w:t>Table 13</w:t>
      </w:r>
      <w:r w:rsidR="00285CB1" w:rsidRPr="00A862C6">
        <w:t xml:space="preserve"> summaries the results of the stepped economic evaluation presented in the submission. </w:t>
      </w:r>
    </w:p>
    <w:p w:rsidR="00285CB1" w:rsidRPr="00A862C6" w:rsidRDefault="00285CB1" w:rsidP="00B71DC3">
      <w:pPr>
        <w:pStyle w:val="Caption"/>
        <w:keepNext/>
        <w:keepLines/>
        <w:spacing w:after="0"/>
        <w:rPr>
          <w:rStyle w:val="CommentReference"/>
          <w:b/>
          <w:bCs w:val="0"/>
          <w:color w:val="auto"/>
        </w:rPr>
      </w:pPr>
      <w:bookmarkStart w:id="38" w:name="_Ref70358278"/>
      <w:r w:rsidRPr="00A862C6">
        <w:rPr>
          <w:rStyle w:val="CommentReference"/>
          <w:b/>
          <w:bCs w:val="0"/>
          <w:color w:val="auto"/>
        </w:rPr>
        <w:t xml:space="preserve">Table </w:t>
      </w:r>
      <w:r w:rsidR="00F71DE4">
        <w:rPr>
          <w:rStyle w:val="CommentReference"/>
          <w:b/>
          <w:bCs w:val="0"/>
          <w:noProof/>
          <w:color w:val="auto"/>
        </w:rPr>
        <w:t>13</w:t>
      </w:r>
      <w:bookmarkEnd w:id="38"/>
      <w:r w:rsidRPr="00A862C6">
        <w:rPr>
          <w:rStyle w:val="CommentReference"/>
          <w:b/>
          <w:bCs w:val="0"/>
          <w:color w:val="auto"/>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285CB1" w:rsidRPr="00A862C6" w:rsidTr="00054F76">
        <w:trPr>
          <w:tblHeader/>
        </w:trPr>
        <w:tc>
          <w:tcPr>
            <w:tcW w:w="1529" w:type="pct"/>
            <w:vAlign w:val="center"/>
          </w:tcPr>
          <w:p w:rsidR="00285CB1" w:rsidRPr="00A862C6" w:rsidRDefault="00285CB1" w:rsidP="00B71DC3">
            <w:pPr>
              <w:pStyle w:val="Tabletext"/>
              <w:keepNext/>
              <w:keepLines/>
              <w:rPr>
                <w:b/>
              </w:rPr>
            </w:pPr>
            <w:r w:rsidRPr="00A862C6">
              <w:rPr>
                <w:b/>
              </w:rPr>
              <w:t>Step and component</w:t>
            </w:r>
          </w:p>
        </w:tc>
        <w:tc>
          <w:tcPr>
            <w:tcW w:w="1359" w:type="pct"/>
            <w:vAlign w:val="center"/>
          </w:tcPr>
          <w:p w:rsidR="00285CB1" w:rsidRPr="00A862C6" w:rsidRDefault="00285CB1" w:rsidP="00B71DC3">
            <w:pPr>
              <w:pStyle w:val="Tabletext"/>
              <w:keepNext/>
              <w:keepLines/>
              <w:jc w:val="center"/>
              <w:rPr>
                <w:b/>
              </w:rPr>
            </w:pPr>
            <w:r w:rsidRPr="00A862C6">
              <w:rPr>
                <w:b/>
              </w:rPr>
              <w:t>NIVO</w:t>
            </w:r>
          </w:p>
        </w:tc>
        <w:tc>
          <w:tcPr>
            <w:tcW w:w="1274" w:type="pct"/>
            <w:vAlign w:val="center"/>
          </w:tcPr>
          <w:p w:rsidR="00285CB1" w:rsidRPr="00A862C6" w:rsidRDefault="00285CB1" w:rsidP="00B71DC3">
            <w:pPr>
              <w:pStyle w:val="Tabletext"/>
              <w:keepNext/>
              <w:keepLines/>
              <w:jc w:val="center"/>
              <w:rPr>
                <w:b/>
              </w:rPr>
            </w:pPr>
            <w:r w:rsidRPr="00A862C6">
              <w:rPr>
                <w:b/>
              </w:rPr>
              <w:t>IC</w:t>
            </w:r>
          </w:p>
        </w:tc>
        <w:tc>
          <w:tcPr>
            <w:tcW w:w="838" w:type="pct"/>
            <w:vAlign w:val="center"/>
          </w:tcPr>
          <w:p w:rsidR="00285CB1" w:rsidRPr="00A862C6" w:rsidRDefault="00285CB1" w:rsidP="00B71DC3">
            <w:pPr>
              <w:pStyle w:val="Tabletext"/>
              <w:keepNext/>
              <w:keepLines/>
              <w:jc w:val="center"/>
              <w:rPr>
                <w:b/>
              </w:rPr>
            </w:pPr>
            <w:r w:rsidRPr="00A862C6">
              <w:rPr>
                <w:b/>
              </w:rPr>
              <w:t>Increment</w:t>
            </w:r>
          </w:p>
        </w:tc>
      </w:tr>
      <w:tr w:rsidR="00285CB1" w:rsidRPr="00A862C6" w:rsidTr="00054F76">
        <w:tc>
          <w:tcPr>
            <w:tcW w:w="5000" w:type="pct"/>
            <w:gridSpan w:val="4"/>
            <w:vAlign w:val="center"/>
          </w:tcPr>
          <w:p w:rsidR="00285CB1" w:rsidRPr="00A862C6" w:rsidRDefault="00285CB1" w:rsidP="00B71DC3">
            <w:pPr>
              <w:pStyle w:val="Tabletext"/>
              <w:keepNext/>
              <w:keepLines/>
              <w:rPr>
                <w:b/>
                <w:snapToGrid w:val="0"/>
                <w:vertAlign w:val="superscript"/>
              </w:rPr>
            </w:pPr>
            <w:r w:rsidRPr="00A862C6">
              <w:rPr>
                <w:b/>
                <w:snapToGrid w:val="0"/>
              </w:rPr>
              <w:t>Step 1: trial-based costs and outcomes (LYs)</w:t>
            </w:r>
            <w:r w:rsidR="008D7E2D" w:rsidRPr="00A862C6">
              <w:rPr>
                <w:b/>
                <w:snapToGrid w:val="0"/>
              </w:rPr>
              <w:t>, time horizon of 4.35 years, using only observed KM</w:t>
            </w:r>
            <w:r w:rsidR="008D7E2D" w:rsidRPr="00A862C6">
              <w:rPr>
                <w:b/>
                <w:snapToGrid w:val="0"/>
                <w:vertAlign w:val="superscript"/>
              </w:rPr>
              <w:t>a</w:t>
            </w:r>
          </w:p>
        </w:tc>
      </w:tr>
      <w:tr w:rsidR="00285CB1" w:rsidRPr="00A862C6" w:rsidTr="00054F76">
        <w:tc>
          <w:tcPr>
            <w:tcW w:w="1529" w:type="pct"/>
            <w:vAlign w:val="center"/>
          </w:tcPr>
          <w:p w:rsidR="00285CB1" w:rsidRPr="00A862C6" w:rsidRDefault="00285CB1" w:rsidP="00B71DC3">
            <w:pPr>
              <w:pStyle w:val="Tabletext"/>
              <w:keepNext/>
              <w:keepLines/>
              <w:rPr>
                <w:rFonts w:ascii="Times" w:hAnsi="Times"/>
              </w:rPr>
            </w:pPr>
            <w:r w:rsidRPr="00A862C6">
              <w:t>Costs</w:t>
            </w:r>
          </w:p>
        </w:tc>
        <w:tc>
          <w:tcPr>
            <w:tcW w:w="1359" w:type="pct"/>
            <w:vAlign w:val="center"/>
          </w:tcPr>
          <w:p w:rsidR="00285CB1" w:rsidRPr="00A862C6" w:rsidRDefault="00285CB1" w:rsidP="00B71DC3">
            <w:pPr>
              <w:pStyle w:val="Tabletext"/>
              <w:keepNext/>
              <w:keepLines/>
              <w:jc w:val="center"/>
              <w:rPr>
                <w:rFonts w:ascii="Times" w:hAnsi="Times"/>
              </w:rPr>
            </w:pPr>
            <w:r w:rsidRPr="00A862C6">
              <w:t>$</w:t>
            </w:r>
            <w:r w:rsidR="00027DFC">
              <w:rPr>
                <w:noProof/>
                <w:color w:val="000000"/>
                <w:highlight w:val="black"/>
              </w:rPr>
              <w:t>''''''''''''''''</w:t>
            </w:r>
          </w:p>
        </w:tc>
        <w:tc>
          <w:tcPr>
            <w:tcW w:w="1274" w:type="pct"/>
            <w:vAlign w:val="center"/>
          </w:tcPr>
          <w:p w:rsidR="00285CB1" w:rsidRPr="00A862C6" w:rsidRDefault="00285CB1" w:rsidP="00B71DC3">
            <w:pPr>
              <w:pStyle w:val="Tabletext"/>
              <w:keepNext/>
              <w:keepLines/>
              <w:jc w:val="center"/>
              <w:rPr>
                <w:rFonts w:ascii="Times" w:hAnsi="Times"/>
              </w:rPr>
            </w:pPr>
            <w:r w:rsidRPr="00A862C6">
              <w:t>$33,325</w:t>
            </w:r>
          </w:p>
        </w:tc>
        <w:tc>
          <w:tcPr>
            <w:tcW w:w="838" w:type="pct"/>
            <w:vAlign w:val="center"/>
          </w:tcPr>
          <w:p w:rsidR="00285CB1" w:rsidRPr="00A862C6" w:rsidRDefault="00285CB1" w:rsidP="00B71DC3">
            <w:pPr>
              <w:pStyle w:val="Tabletext"/>
              <w:keepNext/>
              <w:keepLines/>
              <w:jc w:val="center"/>
              <w:rPr>
                <w:rFonts w:ascii="Times" w:hAnsi="Times"/>
              </w:rPr>
            </w:pPr>
            <w:r w:rsidRPr="00A862C6">
              <w:t>$</w:t>
            </w:r>
            <w:r w:rsidR="00027DFC">
              <w:rPr>
                <w:noProof/>
                <w:color w:val="000000"/>
                <w:highlight w:val="black"/>
              </w:rPr>
              <w:t>''''''''''''''''''</w:t>
            </w:r>
          </w:p>
        </w:tc>
      </w:tr>
      <w:tr w:rsidR="00285CB1" w:rsidRPr="00A862C6" w:rsidTr="00054F76">
        <w:tc>
          <w:tcPr>
            <w:tcW w:w="1529" w:type="pct"/>
            <w:vAlign w:val="center"/>
          </w:tcPr>
          <w:p w:rsidR="00285CB1" w:rsidRPr="00A862C6" w:rsidRDefault="00285CB1" w:rsidP="00B71DC3">
            <w:pPr>
              <w:pStyle w:val="Tabletext"/>
              <w:keepNext/>
              <w:keepLines/>
              <w:rPr>
                <w:rFonts w:ascii="Times" w:hAnsi="Times"/>
              </w:rPr>
            </w:pPr>
            <w:r w:rsidRPr="00A862C6">
              <w:t>LYs</w:t>
            </w:r>
          </w:p>
        </w:tc>
        <w:tc>
          <w:tcPr>
            <w:tcW w:w="1359" w:type="pct"/>
            <w:vAlign w:val="center"/>
          </w:tcPr>
          <w:p w:rsidR="00285CB1" w:rsidRPr="00A862C6" w:rsidRDefault="00285CB1" w:rsidP="00B71DC3">
            <w:pPr>
              <w:pStyle w:val="Tabletext"/>
              <w:keepNext/>
              <w:keepLines/>
              <w:jc w:val="center"/>
              <w:rPr>
                <w:rFonts w:ascii="Times" w:hAnsi="Times"/>
              </w:rPr>
            </w:pPr>
            <w:r w:rsidRPr="00A862C6">
              <w:t>1.311</w:t>
            </w:r>
          </w:p>
        </w:tc>
        <w:tc>
          <w:tcPr>
            <w:tcW w:w="1274" w:type="pct"/>
            <w:vAlign w:val="center"/>
          </w:tcPr>
          <w:p w:rsidR="00285CB1" w:rsidRPr="00A862C6" w:rsidRDefault="00285CB1" w:rsidP="00B71DC3">
            <w:pPr>
              <w:pStyle w:val="Tabletext"/>
              <w:keepNext/>
              <w:keepLines/>
              <w:jc w:val="center"/>
              <w:rPr>
                <w:rFonts w:ascii="Times" w:hAnsi="Times"/>
              </w:rPr>
            </w:pPr>
            <w:r w:rsidRPr="00A862C6">
              <w:t>1.066</w:t>
            </w:r>
          </w:p>
        </w:tc>
        <w:tc>
          <w:tcPr>
            <w:tcW w:w="838" w:type="pct"/>
            <w:vAlign w:val="center"/>
          </w:tcPr>
          <w:p w:rsidR="00285CB1" w:rsidRPr="00A862C6" w:rsidRDefault="00285CB1" w:rsidP="00B71DC3">
            <w:pPr>
              <w:pStyle w:val="Tabletext"/>
              <w:keepNext/>
              <w:keepLines/>
              <w:jc w:val="center"/>
            </w:pPr>
            <w:r w:rsidRPr="00A862C6">
              <w:t>0.245</w:t>
            </w:r>
          </w:p>
        </w:tc>
      </w:tr>
      <w:tr w:rsidR="00285CB1" w:rsidRPr="00A862C6" w:rsidTr="00054F76">
        <w:tc>
          <w:tcPr>
            <w:tcW w:w="4162" w:type="pct"/>
            <w:gridSpan w:val="3"/>
            <w:vAlign w:val="center"/>
          </w:tcPr>
          <w:p w:rsidR="00285CB1" w:rsidRPr="00A862C6" w:rsidRDefault="00285CB1" w:rsidP="00B71DC3">
            <w:pPr>
              <w:pStyle w:val="Tabletext"/>
              <w:keepNext/>
              <w:keepLines/>
              <w:rPr>
                <w:rFonts w:ascii="Times" w:hAnsi="Times"/>
                <w:snapToGrid w:val="0"/>
              </w:rPr>
            </w:pPr>
            <w:r w:rsidRPr="00A862C6">
              <w:t>Incremental cost/extra LY gained</w:t>
            </w:r>
          </w:p>
        </w:tc>
        <w:tc>
          <w:tcPr>
            <w:tcW w:w="838" w:type="pct"/>
            <w:vAlign w:val="center"/>
          </w:tcPr>
          <w:p w:rsidR="00285CB1" w:rsidRPr="00A862C6" w:rsidRDefault="00285CB1" w:rsidP="00B71DC3">
            <w:pPr>
              <w:pStyle w:val="Tabletext"/>
              <w:keepNext/>
              <w:keepLines/>
              <w:jc w:val="center"/>
              <w:rPr>
                <w:rFonts w:ascii="Times" w:hAnsi="Times"/>
              </w:rPr>
            </w:pPr>
            <w:r w:rsidRPr="00A862C6">
              <w:t>$</w:t>
            </w:r>
            <w:r w:rsidR="00027DFC">
              <w:rPr>
                <w:noProof/>
                <w:color w:val="000000"/>
                <w:highlight w:val="black"/>
              </w:rPr>
              <w:t>'''''''''''''''</w:t>
            </w:r>
            <w:r w:rsidR="00A54056">
              <w:rPr>
                <w:vertAlign w:val="superscript"/>
              </w:rPr>
              <w:t>1</w:t>
            </w:r>
          </w:p>
        </w:tc>
      </w:tr>
      <w:tr w:rsidR="00285CB1" w:rsidRPr="00A862C6" w:rsidTr="00054F76">
        <w:tc>
          <w:tcPr>
            <w:tcW w:w="5000" w:type="pct"/>
            <w:gridSpan w:val="4"/>
            <w:vAlign w:val="center"/>
          </w:tcPr>
          <w:p w:rsidR="00285CB1" w:rsidRPr="00A862C6" w:rsidRDefault="00285CB1" w:rsidP="00B71DC3">
            <w:pPr>
              <w:pStyle w:val="Tabletext"/>
              <w:keepNext/>
              <w:keepLines/>
              <w:rPr>
                <w:b/>
                <w:snapToGrid w:val="0"/>
                <w:vertAlign w:val="superscript"/>
              </w:rPr>
            </w:pPr>
            <w:r w:rsidRPr="00A862C6">
              <w:rPr>
                <w:b/>
                <w:snapToGrid w:val="0"/>
              </w:rPr>
              <w:t xml:space="preserve">Step 2: </w:t>
            </w:r>
            <w:r w:rsidRPr="00A862C6">
              <w:rPr>
                <w:b/>
              </w:rPr>
              <w:t>trial-based costs and outcomes (QALYs)</w:t>
            </w:r>
            <w:r w:rsidR="008D7E2D" w:rsidRPr="00A862C6">
              <w:rPr>
                <w:b/>
              </w:rPr>
              <w:t>, time horizon of 4.35 years, using only observed KM</w:t>
            </w:r>
            <w:r w:rsidR="008D7E2D" w:rsidRPr="00A862C6">
              <w:rPr>
                <w:b/>
                <w:vertAlign w:val="superscript"/>
              </w:rPr>
              <w:t>a</w:t>
            </w:r>
          </w:p>
        </w:tc>
      </w:tr>
      <w:tr w:rsidR="00285CB1" w:rsidRPr="00A862C6" w:rsidTr="00054F76">
        <w:tc>
          <w:tcPr>
            <w:tcW w:w="1529" w:type="pct"/>
            <w:vAlign w:val="center"/>
          </w:tcPr>
          <w:p w:rsidR="00285CB1" w:rsidRPr="00A862C6" w:rsidRDefault="00285CB1" w:rsidP="00B71DC3">
            <w:pPr>
              <w:pStyle w:val="Tabletext"/>
              <w:keepNext/>
              <w:keepLines/>
              <w:rPr>
                <w:rFonts w:ascii="Times" w:hAnsi="Times"/>
              </w:rPr>
            </w:pPr>
            <w:r w:rsidRPr="00A862C6">
              <w:t>Costs</w:t>
            </w:r>
          </w:p>
        </w:tc>
        <w:tc>
          <w:tcPr>
            <w:tcW w:w="1359" w:type="pct"/>
            <w:vAlign w:val="center"/>
          </w:tcPr>
          <w:p w:rsidR="00285CB1" w:rsidRPr="00A862C6" w:rsidRDefault="00285CB1" w:rsidP="00B71DC3">
            <w:pPr>
              <w:pStyle w:val="Tabletext"/>
              <w:keepNext/>
              <w:keepLines/>
              <w:jc w:val="center"/>
              <w:rPr>
                <w:rFonts w:ascii="Times" w:hAnsi="Times"/>
              </w:rPr>
            </w:pPr>
            <w:r w:rsidRPr="00A862C6">
              <w:t>$</w:t>
            </w:r>
            <w:r w:rsidR="00027DFC">
              <w:rPr>
                <w:noProof/>
                <w:color w:val="000000"/>
                <w:highlight w:val="black"/>
              </w:rPr>
              <w:t>'''''''''''''''</w:t>
            </w:r>
          </w:p>
        </w:tc>
        <w:tc>
          <w:tcPr>
            <w:tcW w:w="1274" w:type="pct"/>
            <w:vAlign w:val="center"/>
          </w:tcPr>
          <w:p w:rsidR="00285CB1" w:rsidRPr="00A862C6" w:rsidRDefault="00285CB1" w:rsidP="00B71DC3">
            <w:pPr>
              <w:pStyle w:val="Tabletext"/>
              <w:keepNext/>
              <w:keepLines/>
              <w:jc w:val="center"/>
              <w:rPr>
                <w:rFonts w:ascii="Times" w:hAnsi="Times"/>
              </w:rPr>
            </w:pPr>
            <w:r w:rsidRPr="00A862C6">
              <w:t>$33,325</w:t>
            </w:r>
          </w:p>
        </w:tc>
        <w:tc>
          <w:tcPr>
            <w:tcW w:w="838" w:type="pct"/>
            <w:vAlign w:val="center"/>
          </w:tcPr>
          <w:p w:rsidR="00285CB1" w:rsidRPr="00A862C6" w:rsidRDefault="00285CB1" w:rsidP="00B71DC3">
            <w:pPr>
              <w:pStyle w:val="Tabletext"/>
              <w:keepNext/>
              <w:keepLines/>
              <w:jc w:val="center"/>
              <w:rPr>
                <w:rFonts w:ascii="Times" w:hAnsi="Times"/>
              </w:rPr>
            </w:pPr>
            <w:r w:rsidRPr="00A862C6">
              <w:t>$</w:t>
            </w:r>
            <w:r w:rsidR="00027DFC">
              <w:rPr>
                <w:noProof/>
                <w:color w:val="000000"/>
                <w:highlight w:val="black"/>
              </w:rPr>
              <w:t>'''''''''''''''''</w:t>
            </w:r>
          </w:p>
        </w:tc>
      </w:tr>
      <w:tr w:rsidR="00285CB1" w:rsidRPr="00A862C6" w:rsidTr="00054F76">
        <w:tc>
          <w:tcPr>
            <w:tcW w:w="1529" w:type="pct"/>
            <w:vAlign w:val="center"/>
          </w:tcPr>
          <w:p w:rsidR="00285CB1" w:rsidRPr="00A862C6" w:rsidRDefault="00285CB1" w:rsidP="00B71DC3">
            <w:pPr>
              <w:pStyle w:val="Tabletext"/>
              <w:keepNext/>
              <w:keepLines/>
              <w:rPr>
                <w:rFonts w:ascii="Times" w:hAnsi="Times"/>
              </w:rPr>
            </w:pPr>
            <w:r w:rsidRPr="00A862C6">
              <w:t>QALYs</w:t>
            </w:r>
          </w:p>
        </w:tc>
        <w:tc>
          <w:tcPr>
            <w:tcW w:w="1359" w:type="pct"/>
            <w:vAlign w:val="center"/>
          </w:tcPr>
          <w:p w:rsidR="00285CB1" w:rsidRPr="00A862C6" w:rsidRDefault="00285CB1" w:rsidP="00B71DC3">
            <w:pPr>
              <w:pStyle w:val="Tabletext"/>
              <w:keepNext/>
              <w:keepLines/>
              <w:jc w:val="center"/>
              <w:rPr>
                <w:rFonts w:ascii="Times" w:hAnsi="Times"/>
              </w:rPr>
            </w:pPr>
            <w:r w:rsidRPr="00A862C6">
              <w:t>0.874</w:t>
            </w:r>
          </w:p>
        </w:tc>
        <w:tc>
          <w:tcPr>
            <w:tcW w:w="1274" w:type="pct"/>
            <w:vAlign w:val="center"/>
          </w:tcPr>
          <w:p w:rsidR="00285CB1" w:rsidRPr="00A862C6" w:rsidRDefault="00285CB1" w:rsidP="00B71DC3">
            <w:pPr>
              <w:pStyle w:val="Tabletext"/>
              <w:keepNext/>
              <w:keepLines/>
              <w:jc w:val="center"/>
            </w:pPr>
            <w:r w:rsidRPr="00A862C6">
              <w:t>0.646</w:t>
            </w:r>
          </w:p>
        </w:tc>
        <w:tc>
          <w:tcPr>
            <w:tcW w:w="838" w:type="pct"/>
            <w:vAlign w:val="center"/>
          </w:tcPr>
          <w:p w:rsidR="00285CB1" w:rsidRPr="00A862C6" w:rsidRDefault="00285CB1" w:rsidP="00B71DC3">
            <w:pPr>
              <w:pStyle w:val="Tabletext"/>
              <w:keepNext/>
              <w:keepLines/>
              <w:jc w:val="center"/>
            </w:pPr>
            <w:r w:rsidRPr="00A862C6">
              <w:t>0.228</w:t>
            </w:r>
          </w:p>
        </w:tc>
      </w:tr>
      <w:tr w:rsidR="00285CB1" w:rsidRPr="00A862C6" w:rsidTr="00054F76">
        <w:tc>
          <w:tcPr>
            <w:tcW w:w="4162" w:type="pct"/>
            <w:gridSpan w:val="3"/>
            <w:vAlign w:val="center"/>
          </w:tcPr>
          <w:p w:rsidR="00285CB1" w:rsidRPr="00A862C6" w:rsidRDefault="00285CB1" w:rsidP="00B71DC3">
            <w:pPr>
              <w:pStyle w:val="Tabletext"/>
              <w:keepNext/>
              <w:keepLines/>
              <w:rPr>
                <w:rFonts w:ascii="Times" w:hAnsi="Times"/>
                <w:snapToGrid w:val="0"/>
              </w:rPr>
            </w:pPr>
            <w:r w:rsidRPr="00A862C6">
              <w:t>Incremental cost/extra QALY gained</w:t>
            </w:r>
          </w:p>
        </w:tc>
        <w:tc>
          <w:tcPr>
            <w:tcW w:w="838" w:type="pct"/>
            <w:vAlign w:val="center"/>
          </w:tcPr>
          <w:p w:rsidR="00285CB1" w:rsidRPr="00A862C6" w:rsidRDefault="00285CB1" w:rsidP="00B71DC3">
            <w:pPr>
              <w:pStyle w:val="Tabletext"/>
              <w:keepNext/>
              <w:keepLines/>
              <w:jc w:val="center"/>
              <w:rPr>
                <w:rFonts w:ascii="Times" w:hAnsi="Times"/>
              </w:rPr>
            </w:pPr>
            <w:r w:rsidRPr="00A862C6">
              <w:t>$</w:t>
            </w:r>
            <w:r w:rsidR="00027DFC">
              <w:rPr>
                <w:noProof/>
                <w:color w:val="000000"/>
                <w:highlight w:val="black"/>
              </w:rPr>
              <w:t>'''''''''''''''''</w:t>
            </w:r>
            <w:r w:rsidR="00A54056">
              <w:rPr>
                <w:vertAlign w:val="superscript"/>
              </w:rPr>
              <w:t>2</w:t>
            </w:r>
          </w:p>
        </w:tc>
      </w:tr>
      <w:tr w:rsidR="00285CB1" w:rsidRPr="00A862C6" w:rsidTr="00054F76">
        <w:tc>
          <w:tcPr>
            <w:tcW w:w="5000" w:type="pct"/>
            <w:gridSpan w:val="4"/>
            <w:vAlign w:val="center"/>
          </w:tcPr>
          <w:p w:rsidR="00285CB1" w:rsidRPr="00A862C6" w:rsidRDefault="00285CB1" w:rsidP="00B71DC3">
            <w:pPr>
              <w:pStyle w:val="Tabletext"/>
              <w:keepNext/>
              <w:keepLines/>
              <w:rPr>
                <w:b/>
                <w:snapToGrid w:val="0"/>
              </w:rPr>
            </w:pPr>
            <w:r w:rsidRPr="00A862C6">
              <w:rPr>
                <w:b/>
                <w:snapToGrid w:val="0"/>
              </w:rPr>
              <w:t>Step 3: time horizon extended to 7 years</w:t>
            </w:r>
            <w:r w:rsidR="008D7E2D" w:rsidRPr="00A862C6">
              <w:rPr>
                <w:b/>
                <w:snapToGrid w:val="0"/>
              </w:rPr>
              <w:t>, modelled evaluation using extrapolation beyond 174 weeks</w:t>
            </w:r>
            <w:r w:rsidR="00807A03" w:rsidRPr="00A862C6">
              <w:rPr>
                <w:b/>
                <w:snapToGrid w:val="0"/>
              </w:rPr>
              <w:t xml:space="preserve"> (40.2 months)</w:t>
            </w:r>
          </w:p>
        </w:tc>
      </w:tr>
      <w:tr w:rsidR="00285CB1" w:rsidRPr="00A862C6" w:rsidTr="00054F76">
        <w:tc>
          <w:tcPr>
            <w:tcW w:w="1529" w:type="pct"/>
            <w:vAlign w:val="center"/>
          </w:tcPr>
          <w:p w:rsidR="00285CB1" w:rsidRPr="00A54056" w:rsidRDefault="00285CB1" w:rsidP="00A54056">
            <w:pPr>
              <w:pStyle w:val="Tabletext"/>
              <w:keepNext/>
              <w:keepLines/>
              <w:rPr>
                <w:rFonts w:ascii="Times" w:hAnsi="Times"/>
                <w:vertAlign w:val="superscript"/>
              </w:rPr>
            </w:pPr>
            <w:r w:rsidRPr="00A862C6">
              <w:t>Costs</w:t>
            </w:r>
          </w:p>
        </w:tc>
        <w:tc>
          <w:tcPr>
            <w:tcW w:w="1359" w:type="pct"/>
            <w:vAlign w:val="center"/>
          </w:tcPr>
          <w:p w:rsidR="00285CB1" w:rsidRPr="00A862C6" w:rsidRDefault="00285CB1" w:rsidP="00B71DC3">
            <w:pPr>
              <w:pStyle w:val="Tabletext"/>
              <w:keepNext/>
              <w:keepLines/>
              <w:jc w:val="center"/>
              <w:rPr>
                <w:rFonts w:ascii="Times" w:hAnsi="Times"/>
              </w:rPr>
            </w:pPr>
            <w:r w:rsidRPr="00A862C6">
              <w:t>$</w:t>
            </w:r>
            <w:r w:rsidR="00027DFC">
              <w:rPr>
                <w:noProof/>
                <w:color w:val="000000"/>
                <w:highlight w:val="black"/>
              </w:rPr>
              <w:t>'''''''''''''''</w:t>
            </w:r>
          </w:p>
        </w:tc>
        <w:tc>
          <w:tcPr>
            <w:tcW w:w="1274" w:type="pct"/>
            <w:vAlign w:val="center"/>
          </w:tcPr>
          <w:p w:rsidR="00285CB1" w:rsidRPr="00A862C6" w:rsidRDefault="00285CB1" w:rsidP="00B71DC3">
            <w:pPr>
              <w:pStyle w:val="Tabletext"/>
              <w:keepNext/>
              <w:keepLines/>
              <w:jc w:val="center"/>
              <w:rPr>
                <w:rFonts w:ascii="Times" w:hAnsi="Times"/>
              </w:rPr>
            </w:pPr>
            <w:r w:rsidRPr="00A862C6">
              <w:t>$34,542</w:t>
            </w:r>
          </w:p>
        </w:tc>
        <w:tc>
          <w:tcPr>
            <w:tcW w:w="838" w:type="pct"/>
            <w:vAlign w:val="center"/>
          </w:tcPr>
          <w:p w:rsidR="00285CB1" w:rsidRPr="00A862C6" w:rsidRDefault="00285CB1" w:rsidP="00B71DC3">
            <w:pPr>
              <w:pStyle w:val="Tabletext"/>
              <w:keepNext/>
              <w:keepLines/>
              <w:jc w:val="center"/>
              <w:rPr>
                <w:rFonts w:ascii="Times" w:hAnsi="Times"/>
              </w:rPr>
            </w:pPr>
            <w:r w:rsidRPr="00A862C6">
              <w:t>$</w:t>
            </w:r>
            <w:r w:rsidR="00027DFC">
              <w:rPr>
                <w:noProof/>
                <w:color w:val="000000"/>
                <w:highlight w:val="black"/>
              </w:rPr>
              <w:t>'''''''''''''''''</w:t>
            </w:r>
          </w:p>
        </w:tc>
      </w:tr>
      <w:tr w:rsidR="00285CB1" w:rsidRPr="00A862C6" w:rsidTr="00054F76">
        <w:tc>
          <w:tcPr>
            <w:tcW w:w="1529" w:type="pct"/>
            <w:vAlign w:val="center"/>
          </w:tcPr>
          <w:p w:rsidR="00285CB1" w:rsidRPr="00A862C6" w:rsidRDefault="00285CB1" w:rsidP="00B71DC3">
            <w:pPr>
              <w:pStyle w:val="Tabletext"/>
              <w:keepNext/>
              <w:keepLines/>
              <w:rPr>
                <w:rFonts w:ascii="Times" w:hAnsi="Times"/>
              </w:rPr>
            </w:pPr>
            <w:r w:rsidRPr="00A862C6">
              <w:t>QALYs</w:t>
            </w:r>
          </w:p>
        </w:tc>
        <w:tc>
          <w:tcPr>
            <w:tcW w:w="1359" w:type="pct"/>
            <w:vAlign w:val="center"/>
          </w:tcPr>
          <w:p w:rsidR="00285CB1" w:rsidRPr="00A862C6" w:rsidRDefault="00285CB1" w:rsidP="00B71DC3">
            <w:pPr>
              <w:pStyle w:val="Tabletext"/>
              <w:keepNext/>
              <w:keepLines/>
              <w:jc w:val="center"/>
            </w:pPr>
            <w:r w:rsidRPr="00A862C6">
              <w:t>0.974</w:t>
            </w:r>
          </w:p>
        </w:tc>
        <w:tc>
          <w:tcPr>
            <w:tcW w:w="1274" w:type="pct"/>
            <w:vAlign w:val="center"/>
          </w:tcPr>
          <w:p w:rsidR="00285CB1" w:rsidRPr="00A862C6" w:rsidRDefault="00285CB1" w:rsidP="00B71DC3">
            <w:pPr>
              <w:pStyle w:val="Tabletext"/>
              <w:keepNext/>
              <w:keepLines/>
              <w:jc w:val="center"/>
            </w:pPr>
            <w:r w:rsidRPr="00A862C6">
              <w:t>0.668</w:t>
            </w:r>
          </w:p>
        </w:tc>
        <w:tc>
          <w:tcPr>
            <w:tcW w:w="838" w:type="pct"/>
            <w:vAlign w:val="center"/>
          </w:tcPr>
          <w:p w:rsidR="00285CB1" w:rsidRPr="00A862C6" w:rsidRDefault="00285CB1" w:rsidP="00B71DC3">
            <w:pPr>
              <w:pStyle w:val="Tabletext"/>
              <w:keepNext/>
              <w:keepLines/>
              <w:jc w:val="center"/>
            </w:pPr>
            <w:r w:rsidRPr="00A862C6">
              <w:t>0.306</w:t>
            </w:r>
          </w:p>
        </w:tc>
      </w:tr>
      <w:tr w:rsidR="00285CB1" w:rsidRPr="00A862C6" w:rsidTr="00054F76">
        <w:tc>
          <w:tcPr>
            <w:tcW w:w="4162" w:type="pct"/>
            <w:gridSpan w:val="3"/>
            <w:vAlign w:val="center"/>
          </w:tcPr>
          <w:p w:rsidR="00285CB1" w:rsidRPr="00A862C6" w:rsidRDefault="00285CB1" w:rsidP="00B71DC3">
            <w:pPr>
              <w:pStyle w:val="Tabletext"/>
              <w:keepNext/>
              <w:keepLines/>
              <w:rPr>
                <w:rFonts w:ascii="Times" w:hAnsi="Times"/>
                <w:b/>
              </w:rPr>
            </w:pPr>
            <w:r w:rsidRPr="00A862C6">
              <w:rPr>
                <w:b/>
              </w:rPr>
              <w:t>Incremental cost/extra QALY gained (base case)</w:t>
            </w:r>
          </w:p>
        </w:tc>
        <w:tc>
          <w:tcPr>
            <w:tcW w:w="838" w:type="pct"/>
            <w:vAlign w:val="center"/>
          </w:tcPr>
          <w:p w:rsidR="00285CB1" w:rsidRPr="00A862C6" w:rsidRDefault="00285CB1" w:rsidP="00B71DC3">
            <w:pPr>
              <w:pStyle w:val="Tabletext"/>
              <w:keepNext/>
              <w:keepLines/>
              <w:jc w:val="center"/>
              <w:rPr>
                <w:rFonts w:ascii="Times" w:hAnsi="Times"/>
                <w:b/>
              </w:rPr>
            </w:pPr>
            <w:r w:rsidRPr="00A862C6">
              <w:rPr>
                <w:b/>
              </w:rPr>
              <w:t>$</w:t>
            </w:r>
            <w:r w:rsidR="00027DFC">
              <w:rPr>
                <w:b/>
                <w:noProof/>
                <w:color w:val="000000"/>
                <w:highlight w:val="black"/>
              </w:rPr>
              <w:t>''''''''''''</w:t>
            </w:r>
            <w:r w:rsidR="00A54056">
              <w:rPr>
                <w:vertAlign w:val="superscript"/>
              </w:rPr>
              <w:t>3</w:t>
            </w:r>
          </w:p>
        </w:tc>
      </w:tr>
    </w:tbl>
    <w:p w:rsidR="00285CB1" w:rsidRPr="00A862C6" w:rsidRDefault="00285CB1" w:rsidP="00B71DC3">
      <w:pPr>
        <w:pStyle w:val="TableFooter"/>
        <w:keepNext/>
        <w:keepLines/>
      </w:pPr>
      <w:r w:rsidRPr="00A862C6">
        <w:t>Source: Table 77, p14</w:t>
      </w:r>
      <w:r w:rsidR="008D7E2D" w:rsidRPr="00A862C6">
        <w:t>9</w:t>
      </w:r>
      <w:r w:rsidRPr="00A862C6">
        <w:t xml:space="preserve"> of the submission.</w:t>
      </w:r>
    </w:p>
    <w:p w:rsidR="008D7E2D" w:rsidRPr="00A862C6" w:rsidRDefault="008D7E2D" w:rsidP="008D7E2D">
      <w:pPr>
        <w:pStyle w:val="TableFooter"/>
      </w:pPr>
      <w:r w:rsidRPr="00A862C6">
        <w:t>KM = Kaplan-Meier data;</w:t>
      </w:r>
      <w:r w:rsidR="005437C9" w:rsidRPr="00A862C6">
        <w:t xml:space="preserve"> LYs = life years</w:t>
      </w:r>
      <w:r w:rsidRPr="00A862C6">
        <w:t xml:space="preserve">; IC = investigator’s choice; NIVO = nivolumab; QALYs = quality adjusted life years </w:t>
      </w:r>
    </w:p>
    <w:p w:rsidR="008D7E2D" w:rsidRDefault="008D7E2D" w:rsidP="008D7E2D">
      <w:pPr>
        <w:pStyle w:val="TableFooter"/>
      </w:pPr>
      <w:r w:rsidRPr="00A862C6">
        <w:t>a Based on end of Kaplan-Meier data for ATTRACTION-3 three year follow up</w:t>
      </w:r>
    </w:p>
    <w:p w:rsidR="00A54056" w:rsidRDefault="00A54056" w:rsidP="00A54056">
      <w:pPr>
        <w:pStyle w:val="TableFigureFooter"/>
        <w:spacing w:after="0"/>
        <w:contextualSpacing w:val="0"/>
        <w:rPr>
          <w:i/>
        </w:rPr>
      </w:pPr>
      <w:r w:rsidRPr="009868C4">
        <w:rPr>
          <w:i/>
        </w:rPr>
        <w:t>The redacted values correspond to the following ranges</w:t>
      </w:r>
      <w:r>
        <w:rPr>
          <w:i/>
        </w:rPr>
        <w:t xml:space="preserve">: </w:t>
      </w:r>
    </w:p>
    <w:p w:rsidR="00A54056" w:rsidRPr="00870C5D" w:rsidRDefault="00A54056" w:rsidP="00A54056">
      <w:pPr>
        <w:pStyle w:val="TableFigureFooter"/>
        <w:spacing w:after="0"/>
        <w:contextualSpacing w:val="0"/>
      </w:pPr>
      <w:r>
        <w:rPr>
          <w:i/>
          <w:vertAlign w:val="superscript"/>
        </w:rPr>
        <w:t>1</w:t>
      </w:r>
      <w:r>
        <w:rPr>
          <w:i/>
        </w:rPr>
        <w:t xml:space="preserve"> </w:t>
      </w:r>
      <w:r w:rsidRPr="00A54056">
        <w:rPr>
          <w:i/>
        </w:rPr>
        <w:t>$75,000 to &lt; $95,000</w:t>
      </w:r>
    </w:p>
    <w:p w:rsidR="00A54056" w:rsidRPr="00870C5D" w:rsidRDefault="00A54056" w:rsidP="00A54056">
      <w:pPr>
        <w:pStyle w:val="TableFigureFooter"/>
        <w:spacing w:after="0"/>
        <w:contextualSpacing w:val="0"/>
      </w:pPr>
      <w:r>
        <w:rPr>
          <w:i/>
          <w:vertAlign w:val="superscript"/>
        </w:rPr>
        <w:t>2</w:t>
      </w:r>
      <w:r>
        <w:rPr>
          <w:i/>
        </w:rPr>
        <w:t xml:space="preserve"> </w:t>
      </w:r>
      <w:r w:rsidRPr="00A54056">
        <w:rPr>
          <w:i/>
        </w:rPr>
        <w:t>$95,000 to &lt; $115,000</w:t>
      </w:r>
    </w:p>
    <w:p w:rsidR="00A54056" w:rsidRPr="00870C5D" w:rsidRDefault="00A54056" w:rsidP="00A54056">
      <w:pPr>
        <w:pStyle w:val="TableFigureFooter"/>
        <w:spacing w:after="0"/>
        <w:contextualSpacing w:val="0"/>
      </w:pPr>
      <w:r>
        <w:rPr>
          <w:i/>
          <w:vertAlign w:val="superscript"/>
        </w:rPr>
        <w:t>3</w:t>
      </w:r>
      <w:r>
        <w:rPr>
          <w:i/>
        </w:rPr>
        <w:t xml:space="preserve"> </w:t>
      </w:r>
      <w:r w:rsidRPr="00A54056">
        <w:rPr>
          <w:i/>
        </w:rPr>
        <w:t>$55,000 to &lt; $75,000</w:t>
      </w:r>
    </w:p>
    <w:p w:rsidR="00A54056" w:rsidRPr="00A862C6" w:rsidRDefault="00A54056" w:rsidP="008D7E2D">
      <w:pPr>
        <w:pStyle w:val="TableFooter"/>
        <w:rPr>
          <w:rStyle w:val="CommentReference"/>
          <w:b w:val="0"/>
          <w:szCs w:val="22"/>
        </w:rPr>
      </w:pPr>
    </w:p>
    <w:p w:rsidR="00285CB1" w:rsidRPr="00A862C6" w:rsidRDefault="00285CB1" w:rsidP="00285CB1"/>
    <w:p w:rsidR="00285CB1" w:rsidRPr="00A862C6" w:rsidRDefault="00285CB1" w:rsidP="00DD46F0">
      <w:pPr>
        <w:pStyle w:val="ListParagraph"/>
        <w:widowControl/>
        <w:numPr>
          <w:ilvl w:val="1"/>
          <w:numId w:val="2"/>
        </w:numPr>
      </w:pPr>
      <w:r w:rsidRPr="00A862C6">
        <w:t xml:space="preserve">Univariate </w:t>
      </w:r>
      <w:r w:rsidR="00EA6C5F" w:rsidRPr="00A862C6">
        <w:t xml:space="preserve">and multivariate </w:t>
      </w:r>
      <w:r w:rsidRPr="00A862C6">
        <w:t xml:space="preserve">sensitivity analyses </w:t>
      </w:r>
      <w:r w:rsidR="00EA6C5F" w:rsidRPr="00A862C6">
        <w:t xml:space="preserve">considered by the PBAC </w:t>
      </w:r>
      <w:r w:rsidRPr="00A862C6">
        <w:t xml:space="preserve">are summarised in </w:t>
      </w:r>
      <w:r w:rsidR="00F71DE4" w:rsidRPr="00F71DE4">
        <w:t>Table 14</w:t>
      </w:r>
      <w:r w:rsidRPr="00A862C6">
        <w:t xml:space="preserve">. </w:t>
      </w:r>
    </w:p>
    <w:p w:rsidR="00285CB1" w:rsidRPr="00A862C6" w:rsidRDefault="00285CB1" w:rsidP="00FF6E06">
      <w:pPr>
        <w:keepNext/>
        <w:widowControl/>
        <w:rPr>
          <w:rStyle w:val="CommentReference"/>
        </w:rPr>
      </w:pPr>
      <w:bookmarkStart w:id="39" w:name="_Ref70358329"/>
      <w:r w:rsidRPr="00A862C6">
        <w:rPr>
          <w:rStyle w:val="CommentReference"/>
        </w:rPr>
        <w:t xml:space="preserve">Table </w:t>
      </w:r>
      <w:r w:rsidR="00F71DE4">
        <w:rPr>
          <w:rStyle w:val="CommentReference"/>
          <w:noProof/>
        </w:rPr>
        <w:t>14</w:t>
      </w:r>
      <w:bookmarkEnd w:id="39"/>
      <w:r w:rsidRPr="00A862C6">
        <w:rPr>
          <w:rStyle w:val="CommentReference"/>
        </w:rPr>
        <w:t>:  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950"/>
        <w:gridCol w:w="2116"/>
        <w:gridCol w:w="874"/>
        <w:gridCol w:w="837"/>
        <w:gridCol w:w="1027"/>
        <w:gridCol w:w="1074"/>
      </w:tblGrid>
      <w:tr w:rsidR="00382A13" w:rsidRPr="00A862C6" w:rsidTr="00D6685F">
        <w:trPr>
          <w:tblHeader/>
        </w:trPr>
        <w:tc>
          <w:tcPr>
            <w:tcW w:w="638" w:type="pct"/>
            <w:vAlign w:val="center"/>
          </w:tcPr>
          <w:p w:rsidR="00285CB1" w:rsidRPr="00A862C6" w:rsidRDefault="00285CB1" w:rsidP="00FF6E06">
            <w:pPr>
              <w:pStyle w:val="Tabletext"/>
              <w:keepNext/>
              <w:rPr>
                <w:b/>
              </w:rPr>
            </w:pPr>
            <w:r w:rsidRPr="00A862C6">
              <w:rPr>
                <w:b/>
              </w:rPr>
              <w:t>Variable</w:t>
            </w:r>
          </w:p>
        </w:tc>
        <w:tc>
          <w:tcPr>
            <w:tcW w:w="1088" w:type="pct"/>
            <w:vAlign w:val="center"/>
          </w:tcPr>
          <w:p w:rsidR="00285CB1" w:rsidRPr="00A862C6" w:rsidRDefault="00285CB1" w:rsidP="00FF6E06">
            <w:pPr>
              <w:pStyle w:val="Tabletext"/>
              <w:keepNext/>
              <w:jc w:val="center"/>
              <w:rPr>
                <w:b/>
              </w:rPr>
            </w:pPr>
            <w:r w:rsidRPr="00A862C6">
              <w:rPr>
                <w:b/>
              </w:rPr>
              <w:t>Base case</w:t>
            </w:r>
          </w:p>
        </w:tc>
        <w:tc>
          <w:tcPr>
            <w:tcW w:w="1179" w:type="pct"/>
            <w:vAlign w:val="center"/>
          </w:tcPr>
          <w:p w:rsidR="00285CB1" w:rsidRPr="00A862C6" w:rsidRDefault="00285CB1" w:rsidP="00FF6E06">
            <w:pPr>
              <w:pStyle w:val="Tabletext"/>
              <w:keepNext/>
              <w:jc w:val="center"/>
              <w:rPr>
                <w:b/>
              </w:rPr>
            </w:pPr>
            <w:r w:rsidRPr="00A862C6">
              <w:rPr>
                <w:b/>
              </w:rPr>
              <w:t>Scenario</w:t>
            </w:r>
          </w:p>
        </w:tc>
        <w:tc>
          <w:tcPr>
            <w:tcW w:w="472" w:type="pct"/>
            <w:vAlign w:val="center"/>
          </w:tcPr>
          <w:p w:rsidR="00285CB1" w:rsidRPr="00A862C6" w:rsidRDefault="00285CB1" w:rsidP="00FF6E06">
            <w:pPr>
              <w:pStyle w:val="Tabletext"/>
              <w:keepNext/>
              <w:jc w:val="center"/>
              <w:rPr>
                <w:b/>
              </w:rPr>
            </w:pPr>
            <w:r w:rsidRPr="00A862C6">
              <w:rPr>
                <w:b/>
              </w:rPr>
              <w:t>Cost</w:t>
            </w:r>
          </w:p>
        </w:tc>
        <w:tc>
          <w:tcPr>
            <w:tcW w:w="471" w:type="pct"/>
            <w:vAlign w:val="center"/>
          </w:tcPr>
          <w:p w:rsidR="00285CB1" w:rsidRPr="00A862C6" w:rsidRDefault="00285CB1" w:rsidP="00FF6E06">
            <w:pPr>
              <w:pStyle w:val="Tabletext"/>
              <w:keepNext/>
              <w:jc w:val="center"/>
              <w:rPr>
                <w:b/>
              </w:rPr>
            </w:pPr>
            <w:r w:rsidRPr="00A862C6">
              <w:rPr>
                <w:b/>
              </w:rPr>
              <w:t>QALY</w:t>
            </w:r>
          </w:p>
        </w:tc>
        <w:tc>
          <w:tcPr>
            <w:tcW w:w="549" w:type="pct"/>
            <w:vAlign w:val="center"/>
          </w:tcPr>
          <w:p w:rsidR="00285CB1" w:rsidRPr="00A862C6" w:rsidRDefault="00285CB1" w:rsidP="00FF6E06">
            <w:pPr>
              <w:pStyle w:val="Tabletext"/>
              <w:keepNext/>
              <w:jc w:val="center"/>
              <w:rPr>
                <w:b/>
              </w:rPr>
            </w:pPr>
            <w:r w:rsidRPr="00A862C6">
              <w:rPr>
                <w:b/>
              </w:rPr>
              <w:t>ICER</w:t>
            </w:r>
          </w:p>
        </w:tc>
        <w:tc>
          <w:tcPr>
            <w:tcW w:w="602" w:type="pct"/>
            <w:vAlign w:val="center"/>
          </w:tcPr>
          <w:p w:rsidR="00285CB1" w:rsidRPr="00A862C6" w:rsidRDefault="00285CB1" w:rsidP="00FF6E06">
            <w:pPr>
              <w:pStyle w:val="Tabletext"/>
              <w:keepNext/>
              <w:jc w:val="center"/>
              <w:rPr>
                <w:b/>
              </w:rPr>
            </w:pPr>
            <w:r w:rsidRPr="00A862C6">
              <w:rPr>
                <w:b/>
              </w:rPr>
              <w:t>%</w:t>
            </w:r>
          </w:p>
        </w:tc>
      </w:tr>
      <w:tr w:rsidR="00321E8E" w:rsidRPr="00A862C6" w:rsidTr="00D6685F">
        <w:tc>
          <w:tcPr>
            <w:tcW w:w="2906" w:type="pct"/>
            <w:gridSpan w:val="3"/>
            <w:vAlign w:val="center"/>
          </w:tcPr>
          <w:p w:rsidR="00285CB1" w:rsidRPr="00A862C6" w:rsidRDefault="00285CB1" w:rsidP="00FF6E06">
            <w:pPr>
              <w:pStyle w:val="Tabletext"/>
              <w:keepNext/>
            </w:pPr>
            <w:r w:rsidRPr="00A862C6">
              <w:t>Base case</w:t>
            </w:r>
          </w:p>
        </w:tc>
        <w:tc>
          <w:tcPr>
            <w:tcW w:w="472" w:type="pct"/>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p>
        </w:tc>
        <w:tc>
          <w:tcPr>
            <w:tcW w:w="471" w:type="pct"/>
            <w:vAlign w:val="center"/>
          </w:tcPr>
          <w:p w:rsidR="00285CB1" w:rsidRPr="00A54056" w:rsidRDefault="00285CB1" w:rsidP="00FF6E06">
            <w:pPr>
              <w:keepNext/>
              <w:jc w:val="center"/>
              <w:rPr>
                <w:rFonts w:ascii="Arial Narrow" w:hAnsi="Arial Narrow" w:cs="Times New Roman"/>
                <w:snapToGrid/>
                <w:sz w:val="20"/>
                <w:vertAlign w:val="superscript"/>
              </w:rPr>
            </w:pPr>
            <w:r w:rsidRPr="00A862C6">
              <w:rPr>
                <w:rFonts w:ascii="Arial Narrow" w:hAnsi="Arial Narrow" w:cs="Times New Roman"/>
                <w:snapToGrid/>
                <w:sz w:val="20"/>
              </w:rPr>
              <w:t>0.306</w:t>
            </w:r>
          </w:p>
        </w:tc>
        <w:tc>
          <w:tcPr>
            <w:tcW w:w="549" w:type="pct"/>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r w:rsidR="00A54056">
              <w:rPr>
                <w:vertAlign w:val="superscript"/>
              </w:rPr>
              <w:t>1</w:t>
            </w:r>
          </w:p>
        </w:tc>
        <w:tc>
          <w:tcPr>
            <w:tcW w:w="602" w:type="pct"/>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p>
        </w:tc>
      </w:tr>
      <w:tr w:rsidR="0091433D" w:rsidRPr="00A862C6" w:rsidTr="00BD4629">
        <w:tc>
          <w:tcPr>
            <w:tcW w:w="5000" w:type="pct"/>
            <w:gridSpan w:val="7"/>
            <w:vAlign w:val="center"/>
          </w:tcPr>
          <w:p w:rsidR="0091433D" w:rsidRPr="00A862C6" w:rsidRDefault="0091433D" w:rsidP="00FF6E06">
            <w:pPr>
              <w:keepNext/>
              <w:jc w:val="left"/>
              <w:rPr>
                <w:rFonts w:ascii="Arial Narrow" w:hAnsi="Arial Narrow" w:cs="Times New Roman"/>
                <w:b/>
                <w:snapToGrid/>
                <w:sz w:val="20"/>
              </w:rPr>
            </w:pPr>
            <w:r w:rsidRPr="00A862C6">
              <w:rPr>
                <w:rFonts w:ascii="Arial Narrow" w:hAnsi="Arial Narrow" w:cs="Times New Roman"/>
                <w:b/>
                <w:snapToGrid/>
                <w:sz w:val="20"/>
              </w:rPr>
              <w:t>Univariate analyses</w:t>
            </w:r>
          </w:p>
        </w:tc>
      </w:tr>
      <w:tr w:rsidR="00382A13" w:rsidRPr="00A862C6" w:rsidTr="00D6685F">
        <w:tc>
          <w:tcPr>
            <w:tcW w:w="638" w:type="pct"/>
            <w:vMerge w:val="restart"/>
            <w:vAlign w:val="center"/>
          </w:tcPr>
          <w:p w:rsidR="00285CB1" w:rsidRPr="00A862C6" w:rsidRDefault="00285CB1" w:rsidP="00FF6E06">
            <w:pPr>
              <w:pStyle w:val="Tabletext"/>
              <w:keepNext/>
            </w:pPr>
            <w:r w:rsidRPr="00A862C6">
              <w:t>Time horizon</w:t>
            </w:r>
          </w:p>
        </w:tc>
        <w:tc>
          <w:tcPr>
            <w:tcW w:w="1088" w:type="pct"/>
            <w:vMerge w:val="restart"/>
            <w:vAlign w:val="center"/>
          </w:tcPr>
          <w:p w:rsidR="00285CB1" w:rsidRPr="00A54056" w:rsidRDefault="00285CB1" w:rsidP="00A54056">
            <w:pPr>
              <w:pStyle w:val="Tabletext"/>
              <w:keepNext/>
              <w:rPr>
                <w:vertAlign w:val="superscript"/>
              </w:rPr>
            </w:pPr>
            <w:r w:rsidRPr="00A862C6">
              <w:t>7 years</w:t>
            </w:r>
          </w:p>
        </w:tc>
        <w:tc>
          <w:tcPr>
            <w:tcW w:w="1179" w:type="pct"/>
            <w:vAlign w:val="center"/>
          </w:tcPr>
          <w:p w:rsidR="00285CB1" w:rsidRPr="00A862C6" w:rsidRDefault="00285CB1" w:rsidP="00FF6E06">
            <w:pPr>
              <w:keepNext/>
              <w:rPr>
                <w:rFonts w:ascii="Arial Narrow" w:hAnsi="Arial Narrow" w:cs="Times New Roman"/>
                <w:snapToGrid/>
                <w:sz w:val="20"/>
              </w:rPr>
            </w:pPr>
            <w:r w:rsidRPr="00A862C6">
              <w:rPr>
                <w:rFonts w:ascii="Arial Narrow" w:hAnsi="Arial Narrow" w:cs="Times New Roman"/>
                <w:snapToGrid/>
                <w:sz w:val="20"/>
              </w:rPr>
              <w:t>Within trial</w:t>
            </w:r>
            <w:r w:rsidR="00B7448D" w:rsidRPr="00A862C6">
              <w:rPr>
                <w:rFonts w:ascii="Arial Narrow" w:hAnsi="Arial Narrow" w:cs="Times New Roman"/>
                <w:snapToGrid/>
                <w:sz w:val="20"/>
              </w:rPr>
              <w:t xml:space="preserve"> </w:t>
            </w:r>
            <w:r w:rsidR="00B7448D" w:rsidRPr="00A862C6">
              <w:rPr>
                <w:rFonts w:ascii="Arial Narrow" w:hAnsi="Arial Narrow" w:cs="Times New Roman"/>
                <w:b/>
                <w:snapToGrid/>
                <w:sz w:val="20"/>
              </w:rPr>
              <w:t>(#1)</w:t>
            </w:r>
          </w:p>
        </w:tc>
        <w:tc>
          <w:tcPr>
            <w:tcW w:w="472" w:type="pct"/>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p>
        </w:tc>
        <w:tc>
          <w:tcPr>
            <w:tcW w:w="471"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0.228</w:t>
            </w:r>
          </w:p>
        </w:tc>
        <w:tc>
          <w:tcPr>
            <w:tcW w:w="549"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r w:rsidR="00A54056">
              <w:rPr>
                <w:vertAlign w:val="superscript"/>
              </w:rPr>
              <w:t>2</w:t>
            </w:r>
          </w:p>
        </w:tc>
        <w:tc>
          <w:tcPr>
            <w:tcW w:w="602"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+32.9%</w:t>
            </w:r>
          </w:p>
        </w:tc>
      </w:tr>
      <w:tr w:rsidR="00382A13" w:rsidRPr="00A862C6" w:rsidTr="00D6685F">
        <w:tc>
          <w:tcPr>
            <w:tcW w:w="638" w:type="pct"/>
            <w:vMerge/>
            <w:vAlign w:val="center"/>
          </w:tcPr>
          <w:p w:rsidR="00285CB1" w:rsidRPr="00A862C6" w:rsidRDefault="00285CB1" w:rsidP="00FF6E06">
            <w:pPr>
              <w:pStyle w:val="Tabletext"/>
              <w:keepNext/>
            </w:pPr>
          </w:p>
        </w:tc>
        <w:tc>
          <w:tcPr>
            <w:tcW w:w="1088" w:type="pct"/>
            <w:vMerge/>
            <w:vAlign w:val="center"/>
          </w:tcPr>
          <w:p w:rsidR="00285CB1" w:rsidRPr="00A862C6" w:rsidRDefault="00285CB1" w:rsidP="00FF6E06">
            <w:pPr>
              <w:pStyle w:val="Tabletext"/>
              <w:keepNext/>
            </w:pPr>
          </w:p>
        </w:tc>
        <w:tc>
          <w:tcPr>
            <w:tcW w:w="1179" w:type="pct"/>
            <w:vAlign w:val="center"/>
          </w:tcPr>
          <w:p w:rsidR="00285CB1" w:rsidRPr="00A862C6" w:rsidRDefault="00285CB1" w:rsidP="00FF6E06">
            <w:pPr>
              <w:keepNext/>
              <w:rPr>
                <w:rFonts w:ascii="Arial Narrow" w:hAnsi="Arial Narrow" w:cs="Times New Roman"/>
                <w:snapToGrid/>
                <w:sz w:val="20"/>
              </w:rPr>
            </w:pPr>
            <w:r w:rsidRPr="00A862C6">
              <w:rPr>
                <w:rFonts w:ascii="Arial Narrow" w:hAnsi="Arial Narrow" w:cs="Times New Roman"/>
                <w:snapToGrid/>
                <w:sz w:val="20"/>
              </w:rPr>
              <w:t>5 years</w:t>
            </w:r>
            <w:r w:rsidR="009E0CD5" w:rsidRPr="00A862C6">
              <w:rPr>
                <w:rFonts w:ascii="Arial Narrow" w:hAnsi="Arial Narrow" w:cs="Times New Roman"/>
                <w:snapToGrid/>
                <w:sz w:val="20"/>
              </w:rPr>
              <w:t xml:space="preserve"> </w:t>
            </w:r>
            <w:r w:rsidR="009E0CD5" w:rsidRPr="00A862C6">
              <w:rPr>
                <w:rFonts w:ascii="Arial Narrow" w:hAnsi="Arial Narrow" w:cs="Times New Roman"/>
                <w:b/>
                <w:snapToGrid/>
                <w:sz w:val="20"/>
              </w:rPr>
              <w:t>(#</w:t>
            </w:r>
            <w:r w:rsidR="00B7448D" w:rsidRPr="00A862C6">
              <w:rPr>
                <w:rFonts w:ascii="Arial Narrow" w:hAnsi="Arial Narrow" w:cs="Times New Roman"/>
                <w:b/>
                <w:snapToGrid/>
                <w:sz w:val="20"/>
              </w:rPr>
              <w:t>2</w:t>
            </w:r>
            <w:r w:rsidR="009E0CD5" w:rsidRPr="00A862C6">
              <w:rPr>
                <w:rFonts w:ascii="Arial Narrow" w:hAnsi="Arial Narrow" w:cs="Times New Roman"/>
                <w:b/>
                <w:snapToGrid/>
                <w:sz w:val="20"/>
              </w:rPr>
              <w:t>)</w:t>
            </w:r>
          </w:p>
        </w:tc>
        <w:tc>
          <w:tcPr>
            <w:tcW w:w="472" w:type="pct"/>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p>
        </w:tc>
        <w:tc>
          <w:tcPr>
            <w:tcW w:w="471"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0.261</w:t>
            </w:r>
          </w:p>
        </w:tc>
        <w:tc>
          <w:tcPr>
            <w:tcW w:w="549"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r w:rsidR="00A54056">
              <w:rPr>
                <w:vertAlign w:val="superscript"/>
              </w:rPr>
              <w:t>3</w:t>
            </w:r>
          </w:p>
        </w:tc>
        <w:tc>
          <w:tcPr>
            <w:tcW w:w="602"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+14.2%</w:t>
            </w:r>
          </w:p>
        </w:tc>
      </w:tr>
      <w:tr w:rsidR="00382A13" w:rsidRPr="00A862C6" w:rsidTr="00D6685F">
        <w:trPr>
          <w:trHeight w:val="171"/>
        </w:trPr>
        <w:tc>
          <w:tcPr>
            <w:tcW w:w="638" w:type="pct"/>
            <w:vMerge w:val="restart"/>
            <w:vAlign w:val="center"/>
          </w:tcPr>
          <w:p w:rsidR="00285CB1" w:rsidRPr="00A862C6" w:rsidRDefault="00285CB1" w:rsidP="00FF6E06">
            <w:pPr>
              <w:pStyle w:val="Tabletext"/>
              <w:keepNext/>
            </w:pPr>
            <w:r w:rsidRPr="00A862C6">
              <w:t>Parametric function</w:t>
            </w:r>
          </w:p>
        </w:tc>
        <w:tc>
          <w:tcPr>
            <w:tcW w:w="1088" w:type="pct"/>
            <w:vMerge w:val="restart"/>
            <w:vAlign w:val="center"/>
          </w:tcPr>
          <w:p w:rsidR="00285CB1" w:rsidRPr="00A862C6" w:rsidRDefault="00285CB1" w:rsidP="00FF6E06">
            <w:pPr>
              <w:pStyle w:val="Tabletext"/>
              <w:keepNext/>
            </w:pPr>
            <w:r w:rsidRPr="00A862C6">
              <w:t xml:space="preserve">NIVO OS: Log-logistic; </w:t>
            </w:r>
          </w:p>
          <w:p w:rsidR="00285CB1" w:rsidRPr="00A862C6" w:rsidRDefault="00285CB1" w:rsidP="00FF6E06">
            <w:pPr>
              <w:pStyle w:val="Tabletext"/>
              <w:keepNext/>
            </w:pPr>
            <w:r w:rsidRPr="00A862C6">
              <w:t>NIVO PFS: Gen gamma</w:t>
            </w:r>
          </w:p>
          <w:p w:rsidR="00285CB1" w:rsidRPr="00A862C6" w:rsidRDefault="00285CB1" w:rsidP="00FF6E06">
            <w:pPr>
              <w:pStyle w:val="Tabletext"/>
              <w:keepNext/>
            </w:pPr>
            <w:r w:rsidRPr="00A862C6">
              <w:t xml:space="preserve">IC OS: Log-logistic; </w:t>
            </w:r>
          </w:p>
          <w:p w:rsidR="00285CB1" w:rsidRPr="00A862C6" w:rsidRDefault="00285CB1" w:rsidP="00FF6E06">
            <w:pPr>
              <w:pStyle w:val="Tabletext"/>
              <w:keepNext/>
            </w:pPr>
            <w:r w:rsidRPr="00A862C6">
              <w:t>IC PFS: Log-logistic</w:t>
            </w:r>
          </w:p>
        </w:tc>
        <w:tc>
          <w:tcPr>
            <w:tcW w:w="1179" w:type="pct"/>
            <w:vAlign w:val="center"/>
          </w:tcPr>
          <w:p w:rsidR="00285CB1" w:rsidRPr="00A862C6" w:rsidRDefault="00285CB1" w:rsidP="00FF6E06">
            <w:pPr>
              <w:keepNext/>
              <w:rPr>
                <w:rFonts w:ascii="Arial Narrow" w:hAnsi="Arial Narrow" w:cs="Times New Roman"/>
                <w:snapToGrid/>
                <w:sz w:val="20"/>
              </w:rPr>
            </w:pPr>
            <w:r w:rsidRPr="00A862C6">
              <w:rPr>
                <w:rFonts w:ascii="Arial Narrow" w:hAnsi="Arial Narrow" w:cs="Times New Roman"/>
                <w:snapToGrid/>
                <w:sz w:val="20"/>
              </w:rPr>
              <w:t>All extrapolations Log-logistic</w:t>
            </w:r>
          </w:p>
        </w:tc>
        <w:tc>
          <w:tcPr>
            <w:tcW w:w="472" w:type="pct"/>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p>
        </w:tc>
        <w:tc>
          <w:tcPr>
            <w:tcW w:w="471"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0.303</w:t>
            </w:r>
          </w:p>
        </w:tc>
        <w:tc>
          <w:tcPr>
            <w:tcW w:w="549"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r w:rsidR="00A54056">
              <w:rPr>
                <w:vertAlign w:val="superscript"/>
              </w:rPr>
              <w:t>1</w:t>
            </w:r>
          </w:p>
        </w:tc>
        <w:tc>
          <w:tcPr>
            <w:tcW w:w="602"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+0.8%</w:t>
            </w:r>
          </w:p>
        </w:tc>
      </w:tr>
      <w:tr w:rsidR="00382A13" w:rsidRPr="00A862C6" w:rsidTr="00D6685F">
        <w:tc>
          <w:tcPr>
            <w:tcW w:w="638" w:type="pct"/>
            <w:vMerge/>
            <w:vAlign w:val="center"/>
          </w:tcPr>
          <w:p w:rsidR="00285CB1" w:rsidRPr="00A862C6" w:rsidRDefault="00285CB1" w:rsidP="00FF6E06">
            <w:pPr>
              <w:pStyle w:val="Tabletext"/>
              <w:keepNext/>
            </w:pPr>
          </w:p>
        </w:tc>
        <w:tc>
          <w:tcPr>
            <w:tcW w:w="1088" w:type="pct"/>
            <w:vMerge/>
            <w:vAlign w:val="center"/>
          </w:tcPr>
          <w:p w:rsidR="00285CB1" w:rsidRPr="00A862C6" w:rsidRDefault="00285CB1" w:rsidP="00FF6E06">
            <w:pPr>
              <w:keepNext/>
              <w:rPr>
                <w:rFonts w:ascii="Arial Narrow" w:hAnsi="Arial Narrow" w:cs="Times New Roman"/>
                <w:snapToGrid/>
                <w:sz w:val="20"/>
              </w:rPr>
            </w:pPr>
          </w:p>
        </w:tc>
        <w:tc>
          <w:tcPr>
            <w:tcW w:w="1179" w:type="pct"/>
            <w:vAlign w:val="center"/>
          </w:tcPr>
          <w:p w:rsidR="00285CB1" w:rsidRPr="00A862C6" w:rsidRDefault="00285CB1" w:rsidP="00FF6E06">
            <w:pPr>
              <w:keepNext/>
              <w:rPr>
                <w:rFonts w:ascii="Arial Narrow" w:hAnsi="Arial Narrow" w:cs="Times New Roman"/>
                <w:snapToGrid/>
                <w:sz w:val="20"/>
              </w:rPr>
            </w:pPr>
            <w:r w:rsidRPr="00A862C6">
              <w:rPr>
                <w:rFonts w:ascii="Arial Narrow" w:hAnsi="Arial Narrow" w:cs="Times New Roman"/>
                <w:snapToGrid/>
                <w:sz w:val="20"/>
              </w:rPr>
              <w:t>All extrapolations Weibull</w:t>
            </w:r>
          </w:p>
        </w:tc>
        <w:tc>
          <w:tcPr>
            <w:tcW w:w="472" w:type="pct"/>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p>
        </w:tc>
        <w:tc>
          <w:tcPr>
            <w:tcW w:w="471"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0.271</w:t>
            </w:r>
          </w:p>
        </w:tc>
        <w:tc>
          <w:tcPr>
            <w:tcW w:w="549"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w:t>
            </w:r>
            <w:r w:rsidR="00027DFC">
              <w:rPr>
                <w:rFonts w:ascii="Arial Narrow" w:hAnsi="Arial Narrow" w:cs="Times New Roman"/>
                <w:noProof/>
                <w:snapToGrid/>
                <w:color w:val="000000"/>
                <w:sz w:val="20"/>
                <w:highlight w:val="black"/>
              </w:rPr>
              <w:t>'''''''''''''''</w:t>
            </w:r>
            <w:r w:rsidR="00A54056">
              <w:rPr>
                <w:vertAlign w:val="superscript"/>
              </w:rPr>
              <w:t>3</w:t>
            </w:r>
          </w:p>
        </w:tc>
        <w:tc>
          <w:tcPr>
            <w:tcW w:w="602"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+13.5%</w:t>
            </w:r>
          </w:p>
        </w:tc>
      </w:tr>
      <w:tr w:rsidR="00321E8E" w:rsidRPr="00A862C6" w:rsidTr="00D6685F">
        <w:tc>
          <w:tcPr>
            <w:tcW w:w="638" w:type="pct"/>
            <w:vMerge w:val="restart"/>
            <w:vAlign w:val="center"/>
          </w:tcPr>
          <w:p w:rsidR="00321E8E" w:rsidRPr="00A862C6" w:rsidRDefault="00321E8E" w:rsidP="00FF6E06">
            <w:pPr>
              <w:pStyle w:val="Tabletext"/>
              <w:keepNext/>
            </w:pPr>
            <w:r w:rsidRPr="00A862C6">
              <w:t>Utilities</w:t>
            </w:r>
          </w:p>
        </w:tc>
        <w:tc>
          <w:tcPr>
            <w:tcW w:w="1088" w:type="pct"/>
            <w:vMerge w:val="restart"/>
            <w:vAlign w:val="center"/>
          </w:tcPr>
          <w:p w:rsidR="00321E8E" w:rsidRPr="00A862C6" w:rsidRDefault="00321E8E" w:rsidP="00FF6E06">
            <w:pPr>
              <w:pStyle w:val="Tabletext"/>
              <w:keepNext/>
            </w:pPr>
            <w:r w:rsidRPr="00A862C6">
              <w:t>Per treatment arm</w:t>
            </w:r>
          </w:p>
        </w:tc>
        <w:tc>
          <w:tcPr>
            <w:tcW w:w="1179" w:type="pct"/>
            <w:vAlign w:val="center"/>
          </w:tcPr>
          <w:p w:rsidR="00321E8E" w:rsidRPr="00A862C6" w:rsidRDefault="00321E8E" w:rsidP="00FF6E06">
            <w:pPr>
              <w:pStyle w:val="Tabletext"/>
              <w:keepNext/>
            </w:pPr>
            <w:r w:rsidRPr="00A862C6">
              <w:t xml:space="preserve">Overall results </w:t>
            </w:r>
            <w:r w:rsidRPr="00A862C6">
              <w:rPr>
                <w:b/>
              </w:rPr>
              <w:t>(#3)</w:t>
            </w:r>
          </w:p>
        </w:tc>
        <w:tc>
          <w:tcPr>
            <w:tcW w:w="472" w:type="pct"/>
            <w:vAlign w:val="center"/>
          </w:tcPr>
          <w:p w:rsidR="00321E8E" w:rsidRPr="00A862C6" w:rsidRDefault="00321E8E" w:rsidP="00FF6E06">
            <w:pPr>
              <w:pStyle w:val="Tabletext"/>
              <w:keepNext/>
              <w:jc w:val="center"/>
            </w:pPr>
            <w:r w:rsidRPr="00A862C6">
              <w:t>$</w:t>
            </w:r>
            <w:r w:rsidR="00027DFC">
              <w:rPr>
                <w:noProof/>
                <w:color w:val="000000"/>
                <w:highlight w:val="black"/>
              </w:rPr>
              <w:t>''''''''''''''''</w:t>
            </w:r>
          </w:p>
        </w:tc>
        <w:tc>
          <w:tcPr>
            <w:tcW w:w="471" w:type="pct"/>
            <w:shd w:val="clear" w:color="auto" w:fill="auto"/>
            <w:vAlign w:val="center"/>
          </w:tcPr>
          <w:p w:rsidR="00321E8E" w:rsidRPr="00A862C6" w:rsidRDefault="00321E8E" w:rsidP="00FF6E06">
            <w:pPr>
              <w:pStyle w:val="Tabletext"/>
              <w:keepNext/>
              <w:jc w:val="center"/>
            </w:pPr>
            <w:r w:rsidRPr="00A862C6">
              <w:t>0.226</w:t>
            </w:r>
          </w:p>
        </w:tc>
        <w:tc>
          <w:tcPr>
            <w:tcW w:w="549" w:type="pct"/>
            <w:shd w:val="clear" w:color="auto" w:fill="auto"/>
            <w:vAlign w:val="center"/>
          </w:tcPr>
          <w:p w:rsidR="00321E8E" w:rsidRPr="00A862C6" w:rsidRDefault="00321E8E" w:rsidP="00FF6E06">
            <w:pPr>
              <w:pStyle w:val="Tabletext"/>
              <w:keepNext/>
              <w:jc w:val="center"/>
            </w:pPr>
            <w:r w:rsidRPr="00A862C6">
              <w:t>$</w:t>
            </w:r>
            <w:r w:rsidR="00027DFC">
              <w:rPr>
                <w:noProof/>
                <w:color w:val="000000"/>
                <w:highlight w:val="black"/>
              </w:rPr>
              <w:t>''''''''''''''''''</w:t>
            </w:r>
            <w:r w:rsidR="00A54056">
              <w:rPr>
                <w:vertAlign w:val="superscript"/>
              </w:rPr>
              <w:t>2</w:t>
            </w:r>
          </w:p>
        </w:tc>
        <w:tc>
          <w:tcPr>
            <w:tcW w:w="602" w:type="pct"/>
            <w:shd w:val="clear" w:color="auto" w:fill="auto"/>
            <w:vAlign w:val="center"/>
          </w:tcPr>
          <w:p w:rsidR="00321E8E" w:rsidRPr="00A862C6" w:rsidRDefault="00321E8E" w:rsidP="00FF6E06">
            <w:pPr>
              <w:keepNext/>
              <w:jc w:val="center"/>
              <w:rPr>
                <w:rFonts w:ascii="Arial Narrow" w:hAnsi="Arial Narrow" w:cs="Times New Roman"/>
                <w:snapToGrid/>
                <w:sz w:val="20"/>
              </w:rPr>
            </w:pPr>
            <w:r w:rsidRPr="00A862C6">
              <w:rPr>
                <w:rFonts w:ascii="Arial Narrow" w:hAnsi="Arial Narrow" w:cs="Times New Roman"/>
                <w:snapToGrid/>
                <w:sz w:val="20"/>
              </w:rPr>
              <w:t>+35.7%</w:t>
            </w:r>
          </w:p>
        </w:tc>
      </w:tr>
      <w:tr w:rsidR="00321E8E" w:rsidRPr="00A862C6" w:rsidTr="00D6685F">
        <w:tc>
          <w:tcPr>
            <w:tcW w:w="638" w:type="pct"/>
            <w:vMerge/>
            <w:vAlign w:val="center"/>
          </w:tcPr>
          <w:p w:rsidR="00321E8E" w:rsidRPr="00A862C6" w:rsidRDefault="00321E8E" w:rsidP="00FF6E06">
            <w:pPr>
              <w:pStyle w:val="Tabletext"/>
              <w:keepNext/>
            </w:pPr>
          </w:p>
        </w:tc>
        <w:tc>
          <w:tcPr>
            <w:tcW w:w="1088" w:type="pct"/>
            <w:vMerge/>
            <w:vAlign w:val="center"/>
          </w:tcPr>
          <w:p w:rsidR="00321E8E" w:rsidRPr="00A862C6" w:rsidRDefault="00321E8E" w:rsidP="00FF6E06">
            <w:pPr>
              <w:pStyle w:val="Tabletext"/>
              <w:keepNext/>
            </w:pPr>
          </w:p>
        </w:tc>
        <w:tc>
          <w:tcPr>
            <w:tcW w:w="1179" w:type="pct"/>
            <w:vAlign w:val="center"/>
          </w:tcPr>
          <w:p w:rsidR="00321E8E" w:rsidRPr="00A862C6" w:rsidRDefault="00283BBE" w:rsidP="00FF6E06">
            <w:pPr>
              <w:pStyle w:val="Tabletext"/>
              <w:keepNext/>
            </w:pPr>
            <w:r w:rsidRPr="00A862C6">
              <w:t xml:space="preserve">Treatment-specific utilities apply pre-progression and overall utilities apply post-progression  </w:t>
            </w:r>
            <w:r w:rsidR="00321E8E" w:rsidRPr="00A862C6">
              <w:rPr>
                <w:b/>
              </w:rPr>
              <w:t>(#4)</w:t>
            </w:r>
          </w:p>
        </w:tc>
        <w:tc>
          <w:tcPr>
            <w:tcW w:w="472" w:type="pct"/>
            <w:vAlign w:val="center"/>
          </w:tcPr>
          <w:p w:rsidR="00321E8E" w:rsidRPr="00A862C6" w:rsidRDefault="00321E8E" w:rsidP="00FF6E06">
            <w:pPr>
              <w:pStyle w:val="Tabletext"/>
              <w:keepNext/>
              <w:jc w:val="center"/>
            </w:pPr>
            <w:r w:rsidRPr="00A862C6">
              <w:t>$</w:t>
            </w:r>
            <w:r w:rsidR="00027DFC">
              <w:rPr>
                <w:noProof/>
                <w:color w:val="000000"/>
                <w:highlight w:val="black"/>
              </w:rPr>
              <w:t>'''''''''''''''</w:t>
            </w:r>
          </w:p>
        </w:tc>
        <w:tc>
          <w:tcPr>
            <w:tcW w:w="471" w:type="pct"/>
            <w:shd w:val="clear" w:color="auto" w:fill="auto"/>
            <w:vAlign w:val="center"/>
          </w:tcPr>
          <w:p w:rsidR="00321E8E" w:rsidRPr="00A862C6" w:rsidRDefault="00321E8E" w:rsidP="00FF6E06">
            <w:pPr>
              <w:pStyle w:val="Tabletext"/>
              <w:keepNext/>
              <w:jc w:val="center"/>
            </w:pPr>
            <w:r w:rsidRPr="00A862C6">
              <w:t>0.255</w:t>
            </w:r>
          </w:p>
        </w:tc>
        <w:tc>
          <w:tcPr>
            <w:tcW w:w="549" w:type="pct"/>
            <w:shd w:val="clear" w:color="auto" w:fill="auto"/>
            <w:vAlign w:val="center"/>
          </w:tcPr>
          <w:p w:rsidR="00321E8E" w:rsidRPr="00A862C6" w:rsidRDefault="00321E8E" w:rsidP="00FF6E06">
            <w:pPr>
              <w:pStyle w:val="Tabletext"/>
              <w:keepNext/>
              <w:jc w:val="center"/>
            </w:pPr>
            <w:r w:rsidRPr="00A862C6">
              <w:t>$</w:t>
            </w:r>
            <w:r w:rsidR="00027DFC">
              <w:rPr>
                <w:noProof/>
                <w:color w:val="000000"/>
                <w:highlight w:val="black"/>
              </w:rPr>
              <w:t>'''''''''''''''''</w:t>
            </w:r>
            <w:r w:rsidR="00A54056">
              <w:rPr>
                <w:vertAlign w:val="superscript"/>
              </w:rPr>
              <w:t>3</w:t>
            </w:r>
          </w:p>
        </w:tc>
        <w:tc>
          <w:tcPr>
            <w:tcW w:w="602" w:type="pct"/>
            <w:shd w:val="clear" w:color="auto" w:fill="auto"/>
            <w:vAlign w:val="center"/>
          </w:tcPr>
          <w:p w:rsidR="00321E8E" w:rsidRPr="00A862C6" w:rsidRDefault="00321E8E" w:rsidP="00FF6E06">
            <w:pPr>
              <w:keepNext/>
              <w:jc w:val="center"/>
              <w:rPr>
                <w:rFonts w:ascii="Arial Narrow" w:hAnsi="Arial Narrow" w:cs="Times New Roman"/>
                <w:snapToGrid/>
                <w:sz w:val="20"/>
              </w:rPr>
            </w:pPr>
            <w:r w:rsidRPr="00A862C6">
              <w:rPr>
                <w:rFonts w:ascii="Arial Narrow" w:hAnsi="Arial Narrow" w:cs="Times New Roman"/>
                <w:snapToGrid/>
                <w:sz w:val="20"/>
              </w:rPr>
              <w:t>+20.0%</w:t>
            </w:r>
          </w:p>
        </w:tc>
      </w:tr>
      <w:tr w:rsidR="00382A13" w:rsidRPr="00A862C6" w:rsidTr="00D6685F">
        <w:tc>
          <w:tcPr>
            <w:tcW w:w="638" w:type="pct"/>
            <w:vAlign w:val="center"/>
          </w:tcPr>
          <w:p w:rsidR="00285CB1" w:rsidRPr="00A862C6" w:rsidRDefault="00285CB1" w:rsidP="00FF6E06">
            <w:pPr>
              <w:pStyle w:val="Tabletext"/>
              <w:keepNext/>
            </w:pPr>
            <w:r w:rsidRPr="00A862C6">
              <w:t>DOT</w:t>
            </w:r>
          </w:p>
        </w:tc>
        <w:tc>
          <w:tcPr>
            <w:tcW w:w="1088" w:type="pct"/>
            <w:vAlign w:val="center"/>
          </w:tcPr>
          <w:p w:rsidR="00285CB1" w:rsidRPr="00A862C6" w:rsidRDefault="00285CB1" w:rsidP="00FF6E06">
            <w:pPr>
              <w:pStyle w:val="Tabletext"/>
              <w:keepNext/>
            </w:pPr>
            <w:r w:rsidRPr="00A862C6">
              <w:t>TTD</w:t>
            </w:r>
          </w:p>
        </w:tc>
        <w:tc>
          <w:tcPr>
            <w:tcW w:w="1179" w:type="pct"/>
            <w:vAlign w:val="center"/>
          </w:tcPr>
          <w:p w:rsidR="00285CB1" w:rsidRPr="00A862C6" w:rsidRDefault="00285CB1" w:rsidP="00FF6E06">
            <w:pPr>
              <w:pStyle w:val="Tabletext"/>
              <w:keepNext/>
            </w:pPr>
            <w:r w:rsidRPr="00A862C6">
              <w:t>PFS curve</w:t>
            </w:r>
          </w:p>
        </w:tc>
        <w:tc>
          <w:tcPr>
            <w:tcW w:w="472" w:type="pct"/>
            <w:vAlign w:val="center"/>
          </w:tcPr>
          <w:p w:rsidR="00285CB1" w:rsidRPr="00A862C6" w:rsidRDefault="00285CB1" w:rsidP="00FF6E06">
            <w:pPr>
              <w:pStyle w:val="Tabletext"/>
              <w:keepNext/>
              <w:jc w:val="center"/>
            </w:pPr>
            <w:r w:rsidRPr="00A862C6">
              <w:t>$</w:t>
            </w:r>
            <w:r w:rsidR="00027DFC">
              <w:rPr>
                <w:noProof/>
                <w:color w:val="000000"/>
                <w:highlight w:val="black"/>
              </w:rPr>
              <w:t>'''''''''''''''</w:t>
            </w:r>
          </w:p>
        </w:tc>
        <w:tc>
          <w:tcPr>
            <w:tcW w:w="471" w:type="pct"/>
            <w:shd w:val="clear" w:color="auto" w:fill="auto"/>
            <w:vAlign w:val="center"/>
          </w:tcPr>
          <w:p w:rsidR="00285CB1" w:rsidRPr="00A862C6" w:rsidRDefault="00285CB1" w:rsidP="00FF6E06">
            <w:pPr>
              <w:pStyle w:val="Tabletext"/>
              <w:keepNext/>
              <w:jc w:val="center"/>
            </w:pPr>
            <w:r w:rsidRPr="00A862C6">
              <w:t>0.306</w:t>
            </w:r>
          </w:p>
        </w:tc>
        <w:tc>
          <w:tcPr>
            <w:tcW w:w="549" w:type="pct"/>
            <w:shd w:val="clear" w:color="auto" w:fill="auto"/>
            <w:vAlign w:val="center"/>
          </w:tcPr>
          <w:p w:rsidR="00285CB1" w:rsidRPr="00A862C6" w:rsidRDefault="00285CB1" w:rsidP="00FF6E06">
            <w:pPr>
              <w:pStyle w:val="Tabletext"/>
              <w:keepNext/>
              <w:jc w:val="center"/>
            </w:pPr>
            <w:r w:rsidRPr="00A862C6">
              <w:t>$</w:t>
            </w:r>
            <w:r w:rsidR="00027DFC">
              <w:rPr>
                <w:noProof/>
                <w:color w:val="000000"/>
                <w:highlight w:val="black"/>
              </w:rPr>
              <w:t>'''''''''''''''''</w:t>
            </w:r>
            <w:r w:rsidR="00A54056">
              <w:rPr>
                <w:vertAlign w:val="superscript"/>
              </w:rPr>
              <w:t>3</w:t>
            </w:r>
          </w:p>
        </w:tc>
        <w:tc>
          <w:tcPr>
            <w:tcW w:w="602" w:type="pct"/>
            <w:shd w:val="clear" w:color="auto" w:fill="auto"/>
            <w:vAlign w:val="center"/>
          </w:tcPr>
          <w:p w:rsidR="00285CB1" w:rsidRPr="00A862C6" w:rsidRDefault="00285CB1" w:rsidP="00FF6E06">
            <w:pPr>
              <w:keepNext/>
              <w:jc w:val="center"/>
              <w:rPr>
                <w:rFonts w:ascii="Arial Narrow" w:hAnsi="Arial Narrow" w:cs="Times New Roman"/>
                <w:snapToGrid/>
                <w:sz w:val="20"/>
              </w:rPr>
            </w:pPr>
            <w:r w:rsidRPr="00A862C6">
              <w:rPr>
                <w:rFonts w:ascii="Arial Narrow" w:hAnsi="Arial Narrow" w:cs="Times New Roman"/>
                <w:snapToGrid/>
                <w:sz w:val="20"/>
              </w:rPr>
              <w:t>+19.5%</w:t>
            </w:r>
          </w:p>
        </w:tc>
      </w:tr>
      <w:tr w:rsidR="00382A13" w:rsidRPr="00A862C6" w:rsidTr="00D6685F">
        <w:tc>
          <w:tcPr>
            <w:tcW w:w="638" w:type="pct"/>
            <w:vAlign w:val="center"/>
          </w:tcPr>
          <w:p w:rsidR="00285CB1" w:rsidRPr="00A862C6" w:rsidRDefault="00285CB1" w:rsidP="00FF6E06">
            <w:pPr>
              <w:pStyle w:val="Tabletext"/>
              <w:keepNext/>
            </w:pPr>
            <w:r w:rsidRPr="00A862C6">
              <w:t>Dosing</w:t>
            </w:r>
            <w:r w:rsidRPr="00A862C6">
              <w:rPr>
                <w:vertAlign w:val="superscript"/>
              </w:rPr>
              <w:t>a</w:t>
            </w:r>
          </w:p>
        </w:tc>
        <w:tc>
          <w:tcPr>
            <w:tcW w:w="1088" w:type="pct"/>
            <w:vAlign w:val="center"/>
          </w:tcPr>
          <w:p w:rsidR="00285CB1" w:rsidRPr="00A862C6" w:rsidRDefault="00285CB1" w:rsidP="00FF6E06">
            <w:pPr>
              <w:pStyle w:val="Tabletext"/>
              <w:keepNext/>
            </w:pPr>
            <w:r w:rsidRPr="00A862C6">
              <w:t>NIVO: 240</w:t>
            </w:r>
            <w:r w:rsidR="009B545E" w:rsidRPr="00A862C6">
              <w:t xml:space="preserve"> </w:t>
            </w:r>
            <w:r w:rsidRPr="00A862C6">
              <w:t>mg Q2W</w:t>
            </w:r>
          </w:p>
        </w:tc>
        <w:tc>
          <w:tcPr>
            <w:tcW w:w="1179" w:type="pct"/>
            <w:vAlign w:val="center"/>
          </w:tcPr>
          <w:p w:rsidR="00285CB1" w:rsidRPr="00A862C6" w:rsidRDefault="00285CB1" w:rsidP="00FF6E06">
            <w:pPr>
              <w:pStyle w:val="Tabletext"/>
              <w:keepNext/>
            </w:pPr>
            <w:r w:rsidRPr="00A862C6">
              <w:t>NIVO: 480</w:t>
            </w:r>
            <w:r w:rsidR="00FF0303" w:rsidRPr="00A862C6">
              <w:t xml:space="preserve"> </w:t>
            </w:r>
            <w:r w:rsidRPr="00A862C6">
              <w:t>mg Q4W</w:t>
            </w:r>
          </w:p>
        </w:tc>
        <w:tc>
          <w:tcPr>
            <w:tcW w:w="472" w:type="pct"/>
            <w:vAlign w:val="center"/>
          </w:tcPr>
          <w:p w:rsidR="00285CB1" w:rsidRPr="00A862C6" w:rsidRDefault="00285CB1" w:rsidP="00FF6E06">
            <w:pPr>
              <w:pStyle w:val="Tabletext"/>
              <w:keepNext/>
              <w:jc w:val="center"/>
            </w:pPr>
            <w:r w:rsidRPr="00A862C6">
              <w:t>-</w:t>
            </w:r>
          </w:p>
        </w:tc>
        <w:tc>
          <w:tcPr>
            <w:tcW w:w="471" w:type="pct"/>
            <w:shd w:val="clear" w:color="auto" w:fill="auto"/>
            <w:vAlign w:val="center"/>
          </w:tcPr>
          <w:p w:rsidR="00285CB1" w:rsidRPr="00A862C6" w:rsidRDefault="00285CB1" w:rsidP="00FF6E06">
            <w:pPr>
              <w:pStyle w:val="Tabletext"/>
              <w:keepNext/>
              <w:jc w:val="center"/>
            </w:pPr>
            <w:r w:rsidRPr="00A862C6">
              <w:t>-</w:t>
            </w:r>
          </w:p>
        </w:tc>
        <w:tc>
          <w:tcPr>
            <w:tcW w:w="549" w:type="pct"/>
            <w:shd w:val="clear" w:color="auto" w:fill="auto"/>
            <w:vAlign w:val="center"/>
          </w:tcPr>
          <w:p w:rsidR="00285CB1" w:rsidRPr="00A862C6" w:rsidRDefault="00285CB1" w:rsidP="00FF6E06">
            <w:pPr>
              <w:pStyle w:val="Tabletext"/>
              <w:keepNext/>
              <w:jc w:val="center"/>
            </w:pPr>
            <w:r w:rsidRPr="00A862C6">
              <w:t>$</w:t>
            </w:r>
            <w:r w:rsidR="00027DFC">
              <w:rPr>
                <w:noProof/>
                <w:color w:val="000000"/>
                <w:highlight w:val="black"/>
              </w:rPr>
              <w:t>'''''''''''''''</w:t>
            </w:r>
            <w:r w:rsidR="00A54056">
              <w:rPr>
                <w:vertAlign w:val="superscript"/>
              </w:rPr>
              <w:t>1</w:t>
            </w:r>
          </w:p>
        </w:tc>
        <w:tc>
          <w:tcPr>
            <w:tcW w:w="602" w:type="pct"/>
            <w:shd w:val="clear" w:color="auto" w:fill="auto"/>
            <w:vAlign w:val="center"/>
          </w:tcPr>
          <w:p w:rsidR="00285CB1" w:rsidRPr="00A862C6" w:rsidRDefault="00285CB1" w:rsidP="00FF6E06">
            <w:pPr>
              <w:pStyle w:val="Tabletext"/>
              <w:keepNext/>
              <w:jc w:val="center"/>
            </w:pPr>
            <w:r w:rsidRPr="00A862C6">
              <w:t>-8.9%</w:t>
            </w:r>
          </w:p>
        </w:tc>
      </w:tr>
      <w:tr w:rsidR="00382A13" w:rsidRPr="00A862C6" w:rsidTr="00D6685F">
        <w:tc>
          <w:tcPr>
            <w:tcW w:w="638" w:type="pct"/>
            <w:vAlign w:val="center"/>
          </w:tcPr>
          <w:p w:rsidR="00285CB1" w:rsidRPr="00A862C6" w:rsidRDefault="00634BC1" w:rsidP="00FF6E06">
            <w:pPr>
              <w:pStyle w:val="Tabletext"/>
              <w:keepNext/>
            </w:pPr>
            <w:r w:rsidRPr="00A862C6">
              <w:t>IC costs</w:t>
            </w:r>
          </w:p>
        </w:tc>
        <w:tc>
          <w:tcPr>
            <w:tcW w:w="1088" w:type="pct"/>
            <w:vAlign w:val="center"/>
          </w:tcPr>
          <w:p w:rsidR="00285CB1" w:rsidRPr="00A862C6" w:rsidRDefault="00285CB1" w:rsidP="00FF6E06">
            <w:pPr>
              <w:pStyle w:val="Tabletext"/>
              <w:keepNext/>
            </w:pPr>
            <w:r w:rsidRPr="00A862C6">
              <w:t>31% of patients on DOC</w:t>
            </w:r>
          </w:p>
        </w:tc>
        <w:tc>
          <w:tcPr>
            <w:tcW w:w="1179" w:type="pct"/>
            <w:vAlign w:val="center"/>
          </w:tcPr>
          <w:p w:rsidR="00285CB1" w:rsidRPr="00A862C6" w:rsidRDefault="00285CB1" w:rsidP="00FF6E06">
            <w:pPr>
              <w:pStyle w:val="Tabletext"/>
              <w:keepNext/>
            </w:pPr>
            <w:r w:rsidRPr="00A862C6">
              <w:t xml:space="preserve">100% of patients on DOC </w:t>
            </w:r>
          </w:p>
        </w:tc>
        <w:tc>
          <w:tcPr>
            <w:tcW w:w="472" w:type="pct"/>
            <w:vAlign w:val="center"/>
          </w:tcPr>
          <w:p w:rsidR="00285CB1" w:rsidRPr="00A862C6" w:rsidRDefault="00285CB1" w:rsidP="00FF6E06">
            <w:pPr>
              <w:pStyle w:val="Tabletext"/>
              <w:keepNext/>
              <w:jc w:val="center"/>
            </w:pPr>
            <w:r w:rsidRPr="00A862C6">
              <w:t>$</w:t>
            </w:r>
            <w:r w:rsidR="00027DFC">
              <w:rPr>
                <w:noProof/>
                <w:color w:val="000000"/>
                <w:highlight w:val="black"/>
              </w:rPr>
              <w:t>'''''''''''''''''</w:t>
            </w:r>
          </w:p>
        </w:tc>
        <w:tc>
          <w:tcPr>
            <w:tcW w:w="471" w:type="pct"/>
            <w:shd w:val="clear" w:color="auto" w:fill="auto"/>
            <w:vAlign w:val="center"/>
          </w:tcPr>
          <w:p w:rsidR="00285CB1" w:rsidRPr="00A862C6" w:rsidRDefault="00285CB1" w:rsidP="00FF6E06">
            <w:pPr>
              <w:pStyle w:val="Tabletext"/>
              <w:keepNext/>
              <w:jc w:val="center"/>
            </w:pPr>
            <w:r w:rsidRPr="00A862C6">
              <w:t>0.306</w:t>
            </w:r>
          </w:p>
        </w:tc>
        <w:tc>
          <w:tcPr>
            <w:tcW w:w="549" w:type="pct"/>
            <w:shd w:val="clear" w:color="auto" w:fill="auto"/>
            <w:vAlign w:val="center"/>
          </w:tcPr>
          <w:p w:rsidR="00285CB1" w:rsidRPr="00A862C6" w:rsidRDefault="00285CB1" w:rsidP="00FF6E06">
            <w:pPr>
              <w:pStyle w:val="Tabletext"/>
              <w:keepNext/>
              <w:jc w:val="center"/>
            </w:pPr>
            <w:r w:rsidRPr="00A862C6">
              <w:t>$</w:t>
            </w:r>
            <w:r w:rsidR="00027DFC">
              <w:rPr>
                <w:noProof/>
                <w:color w:val="000000"/>
                <w:highlight w:val="black"/>
              </w:rPr>
              <w:t>''''''''''''''''</w:t>
            </w:r>
            <w:r w:rsidR="00A54056">
              <w:rPr>
                <w:vertAlign w:val="superscript"/>
              </w:rPr>
              <w:t>3</w:t>
            </w:r>
          </w:p>
        </w:tc>
        <w:tc>
          <w:tcPr>
            <w:tcW w:w="602" w:type="pct"/>
            <w:shd w:val="clear" w:color="auto" w:fill="auto"/>
            <w:vAlign w:val="center"/>
          </w:tcPr>
          <w:p w:rsidR="00285CB1" w:rsidRPr="00A862C6" w:rsidRDefault="00285CB1" w:rsidP="00FF6E06">
            <w:pPr>
              <w:pStyle w:val="Tabletext"/>
              <w:keepNext/>
              <w:jc w:val="center"/>
            </w:pPr>
            <w:r w:rsidRPr="00A862C6">
              <w:t>+5.2%</w:t>
            </w:r>
          </w:p>
        </w:tc>
      </w:tr>
      <w:tr w:rsidR="00382A13" w:rsidRPr="00A862C6" w:rsidTr="00D6685F">
        <w:tc>
          <w:tcPr>
            <w:tcW w:w="638" w:type="pct"/>
            <w:vAlign w:val="center"/>
          </w:tcPr>
          <w:p w:rsidR="00285CB1" w:rsidRPr="00A862C6" w:rsidRDefault="00285CB1" w:rsidP="00FF6E06">
            <w:pPr>
              <w:pStyle w:val="Tabletext"/>
              <w:keepNext/>
            </w:pPr>
            <w:r w:rsidRPr="00A862C6">
              <w:t>Terminal care</w:t>
            </w:r>
            <w:r w:rsidR="00FE08CB" w:rsidRPr="00A862C6">
              <w:rPr>
                <w:vertAlign w:val="superscript"/>
              </w:rPr>
              <w:t>b</w:t>
            </w:r>
          </w:p>
        </w:tc>
        <w:tc>
          <w:tcPr>
            <w:tcW w:w="1088" w:type="pct"/>
            <w:vAlign w:val="center"/>
          </w:tcPr>
          <w:p w:rsidR="00285CB1" w:rsidRPr="00A862C6" w:rsidRDefault="00285CB1" w:rsidP="00FF6E06">
            <w:pPr>
              <w:pStyle w:val="Tabletext"/>
              <w:keepNext/>
            </w:pPr>
            <w:r w:rsidRPr="00A862C6">
              <w:t>Terminal costs included</w:t>
            </w:r>
          </w:p>
        </w:tc>
        <w:tc>
          <w:tcPr>
            <w:tcW w:w="1179" w:type="pct"/>
            <w:vAlign w:val="center"/>
          </w:tcPr>
          <w:p w:rsidR="00285CB1" w:rsidRPr="00A862C6" w:rsidRDefault="00285CB1" w:rsidP="00FF6E06">
            <w:pPr>
              <w:pStyle w:val="Tabletext"/>
              <w:keepNext/>
            </w:pPr>
            <w:r w:rsidRPr="00A862C6">
              <w:t>Removal of terminal costs</w:t>
            </w:r>
          </w:p>
        </w:tc>
        <w:tc>
          <w:tcPr>
            <w:tcW w:w="472" w:type="pct"/>
            <w:vAlign w:val="center"/>
          </w:tcPr>
          <w:p w:rsidR="00285CB1" w:rsidRPr="00A862C6" w:rsidRDefault="00285CB1" w:rsidP="00FF6E06">
            <w:pPr>
              <w:pStyle w:val="Tabletext"/>
              <w:keepNext/>
              <w:jc w:val="center"/>
            </w:pPr>
            <w:r w:rsidRPr="00A862C6">
              <w:t>$</w:t>
            </w:r>
            <w:r w:rsidR="00027DFC">
              <w:rPr>
                <w:noProof/>
                <w:color w:val="000000"/>
                <w:highlight w:val="black"/>
              </w:rPr>
              <w:t>'''''''''''''''</w:t>
            </w:r>
          </w:p>
        </w:tc>
        <w:tc>
          <w:tcPr>
            <w:tcW w:w="471" w:type="pct"/>
            <w:shd w:val="clear" w:color="auto" w:fill="auto"/>
            <w:vAlign w:val="center"/>
          </w:tcPr>
          <w:p w:rsidR="00285CB1" w:rsidRPr="00A862C6" w:rsidRDefault="00285CB1" w:rsidP="00FF6E06">
            <w:pPr>
              <w:pStyle w:val="Tabletext"/>
              <w:keepNext/>
              <w:jc w:val="center"/>
            </w:pPr>
            <w:r w:rsidRPr="00A862C6">
              <w:t>0.306</w:t>
            </w:r>
          </w:p>
        </w:tc>
        <w:tc>
          <w:tcPr>
            <w:tcW w:w="549" w:type="pct"/>
            <w:shd w:val="clear" w:color="auto" w:fill="auto"/>
            <w:vAlign w:val="center"/>
          </w:tcPr>
          <w:p w:rsidR="00285CB1" w:rsidRPr="00A862C6" w:rsidRDefault="00285CB1" w:rsidP="00FF6E06">
            <w:pPr>
              <w:pStyle w:val="Tabletext"/>
              <w:keepNext/>
              <w:jc w:val="center"/>
            </w:pPr>
            <w:r w:rsidRPr="00A862C6">
              <w:t>$</w:t>
            </w:r>
            <w:r w:rsidR="00027DFC">
              <w:rPr>
                <w:noProof/>
                <w:color w:val="000000"/>
                <w:highlight w:val="black"/>
              </w:rPr>
              <w:t>'''''''''''''''</w:t>
            </w:r>
            <w:r w:rsidR="00A54056">
              <w:rPr>
                <w:vertAlign w:val="superscript"/>
              </w:rPr>
              <w:t>3</w:t>
            </w:r>
          </w:p>
        </w:tc>
        <w:tc>
          <w:tcPr>
            <w:tcW w:w="602" w:type="pct"/>
            <w:shd w:val="clear" w:color="auto" w:fill="auto"/>
            <w:vAlign w:val="center"/>
          </w:tcPr>
          <w:p w:rsidR="00285CB1" w:rsidRPr="00A862C6" w:rsidRDefault="00285CB1" w:rsidP="00FF6E06">
            <w:pPr>
              <w:pStyle w:val="Tabletext"/>
              <w:keepNext/>
              <w:jc w:val="center"/>
            </w:pPr>
            <w:r w:rsidRPr="00A862C6">
              <w:t>+4.3%</w:t>
            </w:r>
          </w:p>
        </w:tc>
      </w:tr>
      <w:tr w:rsidR="00382A13" w:rsidRPr="00A862C6" w:rsidTr="00D6685F">
        <w:tc>
          <w:tcPr>
            <w:tcW w:w="638" w:type="pct"/>
            <w:vAlign w:val="center"/>
          </w:tcPr>
          <w:p w:rsidR="00FE08CB" w:rsidRPr="00A862C6" w:rsidRDefault="00285CB1" w:rsidP="00FF6E06">
            <w:pPr>
              <w:pStyle w:val="Tabletext"/>
              <w:keepNext/>
            </w:pPr>
            <w:r w:rsidRPr="00A862C6">
              <w:t xml:space="preserve">AEs </w:t>
            </w:r>
          </w:p>
          <w:p w:rsidR="00285CB1" w:rsidRPr="00A862C6" w:rsidRDefault="00285CB1" w:rsidP="00FF6E06">
            <w:pPr>
              <w:pStyle w:val="Tabletext"/>
              <w:keepNext/>
            </w:pPr>
            <w:r w:rsidRPr="00A862C6">
              <w:t>(gr 3/4)</w:t>
            </w:r>
          </w:p>
        </w:tc>
        <w:tc>
          <w:tcPr>
            <w:tcW w:w="1088" w:type="pct"/>
            <w:vAlign w:val="center"/>
          </w:tcPr>
          <w:p w:rsidR="00285CB1" w:rsidRPr="00A862C6" w:rsidRDefault="00285CB1" w:rsidP="00FF6E06">
            <w:pPr>
              <w:pStyle w:val="Tabletext"/>
              <w:keepNext/>
            </w:pPr>
            <w:r w:rsidRPr="00A862C6">
              <w:t xml:space="preserve">AEs as hospitalisations </w:t>
            </w:r>
          </w:p>
        </w:tc>
        <w:tc>
          <w:tcPr>
            <w:tcW w:w="1179" w:type="pct"/>
            <w:vAlign w:val="center"/>
          </w:tcPr>
          <w:p w:rsidR="00285CB1" w:rsidRPr="00A862C6" w:rsidRDefault="00285CB1" w:rsidP="00FF6E06">
            <w:pPr>
              <w:pStyle w:val="Tabletext"/>
              <w:keepNext/>
            </w:pPr>
            <w:r w:rsidRPr="00A862C6">
              <w:t>Removal of AEs</w:t>
            </w:r>
          </w:p>
        </w:tc>
        <w:tc>
          <w:tcPr>
            <w:tcW w:w="472" w:type="pct"/>
            <w:vAlign w:val="center"/>
          </w:tcPr>
          <w:p w:rsidR="00285CB1" w:rsidRPr="00A862C6" w:rsidRDefault="00285CB1" w:rsidP="00FF6E06">
            <w:pPr>
              <w:pStyle w:val="Tabletext"/>
              <w:keepNext/>
              <w:jc w:val="center"/>
            </w:pPr>
            <w:r w:rsidRPr="00A862C6">
              <w:t>$</w:t>
            </w:r>
            <w:r w:rsidR="00027DFC">
              <w:rPr>
                <w:noProof/>
                <w:color w:val="000000"/>
                <w:highlight w:val="black"/>
              </w:rPr>
              <w:t>'''''''''''''''''</w:t>
            </w:r>
          </w:p>
        </w:tc>
        <w:tc>
          <w:tcPr>
            <w:tcW w:w="471" w:type="pct"/>
            <w:shd w:val="clear" w:color="auto" w:fill="auto"/>
            <w:vAlign w:val="center"/>
          </w:tcPr>
          <w:p w:rsidR="00285CB1" w:rsidRPr="00A862C6" w:rsidRDefault="00285CB1" w:rsidP="00FF6E06">
            <w:pPr>
              <w:pStyle w:val="Tabletext"/>
              <w:keepNext/>
              <w:jc w:val="center"/>
            </w:pPr>
            <w:r w:rsidRPr="00A862C6">
              <w:t>0.306</w:t>
            </w:r>
          </w:p>
        </w:tc>
        <w:tc>
          <w:tcPr>
            <w:tcW w:w="549" w:type="pct"/>
            <w:shd w:val="clear" w:color="auto" w:fill="auto"/>
            <w:vAlign w:val="center"/>
          </w:tcPr>
          <w:p w:rsidR="00285CB1" w:rsidRPr="00A862C6" w:rsidRDefault="00285CB1" w:rsidP="00FF6E06">
            <w:pPr>
              <w:pStyle w:val="Tabletext"/>
              <w:keepNext/>
              <w:jc w:val="center"/>
            </w:pPr>
            <w:r w:rsidRPr="00A862C6">
              <w:t>$</w:t>
            </w:r>
            <w:r w:rsidR="00027DFC">
              <w:rPr>
                <w:noProof/>
                <w:color w:val="000000"/>
                <w:highlight w:val="black"/>
              </w:rPr>
              <w:t>''''''''''''''''</w:t>
            </w:r>
            <w:r w:rsidR="00A54056">
              <w:rPr>
                <w:vertAlign w:val="superscript"/>
              </w:rPr>
              <w:t>3</w:t>
            </w:r>
          </w:p>
        </w:tc>
        <w:tc>
          <w:tcPr>
            <w:tcW w:w="602" w:type="pct"/>
            <w:shd w:val="clear" w:color="auto" w:fill="auto"/>
            <w:vAlign w:val="center"/>
          </w:tcPr>
          <w:p w:rsidR="00285CB1" w:rsidRPr="00A862C6" w:rsidRDefault="00285CB1" w:rsidP="00FF6E06">
            <w:pPr>
              <w:pStyle w:val="Tabletext"/>
              <w:keepNext/>
              <w:jc w:val="center"/>
            </w:pPr>
            <w:r w:rsidRPr="00A862C6">
              <w:t>+16.3%</w:t>
            </w:r>
          </w:p>
        </w:tc>
      </w:tr>
      <w:tr w:rsidR="00382A13" w:rsidRPr="00A862C6" w:rsidTr="00D6685F">
        <w:tc>
          <w:tcPr>
            <w:tcW w:w="638" w:type="pct"/>
            <w:vAlign w:val="center"/>
          </w:tcPr>
          <w:p w:rsidR="00B649CC" w:rsidRPr="00A862C6" w:rsidRDefault="00B649CC" w:rsidP="00FF6E06">
            <w:pPr>
              <w:pStyle w:val="Tabletext"/>
              <w:keepNext/>
            </w:pPr>
            <w:r w:rsidRPr="00A862C6">
              <w:t>PFS</w:t>
            </w:r>
          </w:p>
        </w:tc>
        <w:tc>
          <w:tcPr>
            <w:tcW w:w="1088" w:type="pct"/>
            <w:vAlign w:val="center"/>
          </w:tcPr>
          <w:p w:rsidR="00B649CC" w:rsidRPr="00A862C6" w:rsidRDefault="00B649CC" w:rsidP="00FF6E06">
            <w:pPr>
              <w:pStyle w:val="Tabletext"/>
              <w:keepNext/>
            </w:pPr>
            <w:r w:rsidRPr="00A862C6">
              <w:t>PFS extrapolated separately</w:t>
            </w:r>
          </w:p>
        </w:tc>
        <w:tc>
          <w:tcPr>
            <w:tcW w:w="1179" w:type="pct"/>
            <w:vAlign w:val="center"/>
          </w:tcPr>
          <w:p w:rsidR="00B649CC" w:rsidRPr="00A862C6" w:rsidRDefault="00B649CC" w:rsidP="00FF6E06">
            <w:pPr>
              <w:pStyle w:val="Tabletext"/>
              <w:keepNext/>
            </w:pPr>
            <w:r w:rsidRPr="00A862C6">
              <w:t>Assume PFS for IC applied to both treatment arms</w:t>
            </w:r>
            <w:r w:rsidR="009E0CD5" w:rsidRPr="00A862C6">
              <w:t xml:space="preserve"> </w:t>
            </w:r>
            <w:r w:rsidR="009E0CD5" w:rsidRPr="00A862C6">
              <w:rPr>
                <w:b/>
              </w:rPr>
              <w:t>(#</w:t>
            </w:r>
            <w:r w:rsidR="00562AAE" w:rsidRPr="00A862C6">
              <w:rPr>
                <w:b/>
              </w:rPr>
              <w:t>5</w:t>
            </w:r>
            <w:r w:rsidR="009E0CD5" w:rsidRPr="00A862C6">
              <w:rPr>
                <w:b/>
              </w:rPr>
              <w:t>)</w:t>
            </w:r>
          </w:p>
        </w:tc>
        <w:tc>
          <w:tcPr>
            <w:tcW w:w="472" w:type="pct"/>
            <w:vAlign w:val="center"/>
          </w:tcPr>
          <w:p w:rsidR="00B649CC" w:rsidRPr="00A862C6" w:rsidRDefault="00327C49" w:rsidP="00FF6E06">
            <w:pPr>
              <w:pStyle w:val="Tabletext"/>
              <w:keepNext/>
              <w:jc w:val="center"/>
            </w:pPr>
            <w:r w:rsidRPr="00A862C6">
              <w:t>$</w:t>
            </w:r>
            <w:r w:rsidR="00027DFC">
              <w:rPr>
                <w:noProof/>
                <w:color w:val="000000"/>
                <w:highlight w:val="black"/>
              </w:rPr>
              <w:t>'''''''''''''''</w:t>
            </w:r>
          </w:p>
        </w:tc>
        <w:tc>
          <w:tcPr>
            <w:tcW w:w="471" w:type="pct"/>
            <w:shd w:val="clear" w:color="auto" w:fill="auto"/>
            <w:vAlign w:val="center"/>
          </w:tcPr>
          <w:p w:rsidR="00B649CC" w:rsidRPr="00A862C6" w:rsidRDefault="00327C49" w:rsidP="00FF6E06">
            <w:pPr>
              <w:pStyle w:val="Tabletext"/>
              <w:keepNext/>
              <w:jc w:val="center"/>
            </w:pPr>
            <w:r w:rsidRPr="00A862C6">
              <w:t>0.274</w:t>
            </w:r>
          </w:p>
        </w:tc>
        <w:tc>
          <w:tcPr>
            <w:tcW w:w="549" w:type="pct"/>
            <w:shd w:val="clear" w:color="auto" w:fill="auto"/>
            <w:vAlign w:val="center"/>
          </w:tcPr>
          <w:p w:rsidR="00B649CC" w:rsidRPr="00A862C6" w:rsidRDefault="00327C49" w:rsidP="00FF6E06">
            <w:pPr>
              <w:pStyle w:val="Tabletext"/>
              <w:keepNext/>
              <w:jc w:val="center"/>
            </w:pPr>
            <w:r w:rsidRPr="00A862C6">
              <w:t>$</w:t>
            </w:r>
            <w:r w:rsidR="00027DFC">
              <w:rPr>
                <w:noProof/>
                <w:color w:val="000000"/>
                <w:highlight w:val="black"/>
              </w:rPr>
              <w:t>'''''''''''''''''</w:t>
            </w:r>
            <w:r w:rsidR="00A54056">
              <w:rPr>
                <w:vertAlign w:val="superscript"/>
              </w:rPr>
              <w:t>3</w:t>
            </w:r>
          </w:p>
        </w:tc>
        <w:tc>
          <w:tcPr>
            <w:tcW w:w="602" w:type="pct"/>
            <w:shd w:val="clear" w:color="auto" w:fill="auto"/>
            <w:vAlign w:val="center"/>
          </w:tcPr>
          <w:p w:rsidR="00B649CC" w:rsidRPr="00A862C6" w:rsidRDefault="00327C49" w:rsidP="00FF6E06">
            <w:pPr>
              <w:pStyle w:val="Tabletext"/>
              <w:keepNext/>
              <w:jc w:val="center"/>
            </w:pPr>
            <w:r w:rsidRPr="00A862C6">
              <w:t>+10.4%</w:t>
            </w:r>
          </w:p>
        </w:tc>
      </w:tr>
      <w:tr w:rsidR="0091433D" w:rsidRPr="00A862C6" w:rsidTr="00CE6382">
        <w:tc>
          <w:tcPr>
            <w:tcW w:w="5000" w:type="pct"/>
            <w:gridSpan w:val="7"/>
            <w:shd w:val="clear" w:color="auto" w:fill="auto"/>
            <w:vAlign w:val="center"/>
          </w:tcPr>
          <w:p w:rsidR="0091433D" w:rsidRPr="00A862C6" w:rsidRDefault="0091433D" w:rsidP="00FF6E06">
            <w:pPr>
              <w:pStyle w:val="Tabletext"/>
              <w:keepNext/>
              <w:rPr>
                <w:b/>
              </w:rPr>
            </w:pPr>
            <w:r w:rsidRPr="00A862C6">
              <w:rPr>
                <w:b/>
              </w:rPr>
              <w:t>Multivariate analys</w:t>
            </w:r>
            <w:r w:rsidR="009E523A" w:rsidRPr="00A862C6">
              <w:rPr>
                <w:b/>
              </w:rPr>
              <w:t>e</w:t>
            </w:r>
            <w:r w:rsidRPr="00A862C6">
              <w:rPr>
                <w:b/>
              </w:rPr>
              <w:t>s</w:t>
            </w:r>
          </w:p>
        </w:tc>
      </w:tr>
      <w:tr w:rsidR="00382A13" w:rsidRPr="00A862C6" w:rsidTr="00D6685F">
        <w:tc>
          <w:tcPr>
            <w:tcW w:w="638" w:type="pct"/>
            <w:vAlign w:val="center"/>
          </w:tcPr>
          <w:p w:rsidR="006D1A86" w:rsidRPr="00A862C6" w:rsidRDefault="006D1A86" w:rsidP="00FF6E06">
            <w:pPr>
              <w:pStyle w:val="Tabletext"/>
              <w:keepNext/>
            </w:pPr>
            <w:r w:rsidRPr="00A862C6">
              <w:t>Time horizon and utilities</w:t>
            </w:r>
          </w:p>
        </w:tc>
        <w:tc>
          <w:tcPr>
            <w:tcW w:w="1088" w:type="pct"/>
            <w:vAlign w:val="center"/>
          </w:tcPr>
          <w:p w:rsidR="006D1A86" w:rsidRPr="00A862C6" w:rsidRDefault="006D1A86" w:rsidP="00FF6E06">
            <w:pPr>
              <w:pStyle w:val="Tabletext"/>
              <w:keepNext/>
            </w:pPr>
            <w:r w:rsidRPr="00A862C6">
              <w:t>Time horizon of 7 years and utilities per treatment arm</w:t>
            </w:r>
          </w:p>
        </w:tc>
        <w:tc>
          <w:tcPr>
            <w:tcW w:w="1179" w:type="pct"/>
            <w:vAlign w:val="center"/>
          </w:tcPr>
          <w:p w:rsidR="00B7448D" w:rsidRPr="00A862C6" w:rsidRDefault="006D1A86" w:rsidP="00FF6E06">
            <w:pPr>
              <w:pStyle w:val="Tabletext"/>
              <w:keepNext/>
            </w:pPr>
            <w:r w:rsidRPr="00A862C6">
              <w:t>Within trial time horizon and utilities using overall results</w:t>
            </w:r>
            <w:r w:rsidR="00B7448D" w:rsidRPr="00A862C6">
              <w:t xml:space="preserve"> </w:t>
            </w:r>
          </w:p>
          <w:p w:rsidR="006D1A86" w:rsidRPr="00A862C6" w:rsidRDefault="00B7448D" w:rsidP="00FF6E06">
            <w:pPr>
              <w:pStyle w:val="Tabletext"/>
              <w:keepNext/>
              <w:rPr>
                <w:b/>
              </w:rPr>
            </w:pPr>
            <w:r w:rsidRPr="00A862C6">
              <w:rPr>
                <w:b/>
              </w:rPr>
              <w:t>(#1 + #3)</w:t>
            </w:r>
          </w:p>
        </w:tc>
        <w:tc>
          <w:tcPr>
            <w:tcW w:w="472" w:type="pct"/>
            <w:vAlign w:val="center"/>
          </w:tcPr>
          <w:p w:rsidR="006D1A86" w:rsidRPr="00A862C6" w:rsidRDefault="006D1A86" w:rsidP="00FF6E06">
            <w:pPr>
              <w:pStyle w:val="Tabletext"/>
              <w:keepNext/>
              <w:jc w:val="center"/>
            </w:pPr>
            <w:r w:rsidRPr="00A862C6">
              <w:t>$</w:t>
            </w:r>
            <w:r w:rsidR="00027DFC">
              <w:rPr>
                <w:noProof/>
                <w:color w:val="000000"/>
                <w:highlight w:val="black"/>
              </w:rPr>
              <w:t>''''''''''''''''</w:t>
            </w:r>
          </w:p>
        </w:tc>
        <w:tc>
          <w:tcPr>
            <w:tcW w:w="471" w:type="pct"/>
            <w:shd w:val="clear" w:color="auto" w:fill="auto"/>
            <w:vAlign w:val="center"/>
          </w:tcPr>
          <w:p w:rsidR="006D1A86" w:rsidRPr="00A862C6" w:rsidRDefault="006D1A86" w:rsidP="00FF6E06">
            <w:pPr>
              <w:pStyle w:val="Tabletext"/>
              <w:keepNext/>
              <w:jc w:val="center"/>
            </w:pPr>
            <w:r w:rsidRPr="00A862C6">
              <w:t>0.154</w:t>
            </w:r>
          </w:p>
        </w:tc>
        <w:tc>
          <w:tcPr>
            <w:tcW w:w="549" w:type="pct"/>
            <w:shd w:val="clear" w:color="auto" w:fill="auto"/>
            <w:vAlign w:val="center"/>
          </w:tcPr>
          <w:p w:rsidR="006D1A86" w:rsidRPr="00A862C6" w:rsidRDefault="006D1A86" w:rsidP="00FF6E06">
            <w:pPr>
              <w:pStyle w:val="Tabletext"/>
              <w:keepNext/>
              <w:jc w:val="center"/>
            </w:pPr>
            <w:r w:rsidRPr="00A862C6">
              <w:t>$</w:t>
            </w:r>
            <w:r w:rsidR="00027DFC">
              <w:rPr>
                <w:noProof/>
                <w:color w:val="000000"/>
                <w:highlight w:val="black"/>
              </w:rPr>
              <w:t>'''''''''''''''''''</w:t>
            </w:r>
            <w:r w:rsidR="00A54056">
              <w:rPr>
                <w:vertAlign w:val="superscript"/>
              </w:rPr>
              <w:t>4</w:t>
            </w:r>
          </w:p>
        </w:tc>
        <w:tc>
          <w:tcPr>
            <w:tcW w:w="602" w:type="pct"/>
            <w:shd w:val="clear" w:color="auto" w:fill="auto"/>
            <w:vAlign w:val="center"/>
          </w:tcPr>
          <w:p w:rsidR="006D1A86" w:rsidRPr="00A862C6" w:rsidRDefault="006D1A86" w:rsidP="00FF6E06">
            <w:pPr>
              <w:pStyle w:val="Tabletext"/>
              <w:keepNext/>
              <w:jc w:val="center"/>
            </w:pPr>
            <w:r w:rsidRPr="00A862C6">
              <w:t>+96.9%</w:t>
            </w:r>
          </w:p>
        </w:tc>
      </w:tr>
      <w:tr w:rsidR="00751A85" w:rsidRPr="00A862C6" w:rsidTr="00D6685F">
        <w:trPr>
          <w:trHeight w:val="1377"/>
        </w:trPr>
        <w:tc>
          <w:tcPr>
            <w:tcW w:w="638" w:type="pct"/>
            <w:vAlign w:val="center"/>
          </w:tcPr>
          <w:p w:rsidR="00751A85" w:rsidRPr="00A862C6" w:rsidRDefault="00751A85" w:rsidP="00FF6E06">
            <w:pPr>
              <w:pStyle w:val="Tabletext"/>
              <w:keepNext/>
            </w:pPr>
            <w:r w:rsidRPr="00A862C6">
              <w:rPr>
                <w:rFonts w:eastAsiaTheme="minorHAnsi"/>
                <w:szCs w:val="20"/>
              </w:rPr>
              <w:t>Time horizon, PFS and utilities</w:t>
            </w:r>
          </w:p>
        </w:tc>
        <w:tc>
          <w:tcPr>
            <w:tcW w:w="1088" w:type="pct"/>
            <w:vAlign w:val="center"/>
          </w:tcPr>
          <w:p w:rsidR="00751A85" w:rsidRPr="00A862C6" w:rsidRDefault="00751A85" w:rsidP="00FF6E06">
            <w:pPr>
              <w:pStyle w:val="Tabletext"/>
              <w:keepNext/>
            </w:pPr>
            <w:r w:rsidRPr="00A862C6">
              <w:rPr>
                <w:rFonts w:eastAsiaTheme="minorHAnsi"/>
                <w:szCs w:val="20"/>
              </w:rPr>
              <w:t>Time horizon of 7 years and PFS extrapolated separately and utilities per treatment arm</w:t>
            </w:r>
          </w:p>
        </w:tc>
        <w:tc>
          <w:tcPr>
            <w:tcW w:w="1179" w:type="pct"/>
            <w:vAlign w:val="center"/>
          </w:tcPr>
          <w:p w:rsidR="00751A85" w:rsidRPr="00A862C6" w:rsidRDefault="00751A85" w:rsidP="00FF6E06">
            <w:pPr>
              <w:pStyle w:val="Tabletext"/>
              <w:keepNext/>
              <w:rPr>
                <w:rFonts w:eastAsiaTheme="minorHAnsi"/>
                <w:szCs w:val="20"/>
              </w:rPr>
            </w:pPr>
            <w:r w:rsidRPr="00A862C6">
              <w:rPr>
                <w:rFonts w:eastAsiaTheme="minorHAnsi"/>
                <w:szCs w:val="20"/>
              </w:rPr>
              <w:t xml:space="preserve">5 year time horizon, </w:t>
            </w:r>
            <w:r w:rsidR="00B8705B" w:rsidRPr="00A862C6">
              <w:t xml:space="preserve">treatment-specific utilities apply pre-progression and overall utilities apply post-progression  </w:t>
            </w:r>
            <w:r w:rsidRPr="00A862C6">
              <w:rPr>
                <w:rFonts w:eastAsiaTheme="minorHAnsi"/>
                <w:szCs w:val="20"/>
              </w:rPr>
              <w:t>assume PFS for IC applied to both treatment arms</w:t>
            </w:r>
            <w:r w:rsidR="008573AC" w:rsidRPr="00A862C6">
              <w:rPr>
                <w:rFonts w:eastAsiaTheme="minorHAnsi"/>
                <w:szCs w:val="20"/>
              </w:rPr>
              <w:t>,</w:t>
            </w:r>
            <w:r w:rsidRPr="00A862C6">
              <w:rPr>
                <w:rFonts w:eastAsiaTheme="minorHAnsi"/>
                <w:szCs w:val="20"/>
              </w:rPr>
              <w:t xml:space="preserve"> </w:t>
            </w:r>
          </w:p>
          <w:p w:rsidR="00751A85" w:rsidRPr="00A862C6" w:rsidRDefault="00751A85" w:rsidP="00FF6E06">
            <w:pPr>
              <w:pStyle w:val="Tabletext"/>
              <w:keepNext/>
              <w:rPr>
                <w:b/>
              </w:rPr>
            </w:pPr>
            <w:r w:rsidRPr="00A862C6">
              <w:rPr>
                <w:rFonts w:eastAsiaTheme="minorHAnsi"/>
                <w:b/>
                <w:szCs w:val="20"/>
              </w:rPr>
              <w:t xml:space="preserve">(#2 + </w:t>
            </w:r>
            <w:r w:rsidR="00562AAE" w:rsidRPr="00A862C6">
              <w:rPr>
                <w:rFonts w:eastAsiaTheme="minorHAnsi"/>
                <w:b/>
                <w:szCs w:val="20"/>
              </w:rPr>
              <w:t xml:space="preserve">#4 + </w:t>
            </w:r>
            <w:r w:rsidRPr="00A862C6">
              <w:rPr>
                <w:rFonts w:eastAsiaTheme="minorHAnsi"/>
                <w:b/>
                <w:szCs w:val="20"/>
              </w:rPr>
              <w:t>#</w:t>
            </w:r>
            <w:r w:rsidR="00562AAE" w:rsidRPr="00A862C6">
              <w:rPr>
                <w:rFonts w:eastAsiaTheme="minorHAnsi"/>
                <w:b/>
                <w:szCs w:val="20"/>
              </w:rPr>
              <w:t>5</w:t>
            </w:r>
            <w:r w:rsidRPr="00A862C6">
              <w:rPr>
                <w:rFonts w:eastAsiaTheme="minorHAnsi"/>
                <w:b/>
                <w:szCs w:val="20"/>
              </w:rPr>
              <w:t>)</w:t>
            </w:r>
          </w:p>
        </w:tc>
        <w:tc>
          <w:tcPr>
            <w:tcW w:w="472" w:type="pct"/>
            <w:vAlign w:val="center"/>
          </w:tcPr>
          <w:p w:rsidR="00751A85" w:rsidRPr="00A862C6" w:rsidRDefault="00751A85" w:rsidP="00FF6E06">
            <w:pPr>
              <w:pStyle w:val="Tabletext"/>
              <w:keepNext/>
              <w:jc w:val="center"/>
            </w:pPr>
            <w:r w:rsidRPr="00A862C6">
              <w:rPr>
                <w:rFonts w:eastAsiaTheme="minorHAnsi"/>
                <w:iCs/>
                <w:szCs w:val="20"/>
              </w:rPr>
              <w:t>$</w:t>
            </w:r>
            <w:r w:rsidR="00027DFC">
              <w:rPr>
                <w:noProof/>
                <w:color w:val="000000"/>
                <w:highlight w:val="black"/>
              </w:rPr>
              <w:t>'''''''''''''''</w:t>
            </w:r>
          </w:p>
        </w:tc>
        <w:tc>
          <w:tcPr>
            <w:tcW w:w="471" w:type="pct"/>
            <w:vAlign w:val="center"/>
          </w:tcPr>
          <w:p w:rsidR="00751A85" w:rsidRPr="00A862C6" w:rsidRDefault="00751A85" w:rsidP="00FF6E06">
            <w:pPr>
              <w:pStyle w:val="Tabletext"/>
              <w:keepNext/>
              <w:jc w:val="center"/>
            </w:pPr>
            <w:r w:rsidRPr="00A862C6">
              <w:rPr>
                <w:rFonts w:eastAsiaTheme="minorHAnsi"/>
                <w:iCs/>
                <w:szCs w:val="20"/>
              </w:rPr>
              <w:t>0.185</w:t>
            </w:r>
          </w:p>
        </w:tc>
        <w:tc>
          <w:tcPr>
            <w:tcW w:w="549" w:type="pct"/>
            <w:vAlign w:val="center"/>
          </w:tcPr>
          <w:p w:rsidR="00751A85" w:rsidRPr="00A862C6" w:rsidRDefault="00751A85" w:rsidP="00FF6E06">
            <w:pPr>
              <w:pStyle w:val="Tabletext"/>
              <w:keepNext/>
              <w:jc w:val="center"/>
            </w:pPr>
            <w:r w:rsidRPr="00A862C6">
              <w:rPr>
                <w:rFonts w:eastAsiaTheme="minorHAnsi"/>
                <w:iCs/>
                <w:szCs w:val="20"/>
              </w:rPr>
              <w:t>$</w:t>
            </w:r>
            <w:r w:rsidR="00027DFC">
              <w:rPr>
                <w:noProof/>
                <w:color w:val="000000"/>
                <w:highlight w:val="black"/>
              </w:rPr>
              <w:t>''''''''''''''''''''</w:t>
            </w:r>
            <w:r w:rsidR="00A54056">
              <w:rPr>
                <w:vertAlign w:val="superscript"/>
              </w:rPr>
              <w:t>5</w:t>
            </w:r>
          </w:p>
        </w:tc>
        <w:tc>
          <w:tcPr>
            <w:tcW w:w="602" w:type="pct"/>
            <w:vAlign w:val="center"/>
          </w:tcPr>
          <w:p w:rsidR="00751A85" w:rsidRPr="00A862C6" w:rsidRDefault="00751A85" w:rsidP="00FF6E06">
            <w:pPr>
              <w:pStyle w:val="Tabletext"/>
              <w:keepNext/>
              <w:jc w:val="center"/>
            </w:pPr>
            <w:r w:rsidRPr="00A862C6">
              <w:rPr>
                <w:rFonts w:eastAsiaTheme="minorHAnsi"/>
                <w:iCs/>
                <w:szCs w:val="20"/>
              </w:rPr>
              <w:t>+59.4%</w:t>
            </w:r>
          </w:p>
        </w:tc>
      </w:tr>
      <w:tr w:rsidR="00321E8E" w:rsidRPr="00A862C6" w:rsidTr="00D6685F">
        <w:tc>
          <w:tcPr>
            <w:tcW w:w="638" w:type="pct"/>
            <w:vAlign w:val="center"/>
          </w:tcPr>
          <w:p w:rsidR="00321E8E" w:rsidRPr="00A862C6" w:rsidRDefault="00321E8E" w:rsidP="00FF6E06">
            <w:pPr>
              <w:pStyle w:val="Tabletext"/>
              <w:keepNext/>
            </w:pPr>
            <w:r w:rsidRPr="00A862C6">
              <w:t>Time horizon, PFS and OS, and utilities</w:t>
            </w:r>
          </w:p>
        </w:tc>
        <w:tc>
          <w:tcPr>
            <w:tcW w:w="1088" w:type="pct"/>
            <w:vAlign w:val="center"/>
          </w:tcPr>
          <w:p w:rsidR="00321E8E" w:rsidRPr="00A862C6" w:rsidRDefault="00321E8E" w:rsidP="00FF6E06">
            <w:pPr>
              <w:pStyle w:val="Tabletext"/>
              <w:keepNext/>
            </w:pPr>
            <w:r w:rsidRPr="00A862C6">
              <w:rPr>
                <w:rFonts w:eastAsiaTheme="minorHAnsi"/>
                <w:szCs w:val="20"/>
              </w:rPr>
              <w:t>Time horizon of 7 years, no convergence of OS and PFS, and utilities per treatment arm</w:t>
            </w:r>
          </w:p>
        </w:tc>
        <w:tc>
          <w:tcPr>
            <w:tcW w:w="1179" w:type="pct"/>
            <w:vAlign w:val="center"/>
          </w:tcPr>
          <w:p w:rsidR="00321E8E" w:rsidRPr="00A862C6" w:rsidRDefault="00321E8E" w:rsidP="00FF6E06">
            <w:pPr>
              <w:pStyle w:val="Tabletext"/>
              <w:keepNext/>
              <w:rPr>
                <w:rFonts w:eastAsiaTheme="minorHAnsi"/>
                <w:b/>
                <w:szCs w:val="20"/>
              </w:rPr>
            </w:pPr>
            <w:r w:rsidRPr="00A862C6">
              <w:t>5-year time horizon, treatment-specific utilities apply pre-progression and overall utilities apply post-progression</w:t>
            </w:r>
            <w:r w:rsidR="00964109" w:rsidRPr="00A862C6">
              <w:t xml:space="preserve">, and </w:t>
            </w:r>
            <w:r w:rsidR="008573AC" w:rsidRPr="00A862C6">
              <w:t xml:space="preserve">curve convergence </w:t>
            </w:r>
            <w:r w:rsidR="00964109" w:rsidRPr="00A862C6">
              <w:t>from 3-5 years</w:t>
            </w:r>
          </w:p>
        </w:tc>
        <w:tc>
          <w:tcPr>
            <w:tcW w:w="472" w:type="pct"/>
            <w:vAlign w:val="center"/>
          </w:tcPr>
          <w:p w:rsidR="00321E8E" w:rsidRPr="00A862C6" w:rsidRDefault="00E434B5" w:rsidP="00FF6E06">
            <w:pPr>
              <w:pStyle w:val="Tabletext"/>
              <w:keepNext/>
              <w:jc w:val="center"/>
              <w:rPr>
                <w:rFonts w:eastAsiaTheme="minorHAnsi"/>
                <w:iCs/>
                <w:szCs w:val="20"/>
              </w:rPr>
            </w:pPr>
            <w:r w:rsidRPr="00A862C6">
              <w:t>$</w:t>
            </w:r>
            <w:r w:rsidR="00027DFC">
              <w:rPr>
                <w:noProof/>
                <w:color w:val="000000"/>
                <w:highlight w:val="black"/>
              </w:rPr>
              <w:t>''''''''''''''''</w:t>
            </w:r>
          </w:p>
        </w:tc>
        <w:tc>
          <w:tcPr>
            <w:tcW w:w="471" w:type="pct"/>
            <w:vAlign w:val="center"/>
          </w:tcPr>
          <w:p w:rsidR="00321E8E" w:rsidRPr="00A862C6" w:rsidRDefault="00E434B5" w:rsidP="00FF6E06">
            <w:pPr>
              <w:pStyle w:val="Tabletext"/>
              <w:keepNext/>
              <w:jc w:val="center"/>
              <w:rPr>
                <w:rFonts w:eastAsiaTheme="minorHAnsi"/>
                <w:iCs/>
                <w:szCs w:val="20"/>
              </w:rPr>
            </w:pPr>
            <w:r w:rsidRPr="00A862C6">
              <w:t>0.191</w:t>
            </w:r>
          </w:p>
        </w:tc>
        <w:tc>
          <w:tcPr>
            <w:tcW w:w="549" w:type="pct"/>
            <w:vAlign w:val="center"/>
          </w:tcPr>
          <w:p w:rsidR="00321E8E" w:rsidRPr="00A862C6" w:rsidRDefault="00476D82" w:rsidP="00FF6E06">
            <w:pPr>
              <w:pStyle w:val="Tabletext"/>
              <w:keepNext/>
              <w:jc w:val="center"/>
              <w:rPr>
                <w:rFonts w:eastAsiaTheme="minorHAnsi"/>
                <w:iCs/>
                <w:szCs w:val="20"/>
              </w:rPr>
            </w:pPr>
            <w:r w:rsidRPr="00A862C6">
              <w:t>$</w:t>
            </w:r>
            <w:r w:rsidR="00027DFC">
              <w:rPr>
                <w:noProof/>
                <w:color w:val="000000"/>
                <w:highlight w:val="black"/>
              </w:rPr>
              <w:t>'''''''''''''''''''''</w:t>
            </w:r>
            <w:r w:rsidR="00A54056">
              <w:rPr>
                <w:vertAlign w:val="superscript"/>
              </w:rPr>
              <w:t>5</w:t>
            </w:r>
          </w:p>
        </w:tc>
        <w:tc>
          <w:tcPr>
            <w:tcW w:w="602" w:type="pct"/>
            <w:vAlign w:val="center"/>
          </w:tcPr>
          <w:p w:rsidR="00321E8E" w:rsidRPr="00A862C6" w:rsidRDefault="00751A85" w:rsidP="00FF6E06">
            <w:pPr>
              <w:pStyle w:val="Tabletext"/>
              <w:keepNext/>
              <w:jc w:val="center"/>
              <w:rPr>
                <w:rFonts w:eastAsiaTheme="minorHAnsi"/>
                <w:iCs/>
                <w:szCs w:val="20"/>
              </w:rPr>
            </w:pPr>
            <w:r w:rsidRPr="00A862C6">
              <w:t>+</w:t>
            </w:r>
            <w:r w:rsidR="00E434B5" w:rsidRPr="00A862C6">
              <w:t>61.3%</w:t>
            </w:r>
          </w:p>
        </w:tc>
      </w:tr>
    </w:tbl>
    <w:p w:rsidR="00285CB1" w:rsidRPr="00A862C6" w:rsidRDefault="00285CB1" w:rsidP="00321E8E">
      <w:pPr>
        <w:pStyle w:val="TableFooter"/>
      </w:pPr>
      <w:r w:rsidRPr="00A862C6">
        <w:t xml:space="preserve">AE = adverse event; </w:t>
      </w:r>
      <w:r w:rsidR="00FF0303" w:rsidRPr="00A862C6">
        <w:t xml:space="preserve">DOC = docetaxel; </w:t>
      </w:r>
      <w:r w:rsidRPr="00A862C6">
        <w:t xml:space="preserve">DOT = duration of treatment; gr = grade; IC = investigator’s choice; </w:t>
      </w:r>
      <w:r w:rsidR="00FF0303" w:rsidRPr="00A862C6">
        <w:t xml:space="preserve">KM = Kaplan-Meier; </w:t>
      </w:r>
      <w:r w:rsidRPr="00A862C6">
        <w:t xml:space="preserve">NIVO = nivolumab; OS = overall survival; </w:t>
      </w:r>
      <w:r w:rsidR="00FF0303" w:rsidRPr="00A862C6">
        <w:t xml:space="preserve">PAC = paclitaxel; </w:t>
      </w:r>
      <w:r w:rsidR="000A4764" w:rsidRPr="00A862C6">
        <w:t xml:space="preserve">PD = progressive disease; </w:t>
      </w:r>
      <w:r w:rsidRPr="00A862C6">
        <w:t>PFS = progression-free survival; Q2W = every 2 weeks; Q4W = every 4 weeks</w:t>
      </w:r>
      <w:r w:rsidR="009B545E" w:rsidRPr="00A862C6">
        <w:t>; TTD</w:t>
      </w:r>
      <w:r w:rsidR="00FF0303" w:rsidRPr="00A862C6">
        <w:t xml:space="preserve"> = time to treatment discontinuation.</w:t>
      </w:r>
    </w:p>
    <w:p w:rsidR="00293FC1" w:rsidRDefault="00285CB1" w:rsidP="00321E8E">
      <w:pPr>
        <w:pStyle w:val="TableFooter"/>
      </w:pPr>
      <w:r w:rsidRPr="00A862C6">
        <w:t xml:space="preserve">a This </w:t>
      </w:r>
      <w:r w:rsidR="00DE1146" w:rsidRPr="00A862C6">
        <w:t xml:space="preserve">could not </w:t>
      </w:r>
      <w:r w:rsidRPr="00A862C6">
        <w:t>be verified during evaluation.</w:t>
      </w:r>
    </w:p>
    <w:p w:rsidR="00A54056" w:rsidRDefault="00A54056" w:rsidP="00A54056">
      <w:pPr>
        <w:pStyle w:val="TableFigureFooter"/>
        <w:spacing w:after="0"/>
        <w:contextualSpacing w:val="0"/>
        <w:rPr>
          <w:i/>
        </w:rPr>
      </w:pPr>
      <w:r w:rsidRPr="009868C4">
        <w:rPr>
          <w:i/>
        </w:rPr>
        <w:t>The redacted values correspond to the following ranges</w:t>
      </w:r>
      <w:r>
        <w:rPr>
          <w:i/>
        </w:rPr>
        <w:t xml:space="preserve">: </w:t>
      </w:r>
    </w:p>
    <w:p w:rsidR="00A54056" w:rsidRPr="00870C5D" w:rsidRDefault="00A54056" w:rsidP="00A54056">
      <w:pPr>
        <w:pStyle w:val="TableFigureFooter"/>
        <w:spacing w:after="0"/>
        <w:contextualSpacing w:val="0"/>
      </w:pPr>
      <w:r>
        <w:rPr>
          <w:i/>
          <w:vertAlign w:val="superscript"/>
        </w:rPr>
        <w:t>1</w:t>
      </w:r>
      <w:r>
        <w:rPr>
          <w:i/>
        </w:rPr>
        <w:t xml:space="preserve"> </w:t>
      </w:r>
      <w:r w:rsidRPr="00A54056">
        <w:rPr>
          <w:i/>
        </w:rPr>
        <w:t>$55,000 to &lt; $75,000</w:t>
      </w:r>
    </w:p>
    <w:p w:rsidR="00A54056" w:rsidRPr="00870C5D" w:rsidRDefault="00A54056" w:rsidP="00A54056">
      <w:pPr>
        <w:pStyle w:val="TableFigureFooter"/>
        <w:spacing w:after="0"/>
        <w:contextualSpacing w:val="0"/>
      </w:pPr>
      <w:r>
        <w:rPr>
          <w:i/>
          <w:vertAlign w:val="superscript"/>
        </w:rPr>
        <w:t>2</w:t>
      </w:r>
      <w:r>
        <w:rPr>
          <w:i/>
        </w:rPr>
        <w:t xml:space="preserve"> </w:t>
      </w:r>
      <w:r w:rsidRPr="00A54056">
        <w:rPr>
          <w:i/>
        </w:rPr>
        <w:t>$95,000 to &lt; $115,000</w:t>
      </w:r>
    </w:p>
    <w:p w:rsidR="00A54056" w:rsidRPr="00870C5D" w:rsidRDefault="00A54056" w:rsidP="00A54056">
      <w:pPr>
        <w:pStyle w:val="TableFigureFooter"/>
        <w:spacing w:after="0"/>
        <w:contextualSpacing w:val="0"/>
      </w:pPr>
      <w:r>
        <w:rPr>
          <w:i/>
          <w:vertAlign w:val="superscript"/>
        </w:rPr>
        <w:t>3</w:t>
      </w:r>
      <w:r>
        <w:rPr>
          <w:i/>
        </w:rPr>
        <w:t xml:space="preserve"> </w:t>
      </w:r>
      <w:r w:rsidRPr="00A54056">
        <w:rPr>
          <w:i/>
        </w:rPr>
        <w:t>$75,000 to &lt; $95,000</w:t>
      </w:r>
    </w:p>
    <w:p w:rsidR="00A54056" w:rsidRPr="00870C5D" w:rsidRDefault="00A54056" w:rsidP="00A54056">
      <w:pPr>
        <w:pStyle w:val="TableFigureFooter"/>
        <w:spacing w:after="0"/>
        <w:contextualSpacing w:val="0"/>
      </w:pPr>
      <w:r>
        <w:rPr>
          <w:i/>
          <w:vertAlign w:val="superscript"/>
        </w:rPr>
        <w:t>4</w:t>
      </w:r>
      <w:r>
        <w:rPr>
          <w:i/>
        </w:rPr>
        <w:t xml:space="preserve"> </w:t>
      </w:r>
      <w:r w:rsidRPr="00A54056">
        <w:rPr>
          <w:i/>
        </w:rPr>
        <w:t>$135,000 to &lt; $155,000</w:t>
      </w:r>
    </w:p>
    <w:p w:rsidR="00A54056" w:rsidRPr="00870C5D" w:rsidRDefault="00A54056" w:rsidP="00A54056">
      <w:pPr>
        <w:pStyle w:val="TableFigureFooter"/>
        <w:spacing w:after="0"/>
        <w:contextualSpacing w:val="0"/>
      </w:pPr>
      <w:r>
        <w:rPr>
          <w:i/>
          <w:vertAlign w:val="superscript"/>
        </w:rPr>
        <w:t>5</w:t>
      </w:r>
      <w:r>
        <w:rPr>
          <w:i/>
        </w:rPr>
        <w:t xml:space="preserve"> </w:t>
      </w:r>
      <w:r w:rsidRPr="00A54056">
        <w:rPr>
          <w:i/>
        </w:rPr>
        <w:t>$115,000 to &lt; $135,000</w:t>
      </w:r>
    </w:p>
    <w:p w:rsidR="00A54056" w:rsidRPr="00A862C6" w:rsidRDefault="00A54056" w:rsidP="00321E8E">
      <w:pPr>
        <w:pStyle w:val="TableFooter"/>
      </w:pPr>
    </w:p>
    <w:p w:rsidR="001E3423" w:rsidRPr="00A862C6" w:rsidRDefault="001E3423" w:rsidP="00285CB1">
      <w:pPr>
        <w:widowControl/>
      </w:pPr>
    </w:p>
    <w:p w:rsidR="003C446D" w:rsidRPr="00A862C6" w:rsidRDefault="00285CB1" w:rsidP="00DD46F0">
      <w:pPr>
        <w:pStyle w:val="ListParagraph"/>
        <w:widowControl/>
        <w:numPr>
          <w:ilvl w:val="1"/>
          <w:numId w:val="2"/>
        </w:numPr>
      </w:pPr>
      <w:r w:rsidRPr="00A862C6">
        <w:t xml:space="preserve">The assumption of differential utility based on treatment arm and the extrapolation to </w:t>
      </w:r>
      <w:r w:rsidR="00DE1146" w:rsidRPr="00A862C6">
        <w:t>seven-</w:t>
      </w:r>
      <w:r w:rsidRPr="00A862C6">
        <w:t xml:space="preserve">year time horizon </w:t>
      </w:r>
      <w:r w:rsidR="006A6E2B" w:rsidRPr="00A862C6">
        <w:t xml:space="preserve">(step 3) </w:t>
      </w:r>
      <w:r w:rsidR="00DE1146" w:rsidRPr="00A862C6">
        <w:t xml:space="preserve">from ‘within trial’ </w:t>
      </w:r>
      <w:r w:rsidR="006A6E2B" w:rsidRPr="00A862C6">
        <w:t xml:space="preserve">(step 2) </w:t>
      </w:r>
      <w:r w:rsidRPr="00A862C6">
        <w:t>had the largest potential impacts on the ICER</w:t>
      </w:r>
      <w:r w:rsidR="006A6E2B" w:rsidRPr="00A862C6">
        <w:t xml:space="preserve"> (increasing to estimated ICER by 35.7% and 32.9%</w:t>
      </w:r>
      <w:r w:rsidR="00F94070" w:rsidRPr="00A862C6">
        <w:t>,</w:t>
      </w:r>
      <w:r w:rsidR="006A6E2B" w:rsidRPr="00A862C6">
        <w:t xml:space="preserve"> respectively)</w:t>
      </w:r>
      <w:r w:rsidRPr="00A862C6">
        <w:t xml:space="preserve">. </w:t>
      </w:r>
      <w:r w:rsidR="00B662F1" w:rsidRPr="00A862C6">
        <w:t>Multivariate sensitivity analyses combining these two scenarios increased the estimated ICER by 96.9%, and likely represents the upper estimates of the ICER.</w:t>
      </w:r>
    </w:p>
    <w:p w:rsidR="001C6509" w:rsidRPr="00A862C6" w:rsidRDefault="001C6509" w:rsidP="00DD46F0">
      <w:pPr>
        <w:pStyle w:val="ListParagraph"/>
        <w:widowControl/>
        <w:numPr>
          <w:ilvl w:val="1"/>
          <w:numId w:val="2"/>
        </w:numPr>
        <w:rPr>
          <w:rFonts w:asciiTheme="minorHAnsi" w:hAnsiTheme="minorHAnsi" w:cstheme="minorHAnsi"/>
          <w:szCs w:val="24"/>
          <w:lang w:eastAsia="en-AU"/>
        </w:rPr>
      </w:pPr>
      <w:r w:rsidRPr="00A862C6">
        <w:rPr>
          <w:rFonts w:asciiTheme="minorHAnsi" w:hAnsiTheme="minorHAnsi" w:cstheme="minorHAnsi"/>
          <w:szCs w:val="24"/>
          <w:lang w:eastAsia="en-AU"/>
        </w:rPr>
        <w:t>The ESC considered the base case ICER presented by the submission was uncertain and likely underestimated, given:</w:t>
      </w:r>
    </w:p>
    <w:p w:rsidR="003C1988" w:rsidRDefault="001C6509" w:rsidP="00DD46F0">
      <w:pPr>
        <w:pStyle w:val="ListParagraph"/>
        <w:numPr>
          <w:ilvl w:val="0"/>
          <w:numId w:val="4"/>
        </w:numPr>
        <w:ind w:left="993" w:hanging="294"/>
      </w:pPr>
      <w:r w:rsidRPr="00A862C6">
        <w:rPr>
          <w:lang w:eastAsia="en-AU"/>
        </w:rPr>
        <w:t>A differential utility based on ATTRACTION-3 EQ-5D results that favoured patients in the nivolumab arm was applied, with patients in the nivolumab arm experiencing higher utility than patients in the IC arm in all alive health states irrespective of whether patients were receiving treatment or not. Additionally, patients randomised to nivolumab in ATTRACTION-3 had a higher baseline utility (0.835) compared to patients randomised to IC (0.787) which likely overestimating any utility benefit from nivolumab.</w:t>
      </w:r>
      <w:r w:rsidRPr="00A862C6">
        <w:t xml:space="preserve"> </w:t>
      </w:r>
      <w:r w:rsidRPr="00A862C6">
        <w:rPr>
          <w:lang w:eastAsia="en-AU"/>
        </w:rPr>
        <w:t xml:space="preserve">The ESC considered the use of treatment-specific utilities was not well justified. </w:t>
      </w:r>
    </w:p>
    <w:p w:rsidR="006B1A5E" w:rsidRPr="006B1A5E" w:rsidRDefault="001C6509" w:rsidP="00DD46F0">
      <w:pPr>
        <w:pStyle w:val="ListParagraph"/>
        <w:numPr>
          <w:ilvl w:val="0"/>
          <w:numId w:val="4"/>
        </w:numPr>
        <w:ind w:left="993" w:hanging="294"/>
      </w:pPr>
      <w:r w:rsidRPr="00A862C6">
        <w:rPr>
          <w:lang w:eastAsia="en-AU"/>
        </w:rPr>
        <w:t>The base case time horizon of seven years, particularly for a 2L treatment, may be optimistic given the SEER data indicated that the five-year survival for OSCC with distant metastasis was only 4.9%. The ESC considered a time horizon of 5 years would be appropriate</w:t>
      </w:r>
      <w:r w:rsidR="00A862C6">
        <w:rPr>
          <w:lang w:eastAsia="en-AU"/>
        </w:rPr>
        <w:t xml:space="preserve">. </w:t>
      </w:r>
    </w:p>
    <w:p w:rsidR="006B1A5E" w:rsidRDefault="006B1A5E" w:rsidP="00A54056">
      <w:pPr>
        <w:pStyle w:val="ListParagraph"/>
        <w:numPr>
          <w:ilvl w:val="1"/>
          <w:numId w:val="2"/>
        </w:numPr>
      </w:pPr>
      <w:r w:rsidRPr="006B1A5E">
        <w:t xml:space="preserve">The ESC considered the multivariate sensitivity analysis with a 5 year time horizon, PFS for IC applied to both treatment arms and utilities using overall results for PD only with an associated ICER of </w:t>
      </w:r>
      <w:r w:rsidR="00A54056" w:rsidRPr="00A54056">
        <w:t>$115,000 to &lt; $135,000</w:t>
      </w:r>
      <w:r w:rsidR="00A54056">
        <w:t xml:space="preserve"> </w:t>
      </w:r>
      <w:r w:rsidRPr="006B1A5E">
        <w:t>was a more appropriate base case.</w:t>
      </w:r>
    </w:p>
    <w:p w:rsidR="007D01A2" w:rsidRPr="00A862C6" w:rsidRDefault="001B5E99" w:rsidP="00DD46F0">
      <w:pPr>
        <w:pStyle w:val="ListParagraph"/>
        <w:widowControl/>
        <w:numPr>
          <w:ilvl w:val="1"/>
          <w:numId w:val="2"/>
        </w:numPr>
      </w:pPr>
      <w:r w:rsidRPr="00A862C6">
        <w:t xml:space="preserve">The PSCR </w:t>
      </w:r>
      <w:r w:rsidR="007F57F7" w:rsidRPr="00A862C6">
        <w:t>stated</w:t>
      </w:r>
      <w:r w:rsidRPr="00A862C6">
        <w:t xml:space="preserve"> that </w:t>
      </w:r>
      <w:r w:rsidR="007D01A2" w:rsidRPr="00A862C6">
        <w:t>the application of treatment-specific utilities was appropriate for use in t</w:t>
      </w:r>
      <w:r w:rsidR="006B4871" w:rsidRPr="00A862C6">
        <w:t>he modelled economic evaluation,</w:t>
      </w:r>
      <w:r w:rsidR="007D01A2" w:rsidRPr="00A862C6">
        <w:t xml:space="preserve"> </w:t>
      </w:r>
      <w:r w:rsidR="006B4871" w:rsidRPr="00A862C6">
        <w:t>as</w:t>
      </w:r>
      <w:r w:rsidR="007D01A2" w:rsidRPr="00A862C6">
        <w:t xml:space="preserve"> the higher pre-progression utilities for the nivolumab treatment group (0.796) compared with the IC group (0.737) was expected given both the preferential </w:t>
      </w:r>
      <w:r w:rsidR="00934B25" w:rsidRPr="00A862C6">
        <w:t>AE</w:t>
      </w:r>
      <w:r w:rsidR="007D01A2" w:rsidRPr="00A862C6">
        <w:t xml:space="preserve"> profile and mechanism of action of the immunotherapy agent nivolumab. The PSCR</w:t>
      </w:r>
      <w:r w:rsidR="007E2F83" w:rsidRPr="00A862C6">
        <w:t xml:space="preserve"> also</w:t>
      </w:r>
      <w:r w:rsidR="007D01A2" w:rsidRPr="00A862C6">
        <w:t xml:space="preserve"> claimed that the post-progression utility values used which were higher for</w:t>
      </w:r>
      <w:r w:rsidR="00E11817" w:rsidRPr="00A862C6">
        <w:t xml:space="preserve"> the</w:t>
      </w:r>
      <w:r w:rsidR="007D01A2" w:rsidRPr="00A862C6">
        <w:t xml:space="preserve"> nivolumab treatment group (0.583 compared with 0.519 for IC) was reasonable given that a high proportion of nivolumab patients (49.7%) were treated beyond progression as per t</w:t>
      </w:r>
      <w:r w:rsidR="007E2F83" w:rsidRPr="00A862C6">
        <w:t>he ATTRACTION-3 trial protocol.</w:t>
      </w:r>
      <w:r w:rsidR="00D40A05" w:rsidRPr="00A862C6">
        <w:t xml:space="preserve"> </w:t>
      </w:r>
      <w:r w:rsidR="00066D51" w:rsidRPr="00066D51">
        <w:t>The PBAC considered that applying a higher utility for patients treated with nivolumab in the progressed health state for the duration of the model was likely to substantially overestimate the utility benefit</w:t>
      </w:r>
      <w:r w:rsidR="00066D51">
        <w:t xml:space="preserve">. The PBAC also noted the restriction criteria </w:t>
      </w:r>
      <w:r w:rsidR="00884B95">
        <w:t>allows for continuing treatment only when patients have stable or responding disease</w:t>
      </w:r>
      <w:r w:rsidR="00066D51">
        <w:t xml:space="preserve">.  </w:t>
      </w:r>
      <w:r w:rsidR="001C6509" w:rsidRPr="00A862C6">
        <w:t xml:space="preserve">The pre-PBAC response acknowledged the ESC’s rationale for the application of overall utility values for the progressed treatment state, but considered it overly conservative as the high proportion of nivolumab patients (49.7%) who received treatment beyond progression have not been accounted for. The response stated that these patients have a continued benefit and higher quality of life compared to the IC arm for a certain period of the post-progression state. The sponsor considered it more appropriate to apply treatment-specific utilities for the progressed health state for the duration of time supported by evidence (median follow-up for OS from the ATTRACTION-3 trial, 40.2 months), with an average utility applied thereafter. </w:t>
      </w:r>
    </w:p>
    <w:p w:rsidR="001C6509" w:rsidRPr="00A862C6" w:rsidRDefault="00C1526F" w:rsidP="00DD46F0">
      <w:pPr>
        <w:pStyle w:val="ListParagraph"/>
        <w:numPr>
          <w:ilvl w:val="1"/>
          <w:numId w:val="2"/>
        </w:numPr>
      </w:pPr>
      <w:r w:rsidRPr="00A862C6">
        <w:t xml:space="preserve">The PSCR </w:t>
      </w:r>
      <w:r w:rsidR="005D1779">
        <w:t xml:space="preserve">and pre-PBAC response </w:t>
      </w:r>
      <w:r w:rsidR="005D1779" w:rsidRPr="00A862C6">
        <w:t xml:space="preserve">stated </w:t>
      </w:r>
      <w:r w:rsidRPr="00A862C6">
        <w:t>that</w:t>
      </w:r>
      <w:r w:rsidR="001741E4" w:rsidRPr="00A862C6">
        <w:t xml:space="preserve"> a seven-year time horizon was appropriate</w:t>
      </w:r>
      <w:r w:rsidR="00B36326" w:rsidRPr="00A862C6">
        <w:t xml:space="preserve"> for the base case</w:t>
      </w:r>
      <w:r w:rsidR="001741E4" w:rsidRPr="00A862C6">
        <w:t xml:space="preserve"> because the maturity of the OS data </w:t>
      </w:r>
      <w:r w:rsidR="001047A7" w:rsidRPr="00A862C6">
        <w:t xml:space="preserve">seen in the ATTRACTION-3 trial </w:t>
      </w:r>
      <w:r w:rsidR="001741E4" w:rsidRPr="00A862C6">
        <w:t xml:space="preserve">indicates that the long-lasting and durable effect of </w:t>
      </w:r>
      <w:r w:rsidR="00F7078A" w:rsidRPr="00A862C6">
        <w:t>nivolumab</w:t>
      </w:r>
      <w:r w:rsidR="00A752F7" w:rsidRPr="00A862C6">
        <w:t xml:space="preserve"> </w:t>
      </w:r>
      <w:r w:rsidR="001741E4" w:rsidRPr="00A862C6">
        <w:t xml:space="preserve"> therapy compared to chemotherapy can potentially change the survival landscape of OSCC.</w:t>
      </w:r>
      <w:r w:rsidR="00FE199D" w:rsidRPr="00A862C6">
        <w:t xml:space="preserve"> </w:t>
      </w:r>
      <w:r w:rsidR="001741E4" w:rsidRPr="00A862C6">
        <w:t xml:space="preserve">The </w:t>
      </w:r>
      <w:r w:rsidR="007F57F7" w:rsidRPr="00A862C6">
        <w:t xml:space="preserve">PSCR </w:t>
      </w:r>
      <w:r w:rsidR="001741E4" w:rsidRPr="00A862C6">
        <w:t>rejected a five-year time horizon based on the SEER data (</w:t>
      </w:r>
      <w:r w:rsidR="001741E4" w:rsidRPr="00A862C6">
        <w:rPr>
          <w:bCs/>
        </w:rPr>
        <w:t xml:space="preserve">five-year survival for OC with distant metastasis 4.9%; </w:t>
      </w:r>
      <w:r w:rsidR="001741E4" w:rsidRPr="003C1988">
        <w:t>paragraph 4.1)</w:t>
      </w:r>
      <w:r w:rsidR="00B36326" w:rsidRPr="00A862C6">
        <w:t xml:space="preserve"> as</w:t>
      </w:r>
      <w:r w:rsidR="001741E4" w:rsidRPr="00A862C6">
        <w:t xml:space="preserve"> being historical (2013-2017).</w:t>
      </w:r>
      <w:r w:rsidR="00C3119B" w:rsidRPr="00A862C6">
        <w:t xml:space="preserve"> The ESC noted the five year survival reported in the SEER data is from time of diagnosis, not the time of second line treatment and therefore likely to be </w:t>
      </w:r>
      <w:r w:rsidR="008B38DE" w:rsidRPr="00A862C6">
        <w:t>a</w:t>
      </w:r>
      <w:r w:rsidR="003324F4" w:rsidRPr="00A862C6">
        <w:t xml:space="preserve">n </w:t>
      </w:r>
      <w:r w:rsidR="00C3119B" w:rsidRPr="00A862C6">
        <w:t>overestimate</w:t>
      </w:r>
      <w:r w:rsidR="00A862C6">
        <w:t xml:space="preserve">. </w:t>
      </w:r>
    </w:p>
    <w:p w:rsidR="00275EC3" w:rsidRPr="00A862C6" w:rsidRDefault="00C7673A" w:rsidP="00DD46F0">
      <w:pPr>
        <w:pStyle w:val="ListParagraph"/>
        <w:widowControl/>
        <w:numPr>
          <w:ilvl w:val="1"/>
          <w:numId w:val="2"/>
        </w:numPr>
        <w:rPr>
          <w:lang w:eastAsia="en-AU"/>
        </w:rPr>
      </w:pPr>
      <w:r w:rsidRPr="00A862C6">
        <w:t xml:space="preserve">The pre-PBAC response </w:t>
      </w:r>
      <w:r w:rsidR="00275EC3" w:rsidRPr="00A862C6">
        <w:t>rejected the ESC’s proposal that a revised base case should</w:t>
      </w:r>
      <w:r w:rsidR="00275EC3" w:rsidRPr="00A862C6">
        <w:rPr>
          <w:lang w:eastAsia="en-AU"/>
        </w:rPr>
        <w:t xml:space="preserve"> apply PFS for the IC arm to both treatment arms. The response stated that the PFS HR varies over time; i.e. while PFS data favour IC over nivolumab up until 4.5 months (PFS &gt;1), PFS thereafter favours nivolumab over IC (PFS &lt;1). </w:t>
      </w:r>
      <w:r w:rsidR="002E732A" w:rsidRPr="00A862C6">
        <w:t>The PBAC</w:t>
      </w:r>
      <w:r w:rsidR="00D80BF9" w:rsidRPr="00A862C6">
        <w:t xml:space="preserve"> agreed with the pre-PBAC response</w:t>
      </w:r>
      <w:r w:rsidR="00D6685F">
        <w:t xml:space="preserve"> </w:t>
      </w:r>
      <w:r w:rsidR="002504DD">
        <w:t xml:space="preserve">that </w:t>
      </w:r>
      <w:r w:rsidR="00595AE9">
        <w:t xml:space="preserve">economic models </w:t>
      </w:r>
      <w:r w:rsidR="00146EB5">
        <w:t xml:space="preserve">previously accepted for immunotherapy have modelled PFS using trial data although there was not a </w:t>
      </w:r>
      <w:r w:rsidR="00D6685F">
        <w:t>significant PFS</w:t>
      </w:r>
      <w:r w:rsidR="00146EB5">
        <w:t xml:space="preserve"> benefit</w:t>
      </w:r>
      <w:r w:rsidR="0056183A" w:rsidRPr="00A862C6">
        <w:t>. However, the PBAC considered extrapolating the PFS curves over the model time horizon without convergence potentially overestimated the PFS benefit</w:t>
      </w:r>
      <w:r w:rsidR="00D80BF9" w:rsidRPr="00A862C6">
        <w:t xml:space="preserve"> and considered </w:t>
      </w:r>
      <w:r w:rsidR="0056183A" w:rsidRPr="00A862C6">
        <w:t xml:space="preserve">the </w:t>
      </w:r>
      <w:r w:rsidR="00D80BF9" w:rsidRPr="00A862C6">
        <w:t>curve</w:t>
      </w:r>
      <w:r w:rsidR="0056183A" w:rsidRPr="00A862C6">
        <w:t>s should be</w:t>
      </w:r>
      <w:r w:rsidR="00D80BF9" w:rsidRPr="00A862C6">
        <w:t xml:space="preserve"> converge</w:t>
      </w:r>
      <w:r w:rsidR="0056183A" w:rsidRPr="00A862C6">
        <w:t>d from 3 to 5 years. The PBAC considered the OS curves should be similarly converged</w:t>
      </w:r>
      <w:r w:rsidR="002E732A" w:rsidRPr="00A862C6">
        <w:t>.</w:t>
      </w:r>
    </w:p>
    <w:p w:rsidR="00BE681E" w:rsidRPr="00A862C6" w:rsidRDefault="0046536B" w:rsidP="00A54056">
      <w:pPr>
        <w:pStyle w:val="ListParagraph"/>
        <w:widowControl/>
        <w:numPr>
          <w:ilvl w:val="1"/>
          <w:numId w:val="2"/>
        </w:numPr>
        <w:rPr>
          <w:rFonts w:asciiTheme="minorHAnsi" w:hAnsiTheme="minorHAnsi" w:cstheme="minorHAnsi"/>
          <w:szCs w:val="24"/>
          <w:lang w:eastAsia="en-AU"/>
        </w:rPr>
      </w:pPr>
      <w:r w:rsidRPr="00A862C6">
        <w:rPr>
          <w:rFonts w:asciiTheme="minorHAnsi" w:hAnsiTheme="minorHAnsi" w:cstheme="minorHAnsi"/>
          <w:szCs w:val="24"/>
          <w:lang w:eastAsia="en-AU"/>
        </w:rPr>
        <w:t xml:space="preserve">The pre-PBAC response stated that </w:t>
      </w:r>
      <w:r w:rsidR="00A62DDA" w:rsidRPr="00A862C6">
        <w:rPr>
          <w:rFonts w:asciiTheme="minorHAnsi" w:hAnsiTheme="minorHAnsi" w:cstheme="minorHAnsi"/>
          <w:szCs w:val="24"/>
          <w:lang w:eastAsia="en-AU"/>
        </w:rPr>
        <w:t xml:space="preserve">an upper range of cost-effectiveness </w:t>
      </w:r>
      <w:r w:rsidR="00BE681E" w:rsidRPr="00A862C6">
        <w:rPr>
          <w:rFonts w:asciiTheme="minorHAnsi" w:hAnsiTheme="minorHAnsi" w:cstheme="minorHAnsi"/>
          <w:szCs w:val="24"/>
          <w:lang w:eastAsia="en-AU"/>
        </w:rPr>
        <w:t>should</w:t>
      </w:r>
      <w:r w:rsidR="00A62DDA" w:rsidRPr="00A862C6">
        <w:rPr>
          <w:rFonts w:asciiTheme="minorHAnsi" w:hAnsiTheme="minorHAnsi" w:cstheme="minorHAnsi"/>
          <w:szCs w:val="24"/>
          <w:lang w:eastAsia="en-AU"/>
        </w:rPr>
        <w:t xml:space="preserve"> be reflected in a 7-year time horizon with</w:t>
      </w:r>
      <w:r w:rsidR="002E732A" w:rsidRPr="00A862C6">
        <w:rPr>
          <w:rFonts w:asciiTheme="minorHAnsi" w:hAnsiTheme="minorHAnsi" w:cstheme="minorHAnsi"/>
          <w:szCs w:val="24"/>
          <w:lang w:eastAsia="en-AU"/>
        </w:rPr>
        <w:t xml:space="preserve"> curve</w:t>
      </w:r>
      <w:r w:rsidR="00D80BF9" w:rsidRPr="00A862C6">
        <w:rPr>
          <w:rFonts w:asciiTheme="minorHAnsi" w:hAnsiTheme="minorHAnsi" w:cstheme="minorHAnsi"/>
          <w:szCs w:val="24"/>
          <w:lang w:eastAsia="en-AU"/>
        </w:rPr>
        <w:t xml:space="preserve"> convergence</w:t>
      </w:r>
      <w:r w:rsidR="002E732A" w:rsidRPr="00A862C6">
        <w:rPr>
          <w:rFonts w:asciiTheme="minorHAnsi" w:hAnsiTheme="minorHAnsi" w:cstheme="minorHAnsi"/>
          <w:szCs w:val="24"/>
          <w:lang w:eastAsia="en-AU"/>
        </w:rPr>
        <w:t xml:space="preserve"> </w:t>
      </w:r>
      <w:r w:rsidR="00A62DDA" w:rsidRPr="00A862C6">
        <w:rPr>
          <w:rFonts w:asciiTheme="minorHAnsi" w:hAnsiTheme="minorHAnsi" w:cstheme="minorHAnsi"/>
          <w:szCs w:val="24"/>
          <w:lang w:eastAsia="en-AU"/>
        </w:rPr>
        <w:t xml:space="preserve">from 5-7 years, and overall utility values applied in the post progression health state from 40.2 months (ICER = </w:t>
      </w:r>
      <w:r w:rsidR="00A54056" w:rsidRPr="00A54056">
        <w:rPr>
          <w:rFonts w:asciiTheme="minorHAnsi" w:hAnsiTheme="minorHAnsi" w:cstheme="minorHAnsi"/>
          <w:szCs w:val="24"/>
          <w:lang w:eastAsia="en-AU"/>
        </w:rPr>
        <w:t>$75,000 to &lt; $95,000</w:t>
      </w:r>
      <w:r w:rsidR="00A54056">
        <w:rPr>
          <w:rFonts w:asciiTheme="minorHAnsi" w:hAnsiTheme="minorHAnsi" w:cstheme="minorHAnsi"/>
          <w:szCs w:val="24"/>
          <w:lang w:eastAsia="en-AU"/>
        </w:rPr>
        <w:t xml:space="preserve"> </w:t>
      </w:r>
      <w:r w:rsidR="00743B7B" w:rsidRPr="00A862C6">
        <w:rPr>
          <w:bCs/>
          <w:color w:val="000000" w:themeColor="text1"/>
        </w:rPr>
        <w:t>per QALY gained)</w:t>
      </w:r>
      <w:r w:rsidR="00A62DDA" w:rsidRPr="00A862C6">
        <w:rPr>
          <w:rFonts w:asciiTheme="minorHAnsi" w:hAnsiTheme="minorHAnsi" w:cstheme="minorHAnsi"/>
          <w:szCs w:val="24"/>
          <w:lang w:eastAsia="en-AU"/>
        </w:rPr>
        <w:t>.</w:t>
      </w:r>
      <w:r w:rsidR="00C7673A" w:rsidRPr="00A862C6">
        <w:rPr>
          <w:rFonts w:asciiTheme="minorHAnsi" w:hAnsiTheme="minorHAnsi" w:cstheme="minorHAnsi"/>
          <w:szCs w:val="24"/>
          <w:lang w:eastAsia="en-AU"/>
        </w:rPr>
        <w:t xml:space="preserve"> </w:t>
      </w:r>
    </w:p>
    <w:p w:rsidR="00BE681E" w:rsidRPr="00A862C6" w:rsidRDefault="00550C5D" w:rsidP="00043D33">
      <w:pPr>
        <w:pStyle w:val="ListParagraph"/>
        <w:widowControl/>
        <w:numPr>
          <w:ilvl w:val="1"/>
          <w:numId w:val="2"/>
        </w:numPr>
        <w:rPr>
          <w:rFonts w:asciiTheme="minorHAnsi" w:hAnsiTheme="minorHAnsi" w:cstheme="minorHAnsi"/>
          <w:szCs w:val="24"/>
          <w:lang w:eastAsia="en-AU"/>
        </w:rPr>
      </w:pPr>
      <w:r w:rsidRPr="00A862C6">
        <w:t xml:space="preserve">The PBAC </w:t>
      </w:r>
      <w:r w:rsidR="00BE681E" w:rsidRPr="00A862C6">
        <w:t>considered</w:t>
      </w:r>
      <w:r w:rsidRPr="00A862C6">
        <w:t xml:space="preserve"> that a reasonable base case</w:t>
      </w:r>
      <w:r w:rsidR="009820C8" w:rsidRPr="00A862C6">
        <w:t xml:space="preserve"> incorporated a 5-year time horizon, curve</w:t>
      </w:r>
      <w:r w:rsidR="00D80BF9" w:rsidRPr="00A862C6">
        <w:t xml:space="preserve"> convergence </w:t>
      </w:r>
      <w:r w:rsidR="005D1779">
        <w:t xml:space="preserve">for both PFS and OS </w:t>
      </w:r>
      <w:r w:rsidR="009820C8" w:rsidRPr="00A862C6">
        <w:t>from 3-5 years, and assumed treatment-specific utilities apply pre-progression and overall utilities apply post-progression. Th</w:t>
      </w:r>
      <w:r w:rsidR="00A752F7" w:rsidRPr="00A862C6">
        <w:t xml:space="preserve">e PBAC noted the </w:t>
      </w:r>
      <w:r w:rsidR="009820C8" w:rsidRPr="00A862C6">
        <w:t xml:space="preserve">ICER </w:t>
      </w:r>
      <w:r w:rsidR="00A752F7" w:rsidRPr="00A862C6">
        <w:t xml:space="preserve">applying these assumptions was </w:t>
      </w:r>
      <w:r w:rsidR="00043D33" w:rsidRPr="00043D33">
        <w:t>$115,000 to &lt; $135,000</w:t>
      </w:r>
      <w:r w:rsidR="00043D33">
        <w:t xml:space="preserve"> </w:t>
      </w:r>
      <w:r w:rsidR="009820C8" w:rsidRPr="00A862C6">
        <w:t>per QALY gained at the sponsor’s requested price</w:t>
      </w:r>
      <w:r w:rsidR="002E732A" w:rsidRPr="00A862C6">
        <w:t>.</w:t>
      </w:r>
      <w:r w:rsidR="009820C8" w:rsidRPr="00A862C6">
        <w:t xml:space="preserve"> </w:t>
      </w:r>
    </w:p>
    <w:p w:rsidR="00443975" w:rsidRPr="00A862C6" w:rsidRDefault="00443975" w:rsidP="00443975">
      <w:pPr>
        <w:pStyle w:val="Heading2"/>
      </w:pPr>
      <w:bookmarkStart w:id="40" w:name="_Toc72263303"/>
      <w:r w:rsidRPr="00A862C6">
        <w:t>Drug cost/patient/course</w:t>
      </w:r>
      <w:bookmarkEnd w:id="40"/>
    </w:p>
    <w:p w:rsidR="00443975" w:rsidRPr="00A862C6" w:rsidRDefault="00443975" w:rsidP="00443975"/>
    <w:p w:rsidR="00A55589" w:rsidRPr="00A862C6" w:rsidRDefault="00285CB1" w:rsidP="00DD46F0">
      <w:pPr>
        <w:pStyle w:val="ListParagraph"/>
        <w:widowControl/>
        <w:numPr>
          <w:ilvl w:val="1"/>
          <w:numId w:val="2"/>
        </w:numPr>
        <w:spacing w:after="120"/>
        <w:rPr>
          <w:rFonts w:asciiTheme="minorHAnsi" w:hAnsiTheme="minorHAnsi" w:cstheme="minorHAnsi"/>
          <w:szCs w:val="24"/>
          <w:lang w:eastAsia="en-AU"/>
        </w:rPr>
      </w:pPr>
      <w:r w:rsidRPr="00A862C6">
        <w:t xml:space="preserve">Drug acquisition costs of nivolumab </w:t>
      </w:r>
      <w:r w:rsidR="00F24302" w:rsidRPr="00A862C6">
        <w:t xml:space="preserve">and IC (docetaxel and paclitaxel) are summarised in </w:t>
      </w:r>
      <w:r w:rsidR="00F71DE4" w:rsidRPr="00F71DE4">
        <w:t>Table 15</w:t>
      </w:r>
      <w:r w:rsidR="00F24302" w:rsidRPr="00A862C6">
        <w:t xml:space="preserve"> below.</w:t>
      </w:r>
    </w:p>
    <w:p w:rsidR="00A55589" w:rsidRPr="00A862C6" w:rsidRDefault="00F24302" w:rsidP="00F24302">
      <w:pPr>
        <w:keepNext/>
        <w:widowControl/>
        <w:rPr>
          <w:rStyle w:val="CommentReference"/>
        </w:rPr>
      </w:pPr>
      <w:bookmarkStart w:id="41" w:name="_Ref71844298"/>
      <w:r w:rsidRPr="00A862C6">
        <w:rPr>
          <w:rStyle w:val="CommentReference"/>
        </w:rPr>
        <w:t xml:space="preserve">Table </w:t>
      </w:r>
      <w:r w:rsidR="00F71DE4">
        <w:rPr>
          <w:rStyle w:val="CommentReference"/>
          <w:noProof/>
        </w:rPr>
        <w:t>15</w:t>
      </w:r>
      <w:bookmarkEnd w:id="41"/>
      <w:r w:rsidR="00A55589" w:rsidRPr="00A862C6">
        <w:rPr>
          <w:rStyle w:val="CommentReference"/>
        </w:rPr>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3"/>
        <w:gridCol w:w="2251"/>
        <w:gridCol w:w="2251"/>
        <w:gridCol w:w="2252"/>
      </w:tblGrid>
      <w:tr w:rsidR="007A006C" w:rsidRPr="00A862C6" w:rsidTr="0069670B">
        <w:trPr>
          <w:jc w:val="center"/>
        </w:trPr>
        <w:tc>
          <w:tcPr>
            <w:tcW w:w="1255" w:type="pct"/>
            <w:shd w:val="clear" w:color="auto" w:fill="auto"/>
            <w:vAlign w:val="center"/>
          </w:tcPr>
          <w:p w:rsidR="007A006C" w:rsidRPr="00A862C6" w:rsidRDefault="007A006C" w:rsidP="000645E2">
            <w:pPr>
              <w:keepNext/>
              <w:widowControl/>
              <w:jc w:val="left"/>
              <w:rPr>
                <w:rFonts w:ascii="Arial Narrow" w:hAnsi="Arial Narrow"/>
                <w:b/>
                <w:sz w:val="20"/>
              </w:rPr>
            </w:pPr>
          </w:p>
        </w:tc>
        <w:tc>
          <w:tcPr>
            <w:tcW w:w="1248" w:type="pct"/>
            <w:shd w:val="clear" w:color="auto" w:fill="auto"/>
            <w:vAlign w:val="center"/>
          </w:tcPr>
          <w:p w:rsidR="007A006C" w:rsidRPr="00A862C6" w:rsidRDefault="007A006C" w:rsidP="007A006C">
            <w:pPr>
              <w:keepNext/>
              <w:widowControl/>
              <w:jc w:val="center"/>
              <w:rPr>
                <w:rFonts w:ascii="Arial Narrow" w:hAnsi="Arial Narrow"/>
                <w:b/>
                <w:sz w:val="20"/>
              </w:rPr>
            </w:pPr>
            <w:r w:rsidRPr="00A862C6">
              <w:rPr>
                <w:rFonts w:ascii="Arial Narrow" w:hAnsi="Arial Narrow"/>
                <w:b/>
                <w:sz w:val="20"/>
              </w:rPr>
              <w:t>Nivolumab</w:t>
            </w:r>
          </w:p>
        </w:tc>
        <w:tc>
          <w:tcPr>
            <w:tcW w:w="1248" w:type="pct"/>
            <w:shd w:val="clear" w:color="auto" w:fill="auto"/>
            <w:vAlign w:val="center"/>
          </w:tcPr>
          <w:p w:rsidR="007A006C" w:rsidRPr="00A862C6" w:rsidRDefault="007A006C" w:rsidP="000645E2">
            <w:pPr>
              <w:keepNext/>
              <w:widowControl/>
              <w:jc w:val="center"/>
              <w:rPr>
                <w:rFonts w:ascii="Arial Narrow" w:hAnsi="Arial Narrow"/>
                <w:b/>
                <w:sz w:val="20"/>
              </w:rPr>
            </w:pPr>
            <w:r w:rsidRPr="00A862C6">
              <w:rPr>
                <w:rFonts w:ascii="Arial Narrow" w:hAnsi="Arial Narrow"/>
                <w:b/>
                <w:sz w:val="20"/>
              </w:rPr>
              <w:t>Docetaxel</w:t>
            </w:r>
          </w:p>
        </w:tc>
        <w:tc>
          <w:tcPr>
            <w:tcW w:w="1249" w:type="pct"/>
            <w:shd w:val="clear" w:color="auto" w:fill="auto"/>
            <w:vAlign w:val="center"/>
          </w:tcPr>
          <w:p w:rsidR="007A006C" w:rsidRPr="00A862C6" w:rsidRDefault="007A006C" w:rsidP="000645E2">
            <w:pPr>
              <w:keepNext/>
              <w:widowControl/>
              <w:jc w:val="center"/>
              <w:rPr>
                <w:rFonts w:ascii="Arial Narrow" w:hAnsi="Arial Narrow"/>
                <w:b/>
                <w:sz w:val="20"/>
              </w:rPr>
            </w:pPr>
            <w:r w:rsidRPr="00A862C6">
              <w:rPr>
                <w:rFonts w:ascii="Arial Narrow" w:hAnsi="Arial Narrow"/>
                <w:b/>
                <w:sz w:val="20"/>
              </w:rPr>
              <w:t>Paclitaxel</w:t>
            </w:r>
          </w:p>
        </w:tc>
      </w:tr>
      <w:tr w:rsidR="007A006C" w:rsidRPr="00A862C6" w:rsidTr="0069670B">
        <w:trPr>
          <w:jc w:val="center"/>
        </w:trPr>
        <w:tc>
          <w:tcPr>
            <w:tcW w:w="1255" w:type="pct"/>
            <w:shd w:val="clear" w:color="auto" w:fill="auto"/>
            <w:vAlign w:val="center"/>
          </w:tcPr>
          <w:p w:rsidR="007A006C" w:rsidRPr="00A862C6" w:rsidRDefault="007A006C" w:rsidP="000645E2">
            <w:pPr>
              <w:keepNext/>
              <w:widowControl/>
              <w:jc w:val="left"/>
              <w:rPr>
                <w:rFonts w:ascii="Arial Narrow" w:hAnsi="Arial Narrow"/>
                <w:sz w:val="20"/>
                <w:vertAlign w:val="superscript"/>
              </w:rPr>
            </w:pPr>
            <w:r w:rsidRPr="00A862C6">
              <w:rPr>
                <w:rFonts w:ascii="Arial Narrow" w:hAnsi="Arial Narrow"/>
                <w:sz w:val="20"/>
              </w:rPr>
              <w:t>Mean dose (number of infusions per course)</w:t>
            </w:r>
            <w:r w:rsidR="00CF36FD" w:rsidRPr="00A862C6">
              <w:rPr>
                <w:rFonts w:ascii="Arial Narrow" w:hAnsi="Arial Narrow"/>
                <w:sz w:val="20"/>
                <w:vertAlign w:val="superscript"/>
              </w:rPr>
              <w:t>a</w:t>
            </w:r>
          </w:p>
        </w:tc>
        <w:tc>
          <w:tcPr>
            <w:tcW w:w="1248" w:type="pct"/>
            <w:shd w:val="clear" w:color="auto" w:fill="auto"/>
            <w:vAlign w:val="center"/>
          </w:tcPr>
          <w:p w:rsidR="007A006C" w:rsidRPr="00A862C6" w:rsidRDefault="007A006C" w:rsidP="000645E2">
            <w:pPr>
              <w:keepNext/>
              <w:widowControl/>
              <w:jc w:val="center"/>
              <w:rPr>
                <w:rFonts w:ascii="Arial Narrow" w:hAnsi="Arial Narrow"/>
                <w:sz w:val="20"/>
              </w:rPr>
            </w:pPr>
            <w:r w:rsidRPr="00A862C6">
              <w:rPr>
                <w:rFonts w:ascii="Arial Narrow" w:hAnsi="Arial Narrow"/>
                <w:sz w:val="20"/>
              </w:rPr>
              <w:t>13.01 (240</w:t>
            </w:r>
            <w:r w:rsidR="001B4BB2" w:rsidRPr="00A862C6">
              <w:rPr>
                <w:rFonts w:ascii="Arial Narrow" w:hAnsi="Arial Narrow"/>
                <w:sz w:val="20"/>
              </w:rPr>
              <w:t xml:space="preserve"> </w:t>
            </w:r>
            <w:r w:rsidRPr="00A862C6">
              <w:rPr>
                <w:rFonts w:ascii="Arial Narrow" w:hAnsi="Arial Narrow"/>
                <w:sz w:val="20"/>
              </w:rPr>
              <w:t>mg Q2W) or 6.51 (480</w:t>
            </w:r>
            <w:r w:rsidR="001B4BB2" w:rsidRPr="00A862C6">
              <w:rPr>
                <w:rFonts w:ascii="Arial Narrow" w:hAnsi="Arial Narrow"/>
                <w:sz w:val="20"/>
              </w:rPr>
              <w:t xml:space="preserve"> </w:t>
            </w:r>
            <w:r w:rsidRPr="00A862C6">
              <w:rPr>
                <w:rFonts w:ascii="Arial Narrow" w:hAnsi="Arial Narrow"/>
                <w:sz w:val="20"/>
              </w:rPr>
              <w:t>mg Q4W)</w:t>
            </w:r>
          </w:p>
        </w:tc>
        <w:tc>
          <w:tcPr>
            <w:tcW w:w="1248" w:type="pct"/>
            <w:shd w:val="clear" w:color="auto" w:fill="auto"/>
            <w:vAlign w:val="center"/>
          </w:tcPr>
          <w:p w:rsidR="007A006C" w:rsidRPr="00A862C6" w:rsidRDefault="007A006C" w:rsidP="000645E2">
            <w:pPr>
              <w:keepNext/>
              <w:widowControl/>
              <w:jc w:val="center"/>
              <w:rPr>
                <w:rFonts w:ascii="Arial Narrow" w:hAnsi="Arial Narrow"/>
                <w:sz w:val="20"/>
                <w:vertAlign w:val="superscript"/>
              </w:rPr>
            </w:pPr>
            <w:r w:rsidRPr="00A862C6">
              <w:rPr>
                <w:rFonts w:ascii="Arial Narrow" w:hAnsi="Arial Narrow"/>
                <w:sz w:val="20"/>
              </w:rPr>
              <w:t>4.96</w:t>
            </w:r>
            <w:r w:rsidR="003C1B66" w:rsidRPr="00A862C6">
              <w:rPr>
                <w:rFonts w:ascii="Arial Narrow" w:hAnsi="Arial Narrow"/>
                <w:sz w:val="20"/>
              </w:rPr>
              <w:t xml:space="preserve"> (Q3W)</w:t>
            </w:r>
          </w:p>
        </w:tc>
        <w:tc>
          <w:tcPr>
            <w:tcW w:w="1249" w:type="pct"/>
            <w:shd w:val="clear" w:color="auto" w:fill="auto"/>
            <w:vAlign w:val="center"/>
          </w:tcPr>
          <w:p w:rsidR="007A006C" w:rsidRPr="00A862C6" w:rsidRDefault="007A006C" w:rsidP="003C1B66">
            <w:pPr>
              <w:keepNext/>
              <w:widowControl/>
              <w:jc w:val="center"/>
              <w:rPr>
                <w:rFonts w:ascii="Arial Narrow" w:hAnsi="Arial Narrow"/>
                <w:sz w:val="20"/>
                <w:vertAlign w:val="superscript"/>
              </w:rPr>
            </w:pPr>
            <w:r w:rsidRPr="00A862C6">
              <w:rPr>
                <w:rFonts w:ascii="Arial Narrow" w:hAnsi="Arial Narrow"/>
                <w:sz w:val="20"/>
              </w:rPr>
              <w:t>12.68</w:t>
            </w:r>
            <w:r w:rsidR="003C1B66" w:rsidRPr="00A862C6">
              <w:rPr>
                <w:rFonts w:ascii="Arial Narrow" w:hAnsi="Arial Narrow"/>
                <w:sz w:val="20"/>
              </w:rPr>
              <w:t xml:space="preserve"> (6 weeks on, 2 weeks off)</w:t>
            </w:r>
          </w:p>
        </w:tc>
      </w:tr>
      <w:tr w:rsidR="007A006C" w:rsidRPr="00A862C6" w:rsidTr="0069670B">
        <w:trPr>
          <w:jc w:val="center"/>
        </w:trPr>
        <w:tc>
          <w:tcPr>
            <w:tcW w:w="1255" w:type="pct"/>
            <w:shd w:val="clear" w:color="auto" w:fill="auto"/>
            <w:vAlign w:val="center"/>
          </w:tcPr>
          <w:p w:rsidR="007A006C" w:rsidRPr="00A862C6" w:rsidRDefault="0069670B" w:rsidP="000645E2">
            <w:pPr>
              <w:keepNext/>
              <w:widowControl/>
              <w:jc w:val="left"/>
              <w:rPr>
                <w:rFonts w:ascii="Arial Narrow" w:hAnsi="Arial Narrow"/>
                <w:sz w:val="20"/>
                <w:vertAlign w:val="superscript"/>
              </w:rPr>
            </w:pPr>
            <w:r w:rsidRPr="00A862C6">
              <w:rPr>
                <w:rFonts w:ascii="Arial Narrow" w:hAnsi="Arial Narrow"/>
                <w:sz w:val="20"/>
              </w:rPr>
              <w:t>Dispensed p</w:t>
            </w:r>
            <w:r w:rsidR="0066490A" w:rsidRPr="00A862C6">
              <w:rPr>
                <w:rFonts w:ascii="Arial Narrow" w:hAnsi="Arial Narrow"/>
                <w:sz w:val="20"/>
              </w:rPr>
              <w:t>rice</w:t>
            </w:r>
            <w:r w:rsidR="007A006C" w:rsidRPr="00A862C6">
              <w:rPr>
                <w:rFonts w:ascii="Arial Narrow" w:hAnsi="Arial Narrow"/>
                <w:sz w:val="20"/>
              </w:rPr>
              <w:t xml:space="preserve"> per infusion</w:t>
            </w:r>
            <w:r w:rsidR="002D7754" w:rsidRPr="00A862C6">
              <w:rPr>
                <w:rFonts w:ascii="Arial Narrow" w:hAnsi="Arial Narrow"/>
                <w:sz w:val="20"/>
                <w:vertAlign w:val="superscript"/>
              </w:rPr>
              <w:t>b</w:t>
            </w:r>
          </w:p>
        </w:tc>
        <w:tc>
          <w:tcPr>
            <w:tcW w:w="1248" w:type="pct"/>
            <w:shd w:val="clear" w:color="auto" w:fill="auto"/>
            <w:vAlign w:val="center"/>
          </w:tcPr>
          <w:p w:rsidR="007A006C" w:rsidRPr="00A862C6" w:rsidRDefault="007A006C" w:rsidP="000645E2">
            <w:pPr>
              <w:keepNext/>
              <w:widowControl/>
              <w:jc w:val="center"/>
              <w:rPr>
                <w:rFonts w:ascii="Arial Narrow" w:hAnsi="Arial Narrow"/>
                <w:sz w:val="20"/>
              </w:rPr>
            </w:pPr>
            <w:r w:rsidRPr="00A862C6">
              <w:rPr>
                <w:rFonts w:ascii="Arial Narrow" w:hAnsi="Arial Narrow"/>
                <w:sz w:val="20"/>
              </w:rPr>
              <w:t>$</w:t>
            </w:r>
            <w:r w:rsidR="00027DFC">
              <w:rPr>
                <w:rFonts w:ascii="Arial Narrow" w:hAnsi="Arial Narrow"/>
                <w:noProof/>
                <w:color w:val="000000"/>
                <w:sz w:val="20"/>
                <w:highlight w:val="black"/>
              </w:rPr>
              <w:t>'''''''''''''''''''''</w:t>
            </w:r>
          </w:p>
        </w:tc>
        <w:tc>
          <w:tcPr>
            <w:tcW w:w="1248" w:type="pct"/>
            <w:shd w:val="clear" w:color="auto" w:fill="auto"/>
            <w:vAlign w:val="center"/>
          </w:tcPr>
          <w:p w:rsidR="007A006C" w:rsidRPr="00A862C6" w:rsidRDefault="007A006C" w:rsidP="000645E2">
            <w:pPr>
              <w:keepNext/>
              <w:widowControl/>
              <w:jc w:val="center"/>
              <w:rPr>
                <w:rFonts w:ascii="Arial Narrow" w:hAnsi="Arial Narrow"/>
                <w:sz w:val="20"/>
                <w:vertAlign w:val="superscript"/>
              </w:rPr>
            </w:pPr>
            <w:r w:rsidRPr="00A862C6">
              <w:rPr>
                <w:rFonts w:ascii="Arial Narrow" w:hAnsi="Arial Narrow"/>
                <w:sz w:val="20"/>
              </w:rPr>
              <w:t>$161.35</w:t>
            </w:r>
            <w:r w:rsidR="002D7754" w:rsidRPr="00A862C6">
              <w:rPr>
                <w:rFonts w:ascii="Arial Narrow" w:hAnsi="Arial Narrow"/>
                <w:sz w:val="20"/>
                <w:vertAlign w:val="superscript"/>
              </w:rPr>
              <w:t>c</w:t>
            </w:r>
          </w:p>
        </w:tc>
        <w:tc>
          <w:tcPr>
            <w:tcW w:w="1249" w:type="pct"/>
            <w:shd w:val="clear" w:color="auto" w:fill="auto"/>
            <w:vAlign w:val="center"/>
          </w:tcPr>
          <w:p w:rsidR="007A006C" w:rsidRPr="00A862C6" w:rsidRDefault="007A006C" w:rsidP="000645E2">
            <w:pPr>
              <w:keepNext/>
              <w:widowControl/>
              <w:jc w:val="center"/>
              <w:rPr>
                <w:rFonts w:ascii="Arial Narrow" w:hAnsi="Arial Narrow"/>
                <w:sz w:val="20"/>
                <w:vertAlign w:val="superscript"/>
              </w:rPr>
            </w:pPr>
            <w:r w:rsidRPr="00A862C6">
              <w:rPr>
                <w:rFonts w:ascii="Arial Narrow" w:hAnsi="Arial Narrow"/>
                <w:sz w:val="20"/>
              </w:rPr>
              <w:t>$146.07</w:t>
            </w:r>
            <w:r w:rsidR="002D7754" w:rsidRPr="00A862C6">
              <w:rPr>
                <w:rFonts w:ascii="Arial Narrow" w:hAnsi="Arial Narrow"/>
                <w:sz w:val="20"/>
                <w:vertAlign w:val="superscript"/>
              </w:rPr>
              <w:t>c</w:t>
            </w:r>
          </w:p>
        </w:tc>
      </w:tr>
      <w:tr w:rsidR="001B4BB2" w:rsidRPr="00A862C6" w:rsidTr="0069670B">
        <w:trPr>
          <w:jc w:val="center"/>
        </w:trPr>
        <w:tc>
          <w:tcPr>
            <w:tcW w:w="1255" w:type="pct"/>
            <w:shd w:val="clear" w:color="auto" w:fill="auto"/>
            <w:vAlign w:val="center"/>
          </w:tcPr>
          <w:p w:rsidR="001B4BB2" w:rsidRPr="00A862C6" w:rsidRDefault="001B4BB2" w:rsidP="000645E2">
            <w:pPr>
              <w:keepNext/>
              <w:widowControl/>
              <w:jc w:val="left"/>
              <w:rPr>
                <w:rFonts w:ascii="Arial Narrow" w:hAnsi="Arial Narrow"/>
                <w:sz w:val="20"/>
                <w:vertAlign w:val="superscript"/>
              </w:rPr>
            </w:pPr>
            <w:r w:rsidRPr="00A862C6">
              <w:rPr>
                <w:rFonts w:ascii="Arial Narrow" w:hAnsi="Arial Narrow"/>
                <w:sz w:val="20"/>
              </w:rPr>
              <w:t>Mean duration</w:t>
            </w:r>
            <w:r w:rsidR="003C1B66" w:rsidRPr="00A862C6">
              <w:rPr>
                <w:rFonts w:ascii="Arial Narrow" w:hAnsi="Arial Narrow"/>
                <w:sz w:val="20"/>
                <w:vertAlign w:val="superscript"/>
              </w:rPr>
              <w:t>d</w:t>
            </w:r>
          </w:p>
        </w:tc>
        <w:tc>
          <w:tcPr>
            <w:tcW w:w="1248" w:type="pct"/>
            <w:shd w:val="clear" w:color="auto" w:fill="auto"/>
            <w:vAlign w:val="center"/>
          </w:tcPr>
          <w:p w:rsidR="001B4BB2" w:rsidRPr="00A862C6" w:rsidRDefault="001B4BB2" w:rsidP="000645E2">
            <w:pPr>
              <w:keepNext/>
              <w:widowControl/>
              <w:jc w:val="center"/>
              <w:rPr>
                <w:rFonts w:ascii="Arial Narrow" w:hAnsi="Arial Narrow"/>
                <w:sz w:val="20"/>
              </w:rPr>
            </w:pPr>
            <w:r w:rsidRPr="00A862C6">
              <w:rPr>
                <w:rFonts w:ascii="Arial Narrow" w:hAnsi="Arial Narrow"/>
                <w:sz w:val="20"/>
              </w:rPr>
              <w:t>182.14 days</w:t>
            </w:r>
          </w:p>
        </w:tc>
        <w:tc>
          <w:tcPr>
            <w:tcW w:w="2497" w:type="pct"/>
            <w:gridSpan w:val="2"/>
            <w:shd w:val="clear" w:color="auto" w:fill="auto"/>
            <w:vAlign w:val="center"/>
          </w:tcPr>
          <w:p w:rsidR="001B4BB2" w:rsidRPr="00A862C6" w:rsidRDefault="001B4BB2" w:rsidP="000645E2">
            <w:pPr>
              <w:keepNext/>
              <w:widowControl/>
              <w:jc w:val="center"/>
              <w:rPr>
                <w:rFonts w:ascii="Arial Narrow" w:hAnsi="Arial Narrow"/>
                <w:sz w:val="20"/>
              </w:rPr>
            </w:pPr>
            <w:r w:rsidRPr="00A862C6">
              <w:rPr>
                <w:rFonts w:ascii="Arial Narrow" w:hAnsi="Arial Narrow"/>
                <w:sz w:val="20"/>
              </w:rPr>
              <w:t>104.1 days</w:t>
            </w:r>
          </w:p>
        </w:tc>
      </w:tr>
      <w:tr w:rsidR="007A006C" w:rsidRPr="00A862C6" w:rsidTr="0069670B">
        <w:trPr>
          <w:jc w:val="center"/>
        </w:trPr>
        <w:tc>
          <w:tcPr>
            <w:tcW w:w="1255" w:type="pct"/>
            <w:shd w:val="clear" w:color="auto" w:fill="auto"/>
            <w:vAlign w:val="center"/>
          </w:tcPr>
          <w:p w:rsidR="007A006C" w:rsidRPr="00A862C6" w:rsidRDefault="007A006C" w:rsidP="000645E2">
            <w:pPr>
              <w:keepNext/>
              <w:widowControl/>
              <w:jc w:val="left"/>
              <w:rPr>
                <w:rFonts w:ascii="Arial Narrow" w:hAnsi="Arial Narrow"/>
                <w:sz w:val="20"/>
                <w:vertAlign w:val="superscript"/>
              </w:rPr>
            </w:pPr>
            <w:r w:rsidRPr="00A862C6">
              <w:rPr>
                <w:rFonts w:ascii="Arial Narrow" w:hAnsi="Arial Narrow"/>
                <w:sz w:val="20"/>
              </w:rPr>
              <w:t>Cost/patient/course</w:t>
            </w:r>
            <w:r w:rsidR="003C1B66" w:rsidRPr="00A862C6">
              <w:rPr>
                <w:rFonts w:ascii="Arial Narrow" w:hAnsi="Arial Narrow"/>
                <w:sz w:val="20"/>
                <w:vertAlign w:val="superscript"/>
              </w:rPr>
              <w:t>e</w:t>
            </w:r>
          </w:p>
        </w:tc>
        <w:tc>
          <w:tcPr>
            <w:tcW w:w="1248" w:type="pct"/>
            <w:shd w:val="clear" w:color="auto" w:fill="auto"/>
            <w:vAlign w:val="center"/>
          </w:tcPr>
          <w:p w:rsidR="007A006C" w:rsidRPr="00A862C6" w:rsidRDefault="007A006C" w:rsidP="000645E2">
            <w:pPr>
              <w:keepNext/>
              <w:widowControl/>
              <w:jc w:val="center"/>
              <w:rPr>
                <w:rFonts w:ascii="Arial Narrow" w:hAnsi="Arial Narrow"/>
                <w:sz w:val="20"/>
              </w:rPr>
            </w:pPr>
            <w:r w:rsidRPr="00A862C6">
              <w:rPr>
                <w:rFonts w:ascii="Arial Narrow" w:hAnsi="Arial Narrow"/>
                <w:sz w:val="20"/>
              </w:rPr>
              <w:t>$</w:t>
            </w:r>
            <w:r w:rsidR="00027DFC">
              <w:rPr>
                <w:rFonts w:ascii="Arial Narrow" w:hAnsi="Arial Narrow"/>
                <w:noProof/>
                <w:color w:val="000000"/>
                <w:sz w:val="20"/>
                <w:highlight w:val="black"/>
              </w:rPr>
              <w:t>''''''''''''''''''''''''''</w:t>
            </w:r>
          </w:p>
        </w:tc>
        <w:tc>
          <w:tcPr>
            <w:tcW w:w="2497" w:type="pct"/>
            <w:gridSpan w:val="2"/>
            <w:shd w:val="clear" w:color="auto" w:fill="auto"/>
            <w:vAlign w:val="center"/>
          </w:tcPr>
          <w:p w:rsidR="007A006C" w:rsidRPr="00A862C6" w:rsidRDefault="007A006C" w:rsidP="000645E2">
            <w:pPr>
              <w:keepNext/>
              <w:widowControl/>
              <w:jc w:val="center"/>
              <w:rPr>
                <w:rFonts w:ascii="Arial Narrow" w:hAnsi="Arial Narrow"/>
                <w:sz w:val="20"/>
              </w:rPr>
            </w:pPr>
            <w:r w:rsidRPr="00A862C6">
              <w:rPr>
                <w:rFonts w:ascii="Arial Narrow" w:hAnsi="Arial Narrow"/>
                <w:sz w:val="20"/>
              </w:rPr>
              <w:t>$1,526.24</w:t>
            </w:r>
            <w:r w:rsidR="00142696" w:rsidRPr="00A862C6">
              <w:rPr>
                <w:rFonts w:ascii="Arial Narrow" w:hAnsi="Arial Narrow"/>
                <w:sz w:val="20"/>
                <w:vertAlign w:val="superscript"/>
              </w:rPr>
              <w:t>f</w:t>
            </w:r>
          </w:p>
        </w:tc>
      </w:tr>
    </w:tbl>
    <w:p w:rsidR="00CF36FD" w:rsidRPr="00A862C6" w:rsidRDefault="001B4BB2" w:rsidP="00CF36FD">
      <w:pPr>
        <w:pStyle w:val="TableFooter"/>
      </w:pPr>
      <w:r w:rsidRPr="00A862C6">
        <w:t>Source: Table76, p149 of the submission.</w:t>
      </w:r>
    </w:p>
    <w:p w:rsidR="0066490A" w:rsidRPr="00A862C6" w:rsidRDefault="0066490A" w:rsidP="00CF36FD">
      <w:pPr>
        <w:pStyle w:val="TableFooter"/>
      </w:pPr>
      <w:r w:rsidRPr="00A862C6">
        <w:t>Q2W = every 2 weeks; Q3W = every 3 weeks Q4W = every 4 weeks</w:t>
      </w:r>
    </w:p>
    <w:p w:rsidR="00CF36FD" w:rsidRPr="00A862C6" w:rsidRDefault="00CF36FD" w:rsidP="00CF36FD">
      <w:pPr>
        <w:pStyle w:val="TableFooter"/>
      </w:pPr>
      <w:r w:rsidRPr="00A862C6">
        <w:t>a Calculated based on the number of infusions required for the mean duration</w:t>
      </w:r>
      <w:r w:rsidR="0066490A" w:rsidRPr="00A862C6">
        <w:t>.</w:t>
      </w:r>
    </w:p>
    <w:p w:rsidR="00CF36FD" w:rsidRPr="00A862C6" w:rsidRDefault="002D7754" w:rsidP="00CF36FD">
      <w:pPr>
        <w:pStyle w:val="TableFooter"/>
      </w:pPr>
      <w:r w:rsidRPr="00A862C6">
        <w:t>b</w:t>
      </w:r>
      <w:r w:rsidR="003C1B66" w:rsidRPr="00A862C6">
        <w:t xml:space="preserve"> </w:t>
      </w:r>
      <w:r w:rsidR="00CF36FD" w:rsidRPr="00A862C6">
        <w:t xml:space="preserve">Calculated based on a 33.83% public weighting and 66.17% private weighting </w:t>
      </w:r>
      <w:r w:rsidR="00F24302" w:rsidRPr="00A862C6">
        <w:t>used in the economic and financial model</w:t>
      </w:r>
      <w:r w:rsidR="0069670B" w:rsidRPr="00A862C6">
        <w:t>.</w:t>
      </w:r>
    </w:p>
    <w:p w:rsidR="002D7754" w:rsidRPr="00A862C6" w:rsidRDefault="002D7754" w:rsidP="00CF36FD">
      <w:pPr>
        <w:pStyle w:val="TableFooter"/>
      </w:pPr>
      <w:r w:rsidRPr="00A862C6">
        <w:t>c Calculated assuming 75 mg/m</w:t>
      </w:r>
      <w:r w:rsidRPr="00A862C6">
        <w:rPr>
          <w:vertAlign w:val="superscript"/>
        </w:rPr>
        <w:t>2</w:t>
      </w:r>
      <w:r w:rsidRPr="00A862C6">
        <w:t xml:space="preserve"> docetaxel, 100 mg/m</w:t>
      </w:r>
      <w:r w:rsidRPr="00A862C6">
        <w:rPr>
          <w:vertAlign w:val="superscript"/>
        </w:rPr>
        <w:t>2</w:t>
      </w:r>
      <w:r w:rsidRPr="00A862C6">
        <w:t xml:space="preserve"> paclitaxel and 1.6025 mean body surface area (from the ATTRACTION-3 trial), consistent with d</w:t>
      </w:r>
      <w:r w:rsidR="00F24302" w:rsidRPr="00A862C6">
        <w:t>osing used in the economic and financial model</w:t>
      </w:r>
      <w:r w:rsidR="00142696" w:rsidRPr="00A862C6">
        <w:t>. Irinotecan was not</w:t>
      </w:r>
      <w:r w:rsidR="0069670B" w:rsidRPr="00A862C6">
        <w:t xml:space="preserve"> included in the ATTRACTION-3 trial nor the economic model, but was included in the financial estimates, which assumed 250 mg/m</w:t>
      </w:r>
      <w:r w:rsidR="0069670B" w:rsidRPr="00A862C6">
        <w:rPr>
          <w:vertAlign w:val="superscript"/>
        </w:rPr>
        <w:t>2</w:t>
      </w:r>
      <w:r w:rsidR="0069670B" w:rsidRPr="00A862C6">
        <w:t xml:space="preserve"> i</w:t>
      </w:r>
      <w:r w:rsidR="0066490A" w:rsidRPr="00A862C6">
        <w:t xml:space="preserve">rinotecan </w:t>
      </w:r>
      <w:r w:rsidR="0069670B" w:rsidRPr="00A862C6">
        <w:t xml:space="preserve">every 3 weeks </w:t>
      </w:r>
      <w:r w:rsidR="0066490A" w:rsidRPr="00A862C6">
        <w:t>(</w:t>
      </w:r>
      <w:r w:rsidR="00240D69" w:rsidRPr="00A862C6">
        <w:t xml:space="preserve">frequency </w:t>
      </w:r>
      <w:r w:rsidR="0066490A" w:rsidRPr="00A862C6">
        <w:t>assumed to b</w:t>
      </w:r>
      <w:r w:rsidR="0069670B" w:rsidRPr="00A862C6">
        <w:t>e same as docetaxel)</w:t>
      </w:r>
      <w:r w:rsidR="00240D69" w:rsidRPr="00A862C6">
        <w:t xml:space="preserve"> and</w:t>
      </w:r>
      <w:r w:rsidR="00A7399D" w:rsidRPr="00A862C6">
        <w:t xml:space="preserve"> 1.6025 mean body surface area.</w:t>
      </w:r>
    </w:p>
    <w:p w:rsidR="00CF36FD" w:rsidRPr="00A862C6" w:rsidRDefault="00142696" w:rsidP="00CF36FD">
      <w:pPr>
        <w:pStyle w:val="TableFooter"/>
      </w:pPr>
      <w:r w:rsidRPr="00A862C6">
        <w:t>d</w:t>
      </w:r>
      <w:r w:rsidR="00CF36FD" w:rsidRPr="00A862C6">
        <w:t xml:space="preserve"> Based on mean time to treatment discontinuation f</w:t>
      </w:r>
      <w:r w:rsidR="0069670B" w:rsidRPr="00A862C6">
        <w:t>rom the ATTRACTION-3 trial.</w:t>
      </w:r>
    </w:p>
    <w:p w:rsidR="00CF36FD" w:rsidRPr="00A862C6" w:rsidRDefault="00142696" w:rsidP="00CF36FD">
      <w:pPr>
        <w:pStyle w:val="TableFooter"/>
      </w:pPr>
      <w:r w:rsidRPr="00A862C6">
        <w:t>e</w:t>
      </w:r>
      <w:r w:rsidR="00CF36FD" w:rsidRPr="00A862C6">
        <w:t xml:space="preserve"> </w:t>
      </w:r>
      <w:r w:rsidR="00083046" w:rsidRPr="00A862C6">
        <w:t>Undiscounted and excludes administration costs</w:t>
      </w:r>
      <w:r w:rsidR="0069670B" w:rsidRPr="00A862C6">
        <w:t>.</w:t>
      </w:r>
    </w:p>
    <w:p w:rsidR="00142696" w:rsidRPr="00A862C6" w:rsidRDefault="00142696" w:rsidP="00CF36FD">
      <w:pPr>
        <w:pStyle w:val="TableFooter"/>
      </w:pPr>
      <w:r w:rsidRPr="00A862C6">
        <w:t>f Calculated based on weighting of 31% of patients on docetaxel and 69% of patients on paclitaxel as observed in the ATTRACTION-3 trial and applied in the economic model. Split of use differed in the financial mo</w:t>
      </w:r>
      <w:r w:rsidR="00A7399D" w:rsidRPr="00A862C6">
        <w:t>del, which included irinotecan.</w:t>
      </w:r>
    </w:p>
    <w:p w:rsidR="00A55589" w:rsidRPr="00A862C6" w:rsidRDefault="00A55589" w:rsidP="00A55589">
      <w:pPr>
        <w:pStyle w:val="BodyText"/>
        <w:rPr>
          <w:lang w:eastAsia="en-AU"/>
        </w:rPr>
      </w:pPr>
    </w:p>
    <w:p w:rsidR="00285CB1" w:rsidRPr="00A862C6" w:rsidRDefault="00285CB1" w:rsidP="00285CB1">
      <w:pPr>
        <w:pStyle w:val="Heading2"/>
      </w:pPr>
      <w:bookmarkStart w:id="42" w:name="_Toc72263304"/>
      <w:r w:rsidRPr="00A862C6">
        <w:t>Estimated PBS usage &amp; financial implications</w:t>
      </w:r>
      <w:bookmarkEnd w:id="42"/>
    </w:p>
    <w:p w:rsidR="00285CB1" w:rsidRPr="00A862C6" w:rsidRDefault="00285CB1" w:rsidP="00285CB1">
      <w:pPr>
        <w:ind w:left="720" w:hanging="720"/>
        <w:rPr>
          <w:b/>
          <w:i/>
        </w:rPr>
      </w:pPr>
    </w:p>
    <w:p w:rsidR="00CD748E" w:rsidRPr="00A862C6" w:rsidRDefault="00CD748E" w:rsidP="00DD46F0">
      <w:pPr>
        <w:pStyle w:val="ListParagraph"/>
        <w:widowControl/>
        <w:numPr>
          <w:ilvl w:val="1"/>
          <w:numId w:val="2"/>
        </w:numPr>
      </w:pPr>
      <w:r w:rsidRPr="00A862C6">
        <w:t xml:space="preserve">This submission </w:t>
      </w:r>
      <w:r w:rsidR="00F13F9C" w:rsidRPr="00A862C6">
        <w:t>was</w:t>
      </w:r>
      <w:r w:rsidRPr="00A862C6">
        <w:t xml:space="preserve"> considered by DUSC. </w:t>
      </w:r>
    </w:p>
    <w:p w:rsidR="00CD748E" w:rsidRPr="00A862C6" w:rsidRDefault="00CD748E" w:rsidP="00DD46F0">
      <w:pPr>
        <w:pStyle w:val="ListParagraph"/>
        <w:widowControl/>
        <w:numPr>
          <w:ilvl w:val="1"/>
          <w:numId w:val="2"/>
        </w:numPr>
        <w:rPr>
          <w:b/>
          <w:bCs/>
        </w:rPr>
      </w:pPr>
      <w:r w:rsidRPr="00A862C6">
        <w:t xml:space="preserve">The submission used an epidemiological approach to estimate the utilisation and financial impact of listing nivolumab on the PBS for 2L OSCC. A summary of the key assumptions used to calculate the financial estimates is presented in </w:t>
      </w:r>
      <w:r w:rsidR="00F71DE4" w:rsidRPr="00F71DE4">
        <w:t>Table 16</w:t>
      </w:r>
      <w:r w:rsidRPr="00A862C6">
        <w:t xml:space="preserve">. </w:t>
      </w:r>
    </w:p>
    <w:p w:rsidR="0046682F" w:rsidRDefault="0046682F">
      <w:pPr>
        <w:widowControl/>
        <w:jc w:val="left"/>
        <w:rPr>
          <w:rStyle w:val="CommentReference"/>
        </w:rPr>
      </w:pPr>
      <w:bookmarkStart w:id="43" w:name="_Ref70387597"/>
      <w:r>
        <w:rPr>
          <w:rStyle w:val="CommentReference"/>
        </w:rPr>
        <w:br w:type="page"/>
      </w:r>
    </w:p>
    <w:p w:rsidR="00CD748E" w:rsidRPr="00A862C6" w:rsidRDefault="00CD748E" w:rsidP="00CD748E">
      <w:pPr>
        <w:keepNext/>
        <w:keepLines/>
        <w:rPr>
          <w:rStyle w:val="CommentReference"/>
        </w:rPr>
      </w:pPr>
      <w:r w:rsidRPr="00A862C6">
        <w:rPr>
          <w:rStyle w:val="CommentReference"/>
        </w:rPr>
        <w:t xml:space="preserve">Table </w:t>
      </w:r>
      <w:r w:rsidR="00F71DE4">
        <w:rPr>
          <w:rStyle w:val="CommentReference"/>
          <w:noProof/>
        </w:rPr>
        <w:t>16</w:t>
      </w:r>
      <w:bookmarkEnd w:id="43"/>
      <w:r w:rsidRPr="00A862C6">
        <w:rPr>
          <w:rStyle w:val="CommentReference"/>
        </w:rPr>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830"/>
        <w:gridCol w:w="3452"/>
      </w:tblGrid>
      <w:tr w:rsidR="00CD748E" w:rsidRPr="00A862C6" w:rsidTr="00FF6E06">
        <w:trPr>
          <w:cantSplit/>
          <w:tblHeader/>
        </w:trPr>
        <w:tc>
          <w:tcPr>
            <w:tcW w:w="962" w:type="pct"/>
            <w:vAlign w:val="center"/>
          </w:tcPr>
          <w:p w:rsidR="00CD748E" w:rsidRPr="00A862C6" w:rsidRDefault="00CD748E" w:rsidP="006B4ABF">
            <w:pPr>
              <w:pStyle w:val="Tabletext"/>
              <w:keepNext/>
              <w:keepLines/>
              <w:rPr>
                <w:b/>
              </w:rPr>
            </w:pPr>
            <w:r w:rsidRPr="00A862C6">
              <w:rPr>
                <w:b/>
              </w:rPr>
              <w:t>Data</w:t>
            </w:r>
          </w:p>
        </w:tc>
        <w:tc>
          <w:tcPr>
            <w:tcW w:w="2124" w:type="pct"/>
            <w:vAlign w:val="center"/>
          </w:tcPr>
          <w:p w:rsidR="00CD748E" w:rsidRPr="00A862C6" w:rsidRDefault="00CD748E" w:rsidP="006B4ABF">
            <w:pPr>
              <w:pStyle w:val="Tabletext"/>
              <w:keepNext/>
              <w:keepLines/>
              <w:jc w:val="center"/>
              <w:rPr>
                <w:b/>
              </w:rPr>
            </w:pPr>
            <w:r w:rsidRPr="00A862C6">
              <w:rPr>
                <w:b/>
              </w:rPr>
              <w:t>Value and Source</w:t>
            </w:r>
          </w:p>
        </w:tc>
        <w:tc>
          <w:tcPr>
            <w:tcW w:w="1914" w:type="pct"/>
            <w:vAlign w:val="center"/>
          </w:tcPr>
          <w:p w:rsidR="00CD748E" w:rsidRPr="00A862C6" w:rsidRDefault="00CD748E" w:rsidP="006B4ABF">
            <w:pPr>
              <w:pStyle w:val="Tabletext"/>
              <w:keepNext/>
              <w:keepLines/>
              <w:jc w:val="center"/>
              <w:rPr>
                <w:b/>
              </w:rPr>
            </w:pPr>
            <w:r w:rsidRPr="00A862C6">
              <w:rPr>
                <w:b/>
              </w:rPr>
              <w:t>Comment</w:t>
            </w:r>
          </w:p>
        </w:tc>
      </w:tr>
      <w:tr w:rsidR="00CD748E" w:rsidRPr="00A862C6" w:rsidTr="00FF6E06">
        <w:trPr>
          <w:cantSplit/>
        </w:trPr>
        <w:tc>
          <w:tcPr>
            <w:tcW w:w="5000" w:type="pct"/>
            <w:gridSpan w:val="3"/>
            <w:vAlign w:val="center"/>
          </w:tcPr>
          <w:p w:rsidR="00CD748E" w:rsidRPr="00A862C6" w:rsidRDefault="00CD748E" w:rsidP="006B4ABF">
            <w:pPr>
              <w:pStyle w:val="Tabletext"/>
              <w:keepNext/>
              <w:keepLines/>
              <w:rPr>
                <w:b/>
              </w:rPr>
            </w:pPr>
            <w:r w:rsidRPr="00A862C6">
              <w:rPr>
                <w:b/>
              </w:rPr>
              <w:t>Eligible population</w:t>
            </w:r>
          </w:p>
        </w:tc>
      </w:tr>
      <w:tr w:rsidR="00CD748E" w:rsidRPr="00A862C6" w:rsidTr="00FF6E06">
        <w:trPr>
          <w:cantSplit/>
        </w:trPr>
        <w:tc>
          <w:tcPr>
            <w:tcW w:w="962" w:type="pct"/>
            <w:vAlign w:val="center"/>
          </w:tcPr>
          <w:p w:rsidR="00CD748E" w:rsidRPr="00A862C6" w:rsidRDefault="00CD748E" w:rsidP="006B4ABF">
            <w:pPr>
              <w:pStyle w:val="Tabletext"/>
              <w:keepNext/>
              <w:keepLines/>
            </w:pPr>
            <w:r w:rsidRPr="00A862C6">
              <w:t>Estimated incident patients with OC</w:t>
            </w:r>
          </w:p>
        </w:tc>
        <w:tc>
          <w:tcPr>
            <w:tcW w:w="2124" w:type="pct"/>
            <w:vAlign w:val="center"/>
          </w:tcPr>
          <w:p w:rsidR="00CD748E" w:rsidRPr="00A862C6" w:rsidRDefault="00CD748E" w:rsidP="006B4ABF">
            <w:pPr>
              <w:pStyle w:val="Tabletext"/>
              <w:keepNext/>
              <w:keepLines/>
            </w:pPr>
            <w:r w:rsidRPr="00A862C6">
              <w:t>Calculated based on estimated number of patients (1,587) diagnosed with OC in 2020 (AIHW, 2020), applying a population growth rate of 1.3% per annum (ABS, 2020)</w:t>
            </w:r>
          </w:p>
        </w:tc>
        <w:tc>
          <w:tcPr>
            <w:tcW w:w="1914" w:type="pct"/>
            <w:vAlign w:val="center"/>
          </w:tcPr>
          <w:p w:rsidR="00CD748E" w:rsidRPr="00A862C6" w:rsidRDefault="00CD748E" w:rsidP="006B4ABF">
            <w:pPr>
              <w:pStyle w:val="Tabletext"/>
              <w:keepNext/>
              <w:keepLines/>
            </w:pPr>
            <w:r w:rsidRPr="00A862C6">
              <w:t>Reasonable.</w:t>
            </w:r>
          </w:p>
        </w:tc>
      </w:tr>
      <w:tr w:rsidR="00CD748E" w:rsidRPr="00A862C6" w:rsidTr="00FF6E06">
        <w:trPr>
          <w:cantSplit/>
        </w:trPr>
        <w:tc>
          <w:tcPr>
            <w:tcW w:w="962" w:type="pct"/>
            <w:vAlign w:val="center"/>
          </w:tcPr>
          <w:p w:rsidR="00CD748E" w:rsidRPr="00A862C6" w:rsidRDefault="00CD748E" w:rsidP="006B4ABF">
            <w:pPr>
              <w:pStyle w:val="Tabletext"/>
            </w:pPr>
            <w:r w:rsidRPr="00A862C6">
              <w:t>Proportion of patients with OSCC</w:t>
            </w:r>
          </w:p>
        </w:tc>
        <w:tc>
          <w:tcPr>
            <w:tcW w:w="2124" w:type="pct"/>
            <w:vAlign w:val="center"/>
          </w:tcPr>
          <w:p w:rsidR="00CD748E" w:rsidRPr="00A862C6" w:rsidRDefault="00CD748E" w:rsidP="006B4ABF">
            <w:pPr>
              <w:pStyle w:val="Tabletext"/>
            </w:pPr>
            <w:r w:rsidRPr="00A862C6">
              <w:t>35.3%</w:t>
            </w:r>
          </w:p>
          <w:p w:rsidR="00CD748E" w:rsidRPr="00A862C6" w:rsidRDefault="00CD748E" w:rsidP="006B4ABF">
            <w:pPr>
              <w:pStyle w:val="Tabletext"/>
            </w:pPr>
            <w:r w:rsidRPr="00A862C6">
              <w:t>Source: Based on sponsor commissioned report using AIHW data for the proportion of OC with OSCC histology in 2016.</w:t>
            </w:r>
          </w:p>
        </w:tc>
        <w:tc>
          <w:tcPr>
            <w:tcW w:w="1914" w:type="pct"/>
            <w:vAlign w:val="center"/>
          </w:tcPr>
          <w:p w:rsidR="00CD748E" w:rsidRPr="00A862C6" w:rsidRDefault="00CD748E" w:rsidP="00612324">
            <w:pPr>
              <w:pStyle w:val="Tabletext"/>
            </w:pPr>
            <w:r w:rsidRPr="00A862C6">
              <w:t xml:space="preserve">Appears reasonable. Ranged between 35.3%-37.9% from 2013-2016 according to AIHW data. </w:t>
            </w:r>
            <w:r w:rsidR="002D7353" w:rsidRPr="002D7353">
              <w:t>The evaluation considered u</w:t>
            </w:r>
            <w:r w:rsidRPr="002D7353">
              <w:t>sing the lowest proportion may lead to underestimates of eligible patients.</w:t>
            </w:r>
          </w:p>
        </w:tc>
      </w:tr>
      <w:tr w:rsidR="00CD748E" w:rsidRPr="00A862C6" w:rsidTr="00FF6E06">
        <w:trPr>
          <w:cantSplit/>
        </w:trPr>
        <w:tc>
          <w:tcPr>
            <w:tcW w:w="962" w:type="pct"/>
            <w:vAlign w:val="center"/>
          </w:tcPr>
          <w:p w:rsidR="00CD748E" w:rsidRPr="00A862C6" w:rsidRDefault="00CD748E" w:rsidP="006B4ABF">
            <w:pPr>
              <w:pStyle w:val="Tabletext"/>
            </w:pPr>
            <w:r w:rsidRPr="00A862C6">
              <w:t xml:space="preserve">Disease stage at diagnosis </w:t>
            </w:r>
          </w:p>
        </w:tc>
        <w:tc>
          <w:tcPr>
            <w:tcW w:w="2124" w:type="pct"/>
            <w:vAlign w:val="center"/>
          </w:tcPr>
          <w:p w:rsidR="00CD748E" w:rsidRPr="00A862C6" w:rsidRDefault="00CD748E" w:rsidP="006B4ABF">
            <w:pPr>
              <w:pStyle w:val="Tabletext"/>
            </w:pPr>
            <w:r w:rsidRPr="00A862C6">
              <w:t>Stage I: 10.4%</w:t>
            </w:r>
          </w:p>
          <w:p w:rsidR="00CD748E" w:rsidRPr="00A862C6" w:rsidRDefault="00CD748E" w:rsidP="006B4ABF">
            <w:pPr>
              <w:pStyle w:val="Tabletext"/>
            </w:pPr>
            <w:r w:rsidRPr="00A862C6">
              <w:t>Stage II/III: 56.8%</w:t>
            </w:r>
          </w:p>
          <w:p w:rsidR="00CD748E" w:rsidRPr="00A862C6" w:rsidRDefault="00CD748E" w:rsidP="006B4ABF">
            <w:pPr>
              <w:pStyle w:val="Tabletext"/>
            </w:pPr>
            <w:r w:rsidRPr="00A862C6">
              <w:t>Stage IV: 27.2%</w:t>
            </w:r>
          </w:p>
          <w:p w:rsidR="00CD748E" w:rsidRPr="00A862C6" w:rsidRDefault="00CD748E" w:rsidP="006B4ABF">
            <w:pPr>
              <w:pStyle w:val="Tabletext"/>
            </w:pPr>
            <w:r w:rsidRPr="00A862C6">
              <w:t>Source: Nguyen 2019, a pattern of care study of OC patients in SA between 2012 – 2015 (OC N=375, OSCC N=93). High grade disease excluded from the financial model as patients are unlikely to progress to palliative treatment options.</w:t>
            </w:r>
          </w:p>
        </w:tc>
        <w:tc>
          <w:tcPr>
            <w:tcW w:w="1914" w:type="pct"/>
            <w:vAlign w:val="center"/>
          </w:tcPr>
          <w:p w:rsidR="00CD748E" w:rsidRPr="00A862C6" w:rsidRDefault="00CD748E" w:rsidP="002D7353">
            <w:pPr>
              <w:pStyle w:val="Tabletext"/>
            </w:pPr>
            <w:r w:rsidRPr="00A862C6">
              <w:t>The proportion of disease stages were based on overall OC patients (OSCC and OAC)</w:t>
            </w:r>
            <w:r w:rsidR="002D7353">
              <w:t>, ra</w:t>
            </w:r>
            <w:r w:rsidR="002D7353" w:rsidRPr="002D7353">
              <w:t xml:space="preserve">ther than just </w:t>
            </w:r>
            <w:r w:rsidRPr="002D7353">
              <w:t>OSCC</w:t>
            </w:r>
            <w:r w:rsidR="002D7353" w:rsidRPr="002D7353">
              <w:t>.</w:t>
            </w:r>
          </w:p>
        </w:tc>
      </w:tr>
      <w:tr w:rsidR="00CD748E" w:rsidRPr="00A862C6" w:rsidTr="00FF6E06">
        <w:trPr>
          <w:cantSplit/>
        </w:trPr>
        <w:tc>
          <w:tcPr>
            <w:tcW w:w="962" w:type="pct"/>
            <w:vAlign w:val="center"/>
          </w:tcPr>
          <w:p w:rsidR="00CD748E" w:rsidRPr="00A862C6" w:rsidRDefault="00CD748E" w:rsidP="006B4ABF">
            <w:pPr>
              <w:pStyle w:val="Tabletext"/>
            </w:pPr>
            <w:r w:rsidRPr="00A862C6">
              <w:t>Proportion of patients eligible for 1L chemotherapy</w:t>
            </w:r>
          </w:p>
        </w:tc>
        <w:tc>
          <w:tcPr>
            <w:tcW w:w="2124" w:type="pct"/>
            <w:vAlign w:val="center"/>
          </w:tcPr>
          <w:p w:rsidR="00CD748E" w:rsidRPr="00A862C6" w:rsidRDefault="00CD748E" w:rsidP="006B4ABF">
            <w:pPr>
              <w:pStyle w:val="Tabletext"/>
            </w:pPr>
            <w:r w:rsidRPr="00A862C6">
              <w:t>Proportion eligible for 1L chemotherapy</w:t>
            </w:r>
          </w:p>
          <w:tbl>
            <w:tblPr>
              <w:tblStyle w:val="TableGrid"/>
              <w:tblW w:w="0" w:type="auto"/>
              <w:tblLook w:val="04A0" w:firstRow="1" w:lastRow="0" w:firstColumn="1" w:lastColumn="0" w:noHBand="0" w:noVBand="1"/>
              <w:tblCaption w:val="Proportion eligible for 1L chemotherapy"/>
            </w:tblPr>
            <w:tblGrid>
              <w:gridCol w:w="1040"/>
              <w:gridCol w:w="982"/>
              <w:gridCol w:w="847"/>
              <w:gridCol w:w="735"/>
            </w:tblGrid>
            <w:tr w:rsidR="00CD748E" w:rsidRPr="00A862C6" w:rsidTr="00E45BC9">
              <w:trPr>
                <w:tblHeader/>
              </w:trPr>
              <w:tc>
                <w:tcPr>
                  <w:tcW w:w="1094" w:type="dxa"/>
                </w:tcPr>
                <w:p w:rsidR="00CD748E" w:rsidRPr="00A862C6" w:rsidRDefault="00CD748E" w:rsidP="006B4ABF">
                  <w:pPr>
                    <w:pStyle w:val="Tabletext"/>
                  </w:pPr>
                </w:p>
              </w:tc>
              <w:tc>
                <w:tcPr>
                  <w:tcW w:w="992" w:type="dxa"/>
                </w:tcPr>
                <w:p w:rsidR="00CD748E" w:rsidRPr="00A862C6" w:rsidRDefault="00CD748E" w:rsidP="006B4ABF">
                  <w:pPr>
                    <w:pStyle w:val="Tabletext"/>
                  </w:pPr>
                  <w:r w:rsidRPr="00A862C6">
                    <w:t>Eligible at diagnosis</w:t>
                  </w:r>
                </w:p>
              </w:tc>
              <w:tc>
                <w:tcPr>
                  <w:tcW w:w="851" w:type="dxa"/>
                </w:tcPr>
                <w:p w:rsidR="00CD748E" w:rsidRPr="00A862C6" w:rsidRDefault="00CD748E" w:rsidP="006B4ABF">
                  <w:pPr>
                    <w:pStyle w:val="Tabletext"/>
                  </w:pPr>
                  <w:r w:rsidRPr="00A862C6">
                    <w:t>Become eligible</w:t>
                  </w:r>
                </w:p>
              </w:tc>
              <w:tc>
                <w:tcPr>
                  <w:tcW w:w="736" w:type="dxa"/>
                </w:tcPr>
                <w:p w:rsidR="00CD748E" w:rsidRPr="00A862C6" w:rsidRDefault="00CD748E" w:rsidP="006B4ABF">
                  <w:pPr>
                    <w:pStyle w:val="Tabletext"/>
                  </w:pPr>
                  <w:r w:rsidRPr="00A862C6">
                    <w:t>Total eligible</w:t>
                  </w:r>
                </w:p>
              </w:tc>
            </w:tr>
            <w:tr w:rsidR="00CD748E" w:rsidRPr="00A862C6" w:rsidTr="006B4ABF">
              <w:tc>
                <w:tcPr>
                  <w:tcW w:w="1094" w:type="dxa"/>
                </w:tcPr>
                <w:p w:rsidR="00CD748E" w:rsidRPr="00A862C6" w:rsidRDefault="00CD748E" w:rsidP="006B4ABF">
                  <w:pPr>
                    <w:pStyle w:val="Tabletext"/>
                  </w:pPr>
                  <w:r w:rsidRPr="00A862C6">
                    <w:t>Stage I</w:t>
                  </w:r>
                </w:p>
              </w:tc>
              <w:tc>
                <w:tcPr>
                  <w:tcW w:w="992" w:type="dxa"/>
                </w:tcPr>
                <w:p w:rsidR="00CD748E" w:rsidRPr="00A862C6" w:rsidRDefault="00CD748E" w:rsidP="006B4ABF">
                  <w:pPr>
                    <w:pStyle w:val="Tabletext"/>
                  </w:pPr>
                  <w:r w:rsidRPr="00A862C6">
                    <w:t>10.3%</w:t>
                  </w:r>
                </w:p>
              </w:tc>
              <w:tc>
                <w:tcPr>
                  <w:tcW w:w="851" w:type="dxa"/>
                </w:tcPr>
                <w:p w:rsidR="00CD748E" w:rsidRPr="00A862C6" w:rsidRDefault="00CD748E" w:rsidP="006B4ABF">
                  <w:pPr>
                    <w:pStyle w:val="Tabletext"/>
                  </w:pPr>
                  <w:r w:rsidRPr="00A862C6">
                    <w:t>25.8%</w:t>
                  </w:r>
                </w:p>
              </w:tc>
              <w:tc>
                <w:tcPr>
                  <w:tcW w:w="736" w:type="dxa"/>
                </w:tcPr>
                <w:p w:rsidR="00CD748E" w:rsidRPr="00A862C6" w:rsidRDefault="00CD748E" w:rsidP="006B4ABF">
                  <w:pPr>
                    <w:pStyle w:val="Tabletext"/>
                  </w:pPr>
                  <w:r w:rsidRPr="00A862C6">
                    <w:t>36.1%</w:t>
                  </w:r>
                </w:p>
              </w:tc>
            </w:tr>
            <w:tr w:rsidR="00CD748E" w:rsidRPr="00A862C6" w:rsidTr="006B4ABF">
              <w:tc>
                <w:tcPr>
                  <w:tcW w:w="1094" w:type="dxa"/>
                </w:tcPr>
                <w:p w:rsidR="00CD748E" w:rsidRPr="00A862C6" w:rsidRDefault="00CD748E" w:rsidP="006B4ABF">
                  <w:pPr>
                    <w:pStyle w:val="Tabletext"/>
                  </w:pPr>
                  <w:r w:rsidRPr="00A862C6">
                    <w:t>Stage II/III</w:t>
                  </w:r>
                </w:p>
              </w:tc>
              <w:tc>
                <w:tcPr>
                  <w:tcW w:w="992" w:type="dxa"/>
                </w:tcPr>
                <w:p w:rsidR="00CD748E" w:rsidRPr="00A862C6" w:rsidRDefault="00CD748E" w:rsidP="006B4ABF">
                  <w:pPr>
                    <w:pStyle w:val="Tabletext"/>
                  </w:pPr>
                  <w:r w:rsidRPr="00A862C6">
                    <w:t>36.2%</w:t>
                  </w:r>
                </w:p>
              </w:tc>
              <w:tc>
                <w:tcPr>
                  <w:tcW w:w="851" w:type="dxa"/>
                </w:tcPr>
                <w:p w:rsidR="00CD748E" w:rsidRPr="00A862C6" w:rsidRDefault="00CD748E" w:rsidP="006B4ABF">
                  <w:pPr>
                    <w:pStyle w:val="Tabletext"/>
                  </w:pPr>
                  <w:r w:rsidRPr="00A862C6">
                    <w:t>25.8%</w:t>
                  </w:r>
                </w:p>
              </w:tc>
              <w:tc>
                <w:tcPr>
                  <w:tcW w:w="736" w:type="dxa"/>
                </w:tcPr>
                <w:p w:rsidR="00CD748E" w:rsidRPr="00A862C6" w:rsidRDefault="00CD748E" w:rsidP="006B4ABF">
                  <w:pPr>
                    <w:pStyle w:val="Tabletext"/>
                  </w:pPr>
                  <w:r w:rsidRPr="00A862C6">
                    <w:t>62.0%</w:t>
                  </w:r>
                </w:p>
              </w:tc>
            </w:tr>
            <w:tr w:rsidR="00CD748E" w:rsidRPr="00A862C6" w:rsidTr="006B4ABF">
              <w:tc>
                <w:tcPr>
                  <w:tcW w:w="1094" w:type="dxa"/>
                </w:tcPr>
                <w:p w:rsidR="00CD748E" w:rsidRPr="00A862C6" w:rsidRDefault="00CD748E" w:rsidP="006B4ABF">
                  <w:pPr>
                    <w:pStyle w:val="Tabletext"/>
                  </w:pPr>
                  <w:r w:rsidRPr="00A862C6">
                    <w:t>Stage IV</w:t>
                  </w:r>
                </w:p>
              </w:tc>
              <w:tc>
                <w:tcPr>
                  <w:tcW w:w="992" w:type="dxa"/>
                </w:tcPr>
                <w:p w:rsidR="00CD748E" w:rsidRPr="00A862C6" w:rsidRDefault="00CD748E" w:rsidP="006B4ABF">
                  <w:pPr>
                    <w:pStyle w:val="Tabletext"/>
                  </w:pPr>
                  <w:r w:rsidRPr="00A862C6">
                    <w:t>99.0%</w:t>
                  </w:r>
                </w:p>
              </w:tc>
              <w:tc>
                <w:tcPr>
                  <w:tcW w:w="851" w:type="dxa"/>
                </w:tcPr>
                <w:p w:rsidR="00CD748E" w:rsidRPr="00A862C6" w:rsidRDefault="00CD748E" w:rsidP="006B4ABF">
                  <w:pPr>
                    <w:pStyle w:val="Tabletext"/>
                  </w:pPr>
                  <w:r w:rsidRPr="00A862C6">
                    <w:t>NA</w:t>
                  </w:r>
                </w:p>
              </w:tc>
              <w:tc>
                <w:tcPr>
                  <w:tcW w:w="736" w:type="dxa"/>
                </w:tcPr>
                <w:p w:rsidR="00CD748E" w:rsidRPr="00A862C6" w:rsidRDefault="00CD748E" w:rsidP="006B4ABF">
                  <w:pPr>
                    <w:pStyle w:val="Tabletext"/>
                  </w:pPr>
                  <w:r w:rsidRPr="00A862C6">
                    <w:t>99.0%</w:t>
                  </w:r>
                </w:p>
              </w:tc>
            </w:tr>
          </w:tbl>
          <w:p w:rsidR="00CD748E" w:rsidRPr="00A862C6" w:rsidRDefault="00CD748E" w:rsidP="006B4ABF">
            <w:pPr>
              <w:pStyle w:val="Tabletext"/>
            </w:pPr>
          </w:p>
          <w:p w:rsidR="00CD748E" w:rsidRPr="00A862C6" w:rsidRDefault="00CD748E" w:rsidP="006B4ABF">
            <w:pPr>
              <w:pStyle w:val="Tabletext"/>
            </w:pPr>
            <w:r w:rsidRPr="00A862C6">
              <w:t xml:space="preserve">Source: Calculated by adding the proportion of patients offered 1L chemotherapy at time of diagnosis (Nguyen 2019) and the proportion of patients offered 1L chemotherapy following recurrence on curative treatment options. Recurrence of 25.8% assumed based on results of Knight 2018, a study of patients undergoing resection of the oesophagus, who reported 31/120 patients had systemic recurrence. The same recurrence rate was applied for each disease stage. </w:t>
            </w:r>
          </w:p>
        </w:tc>
        <w:tc>
          <w:tcPr>
            <w:tcW w:w="1914" w:type="pct"/>
            <w:vAlign w:val="center"/>
          </w:tcPr>
          <w:p w:rsidR="00CD748E" w:rsidRPr="00A862C6" w:rsidRDefault="00CD748E" w:rsidP="006B4ABF">
            <w:pPr>
              <w:pStyle w:val="Tabletext"/>
            </w:pPr>
            <w:r w:rsidRPr="00A862C6">
              <w:t>The proportion of patients offered 1L chemotherapy at time of diagnosis was based on overall OC patients (OSCC and OAC). The proportion of patients offered 1L chemotherapy following recurrence on curative treatment options were not differentiated via diseas</w:t>
            </w:r>
            <w:r w:rsidRPr="002D7353">
              <w:t xml:space="preserve">e stage, but </w:t>
            </w:r>
            <w:r w:rsidR="002D7353" w:rsidRPr="002D7353">
              <w:t xml:space="preserve">the evaluation considered </w:t>
            </w:r>
            <w:r w:rsidRPr="002D7353">
              <w:t>it was possible that recurrence rate in Stage I and stage II/III disease may be different.</w:t>
            </w:r>
          </w:p>
        </w:tc>
      </w:tr>
      <w:tr w:rsidR="00CD748E" w:rsidRPr="00A862C6" w:rsidTr="00FF6E06">
        <w:trPr>
          <w:cantSplit/>
        </w:trPr>
        <w:tc>
          <w:tcPr>
            <w:tcW w:w="962" w:type="pct"/>
            <w:vAlign w:val="center"/>
          </w:tcPr>
          <w:p w:rsidR="00CD748E" w:rsidRPr="00A862C6" w:rsidRDefault="00CD748E" w:rsidP="006B4ABF">
            <w:pPr>
              <w:pStyle w:val="Tabletext"/>
            </w:pPr>
            <w:r w:rsidRPr="00A862C6">
              <w:t>Proportion of patients electing 1L FP based chemotherapy</w:t>
            </w:r>
          </w:p>
        </w:tc>
        <w:tc>
          <w:tcPr>
            <w:tcW w:w="2124" w:type="pct"/>
            <w:vAlign w:val="center"/>
          </w:tcPr>
          <w:p w:rsidR="00CD748E" w:rsidRPr="00A862C6" w:rsidRDefault="00CD748E" w:rsidP="006B4ABF">
            <w:pPr>
              <w:pStyle w:val="Tabletext"/>
            </w:pPr>
            <w:r w:rsidRPr="00A862C6">
              <w:t>61% of OSCC patients.</w:t>
            </w:r>
          </w:p>
          <w:p w:rsidR="00CD748E" w:rsidRPr="00A862C6" w:rsidRDefault="00CD748E" w:rsidP="006B4ABF">
            <w:pPr>
              <w:pStyle w:val="Tabletext"/>
            </w:pPr>
            <w:r w:rsidRPr="00A862C6">
              <w:t>Source: Jaffe 2019, global retrospective treatment patterns study of 1809 patients with advanced or metastatic unresectable OC from Asian and Western countries conducted between September and October 2018. Of these patients, 1049 had OSCC and 760 had OAC</w:t>
            </w:r>
          </w:p>
        </w:tc>
        <w:tc>
          <w:tcPr>
            <w:tcW w:w="1914" w:type="pct"/>
            <w:vAlign w:val="center"/>
          </w:tcPr>
          <w:p w:rsidR="00CD748E" w:rsidRPr="00A862C6" w:rsidRDefault="00CD748E" w:rsidP="006B4ABF">
            <w:pPr>
              <w:pStyle w:val="Tabletext"/>
            </w:pPr>
            <w:r w:rsidRPr="00A862C6">
              <w:t>Based on a global statistic which did not include Australia, therefore usage patterns may not be applicable. Availability of nivolumab as 2L treatment may alter usage patterns of 1L FP based chemotherapy as it is a requirement of 2L nivolumab use.</w:t>
            </w:r>
            <w:r w:rsidR="00E27021" w:rsidRPr="008B6CE4">
              <w:rPr>
                <w:i/>
                <w:iCs/>
              </w:rPr>
              <w:t xml:space="preserve"> </w:t>
            </w:r>
            <w:r w:rsidR="006B1A5E" w:rsidRPr="006B1A5E">
              <w:rPr>
                <w:iCs/>
              </w:rPr>
              <w:t xml:space="preserve">The </w:t>
            </w:r>
            <w:r w:rsidR="00E27021" w:rsidRPr="00E27021">
              <w:t>DUSC considered it is likely that the 2L nivolumab requirement for prior fluoropyrimidine + platinum chemotherapy will change 1L patterns</w:t>
            </w:r>
            <w:r w:rsidR="00E27021">
              <w:t xml:space="preserve"> and </w:t>
            </w:r>
            <w:r w:rsidR="00E27021" w:rsidRPr="00E27021">
              <w:t>considered 70% a better estimate than 61%.</w:t>
            </w:r>
          </w:p>
        </w:tc>
      </w:tr>
      <w:tr w:rsidR="00CD748E" w:rsidRPr="00A862C6" w:rsidTr="00FF6E06">
        <w:trPr>
          <w:cantSplit/>
        </w:trPr>
        <w:tc>
          <w:tcPr>
            <w:tcW w:w="962" w:type="pct"/>
            <w:vAlign w:val="center"/>
          </w:tcPr>
          <w:p w:rsidR="00CD748E" w:rsidRPr="00A862C6" w:rsidRDefault="00CD748E" w:rsidP="006B4ABF">
            <w:pPr>
              <w:pStyle w:val="Tabletext"/>
            </w:pPr>
            <w:r w:rsidRPr="00A862C6">
              <w:t>ECOG status</w:t>
            </w:r>
          </w:p>
        </w:tc>
        <w:tc>
          <w:tcPr>
            <w:tcW w:w="2124" w:type="pct"/>
            <w:vAlign w:val="center"/>
          </w:tcPr>
          <w:p w:rsidR="00CD748E" w:rsidRPr="00A862C6" w:rsidRDefault="00CD748E" w:rsidP="006B4ABF">
            <w:pPr>
              <w:pStyle w:val="Tabletext"/>
              <w:rPr>
                <w:iCs/>
              </w:rPr>
            </w:pPr>
            <w:r w:rsidRPr="00A862C6">
              <w:rPr>
                <w:iCs/>
              </w:rPr>
              <w:t xml:space="preserve">Assumption only. 100% of patients electing 1L treatment with FP based chemotherapy considered to have ECOG 0-1 (with all patients with ECOG ≥2 electing treatment with BSC) and will have the same ECOG performance score when initiating 2L treatment. </w:t>
            </w:r>
          </w:p>
        </w:tc>
        <w:tc>
          <w:tcPr>
            <w:tcW w:w="1914" w:type="pct"/>
            <w:vAlign w:val="center"/>
          </w:tcPr>
          <w:p w:rsidR="00CD748E" w:rsidRPr="00A862C6" w:rsidRDefault="00CD748E" w:rsidP="006B4ABF">
            <w:pPr>
              <w:pStyle w:val="Tabletext"/>
            </w:pPr>
            <w:r w:rsidRPr="00A862C6">
              <w:t>This was inappropriate and likely overestimated. Jaffe 2019 reported that 50.5% and 62.9% of patients in Asia and the West, respectively, had ECOG of 0 or 1 at the initiation of 2L therapy</w:t>
            </w:r>
            <w:r w:rsidR="00A862C6">
              <w:t xml:space="preserve">. </w:t>
            </w:r>
            <w:r w:rsidR="006B1A5E">
              <w:t xml:space="preserve">The </w:t>
            </w:r>
            <w:r w:rsidR="00DC2E89">
              <w:t>DUSC considered 70% would be a more appropriate estimate than 100%.</w:t>
            </w:r>
          </w:p>
        </w:tc>
      </w:tr>
      <w:tr w:rsidR="00CD748E" w:rsidRPr="00A862C6" w:rsidTr="00FF6E06">
        <w:trPr>
          <w:cantSplit/>
        </w:trPr>
        <w:tc>
          <w:tcPr>
            <w:tcW w:w="962" w:type="pct"/>
            <w:vAlign w:val="center"/>
          </w:tcPr>
          <w:p w:rsidR="00CD748E" w:rsidRPr="00A862C6" w:rsidRDefault="00CD748E" w:rsidP="006B4ABF">
            <w:pPr>
              <w:pStyle w:val="Tabletext"/>
            </w:pPr>
            <w:r w:rsidRPr="00A862C6">
              <w:t>Proportion of patients electing 2L therapy</w:t>
            </w:r>
          </w:p>
        </w:tc>
        <w:tc>
          <w:tcPr>
            <w:tcW w:w="2124" w:type="pct"/>
            <w:vAlign w:val="center"/>
          </w:tcPr>
          <w:p w:rsidR="00CD748E" w:rsidRPr="00A862C6" w:rsidRDefault="00027DFC" w:rsidP="006B4ABF">
            <w:pPr>
              <w:pStyle w:val="Tabletext"/>
            </w:pPr>
            <w:r>
              <w:rPr>
                <w:noProof/>
                <w:color w:val="000000"/>
                <w:highlight w:val="black"/>
              </w:rPr>
              <w:t>''''''</w:t>
            </w:r>
            <w:r w:rsidR="00CD748E" w:rsidRPr="00A862C6">
              <w:t>% before nivolumab listing</w:t>
            </w:r>
          </w:p>
          <w:p w:rsidR="00CD748E" w:rsidRPr="00A862C6" w:rsidRDefault="00027DFC" w:rsidP="006B4ABF">
            <w:pPr>
              <w:pStyle w:val="Tabletext"/>
            </w:pPr>
            <w:r>
              <w:rPr>
                <w:noProof/>
                <w:color w:val="000000"/>
                <w:highlight w:val="black"/>
              </w:rPr>
              <w:t>''''''</w:t>
            </w:r>
            <w:r w:rsidR="00CD748E" w:rsidRPr="00A862C6">
              <w:t>% after nivolumab listing</w:t>
            </w:r>
          </w:p>
          <w:p w:rsidR="00CD748E" w:rsidRPr="00A862C6" w:rsidRDefault="00CD748E" w:rsidP="006B4ABF">
            <w:pPr>
              <w:pStyle w:val="Tabletext"/>
            </w:pPr>
            <w:r w:rsidRPr="00A862C6">
              <w:t xml:space="preserve">Source: Expert advice BMS advisory board chair 2020/2021 </w:t>
            </w:r>
          </w:p>
        </w:tc>
        <w:tc>
          <w:tcPr>
            <w:tcW w:w="1914" w:type="pct"/>
            <w:vAlign w:val="center"/>
          </w:tcPr>
          <w:p w:rsidR="00CD748E" w:rsidRPr="00A862C6" w:rsidRDefault="00CD748E" w:rsidP="00966E81">
            <w:pPr>
              <w:pStyle w:val="Tabletext"/>
            </w:pPr>
            <w:r w:rsidRPr="00A862C6">
              <w:t xml:space="preserve">Assumption only. </w:t>
            </w:r>
            <w:r w:rsidR="0040023A" w:rsidRPr="00A862C6">
              <w:t>It is r</w:t>
            </w:r>
            <w:r w:rsidRPr="00A862C6">
              <w:t>easonable to expect market growth with nivolumab listing</w:t>
            </w:r>
            <w:r w:rsidR="0040023A" w:rsidRPr="00A862C6">
              <w:t>.</w:t>
            </w:r>
          </w:p>
        </w:tc>
      </w:tr>
      <w:tr w:rsidR="00CD748E" w:rsidRPr="00A862C6" w:rsidTr="00FF6E06">
        <w:trPr>
          <w:cantSplit/>
        </w:trPr>
        <w:tc>
          <w:tcPr>
            <w:tcW w:w="5000" w:type="pct"/>
            <w:gridSpan w:val="3"/>
            <w:vAlign w:val="center"/>
          </w:tcPr>
          <w:p w:rsidR="00CD748E" w:rsidRPr="00A862C6" w:rsidRDefault="00CD748E" w:rsidP="006B4ABF">
            <w:pPr>
              <w:pStyle w:val="Tabletext"/>
              <w:rPr>
                <w:b/>
              </w:rPr>
            </w:pPr>
            <w:r w:rsidRPr="00A862C6">
              <w:rPr>
                <w:b/>
              </w:rPr>
              <w:t>Treatment utilisation</w:t>
            </w:r>
          </w:p>
        </w:tc>
      </w:tr>
      <w:tr w:rsidR="00CD748E" w:rsidRPr="00A862C6" w:rsidTr="00FF6E06">
        <w:trPr>
          <w:cantSplit/>
        </w:trPr>
        <w:tc>
          <w:tcPr>
            <w:tcW w:w="962" w:type="pct"/>
            <w:vAlign w:val="center"/>
          </w:tcPr>
          <w:p w:rsidR="00CD748E" w:rsidRPr="00A862C6" w:rsidRDefault="00CD748E" w:rsidP="006B4ABF">
            <w:pPr>
              <w:pStyle w:val="Tabletext"/>
            </w:pPr>
            <w:r w:rsidRPr="00A862C6">
              <w:t>Uptake rate</w:t>
            </w:r>
          </w:p>
        </w:tc>
        <w:tc>
          <w:tcPr>
            <w:tcW w:w="2124" w:type="pct"/>
            <w:vAlign w:val="center"/>
          </w:tcPr>
          <w:p w:rsidR="00CD748E" w:rsidRPr="00A862C6" w:rsidRDefault="00027DFC" w:rsidP="006B4ABF">
            <w:pPr>
              <w:pStyle w:val="Tabletext"/>
              <w:rPr>
                <w:i/>
                <w:iCs/>
              </w:rPr>
            </w:pPr>
            <w:r>
              <w:rPr>
                <w:noProof/>
                <w:color w:val="000000"/>
                <w:highlight w:val="black"/>
              </w:rPr>
              <w:t>'''''</w:t>
            </w:r>
            <w:r w:rsidR="00CD748E" w:rsidRPr="00A862C6">
              <w:t xml:space="preserve">%, remaining </w:t>
            </w:r>
            <w:r>
              <w:rPr>
                <w:noProof/>
                <w:color w:val="000000"/>
                <w:highlight w:val="black"/>
              </w:rPr>
              <w:t>'''''</w:t>
            </w:r>
            <w:r w:rsidR="00CD748E" w:rsidRPr="00A862C6">
              <w:t>% electing chemotherapy</w:t>
            </w:r>
          </w:p>
          <w:p w:rsidR="00CD748E" w:rsidRPr="00A862C6" w:rsidRDefault="00CD748E" w:rsidP="006B4ABF">
            <w:pPr>
              <w:pStyle w:val="Tabletext"/>
            </w:pPr>
            <w:r w:rsidRPr="00A862C6">
              <w:t>Source: Expert opinion, BMS advisory board chair 2020/2021</w:t>
            </w:r>
          </w:p>
        </w:tc>
        <w:tc>
          <w:tcPr>
            <w:tcW w:w="1914" w:type="pct"/>
            <w:vAlign w:val="center"/>
          </w:tcPr>
          <w:p w:rsidR="00CD748E" w:rsidRPr="00A862C6" w:rsidRDefault="00CD748E" w:rsidP="006B4ABF">
            <w:pPr>
              <w:pStyle w:val="Tabletext"/>
            </w:pPr>
            <w:r w:rsidRPr="00A862C6">
              <w:t xml:space="preserve">It is noted that the submission did not account for the </w:t>
            </w:r>
            <w:r w:rsidR="00027DFC">
              <w:rPr>
                <w:noProof/>
                <w:color w:val="000000"/>
                <w:highlight w:val="black"/>
              </w:rPr>
              <w:t>''''''</w:t>
            </w:r>
            <w:r w:rsidRPr="00A862C6">
              <w:t>% of patients who will continue to receive 2L chemotherapy, and as such, the cost offsets provided by the submission were overestimated. These have been corrected during the evaluation.</w:t>
            </w:r>
            <w:r w:rsidR="00EE15AA">
              <w:t xml:space="preserve"> </w:t>
            </w:r>
            <w:r w:rsidR="006B1A5E">
              <w:t xml:space="preserve">The </w:t>
            </w:r>
            <w:r w:rsidR="00EE15AA" w:rsidRPr="00EE15AA">
              <w:rPr>
                <w:iCs/>
              </w:rPr>
              <w:t xml:space="preserve">DUSC considered that the </w:t>
            </w:r>
            <w:r w:rsidR="00027DFC">
              <w:rPr>
                <w:iCs/>
                <w:noProof/>
                <w:color w:val="000000"/>
                <w:highlight w:val="black"/>
              </w:rPr>
              <w:t>''''''</w:t>
            </w:r>
            <w:r w:rsidR="00EE15AA" w:rsidRPr="00EE15AA">
              <w:rPr>
                <w:iCs/>
              </w:rPr>
              <w:t xml:space="preserve">% who elect 2L chemotherapy will be potentially eligible for 3L nivolumab, and this will effectively increase the nivolumab uptake rate to </w:t>
            </w:r>
            <w:r w:rsidR="00027DFC">
              <w:rPr>
                <w:iCs/>
                <w:noProof/>
                <w:color w:val="000000"/>
                <w:highlight w:val="black"/>
              </w:rPr>
              <w:t>''''''</w:t>
            </w:r>
            <w:r w:rsidR="00EE15AA" w:rsidRPr="00EE15AA">
              <w:rPr>
                <w:iCs/>
              </w:rPr>
              <w:t>%.</w:t>
            </w:r>
            <w:r w:rsidR="00EE15AA">
              <w:t xml:space="preserve"> </w:t>
            </w:r>
          </w:p>
        </w:tc>
      </w:tr>
      <w:tr w:rsidR="00CD748E" w:rsidRPr="00A862C6" w:rsidTr="00FF6E06">
        <w:trPr>
          <w:cantSplit/>
        </w:trPr>
        <w:tc>
          <w:tcPr>
            <w:tcW w:w="962" w:type="pct"/>
            <w:vAlign w:val="center"/>
          </w:tcPr>
          <w:p w:rsidR="00CD748E" w:rsidRPr="00A862C6" w:rsidRDefault="00CD748E" w:rsidP="006B4ABF">
            <w:pPr>
              <w:pStyle w:val="Tabletext"/>
            </w:pPr>
            <w:r w:rsidRPr="00A862C6">
              <w:t>Dosing and frequency split for nivolumab</w:t>
            </w:r>
          </w:p>
        </w:tc>
        <w:tc>
          <w:tcPr>
            <w:tcW w:w="2124" w:type="pct"/>
            <w:vAlign w:val="center"/>
          </w:tcPr>
          <w:p w:rsidR="00CD748E" w:rsidRPr="00A862C6" w:rsidRDefault="00CD748E" w:rsidP="006B4ABF">
            <w:pPr>
              <w:pStyle w:val="Tabletext"/>
            </w:pPr>
            <w:r w:rsidRPr="00A862C6">
              <w:t>240mg Q2W: 10%</w:t>
            </w:r>
          </w:p>
          <w:p w:rsidR="00CD748E" w:rsidRPr="00A862C6" w:rsidRDefault="00CD748E" w:rsidP="006B4ABF">
            <w:pPr>
              <w:pStyle w:val="Tabletext"/>
            </w:pPr>
            <w:r w:rsidRPr="00A862C6">
              <w:t>480mg Q4W: 90%</w:t>
            </w:r>
          </w:p>
          <w:p w:rsidR="00CD748E" w:rsidRPr="00A862C6" w:rsidRDefault="00CD748E" w:rsidP="006B4ABF">
            <w:pPr>
              <w:pStyle w:val="Tabletext"/>
            </w:pPr>
            <w:r w:rsidRPr="00A862C6">
              <w:t xml:space="preserve">Calculated from prior PBAC determination (Nivolumab, March 2019 </w:t>
            </w:r>
            <w:r w:rsidRPr="00612324">
              <w:t>P</w:t>
            </w:r>
            <w:r w:rsidR="00612324" w:rsidRPr="00612324">
              <w:t>SD</w:t>
            </w:r>
            <w:r w:rsidR="00612324">
              <w:t>)</w:t>
            </w:r>
            <w:r w:rsidRPr="00A862C6">
              <w:t>, adjusted to 100% (based on removal of weight-based dosing option).</w:t>
            </w:r>
          </w:p>
        </w:tc>
        <w:tc>
          <w:tcPr>
            <w:tcW w:w="1914" w:type="pct"/>
            <w:vAlign w:val="center"/>
          </w:tcPr>
          <w:p w:rsidR="00CD748E" w:rsidRPr="00A862C6" w:rsidRDefault="002D7353" w:rsidP="006B4ABF">
            <w:pPr>
              <w:pStyle w:val="Tabletext"/>
            </w:pPr>
            <w:r>
              <w:t>T</w:t>
            </w:r>
            <w:r w:rsidR="00CD748E" w:rsidRPr="00A862C6">
              <w:t xml:space="preserve">he dosage used in the pivotal clinical trial (ATTRACTION-3) was Q2W. </w:t>
            </w:r>
          </w:p>
        </w:tc>
      </w:tr>
      <w:tr w:rsidR="00CD748E" w:rsidRPr="00A862C6" w:rsidTr="00FF6E06">
        <w:trPr>
          <w:cantSplit/>
        </w:trPr>
        <w:tc>
          <w:tcPr>
            <w:tcW w:w="5000" w:type="pct"/>
            <w:gridSpan w:val="3"/>
            <w:vAlign w:val="center"/>
          </w:tcPr>
          <w:p w:rsidR="00CD748E" w:rsidRPr="00A862C6" w:rsidRDefault="00CD748E" w:rsidP="006B4ABF">
            <w:pPr>
              <w:pStyle w:val="Tabletext"/>
              <w:rPr>
                <w:b/>
              </w:rPr>
            </w:pPr>
            <w:r w:rsidRPr="00A862C6">
              <w:rPr>
                <w:b/>
              </w:rPr>
              <w:t>Costs</w:t>
            </w:r>
          </w:p>
        </w:tc>
      </w:tr>
      <w:tr w:rsidR="00CD748E" w:rsidRPr="00A862C6" w:rsidTr="00FF6E06">
        <w:trPr>
          <w:cantSplit/>
        </w:trPr>
        <w:tc>
          <w:tcPr>
            <w:tcW w:w="962" w:type="pct"/>
            <w:vAlign w:val="center"/>
          </w:tcPr>
          <w:p w:rsidR="00CD748E" w:rsidRPr="00A862C6" w:rsidRDefault="00CD748E" w:rsidP="006B4ABF">
            <w:pPr>
              <w:pStyle w:val="Tabletext"/>
            </w:pPr>
            <w:r w:rsidRPr="00A862C6">
              <w:t>MBS costs</w:t>
            </w:r>
          </w:p>
        </w:tc>
        <w:tc>
          <w:tcPr>
            <w:tcW w:w="2124" w:type="pct"/>
            <w:vAlign w:val="center"/>
          </w:tcPr>
          <w:p w:rsidR="00CD748E" w:rsidRPr="00A862C6" w:rsidRDefault="00CD748E" w:rsidP="006B4ABF">
            <w:pPr>
              <w:pStyle w:val="Tabletext"/>
            </w:pPr>
            <w:r w:rsidRPr="00A862C6">
              <w:t>$111.40 (MBS rebate rate of 80% used)</w:t>
            </w:r>
          </w:p>
          <w:p w:rsidR="00CD748E" w:rsidRPr="00A862C6" w:rsidRDefault="00CD748E" w:rsidP="006B4ABF">
            <w:pPr>
              <w:pStyle w:val="Tabletext"/>
            </w:pPr>
            <w:r w:rsidRPr="00A862C6">
              <w:t>Source: MBS 13950, Cytotoxic Chemotherapy Administration</w:t>
            </w:r>
          </w:p>
        </w:tc>
        <w:tc>
          <w:tcPr>
            <w:tcW w:w="1914" w:type="pct"/>
            <w:vAlign w:val="center"/>
          </w:tcPr>
          <w:p w:rsidR="00CD748E" w:rsidRPr="00A862C6" w:rsidRDefault="00CD748E" w:rsidP="006B4ABF">
            <w:pPr>
              <w:pStyle w:val="Tabletext"/>
            </w:pPr>
            <w:r w:rsidRPr="00A862C6">
              <w:t>Appropriate.</w:t>
            </w:r>
          </w:p>
        </w:tc>
      </w:tr>
    </w:tbl>
    <w:p w:rsidR="00CD748E" w:rsidRPr="00A862C6" w:rsidRDefault="00CD748E" w:rsidP="00CD748E">
      <w:pPr>
        <w:pStyle w:val="TableFooter"/>
      </w:pPr>
      <w:r w:rsidRPr="00A862C6">
        <w:t>Source: Tables 85, 92, 95, 97,100&amp;102, p155, 163, 166, 167, 171&amp;172 of the submission.</w:t>
      </w:r>
    </w:p>
    <w:p w:rsidR="00CD748E" w:rsidRPr="00A862C6" w:rsidRDefault="00CD748E" w:rsidP="00CD748E">
      <w:pPr>
        <w:pStyle w:val="TableFooter"/>
        <w:spacing w:after="160"/>
        <w:rPr>
          <w:sz w:val="20"/>
        </w:rPr>
      </w:pPr>
      <w:r w:rsidRPr="00A862C6">
        <w:t xml:space="preserve">1L = first-line; 2L = second-line; ABS = Australian Bureau of Statistics; AOC = adenocarcinoma; AIHW = Australian Institute of Health and Welfare; BSA = body surface area; DOC = docetaxel; FP = fluoropyrimidine and platinum; IC = investigator’s choice; NIVO = nivolumab, OAC = oesophageal adenocarcinoma OC = oesophageal carcinoma; OSCC = oesophageal squamous cell carcinoma; PAC = paclitaxel; </w:t>
      </w:r>
      <w:r w:rsidR="00612324">
        <w:t xml:space="preserve">PSD=public summary document; </w:t>
      </w:r>
      <w:r w:rsidRPr="00A862C6">
        <w:t>TTD = time to treatment discontinuation</w:t>
      </w:r>
    </w:p>
    <w:p w:rsidR="0046682F" w:rsidRDefault="0046682F">
      <w:pPr>
        <w:widowControl/>
        <w:jc w:val="left"/>
      </w:pPr>
      <w:r>
        <w:br w:type="page"/>
      </w:r>
    </w:p>
    <w:p w:rsidR="00CD748E" w:rsidRPr="00A862C6" w:rsidRDefault="00CD748E" w:rsidP="00DD46F0">
      <w:pPr>
        <w:pStyle w:val="ListParagraph"/>
        <w:widowControl/>
        <w:numPr>
          <w:ilvl w:val="1"/>
          <w:numId w:val="2"/>
        </w:numPr>
      </w:pPr>
      <w:r w:rsidRPr="00A862C6">
        <w:t xml:space="preserve">The estimated financial impact of PBS listing nivolumab is summarised in </w:t>
      </w:r>
      <w:r w:rsidR="00F71DE4" w:rsidRPr="00F71DE4">
        <w:t>Table 17</w:t>
      </w:r>
      <w:r w:rsidRPr="00A862C6">
        <w:t>.</w:t>
      </w:r>
    </w:p>
    <w:p w:rsidR="00CD748E" w:rsidRPr="00A862C6" w:rsidRDefault="00CD748E" w:rsidP="00FF6E06">
      <w:pPr>
        <w:keepLines/>
        <w:rPr>
          <w:rFonts w:ascii="Arial Narrow" w:hAnsi="Arial Narrow"/>
          <w:b/>
          <w:sz w:val="20"/>
          <w:szCs w:val="16"/>
        </w:rPr>
      </w:pPr>
      <w:bookmarkStart w:id="44" w:name="_Ref70361601"/>
      <w:r w:rsidRPr="00A862C6">
        <w:rPr>
          <w:rStyle w:val="CommentReference"/>
        </w:rPr>
        <w:t xml:space="preserve">Table </w:t>
      </w:r>
      <w:r w:rsidR="00F71DE4">
        <w:rPr>
          <w:rStyle w:val="CommentReference"/>
          <w:noProof/>
        </w:rPr>
        <w:t>17</w:t>
      </w:r>
      <w:bookmarkEnd w:id="44"/>
      <w:r w:rsidRPr="00A862C6">
        <w:rPr>
          <w:rStyle w:val="CommentReference"/>
        </w:rPr>
        <w:t>: Estimated net financial implications of the proposed nivolumab listing</w:t>
      </w:r>
      <w:r w:rsidR="00CF617A" w:rsidRPr="00A862C6">
        <w:rPr>
          <w:rStyle w:val="CommentReference"/>
        </w:rPr>
        <w:t xml:space="preserve"> (using proposed effective price of nivolumab)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2"/>
        <w:gridCol w:w="1126"/>
        <w:gridCol w:w="1125"/>
        <w:gridCol w:w="1127"/>
        <w:gridCol w:w="1125"/>
        <w:gridCol w:w="1125"/>
        <w:gridCol w:w="1127"/>
      </w:tblGrid>
      <w:tr w:rsidR="00CD748E" w:rsidRPr="00A862C6" w:rsidTr="00CF617A">
        <w:trPr>
          <w:tblHeader/>
        </w:trPr>
        <w:tc>
          <w:tcPr>
            <w:tcW w:w="1254" w:type="pct"/>
            <w:tcBorders>
              <w:bottom w:val="single" w:sz="4" w:space="0" w:color="auto"/>
            </w:tcBorders>
            <w:shd w:val="clear" w:color="auto" w:fill="auto"/>
            <w:vAlign w:val="center"/>
          </w:tcPr>
          <w:p w:rsidR="00CD748E" w:rsidRPr="00A862C6" w:rsidRDefault="00CD748E" w:rsidP="00FF6E06">
            <w:pPr>
              <w:pStyle w:val="In-tableHeading"/>
              <w:keepNext w:val="0"/>
              <w:keepLines/>
              <w:rPr>
                <w:szCs w:val="20"/>
                <w:lang w:val="en-AU"/>
              </w:rPr>
            </w:pPr>
          </w:p>
        </w:tc>
        <w:tc>
          <w:tcPr>
            <w:tcW w:w="624" w:type="pct"/>
            <w:tcBorders>
              <w:bottom w:val="single" w:sz="4" w:space="0" w:color="auto"/>
            </w:tcBorders>
            <w:shd w:val="clear" w:color="auto" w:fill="auto"/>
            <w:vAlign w:val="center"/>
          </w:tcPr>
          <w:p w:rsidR="00CD748E" w:rsidRPr="00A862C6" w:rsidRDefault="00CD748E" w:rsidP="00FF6E06">
            <w:pPr>
              <w:pStyle w:val="In-tableHeading"/>
              <w:keepNext w:val="0"/>
              <w:keepLines/>
              <w:jc w:val="center"/>
              <w:rPr>
                <w:szCs w:val="20"/>
                <w:lang w:val="en-AU"/>
              </w:rPr>
            </w:pPr>
            <w:r w:rsidRPr="00A862C6">
              <w:rPr>
                <w:szCs w:val="20"/>
                <w:lang w:val="en-AU"/>
              </w:rPr>
              <w:t>Year 1</w:t>
            </w:r>
          </w:p>
        </w:tc>
        <w:tc>
          <w:tcPr>
            <w:tcW w:w="624" w:type="pct"/>
            <w:tcBorders>
              <w:bottom w:val="single" w:sz="4" w:space="0" w:color="auto"/>
            </w:tcBorders>
            <w:shd w:val="clear" w:color="auto" w:fill="auto"/>
            <w:vAlign w:val="center"/>
          </w:tcPr>
          <w:p w:rsidR="00CD748E" w:rsidRPr="00A862C6" w:rsidRDefault="00CD748E" w:rsidP="00FF6E06">
            <w:pPr>
              <w:pStyle w:val="In-tableHeading"/>
              <w:keepNext w:val="0"/>
              <w:keepLines/>
              <w:jc w:val="center"/>
              <w:rPr>
                <w:szCs w:val="20"/>
                <w:lang w:val="en-AU"/>
              </w:rPr>
            </w:pPr>
            <w:r w:rsidRPr="00A862C6">
              <w:rPr>
                <w:szCs w:val="20"/>
                <w:lang w:val="en-AU"/>
              </w:rPr>
              <w:t>Year 2</w:t>
            </w:r>
          </w:p>
        </w:tc>
        <w:tc>
          <w:tcPr>
            <w:tcW w:w="625" w:type="pct"/>
            <w:tcBorders>
              <w:bottom w:val="single" w:sz="4" w:space="0" w:color="auto"/>
            </w:tcBorders>
            <w:shd w:val="clear" w:color="auto" w:fill="auto"/>
            <w:vAlign w:val="center"/>
          </w:tcPr>
          <w:p w:rsidR="00CD748E" w:rsidRPr="00A862C6" w:rsidRDefault="00CD748E" w:rsidP="00FF6E06">
            <w:pPr>
              <w:pStyle w:val="In-tableHeading"/>
              <w:keepNext w:val="0"/>
              <w:keepLines/>
              <w:jc w:val="center"/>
              <w:rPr>
                <w:szCs w:val="20"/>
                <w:lang w:val="en-AU"/>
              </w:rPr>
            </w:pPr>
            <w:r w:rsidRPr="00A862C6">
              <w:rPr>
                <w:szCs w:val="20"/>
                <w:lang w:val="en-AU"/>
              </w:rPr>
              <w:t>Year 3</w:t>
            </w:r>
          </w:p>
        </w:tc>
        <w:tc>
          <w:tcPr>
            <w:tcW w:w="624" w:type="pct"/>
            <w:tcBorders>
              <w:bottom w:val="single" w:sz="4" w:space="0" w:color="auto"/>
            </w:tcBorders>
            <w:shd w:val="clear" w:color="auto" w:fill="auto"/>
            <w:vAlign w:val="center"/>
          </w:tcPr>
          <w:p w:rsidR="00CD748E" w:rsidRPr="00A862C6" w:rsidRDefault="00CD748E" w:rsidP="00FF6E06">
            <w:pPr>
              <w:pStyle w:val="In-tableHeading"/>
              <w:keepNext w:val="0"/>
              <w:keepLines/>
              <w:jc w:val="center"/>
              <w:rPr>
                <w:szCs w:val="20"/>
                <w:lang w:val="en-AU"/>
              </w:rPr>
            </w:pPr>
            <w:r w:rsidRPr="00A862C6">
              <w:rPr>
                <w:szCs w:val="20"/>
                <w:lang w:val="en-AU"/>
              </w:rPr>
              <w:t>Year 4</w:t>
            </w:r>
          </w:p>
        </w:tc>
        <w:tc>
          <w:tcPr>
            <w:tcW w:w="624" w:type="pct"/>
            <w:tcBorders>
              <w:bottom w:val="single" w:sz="4" w:space="0" w:color="auto"/>
            </w:tcBorders>
            <w:shd w:val="clear" w:color="auto" w:fill="auto"/>
            <w:vAlign w:val="center"/>
          </w:tcPr>
          <w:p w:rsidR="00CD748E" w:rsidRPr="00A862C6" w:rsidRDefault="00CD748E" w:rsidP="00FF6E06">
            <w:pPr>
              <w:pStyle w:val="In-tableHeading"/>
              <w:keepNext w:val="0"/>
              <w:keepLines/>
              <w:jc w:val="center"/>
              <w:rPr>
                <w:szCs w:val="20"/>
                <w:lang w:val="en-AU"/>
              </w:rPr>
            </w:pPr>
            <w:r w:rsidRPr="00A862C6">
              <w:rPr>
                <w:szCs w:val="20"/>
                <w:lang w:val="en-AU"/>
              </w:rPr>
              <w:t>Year 5</w:t>
            </w:r>
          </w:p>
        </w:tc>
        <w:tc>
          <w:tcPr>
            <w:tcW w:w="625" w:type="pct"/>
            <w:tcBorders>
              <w:bottom w:val="single" w:sz="4" w:space="0" w:color="auto"/>
            </w:tcBorders>
            <w:shd w:val="clear" w:color="auto" w:fill="auto"/>
            <w:vAlign w:val="center"/>
          </w:tcPr>
          <w:p w:rsidR="00CD748E" w:rsidRPr="00A862C6" w:rsidRDefault="00CD748E" w:rsidP="00FF6E06">
            <w:pPr>
              <w:pStyle w:val="In-tableHeading"/>
              <w:keepNext w:val="0"/>
              <w:keepLines/>
              <w:jc w:val="center"/>
              <w:rPr>
                <w:szCs w:val="20"/>
                <w:lang w:val="en-AU"/>
              </w:rPr>
            </w:pPr>
            <w:r w:rsidRPr="00A862C6">
              <w:rPr>
                <w:szCs w:val="20"/>
                <w:lang w:val="en-AU"/>
              </w:rPr>
              <w:t>Year 6</w:t>
            </w:r>
          </w:p>
        </w:tc>
      </w:tr>
      <w:tr w:rsidR="00CD748E" w:rsidRPr="00A862C6" w:rsidTr="00CF617A">
        <w:tc>
          <w:tcPr>
            <w:tcW w:w="1254" w:type="pct"/>
            <w:shd w:val="clear" w:color="auto" w:fill="auto"/>
            <w:vAlign w:val="center"/>
          </w:tcPr>
          <w:p w:rsidR="00CD748E" w:rsidRPr="00A862C6" w:rsidRDefault="00CD748E" w:rsidP="00FF6E06">
            <w:pPr>
              <w:pStyle w:val="Tabletext"/>
              <w:keepLines/>
              <w:rPr>
                <w:szCs w:val="20"/>
              </w:rPr>
            </w:pPr>
            <w:r w:rsidRPr="00A862C6">
              <w:rPr>
                <w:szCs w:val="20"/>
              </w:rPr>
              <w:t>Incident OC patients</w:t>
            </w:r>
          </w:p>
        </w:tc>
        <w:tc>
          <w:tcPr>
            <w:tcW w:w="624" w:type="pct"/>
            <w:vAlign w:val="center"/>
          </w:tcPr>
          <w:p w:rsidR="00CD748E" w:rsidRPr="004F5C16" w:rsidRDefault="00CD748E" w:rsidP="00FF6E06">
            <w:pPr>
              <w:pStyle w:val="Tabletext"/>
              <w:keepLines/>
              <w:jc w:val="center"/>
              <w:rPr>
                <w:szCs w:val="20"/>
              </w:rPr>
            </w:pPr>
            <w:r w:rsidRPr="004F5C16">
              <w:rPr>
                <w:szCs w:val="20"/>
              </w:rPr>
              <w:t>1,629</w:t>
            </w:r>
          </w:p>
        </w:tc>
        <w:tc>
          <w:tcPr>
            <w:tcW w:w="624" w:type="pct"/>
            <w:vAlign w:val="center"/>
          </w:tcPr>
          <w:p w:rsidR="00CD748E" w:rsidRPr="004F5C16" w:rsidRDefault="00CD748E" w:rsidP="00FF6E06">
            <w:pPr>
              <w:pStyle w:val="Tabletext"/>
              <w:keepLines/>
              <w:jc w:val="center"/>
              <w:rPr>
                <w:szCs w:val="20"/>
              </w:rPr>
            </w:pPr>
            <w:r w:rsidRPr="004F5C16">
              <w:rPr>
                <w:szCs w:val="20"/>
              </w:rPr>
              <w:t>1,650</w:t>
            </w:r>
          </w:p>
        </w:tc>
        <w:tc>
          <w:tcPr>
            <w:tcW w:w="625" w:type="pct"/>
            <w:vAlign w:val="center"/>
          </w:tcPr>
          <w:p w:rsidR="00CD748E" w:rsidRPr="004F5C16" w:rsidRDefault="00CD748E" w:rsidP="00FF6E06">
            <w:pPr>
              <w:pStyle w:val="Tabletext"/>
              <w:keepLines/>
              <w:jc w:val="center"/>
              <w:rPr>
                <w:szCs w:val="20"/>
              </w:rPr>
            </w:pPr>
            <w:r w:rsidRPr="004F5C16">
              <w:rPr>
                <w:szCs w:val="20"/>
              </w:rPr>
              <w:t>1,671</w:t>
            </w:r>
          </w:p>
        </w:tc>
        <w:tc>
          <w:tcPr>
            <w:tcW w:w="624" w:type="pct"/>
            <w:vAlign w:val="center"/>
          </w:tcPr>
          <w:p w:rsidR="00CD748E" w:rsidRPr="004F5C16" w:rsidRDefault="00CD748E" w:rsidP="00FF6E06">
            <w:pPr>
              <w:pStyle w:val="Tabletext"/>
              <w:keepLines/>
              <w:jc w:val="center"/>
              <w:rPr>
                <w:szCs w:val="20"/>
              </w:rPr>
            </w:pPr>
            <w:r w:rsidRPr="004F5C16">
              <w:rPr>
                <w:szCs w:val="20"/>
              </w:rPr>
              <w:t>1,693</w:t>
            </w:r>
          </w:p>
        </w:tc>
        <w:tc>
          <w:tcPr>
            <w:tcW w:w="624" w:type="pct"/>
            <w:vAlign w:val="center"/>
          </w:tcPr>
          <w:p w:rsidR="00CD748E" w:rsidRPr="004F5C16" w:rsidRDefault="00CD748E" w:rsidP="00FF6E06">
            <w:pPr>
              <w:pStyle w:val="Tabletext"/>
              <w:keepLines/>
              <w:jc w:val="center"/>
              <w:rPr>
                <w:szCs w:val="20"/>
              </w:rPr>
            </w:pPr>
            <w:r w:rsidRPr="004F5C16">
              <w:rPr>
                <w:szCs w:val="20"/>
              </w:rPr>
              <w:t>1,715</w:t>
            </w:r>
          </w:p>
        </w:tc>
        <w:tc>
          <w:tcPr>
            <w:tcW w:w="625" w:type="pct"/>
            <w:vAlign w:val="center"/>
          </w:tcPr>
          <w:p w:rsidR="00CD748E" w:rsidRPr="004F5C16" w:rsidRDefault="00CD748E" w:rsidP="00FF6E06">
            <w:pPr>
              <w:pStyle w:val="Tabletext"/>
              <w:keepLines/>
              <w:jc w:val="center"/>
              <w:rPr>
                <w:szCs w:val="20"/>
              </w:rPr>
            </w:pPr>
            <w:r w:rsidRPr="004F5C16">
              <w:rPr>
                <w:szCs w:val="20"/>
              </w:rPr>
              <w:t>1,737</w:t>
            </w:r>
          </w:p>
        </w:tc>
      </w:tr>
      <w:tr w:rsidR="00CD748E" w:rsidRPr="00A862C6" w:rsidTr="00CF617A">
        <w:tc>
          <w:tcPr>
            <w:tcW w:w="1254" w:type="pct"/>
            <w:shd w:val="clear" w:color="auto" w:fill="auto"/>
            <w:vAlign w:val="center"/>
          </w:tcPr>
          <w:p w:rsidR="00CD748E" w:rsidRPr="00A862C6" w:rsidRDefault="00CD748E" w:rsidP="00FF6E06">
            <w:pPr>
              <w:pStyle w:val="Tabletext"/>
              <w:keepLines/>
              <w:rPr>
                <w:szCs w:val="20"/>
              </w:rPr>
            </w:pPr>
            <w:r w:rsidRPr="00A862C6">
              <w:rPr>
                <w:szCs w:val="20"/>
              </w:rPr>
              <w:t>Incident OSCC patients (35.3%)</w:t>
            </w:r>
          </w:p>
        </w:tc>
        <w:tc>
          <w:tcPr>
            <w:tcW w:w="624" w:type="pct"/>
            <w:vAlign w:val="center"/>
          </w:tcPr>
          <w:p w:rsidR="00CD748E" w:rsidRPr="004F5C16" w:rsidRDefault="00CD748E" w:rsidP="00FF6E06">
            <w:pPr>
              <w:pStyle w:val="Tabletext"/>
              <w:keepLines/>
              <w:jc w:val="center"/>
              <w:rPr>
                <w:szCs w:val="20"/>
              </w:rPr>
            </w:pPr>
            <w:r w:rsidRPr="004F5C16">
              <w:rPr>
                <w:szCs w:val="20"/>
              </w:rPr>
              <w:t>575</w:t>
            </w:r>
          </w:p>
        </w:tc>
        <w:tc>
          <w:tcPr>
            <w:tcW w:w="624" w:type="pct"/>
            <w:vAlign w:val="center"/>
          </w:tcPr>
          <w:p w:rsidR="00CD748E" w:rsidRPr="004F5C16" w:rsidRDefault="00CD748E" w:rsidP="00FF6E06">
            <w:pPr>
              <w:pStyle w:val="Tabletext"/>
              <w:keepLines/>
              <w:jc w:val="center"/>
              <w:rPr>
                <w:szCs w:val="20"/>
              </w:rPr>
            </w:pPr>
            <w:r w:rsidRPr="004F5C16">
              <w:rPr>
                <w:szCs w:val="20"/>
              </w:rPr>
              <w:t>583</w:t>
            </w:r>
          </w:p>
        </w:tc>
        <w:tc>
          <w:tcPr>
            <w:tcW w:w="625" w:type="pct"/>
            <w:vAlign w:val="center"/>
          </w:tcPr>
          <w:p w:rsidR="00CD748E" w:rsidRPr="004F5C16" w:rsidRDefault="00CD748E" w:rsidP="00FF6E06">
            <w:pPr>
              <w:pStyle w:val="Tabletext"/>
              <w:keepLines/>
              <w:jc w:val="center"/>
              <w:rPr>
                <w:szCs w:val="20"/>
              </w:rPr>
            </w:pPr>
            <w:r w:rsidRPr="004F5C16">
              <w:rPr>
                <w:szCs w:val="20"/>
              </w:rPr>
              <w:t>590</w:t>
            </w:r>
          </w:p>
        </w:tc>
        <w:tc>
          <w:tcPr>
            <w:tcW w:w="624" w:type="pct"/>
            <w:vAlign w:val="center"/>
          </w:tcPr>
          <w:p w:rsidR="00CD748E" w:rsidRPr="004F5C16" w:rsidRDefault="00CD748E" w:rsidP="00FF6E06">
            <w:pPr>
              <w:pStyle w:val="Tabletext"/>
              <w:keepLines/>
              <w:jc w:val="center"/>
              <w:rPr>
                <w:szCs w:val="20"/>
              </w:rPr>
            </w:pPr>
            <w:r w:rsidRPr="004F5C16">
              <w:rPr>
                <w:szCs w:val="20"/>
              </w:rPr>
              <w:t>598</w:t>
            </w:r>
          </w:p>
        </w:tc>
        <w:tc>
          <w:tcPr>
            <w:tcW w:w="624" w:type="pct"/>
            <w:vAlign w:val="center"/>
          </w:tcPr>
          <w:p w:rsidR="00CD748E" w:rsidRPr="004F5C16" w:rsidRDefault="00CD748E" w:rsidP="00FF6E06">
            <w:pPr>
              <w:pStyle w:val="Tabletext"/>
              <w:keepLines/>
              <w:jc w:val="center"/>
              <w:rPr>
                <w:szCs w:val="20"/>
              </w:rPr>
            </w:pPr>
            <w:r w:rsidRPr="004F5C16">
              <w:rPr>
                <w:szCs w:val="20"/>
              </w:rPr>
              <w:t>606</w:t>
            </w:r>
          </w:p>
        </w:tc>
        <w:tc>
          <w:tcPr>
            <w:tcW w:w="625" w:type="pct"/>
            <w:vAlign w:val="center"/>
          </w:tcPr>
          <w:p w:rsidR="00CD748E" w:rsidRPr="004F5C16" w:rsidRDefault="00CD748E" w:rsidP="00FF6E06">
            <w:pPr>
              <w:pStyle w:val="Tabletext"/>
              <w:keepLines/>
              <w:jc w:val="center"/>
              <w:rPr>
                <w:szCs w:val="20"/>
              </w:rPr>
            </w:pPr>
            <w:r w:rsidRPr="004F5C16">
              <w:rPr>
                <w:szCs w:val="20"/>
              </w:rPr>
              <w:t>614</w:t>
            </w:r>
          </w:p>
        </w:tc>
      </w:tr>
      <w:tr w:rsidR="00CD748E" w:rsidRPr="00A862C6" w:rsidTr="00CF617A">
        <w:tc>
          <w:tcPr>
            <w:tcW w:w="1254" w:type="pct"/>
            <w:shd w:val="clear" w:color="auto" w:fill="auto"/>
            <w:vAlign w:val="center"/>
          </w:tcPr>
          <w:p w:rsidR="00CD748E" w:rsidRPr="00A862C6" w:rsidRDefault="00CD748E" w:rsidP="00FF6E06">
            <w:pPr>
              <w:pStyle w:val="Tabletext"/>
              <w:keepLines/>
              <w:rPr>
                <w:szCs w:val="20"/>
              </w:rPr>
            </w:pPr>
            <w:r w:rsidRPr="00A862C6">
              <w:rPr>
                <w:szCs w:val="20"/>
              </w:rPr>
              <w:t>Total OSCC patients receiving 1L FP chemo</w:t>
            </w:r>
            <w:r w:rsidRPr="00A862C6">
              <w:rPr>
                <w:szCs w:val="20"/>
                <w:vertAlign w:val="superscript"/>
              </w:rPr>
              <w:t>a</w:t>
            </w:r>
          </w:p>
        </w:tc>
        <w:tc>
          <w:tcPr>
            <w:tcW w:w="624" w:type="pct"/>
            <w:vAlign w:val="center"/>
          </w:tcPr>
          <w:p w:rsidR="00CD748E" w:rsidRPr="004F5C16" w:rsidRDefault="00CD748E" w:rsidP="004F5C16">
            <w:pPr>
              <w:pStyle w:val="Tabletext"/>
              <w:keepLines/>
              <w:jc w:val="center"/>
              <w:rPr>
                <w:szCs w:val="20"/>
                <w:vertAlign w:val="superscript"/>
              </w:rPr>
            </w:pPr>
            <w:r w:rsidRPr="004F5C16">
              <w:rPr>
                <w:rFonts w:cs="Arial"/>
                <w:iCs/>
                <w:color w:val="000000"/>
                <w:szCs w:val="20"/>
              </w:rPr>
              <w:t>231</w:t>
            </w:r>
          </w:p>
        </w:tc>
        <w:tc>
          <w:tcPr>
            <w:tcW w:w="624" w:type="pct"/>
            <w:vAlign w:val="center"/>
          </w:tcPr>
          <w:p w:rsidR="00CD748E" w:rsidRPr="004F5C16" w:rsidRDefault="00CD748E" w:rsidP="00FF6E06">
            <w:pPr>
              <w:pStyle w:val="Tabletext"/>
              <w:keepLines/>
              <w:jc w:val="center"/>
              <w:rPr>
                <w:szCs w:val="20"/>
              </w:rPr>
            </w:pPr>
            <w:r w:rsidRPr="004F5C16">
              <w:rPr>
                <w:rFonts w:cs="Arial"/>
                <w:iCs/>
                <w:color w:val="000000"/>
                <w:szCs w:val="20"/>
              </w:rPr>
              <w:t>234</w:t>
            </w:r>
          </w:p>
        </w:tc>
        <w:tc>
          <w:tcPr>
            <w:tcW w:w="625" w:type="pct"/>
            <w:vAlign w:val="center"/>
          </w:tcPr>
          <w:p w:rsidR="00CD748E" w:rsidRPr="004F5C16" w:rsidRDefault="00CD748E" w:rsidP="00FF6E06">
            <w:pPr>
              <w:pStyle w:val="Tabletext"/>
              <w:keepLines/>
              <w:jc w:val="center"/>
              <w:rPr>
                <w:szCs w:val="20"/>
              </w:rPr>
            </w:pPr>
            <w:r w:rsidRPr="004F5C16">
              <w:rPr>
                <w:rFonts w:cs="Arial"/>
                <w:iCs/>
                <w:color w:val="000000"/>
                <w:szCs w:val="20"/>
              </w:rPr>
              <w:t>238</w:t>
            </w:r>
          </w:p>
        </w:tc>
        <w:tc>
          <w:tcPr>
            <w:tcW w:w="624" w:type="pct"/>
            <w:vAlign w:val="center"/>
          </w:tcPr>
          <w:p w:rsidR="00CD748E" w:rsidRPr="004F5C16" w:rsidRDefault="00CD748E" w:rsidP="00FF6E06">
            <w:pPr>
              <w:pStyle w:val="Tabletext"/>
              <w:keepLines/>
              <w:jc w:val="center"/>
              <w:rPr>
                <w:szCs w:val="20"/>
              </w:rPr>
            </w:pPr>
            <w:r w:rsidRPr="004F5C16">
              <w:rPr>
                <w:rFonts w:cs="Arial"/>
                <w:iCs/>
                <w:color w:val="000000"/>
                <w:szCs w:val="20"/>
              </w:rPr>
              <w:t>240</w:t>
            </w:r>
          </w:p>
        </w:tc>
        <w:tc>
          <w:tcPr>
            <w:tcW w:w="624" w:type="pct"/>
            <w:vAlign w:val="center"/>
          </w:tcPr>
          <w:p w:rsidR="00CD748E" w:rsidRPr="004F5C16" w:rsidRDefault="00CD748E" w:rsidP="00FF6E06">
            <w:pPr>
              <w:pStyle w:val="Tabletext"/>
              <w:keepLines/>
              <w:jc w:val="center"/>
              <w:rPr>
                <w:szCs w:val="20"/>
              </w:rPr>
            </w:pPr>
            <w:r w:rsidRPr="004F5C16">
              <w:rPr>
                <w:rFonts w:cs="Arial"/>
                <w:iCs/>
                <w:color w:val="000000"/>
                <w:szCs w:val="20"/>
              </w:rPr>
              <w:t>244</w:t>
            </w:r>
          </w:p>
        </w:tc>
        <w:tc>
          <w:tcPr>
            <w:tcW w:w="625" w:type="pct"/>
            <w:vAlign w:val="center"/>
          </w:tcPr>
          <w:p w:rsidR="00CD748E" w:rsidRPr="004F5C16" w:rsidRDefault="00CD748E" w:rsidP="00FF6E06">
            <w:pPr>
              <w:pStyle w:val="Tabletext"/>
              <w:keepLines/>
              <w:jc w:val="center"/>
              <w:rPr>
                <w:szCs w:val="20"/>
              </w:rPr>
            </w:pPr>
            <w:r w:rsidRPr="004F5C16">
              <w:rPr>
                <w:rFonts w:cs="Arial"/>
                <w:iCs/>
                <w:color w:val="000000"/>
                <w:szCs w:val="20"/>
              </w:rPr>
              <w:t>247</w:t>
            </w:r>
          </w:p>
        </w:tc>
      </w:tr>
      <w:tr w:rsidR="00CD748E" w:rsidRPr="00A862C6" w:rsidTr="00CF617A">
        <w:tc>
          <w:tcPr>
            <w:tcW w:w="1254" w:type="pct"/>
            <w:shd w:val="clear" w:color="auto" w:fill="auto"/>
            <w:vAlign w:val="center"/>
          </w:tcPr>
          <w:p w:rsidR="00CD748E" w:rsidRPr="00A862C6" w:rsidRDefault="00CD748E" w:rsidP="00FF6E06">
            <w:pPr>
              <w:pStyle w:val="Tabletext"/>
              <w:keepLines/>
              <w:rPr>
                <w:szCs w:val="20"/>
              </w:rPr>
            </w:pPr>
            <w:r w:rsidRPr="00A862C6">
              <w:rPr>
                <w:szCs w:val="20"/>
              </w:rPr>
              <w:t>Patients treated</w:t>
            </w:r>
            <w:r w:rsidRPr="00A862C6">
              <w:rPr>
                <w:szCs w:val="20"/>
                <w:vertAlign w:val="superscript"/>
              </w:rPr>
              <w:t xml:space="preserve"> </w:t>
            </w:r>
            <w:r w:rsidRPr="00A862C6">
              <w:rPr>
                <w:szCs w:val="20"/>
              </w:rPr>
              <w:t xml:space="preserve">with nivolumab </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5"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5"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r>
      <w:tr w:rsidR="00CD748E" w:rsidRPr="00A862C6" w:rsidTr="000F3A11">
        <w:tc>
          <w:tcPr>
            <w:tcW w:w="5000" w:type="pct"/>
            <w:gridSpan w:val="7"/>
            <w:tcBorders>
              <w:top w:val="double" w:sz="4" w:space="0" w:color="auto"/>
            </w:tcBorders>
            <w:shd w:val="clear" w:color="auto" w:fill="auto"/>
            <w:vAlign w:val="center"/>
          </w:tcPr>
          <w:p w:rsidR="00CD748E" w:rsidRPr="00A862C6" w:rsidRDefault="00CD748E" w:rsidP="00FF6E06">
            <w:pPr>
              <w:pStyle w:val="Tabletext"/>
              <w:keepLines/>
              <w:rPr>
                <w:szCs w:val="20"/>
              </w:rPr>
            </w:pPr>
            <w:r w:rsidRPr="00A862C6">
              <w:rPr>
                <w:szCs w:val="20"/>
              </w:rPr>
              <w:t>Number of nivolumab scripts</w:t>
            </w:r>
          </w:p>
        </w:tc>
      </w:tr>
      <w:tr w:rsidR="00CD748E" w:rsidRPr="00A862C6" w:rsidTr="00CF617A">
        <w:tc>
          <w:tcPr>
            <w:tcW w:w="1254" w:type="pct"/>
            <w:shd w:val="clear" w:color="auto" w:fill="auto"/>
            <w:vAlign w:val="center"/>
          </w:tcPr>
          <w:p w:rsidR="00CD748E" w:rsidRPr="00A862C6" w:rsidRDefault="00CD748E" w:rsidP="00FF6E06">
            <w:pPr>
              <w:pStyle w:val="Tabletext"/>
              <w:keepLines/>
              <w:ind w:left="104"/>
              <w:rPr>
                <w:szCs w:val="20"/>
              </w:rPr>
            </w:pPr>
            <w:r w:rsidRPr="00A862C6">
              <w:rPr>
                <w:szCs w:val="20"/>
              </w:rPr>
              <w:t>240 mg Q2W</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5"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c>
          <w:tcPr>
            <w:tcW w:w="625"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1</w:t>
            </w:r>
          </w:p>
        </w:tc>
      </w:tr>
      <w:tr w:rsidR="00CD748E" w:rsidRPr="00A862C6" w:rsidTr="00CF617A">
        <w:tc>
          <w:tcPr>
            <w:tcW w:w="1254" w:type="pct"/>
            <w:shd w:val="clear" w:color="auto" w:fill="auto"/>
            <w:vAlign w:val="center"/>
          </w:tcPr>
          <w:p w:rsidR="00CD748E" w:rsidRPr="00A862C6" w:rsidRDefault="00CD748E" w:rsidP="00FF6E06">
            <w:pPr>
              <w:pStyle w:val="Tabletext"/>
              <w:keepLines/>
              <w:ind w:left="104"/>
              <w:rPr>
                <w:szCs w:val="20"/>
              </w:rPr>
            </w:pPr>
            <w:r w:rsidRPr="00A862C6">
              <w:rPr>
                <w:szCs w:val="20"/>
              </w:rPr>
              <w:t>480 mg Q4W</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5"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4"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5" w:type="pct"/>
            <w:vAlign w:val="center"/>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r>
      <w:tr w:rsidR="00CD748E" w:rsidRPr="00A862C6" w:rsidTr="00CF617A">
        <w:tc>
          <w:tcPr>
            <w:tcW w:w="1254" w:type="pct"/>
            <w:shd w:val="clear" w:color="auto" w:fill="auto"/>
            <w:vAlign w:val="center"/>
          </w:tcPr>
          <w:p w:rsidR="00CD748E" w:rsidRPr="00A862C6" w:rsidRDefault="00CD748E" w:rsidP="00FF6E06">
            <w:pPr>
              <w:pStyle w:val="Tabletext"/>
              <w:keepLines/>
              <w:rPr>
                <w:szCs w:val="20"/>
              </w:rPr>
            </w:pPr>
            <w:r w:rsidRPr="00A862C6">
              <w:rPr>
                <w:szCs w:val="20"/>
              </w:rPr>
              <w:t xml:space="preserve">Total nivolumab scripts </w:t>
            </w:r>
          </w:p>
        </w:tc>
        <w:tc>
          <w:tcPr>
            <w:tcW w:w="624" w:type="pct"/>
            <w:shd w:val="clear" w:color="auto" w:fill="auto"/>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4" w:type="pct"/>
            <w:shd w:val="clear" w:color="auto" w:fill="auto"/>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5" w:type="pct"/>
            <w:shd w:val="clear" w:color="auto" w:fill="auto"/>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4" w:type="pct"/>
            <w:shd w:val="clear" w:color="auto" w:fill="auto"/>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4" w:type="pct"/>
            <w:shd w:val="clear" w:color="auto" w:fill="auto"/>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c>
          <w:tcPr>
            <w:tcW w:w="625" w:type="pct"/>
            <w:shd w:val="clear" w:color="auto" w:fill="auto"/>
          </w:tcPr>
          <w:p w:rsidR="00CD748E" w:rsidRPr="00027DFC" w:rsidRDefault="00027DFC" w:rsidP="00FF6E06">
            <w:pPr>
              <w:pStyle w:val="Tabletext"/>
              <w:keepLines/>
              <w:jc w:val="center"/>
              <w:rPr>
                <w:szCs w:val="20"/>
              </w:rPr>
            </w:pPr>
            <w:r>
              <w:rPr>
                <w:noProof/>
                <w:color w:val="000000"/>
                <w:szCs w:val="20"/>
                <w:highlight w:val="black"/>
              </w:rPr>
              <w:t>''''''''''''''</w:t>
            </w:r>
            <w:r w:rsidR="004F5C16">
              <w:rPr>
                <w:rFonts w:cs="Arial"/>
                <w:iCs/>
                <w:color w:val="000000"/>
                <w:szCs w:val="20"/>
                <w:vertAlign w:val="superscript"/>
              </w:rPr>
              <w:t>2</w:t>
            </w:r>
          </w:p>
        </w:tc>
      </w:tr>
      <w:tr w:rsidR="00CD748E" w:rsidRPr="00A862C6" w:rsidTr="000F3A11">
        <w:tc>
          <w:tcPr>
            <w:tcW w:w="5000" w:type="pct"/>
            <w:gridSpan w:val="7"/>
            <w:shd w:val="clear" w:color="auto" w:fill="auto"/>
            <w:vAlign w:val="center"/>
          </w:tcPr>
          <w:p w:rsidR="00CD748E" w:rsidRPr="00A862C6" w:rsidRDefault="00CD748E" w:rsidP="00FF6E06">
            <w:pPr>
              <w:pStyle w:val="Tabletext"/>
              <w:keepLines/>
              <w:rPr>
                <w:szCs w:val="20"/>
              </w:rPr>
            </w:pPr>
            <w:r w:rsidRPr="00A862C6">
              <w:rPr>
                <w:szCs w:val="20"/>
              </w:rPr>
              <w:t>PBS/RPBS cost of nivolumab less co-pay</w:t>
            </w:r>
          </w:p>
        </w:tc>
      </w:tr>
      <w:tr w:rsidR="00CD748E" w:rsidRPr="00A862C6" w:rsidTr="00CF617A">
        <w:tc>
          <w:tcPr>
            <w:tcW w:w="1254" w:type="pct"/>
            <w:tcBorders>
              <w:top w:val="single" w:sz="4" w:space="0" w:color="auto"/>
              <w:bottom w:val="double" w:sz="4" w:space="0" w:color="auto"/>
              <w:right w:val="single" w:sz="4" w:space="0" w:color="auto"/>
            </w:tcBorders>
            <w:shd w:val="clear" w:color="auto" w:fill="auto"/>
            <w:vAlign w:val="center"/>
          </w:tcPr>
          <w:p w:rsidR="00CD748E" w:rsidRPr="00A862C6" w:rsidRDefault="00CD748E" w:rsidP="00FF6E06">
            <w:pPr>
              <w:pStyle w:val="Tabletext"/>
              <w:keepLines/>
              <w:rPr>
                <w:szCs w:val="20"/>
              </w:rPr>
            </w:pPr>
            <w:r w:rsidRPr="00A862C6">
              <w:rPr>
                <w:szCs w:val="20"/>
              </w:rPr>
              <w:t xml:space="preserve">Total </w:t>
            </w:r>
          </w:p>
        </w:tc>
        <w:tc>
          <w:tcPr>
            <w:tcW w:w="624" w:type="pct"/>
            <w:tcBorders>
              <w:top w:val="single" w:sz="4" w:space="0" w:color="auto"/>
              <w:left w:val="single" w:sz="4" w:space="0" w:color="auto"/>
              <w:bottom w:val="double" w:sz="4" w:space="0" w:color="auto"/>
              <w:right w:val="single" w:sz="4" w:space="0" w:color="auto"/>
            </w:tcBorders>
            <w:shd w:val="clear" w:color="000000" w:fill="FFFFFF"/>
            <w:vAlign w:val="center"/>
          </w:tcPr>
          <w:p w:rsidR="00CD748E" w:rsidRPr="00A862C6" w:rsidRDefault="00CD748E" w:rsidP="00FF6E06">
            <w:pPr>
              <w:pStyle w:val="Tabletext"/>
              <w:keepLines/>
              <w:jc w:val="center"/>
              <w:rPr>
                <w:szCs w:val="20"/>
              </w:rPr>
            </w:pPr>
            <w:r w:rsidRPr="00A862C6">
              <w:rPr>
                <w:szCs w:val="20"/>
              </w:rPr>
              <w:t>$</w:t>
            </w:r>
            <w:r w:rsidR="00027DFC">
              <w:rPr>
                <w:noProof/>
                <w:color w:val="000000"/>
                <w:szCs w:val="20"/>
                <w:highlight w:val="black"/>
              </w:rPr>
              <w:t>''''''''''''''''''''''</w:t>
            </w:r>
            <w:r w:rsidR="004F5C16">
              <w:rPr>
                <w:rFonts w:cs="Arial"/>
                <w:iCs/>
                <w:color w:val="000000"/>
                <w:szCs w:val="20"/>
                <w:vertAlign w:val="superscript"/>
              </w:rPr>
              <w:t>3</w:t>
            </w:r>
          </w:p>
        </w:tc>
        <w:tc>
          <w:tcPr>
            <w:tcW w:w="624" w:type="pct"/>
            <w:tcBorders>
              <w:top w:val="single" w:sz="4" w:space="0" w:color="auto"/>
              <w:left w:val="single" w:sz="4" w:space="0" w:color="auto"/>
              <w:bottom w:val="double" w:sz="4" w:space="0" w:color="auto"/>
              <w:right w:val="single" w:sz="4" w:space="0" w:color="auto"/>
            </w:tcBorders>
            <w:shd w:val="clear" w:color="000000" w:fill="FFFFFF"/>
            <w:vAlign w:val="center"/>
          </w:tcPr>
          <w:p w:rsidR="00CD748E" w:rsidRPr="00A862C6" w:rsidRDefault="00CD748E" w:rsidP="00FF6E06">
            <w:pPr>
              <w:pStyle w:val="Tabletext"/>
              <w:keepLines/>
              <w:jc w:val="center"/>
              <w:rPr>
                <w:szCs w:val="20"/>
              </w:rPr>
            </w:pPr>
            <w:r w:rsidRPr="00A862C6">
              <w:rPr>
                <w:szCs w:val="20"/>
              </w:rPr>
              <w:t>$</w:t>
            </w:r>
            <w:r w:rsidR="00027DFC">
              <w:rPr>
                <w:noProof/>
                <w:color w:val="000000"/>
                <w:szCs w:val="20"/>
                <w:highlight w:val="black"/>
              </w:rPr>
              <w:t>''''''''''''''''''''''''</w:t>
            </w:r>
            <w:r w:rsidR="004F5C16">
              <w:rPr>
                <w:rFonts w:cs="Arial"/>
                <w:iCs/>
                <w:color w:val="000000"/>
                <w:szCs w:val="20"/>
                <w:vertAlign w:val="superscript"/>
              </w:rPr>
              <w:t>3</w:t>
            </w:r>
          </w:p>
        </w:tc>
        <w:tc>
          <w:tcPr>
            <w:tcW w:w="625" w:type="pct"/>
            <w:tcBorders>
              <w:top w:val="single" w:sz="4" w:space="0" w:color="auto"/>
              <w:left w:val="single" w:sz="4" w:space="0" w:color="auto"/>
              <w:bottom w:val="double" w:sz="4" w:space="0" w:color="auto"/>
              <w:right w:val="single" w:sz="4" w:space="0" w:color="auto"/>
            </w:tcBorders>
            <w:shd w:val="clear" w:color="000000" w:fill="FFFFFF"/>
            <w:vAlign w:val="center"/>
          </w:tcPr>
          <w:p w:rsidR="00CD748E" w:rsidRPr="00A862C6" w:rsidRDefault="00CD748E" w:rsidP="00FF6E06">
            <w:pPr>
              <w:pStyle w:val="Tabletext"/>
              <w:keepLines/>
              <w:jc w:val="center"/>
              <w:rPr>
                <w:szCs w:val="20"/>
              </w:rPr>
            </w:pPr>
            <w:r w:rsidRPr="00A862C6">
              <w:rPr>
                <w:szCs w:val="20"/>
              </w:rPr>
              <w:t>$</w:t>
            </w:r>
            <w:r w:rsidR="00027DFC">
              <w:rPr>
                <w:noProof/>
                <w:color w:val="000000"/>
                <w:szCs w:val="20"/>
                <w:highlight w:val="black"/>
              </w:rPr>
              <w:t>''''''''''''''''''''''</w:t>
            </w:r>
            <w:r w:rsidR="004F5C16">
              <w:rPr>
                <w:rFonts w:cs="Arial"/>
                <w:iCs/>
                <w:color w:val="000000"/>
                <w:szCs w:val="20"/>
                <w:vertAlign w:val="superscript"/>
              </w:rPr>
              <w:t>3</w:t>
            </w:r>
          </w:p>
        </w:tc>
        <w:tc>
          <w:tcPr>
            <w:tcW w:w="624" w:type="pct"/>
            <w:tcBorders>
              <w:top w:val="single" w:sz="4" w:space="0" w:color="auto"/>
              <w:left w:val="single" w:sz="4" w:space="0" w:color="auto"/>
              <w:bottom w:val="double" w:sz="4" w:space="0" w:color="auto"/>
              <w:right w:val="single" w:sz="4" w:space="0" w:color="auto"/>
            </w:tcBorders>
            <w:shd w:val="clear" w:color="000000" w:fill="FFFFFF"/>
            <w:vAlign w:val="center"/>
          </w:tcPr>
          <w:p w:rsidR="00CD748E" w:rsidRPr="00A862C6" w:rsidRDefault="00CD748E" w:rsidP="00FF6E06">
            <w:pPr>
              <w:pStyle w:val="Tabletext"/>
              <w:keepLines/>
              <w:jc w:val="center"/>
              <w:rPr>
                <w:szCs w:val="20"/>
              </w:rPr>
            </w:pPr>
            <w:r w:rsidRPr="00A862C6">
              <w:rPr>
                <w:szCs w:val="20"/>
              </w:rPr>
              <w:t>$</w:t>
            </w:r>
            <w:r w:rsidR="00027DFC">
              <w:rPr>
                <w:noProof/>
                <w:color w:val="000000"/>
                <w:szCs w:val="20"/>
                <w:highlight w:val="black"/>
              </w:rPr>
              <w:t>'''''''''''''''''''''''</w:t>
            </w:r>
            <w:r w:rsidR="004F5C16">
              <w:rPr>
                <w:rFonts w:cs="Arial"/>
                <w:iCs/>
                <w:color w:val="000000"/>
                <w:szCs w:val="20"/>
                <w:vertAlign w:val="superscript"/>
              </w:rPr>
              <w:t>3</w:t>
            </w:r>
          </w:p>
        </w:tc>
        <w:tc>
          <w:tcPr>
            <w:tcW w:w="624" w:type="pct"/>
            <w:tcBorders>
              <w:top w:val="single" w:sz="4" w:space="0" w:color="auto"/>
              <w:left w:val="single" w:sz="4" w:space="0" w:color="auto"/>
              <w:bottom w:val="double" w:sz="4" w:space="0" w:color="auto"/>
              <w:right w:val="single" w:sz="4" w:space="0" w:color="auto"/>
            </w:tcBorders>
            <w:shd w:val="clear" w:color="000000" w:fill="FFFFFF"/>
            <w:vAlign w:val="center"/>
          </w:tcPr>
          <w:p w:rsidR="00CD748E" w:rsidRPr="00A862C6" w:rsidRDefault="00CD748E" w:rsidP="00FF6E06">
            <w:pPr>
              <w:pStyle w:val="Tabletext"/>
              <w:keepLines/>
              <w:jc w:val="center"/>
              <w:rPr>
                <w:szCs w:val="20"/>
              </w:rPr>
            </w:pPr>
            <w:r w:rsidRPr="00A862C6">
              <w:rPr>
                <w:szCs w:val="20"/>
              </w:rPr>
              <w:t>$</w:t>
            </w:r>
            <w:r w:rsidR="00027DFC">
              <w:rPr>
                <w:noProof/>
                <w:color w:val="000000"/>
                <w:szCs w:val="20"/>
                <w:highlight w:val="black"/>
              </w:rPr>
              <w:t>'''''''''''''''''''''''</w:t>
            </w:r>
            <w:r w:rsidR="004F5C16">
              <w:rPr>
                <w:rFonts w:cs="Arial"/>
                <w:iCs/>
                <w:color w:val="000000"/>
                <w:szCs w:val="20"/>
                <w:vertAlign w:val="superscript"/>
              </w:rPr>
              <w:t>3</w:t>
            </w:r>
          </w:p>
        </w:tc>
        <w:tc>
          <w:tcPr>
            <w:tcW w:w="625" w:type="pct"/>
            <w:tcBorders>
              <w:top w:val="single" w:sz="4" w:space="0" w:color="auto"/>
              <w:left w:val="single" w:sz="4" w:space="0" w:color="auto"/>
              <w:bottom w:val="double" w:sz="4" w:space="0" w:color="auto"/>
              <w:right w:val="single" w:sz="4" w:space="0" w:color="auto"/>
            </w:tcBorders>
            <w:shd w:val="clear" w:color="000000" w:fill="FFFFFF"/>
            <w:vAlign w:val="center"/>
          </w:tcPr>
          <w:p w:rsidR="00CD748E" w:rsidRPr="00A862C6" w:rsidRDefault="00CD748E" w:rsidP="00FF6E06">
            <w:pPr>
              <w:pStyle w:val="Tabletext"/>
              <w:keepLines/>
              <w:jc w:val="center"/>
              <w:rPr>
                <w:szCs w:val="20"/>
              </w:rPr>
            </w:pPr>
            <w:r w:rsidRPr="00A862C6">
              <w:rPr>
                <w:szCs w:val="20"/>
              </w:rPr>
              <w:t>$</w:t>
            </w:r>
            <w:r w:rsidR="00027DFC">
              <w:rPr>
                <w:noProof/>
                <w:color w:val="000000"/>
                <w:szCs w:val="20"/>
                <w:highlight w:val="black"/>
              </w:rPr>
              <w:t>''''''''''''''''''''''''''</w:t>
            </w:r>
            <w:r w:rsidR="004F5C16">
              <w:rPr>
                <w:rFonts w:cs="Arial"/>
                <w:iCs/>
                <w:color w:val="000000"/>
                <w:szCs w:val="20"/>
                <w:vertAlign w:val="superscript"/>
              </w:rPr>
              <w:t>3</w:t>
            </w:r>
          </w:p>
        </w:tc>
      </w:tr>
      <w:tr w:rsidR="00CD748E" w:rsidRPr="00A862C6" w:rsidTr="00CF617A">
        <w:tc>
          <w:tcPr>
            <w:tcW w:w="1254" w:type="pct"/>
            <w:tcBorders>
              <w:top w:val="single" w:sz="4" w:space="0" w:color="auto"/>
              <w:bottom w:val="single" w:sz="4" w:space="0" w:color="auto"/>
              <w:right w:val="single" w:sz="4" w:space="0" w:color="auto"/>
            </w:tcBorders>
            <w:shd w:val="clear" w:color="auto" w:fill="auto"/>
          </w:tcPr>
          <w:p w:rsidR="00CD748E" w:rsidRPr="00A862C6" w:rsidRDefault="00CD748E" w:rsidP="00FF6E06">
            <w:pPr>
              <w:pStyle w:val="Tabletext"/>
              <w:keepLines/>
              <w:rPr>
                <w:szCs w:val="20"/>
                <w:vertAlign w:val="superscript"/>
              </w:rPr>
            </w:pPr>
            <w:r w:rsidRPr="00A862C6">
              <w:rPr>
                <w:szCs w:val="20"/>
              </w:rPr>
              <w:t>Total change in number of scripts of chemotherapy</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2</w:t>
            </w:r>
          </w:p>
        </w:tc>
        <w:tc>
          <w:tcPr>
            <w:tcW w:w="624" w:type="pct"/>
            <w:tcBorders>
              <w:top w:val="single" w:sz="4" w:space="0" w:color="auto"/>
              <w:left w:val="nil"/>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2</w:t>
            </w:r>
            <w:r w:rsidRPr="00A862C6">
              <w:rPr>
                <w:rFonts w:ascii="Arial Narrow" w:hAnsi="Arial Narrow"/>
                <w:sz w:val="20"/>
                <w:szCs w:val="20"/>
              </w:rPr>
              <w:t xml:space="preserve"> </w:t>
            </w:r>
          </w:p>
        </w:tc>
        <w:tc>
          <w:tcPr>
            <w:tcW w:w="625" w:type="pct"/>
            <w:tcBorders>
              <w:top w:val="single" w:sz="4" w:space="0" w:color="auto"/>
              <w:left w:val="nil"/>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2</w:t>
            </w:r>
            <w:r w:rsidRPr="00A862C6">
              <w:rPr>
                <w:rFonts w:ascii="Arial Narrow" w:hAnsi="Arial Narrow"/>
                <w:sz w:val="20"/>
                <w:szCs w:val="20"/>
              </w:rPr>
              <w:t xml:space="preserve"> </w:t>
            </w:r>
          </w:p>
        </w:tc>
        <w:tc>
          <w:tcPr>
            <w:tcW w:w="624" w:type="pct"/>
            <w:tcBorders>
              <w:top w:val="single" w:sz="4" w:space="0" w:color="auto"/>
              <w:left w:val="nil"/>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2</w:t>
            </w:r>
            <w:r w:rsidRPr="00A862C6">
              <w:rPr>
                <w:rFonts w:ascii="Arial Narrow" w:hAnsi="Arial Narrow"/>
                <w:sz w:val="20"/>
                <w:szCs w:val="20"/>
              </w:rPr>
              <w:t xml:space="preserve"> </w:t>
            </w:r>
          </w:p>
        </w:tc>
        <w:tc>
          <w:tcPr>
            <w:tcW w:w="624" w:type="pct"/>
            <w:tcBorders>
              <w:top w:val="single" w:sz="4" w:space="0" w:color="auto"/>
              <w:left w:val="nil"/>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2</w:t>
            </w:r>
            <w:r w:rsidR="00027DFC">
              <w:rPr>
                <w:rFonts w:ascii="Arial Narrow" w:hAnsi="Arial Narrow"/>
                <w:noProof/>
                <w:color w:val="000000"/>
                <w:sz w:val="20"/>
                <w:szCs w:val="20"/>
                <w:highlight w:val="black"/>
              </w:rPr>
              <w:t xml:space="preserve"> </w:t>
            </w:r>
          </w:p>
        </w:tc>
        <w:tc>
          <w:tcPr>
            <w:tcW w:w="625" w:type="pct"/>
            <w:tcBorders>
              <w:top w:val="single" w:sz="4" w:space="0" w:color="auto"/>
              <w:left w:val="nil"/>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2</w:t>
            </w:r>
            <w:r w:rsidRPr="00A862C6">
              <w:rPr>
                <w:rFonts w:ascii="Arial Narrow" w:hAnsi="Arial Narrow"/>
                <w:sz w:val="20"/>
                <w:szCs w:val="20"/>
              </w:rPr>
              <w:t xml:space="preserve"> </w:t>
            </w:r>
          </w:p>
        </w:tc>
      </w:tr>
      <w:tr w:rsidR="00CD748E" w:rsidRPr="00A862C6" w:rsidTr="00CF617A">
        <w:tc>
          <w:tcPr>
            <w:tcW w:w="1254" w:type="pct"/>
            <w:tcBorders>
              <w:bottom w:val="double" w:sz="4" w:space="0" w:color="auto"/>
            </w:tcBorders>
            <w:shd w:val="clear" w:color="auto" w:fill="auto"/>
          </w:tcPr>
          <w:p w:rsidR="00CD748E" w:rsidRPr="00A862C6" w:rsidRDefault="00CD748E" w:rsidP="00FF6E06">
            <w:pPr>
              <w:pStyle w:val="Tabletext"/>
              <w:keepLines/>
              <w:rPr>
                <w:szCs w:val="20"/>
              </w:rPr>
            </w:pPr>
            <w:r w:rsidRPr="00A862C6">
              <w:rPr>
                <w:szCs w:val="20"/>
              </w:rPr>
              <w:t>PBS/RPBS cost of chemotherapy substituted less co-pay (DPMA)</w:t>
            </w:r>
            <w:r w:rsidRPr="00A862C6">
              <w:rPr>
                <w:szCs w:val="20"/>
                <w:vertAlign w:val="superscript"/>
              </w:rPr>
              <w:t xml:space="preserve"> c</w:t>
            </w:r>
          </w:p>
        </w:tc>
        <w:tc>
          <w:tcPr>
            <w:tcW w:w="624" w:type="pct"/>
            <w:tcBorders>
              <w:top w:val="single" w:sz="4" w:space="0" w:color="auto"/>
              <w:left w:val="nil"/>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5"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5"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r>
      <w:tr w:rsidR="00CD748E" w:rsidRPr="00A862C6" w:rsidTr="00CF617A">
        <w:tc>
          <w:tcPr>
            <w:tcW w:w="1254" w:type="pct"/>
            <w:shd w:val="clear" w:color="auto" w:fill="auto"/>
            <w:vAlign w:val="center"/>
          </w:tcPr>
          <w:p w:rsidR="00CD748E" w:rsidRPr="00A862C6" w:rsidRDefault="00CD748E" w:rsidP="00FF6E06">
            <w:pPr>
              <w:pStyle w:val="Tabletext"/>
              <w:keepLines/>
              <w:rPr>
                <w:szCs w:val="20"/>
              </w:rPr>
            </w:pPr>
            <w:r w:rsidRPr="00A862C6">
              <w:rPr>
                <w:szCs w:val="20"/>
              </w:rPr>
              <w:t xml:space="preserve">Net cost to PBS/RPBS </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CD748E" w:rsidRPr="00027DFC" w:rsidRDefault="00CD748E" w:rsidP="00FF6E06">
            <w:pPr>
              <w:keepLines/>
              <w:jc w:val="center"/>
              <w:rPr>
                <w:rFonts w:ascii="Arial Narrow" w:hAnsi="Arial Narrow" w:cs="Times New Roman"/>
                <w:snapToGrid/>
                <w:sz w:val="20"/>
                <w:szCs w:val="20"/>
              </w:rPr>
            </w:pPr>
            <w:r w:rsidRPr="00671ED8">
              <w:rPr>
                <w:rFonts w:ascii="Arial Narrow" w:hAnsi="Arial Narrow" w:cs="Times New Roman"/>
                <w:snapToGrid/>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nil"/>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5" w:type="pct"/>
            <w:tcBorders>
              <w:top w:val="single" w:sz="4" w:space="0" w:color="auto"/>
              <w:left w:val="nil"/>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nil"/>
              <w:bottom w:val="single" w:sz="4" w:space="0" w:color="auto"/>
              <w:right w:val="single" w:sz="4" w:space="0" w:color="auto"/>
            </w:tcBorders>
            <w:shd w:val="clear" w:color="auto" w:fill="auto"/>
            <w:vAlign w:val="center"/>
          </w:tcPr>
          <w:p w:rsidR="00CD748E" w:rsidRPr="00027DFC" w:rsidRDefault="00CD748E" w:rsidP="00FF6E06">
            <w:pPr>
              <w:keepLines/>
              <w:jc w:val="center"/>
              <w:rPr>
                <w:rFonts w:ascii="Arial Narrow" w:hAnsi="Arial Narrow" w:cs="Times New Roman"/>
                <w:snapToGrid/>
                <w:sz w:val="20"/>
                <w:szCs w:val="20"/>
              </w:rPr>
            </w:pPr>
            <w:r w:rsidRPr="00671ED8">
              <w:rPr>
                <w:rFonts w:ascii="Arial Narrow" w:hAnsi="Arial Narrow" w:cs="Times New Roman"/>
                <w:snapToGrid/>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nil"/>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5" w:type="pct"/>
            <w:tcBorders>
              <w:top w:val="single" w:sz="4" w:space="0" w:color="auto"/>
              <w:left w:val="nil"/>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r>
      <w:tr w:rsidR="00CD748E" w:rsidRPr="00A862C6" w:rsidTr="00CF617A">
        <w:tc>
          <w:tcPr>
            <w:tcW w:w="1254" w:type="pct"/>
            <w:tcBorders>
              <w:bottom w:val="single" w:sz="4" w:space="0" w:color="auto"/>
            </w:tcBorders>
            <w:shd w:val="clear" w:color="auto" w:fill="auto"/>
            <w:vAlign w:val="center"/>
          </w:tcPr>
          <w:p w:rsidR="00CD748E" w:rsidRPr="00A862C6" w:rsidRDefault="00CD748E" w:rsidP="00FF6E06">
            <w:pPr>
              <w:pStyle w:val="Tabletext"/>
              <w:keepLines/>
              <w:rPr>
                <w:szCs w:val="20"/>
              </w:rPr>
            </w:pPr>
            <w:r w:rsidRPr="00A862C6">
              <w:rPr>
                <w:szCs w:val="20"/>
              </w:rPr>
              <w:t>Net MBS costs</w:t>
            </w:r>
          </w:p>
        </w:tc>
        <w:tc>
          <w:tcPr>
            <w:tcW w:w="624" w:type="pct"/>
            <w:tcBorders>
              <w:top w:val="single" w:sz="4" w:space="0" w:color="auto"/>
              <w:left w:val="nil"/>
              <w:bottom w:val="single" w:sz="4" w:space="0" w:color="auto"/>
              <w:right w:val="single" w:sz="4" w:space="0" w:color="auto"/>
            </w:tcBorders>
            <w:shd w:val="clear" w:color="auto" w:fill="auto"/>
            <w:vAlign w:val="center"/>
          </w:tcPr>
          <w:p w:rsidR="00CD748E" w:rsidRPr="00027DFC" w:rsidRDefault="00CD748E" w:rsidP="00FF6E06">
            <w:pPr>
              <w:keepLines/>
              <w:jc w:val="center"/>
              <w:rPr>
                <w:rFonts w:ascii="Arial Narrow" w:hAnsi="Arial Narrow" w:cs="Times New Roman"/>
                <w:snapToGrid/>
                <w:sz w:val="20"/>
                <w:szCs w:val="20"/>
              </w:rPr>
            </w:pPr>
            <w:r w:rsidRPr="00671ED8">
              <w:rPr>
                <w:rFonts w:ascii="Arial Narrow" w:hAnsi="Arial Narrow" w:cs="Times New Roman"/>
                <w:snapToGrid/>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r>
      <w:tr w:rsidR="00CD748E" w:rsidRPr="00A862C6" w:rsidTr="001523A0">
        <w:tc>
          <w:tcPr>
            <w:tcW w:w="1254" w:type="pct"/>
            <w:tcBorders>
              <w:top w:val="single" w:sz="4" w:space="0" w:color="auto"/>
              <w:bottom w:val="double" w:sz="4" w:space="0" w:color="auto"/>
              <w:right w:val="single" w:sz="4" w:space="0" w:color="auto"/>
            </w:tcBorders>
            <w:shd w:val="clear" w:color="auto" w:fill="auto"/>
            <w:vAlign w:val="center"/>
          </w:tcPr>
          <w:p w:rsidR="00CD748E" w:rsidRPr="00A862C6" w:rsidRDefault="00CD748E" w:rsidP="00FF6E06">
            <w:pPr>
              <w:pStyle w:val="Tabletext"/>
              <w:keepLines/>
              <w:rPr>
                <w:szCs w:val="20"/>
              </w:rPr>
            </w:pPr>
            <w:r w:rsidRPr="00A862C6">
              <w:rPr>
                <w:szCs w:val="20"/>
              </w:rPr>
              <w:t>Net cost to Government health budget</w:t>
            </w:r>
          </w:p>
        </w:tc>
        <w:tc>
          <w:tcPr>
            <w:tcW w:w="624" w:type="pct"/>
            <w:tcBorders>
              <w:top w:val="single" w:sz="4" w:space="0" w:color="auto"/>
              <w:left w:val="nil"/>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5"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cs="Times New Roman"/>
                <w:noProof/>
                <w:snapToGrid/>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5" w:type="pct"/>
            <w:tcBorders>
              <w:top w:val="single" w:sz="4" w:space="0" w:color="auto"/>
              <w:left w:val="single" w:sz="4" w:space="0" w:color="auto"/>
              <w:bottom w:val="double" w:sz="4" w:space="0" w:color="auto"/>
              <w:right w:val="single" w:sz="4" w:space="0" w:color="auto"/>
            </w:tcBorders>
            <w:shd w:val="clear" w:color="auto" w:fill="auto"/>
            <w:vAlign w:val="center"/>
          </w:tcPr>
          <w:p w:rsidR="00CD748E" w:rsidRPr="00A862C6" w:rsidRDefault="00CD748E" w:rsidP="00FF6E06">
            <w:pPr>
              <w:keepLines/>
              <w:jc w:val="center"/>
              <w:rPr>
                <w:rFonts w:ascii="Arial Narrow" w:hAnsi="Arial Narrow" w:cs="Times New Roman"/>
                <w:snapToGrid/>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r>
      <w:tr w:rsidR="001523A0" w:rsidRPr="00A862C6" w:rsidTr="001523A0">
        <w:tc>
          <w:tcPr>
            <w:tcW w:w="5000" w:type="pct"/>
            <w:gridSpan w:val="7"/>
            <w:tcBorders>
              <w:top w:val="double" w:sz="4" w:space="0" w:color="auto"/>
              <w:bottom w:val="single" w:sz="4" w:space="0" w:color="auto"/>
              <w:right w:val="single" w:sz="4" w:space="0" w:color="auto"/>
            </w:tcBorders>
            <w:shd w:val="clear" w:color="auto" w:fill="auto"/>
            <w:vAlign w:val="center"/>
          </w:tcPr>
          <w:p w:rsidR="001523A0" w:rsidRPr="00A862C6" w:rsidRDefault="001523A0" w:rsidP="00FF6E06">
            <w:pPr>
              <w:keepLines/>
              <w:jc w:val="left"/>
              <w:rPr>
                <w:rFonts w:ascii="Arial Narrow" w:hAnsi="Arial Narrow" w:cs="Times New Roman"/>
                <w:snapToGrid/>
                <w:sz w:val="20"/>
                <w:szCs w:val="20"/>
              </w:rPr>
            </w:pPr>
            <w:r w:rsidRPr="00A862C6">
              <w:rPr>
                <w:rFonts w:ascii="Arial Narrow" w:hAnsi="Arial Narrow" w:cs="Times New Roman"/>
                <w:snapToGrid/>
                <w:sz w:val="20"/>
                <w:szCs w:val="20"/>
              </w:rPr>
              <w:t>Revised estimates provided in pre-PBAC response</w:t>
            </w:r>
            <w:r w:rsidR="007C7ADE" w:rsidRPr="00A862C6">
              <w:rPr>
                <w:szCs w:val="20"/>
                <w:vertAlign w:val="superscript"/>
              </w:rPr>
              <w:t xml:space="preserve"> d</w:t>
            </w:r>
          </w:p>
        </w:tc>
      </w:tr>
      <w:tr w:rsidR="00C10F9B" w:rsidRPr="00A862C6" w:rsidTr="001523A0">
        <w:tc>
          <w:tcPr>
            <w:tcW w:w="1254" w:type="pct"/>
            <w:tcBorders>
              <w:top w:val="single" w:sz="4" w:space="0" w:color="auto"/>
              <w:bottom w:val="single" w:sz="4" w:space="0" w:color="auto"/>
              <w:right w:val="single" w:sz="4" w:space="0" w:color="auto"/>
            </w:tcBorders>
            <w:shd w:val="clear" w:color="auto" w:fill="auto"/>
            <w:vAlign w:val="center"/>
          </w:tcPr>
          <w:p w:rsidR="00C10F9B" w:rsidRPr="00A862C6" w:rsidRDefault="00C10F9B" w:rsidP="00FF6E06">
            <w:pPr>
              <w:pStyle w:val="Tabletext"/>
              <w:keepLines/>
              <w:rPr>
                <w:szCs w:val="20"/>
              </w:rPr>
            </w:pPr>
            <w:r w:rsidRPr="00A862C6">
              <w:rPr>
                <w:szCs w:val="20"/>
              </w:rPr>
              <w:t>Patients treated</w:t>
            </w:r>
            <w:r w:rsidRPr="00A862C6">
              <w:rPr>
                <w:szCs w:val="20"/>
                <w:vertAlign w:val="superscript"/>
              </w:rPr>
              <w:t xml:space="preserve"> </w:t>
            </w:r>
            <w:r w:rsidRPr="00A862C6">
              <w:rPr>
                <w:szCs w:val="20"/>
              </w:rPr>
              <w:t xml:space="preserve">with nivolumab </w:t>
            </w:r>
          </w:p>
        </w:tc>
        <w:tc>
          <w:tcPr>
            <w:tcW w:w="624" w:type="pct"/>
            <w:tcBorders>
              <w:top w:val="single" w:sz="4" w:space="0" w:color="auto"/>
              <w:left w:val="nil"/>
              <w:bottom w:val="single" w:sz="4" w:space="0" w:color="auto"/>
              <w:right w:val="single" w:sz="4" w:space="0" w:color="auto"/>
            </w:tcBorders>
            <w:shd w:val="clear" w:color="auto" w:fill="auto"/>
            <w:vAlign w:val="center"/>
          </w:tcPr>
          <w:p w:rsidR="00C10F9B" w:rsidRPr="00027DFC" w:rsidRDefault="00027DFC" w:rsidP="00FF6E06">
            <w:pPr>
              <w:keepLines/>
              <w:jc w:val="center"/>
              <w:rPr>
                <w:rFonts w:ascii="Arial Narrow" w:hAnsi="Arial Narrow"/>
                <w:sz w:val="20"/>
                <w:szCs w:val="20"/>
              </w:rPr>
            </w:pPr>
            <w:r>
              <w:rPr>
                <w:rFonts w:ascii="Arial Narrow" w:hAnsi="Arial Narrow"/>
                <w:noProof/>
                <w:color w:val="000000"/>
                <w:sz w:val="20"/>
                <w:szCs w:val="20"/>
                <w:highlight w:val="black"/>
              </w:rPr>
              <w:t>''''''''''</w:t>
            </w:r>
            <w:r w:rsidR="004F5C16">
              <w:rPr>
                <w:iCs/>
                <w:color w:val="000000"/>
                <w:szCs w:val="20"/>
                <w:vertAlign w:val="superscript"/>
              </w:rPr>
              <w:t>1</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C10F9B" w:rsidRPr="00027DFC" w:rsidRDefault="00027DFC" w:rsidP="00FF6E06">
            <w:pPr>
              <w:keepLines/>
              <w:jc w:val="center"/>
              <w:rPr>
                <w:rFonts w:ascii="Arial Narrow" w:hAnsi="Arial Narrow"/>
                <w:sz w:val="20"/>
                <w:szCs w:val="20"/>
              </w:rPr>
            </w:pPr>
            <w:r>
              <w:rPr>
                <w:rFonts w:ascii="Arial Narrow" w:hAnsi="Arial Narrow"/>
                <w:noProof/>
                <w:color w:val="000000"/>
                <w:sz w:val="20"/>
                <w:szCs w:val="20"/>
                <w:highlight w:val="black"/>
              </w:rPr>
              <w:t>''''''''</w:t>
            </w:r>
            <w:r w:rsidR="004F5C16">
              <w:rPr>
                <w:iCs/>
                <w:color w:val="000000"/>
                <w:szCs w:val="20"/>
                <w:vertAlign w:val="superscript"/>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10F9B" w:rsidRPr="00027DFC" w:rsidRDefault="00027DFC" w:rsidP="00FF6E06">
            <w:pPr>
              <w:keepLines/>
              <w:jc w:val="center"/>
              <w:rPr>
                <w:rFonts w:ascii="Arial Narrow" w:hAnsi="Arial Narrow"/>
                <w:sz w:val="20"/>
                <w:szCs w:val="20"/>
              </w:rPr>
            </w:pPr>
            <w:r>
              <w:rPr>
                <w:rFonts w:ascii="Arial Narrow" w:hAnsi="Arial Narrow"/>
                <w:noProof/>
                <w:color w:val="000000"/>
                <w:sz w:val="20"/>
                <w:szCs w:val="20"/>
                <w:highlight w:val="black"/>
              </w:rPr>
              <w:t>''''''''''</w:t>
            </w:r>
            <w:r w:rsidR="004F5C16">
              <w:rPr>
                <w:iCs/>
                <w:color w:val="000000"/>
                <w:szCs w:val="20"/>
                <w:vertAlign w:val="superscript"/>
              </w:rPr>
              <w:t>1</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C10F9B" w:rsidRPr="00027DFC" w:rsidRDefault="00027DFC" w:rsidP="00FF6E06">
            <w:pPr>
              <w:keepLines/>
              <w:jc w:val="center"/>
              <w:rPr>
                <w:rFonts w:ascii="Arial Narrow" w:hAnsi="Arial Narrow"/>
                <w:sz w:val="20"/>
                <w:szCs w:val="20"/>
              </w:rPr>
            </w:pPr>
            <w:r>
              <w:rPr>
                <w:rFonts w:ascii="Arial Narrow" w:hAnsi="Arial Narrow"/>
                <w:noProof/>
                <w:color w:val="000000"/>
                <w:sz w:val="20"/>
                <w:szCs w:val="20"/>
                <w:highlight w:val="black"/>
              </w:rPr>
              <w:t>'''''''''</w:t>
            </w:r>
            <w:r w:rsidR="004F5C16">
              <w:rPr>
                <w:iCs/>
                <w:color w:val="000000"/>
                <w:szCs w:val="20"/>
                <w:vertAlign w:val="superscript"/>
              </w:rPr>
              <w:t>1</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C10F9B" w:rsidRPr="00027DFC" w:rsidRDefault="00027DFC" w:rsidP="00FF6E06">
            <w:pPr>
              <w:keepLines/>
              <w:jc w:val="center"/>
              <w:rPr>
                <w:rFonts w:ascii="Arial Narrow" w:hAnsi="Arial Narrow"/>
                <w:sz w:val="20"/>
                <w:szCs w:val="20"/>
              </w:rPr>
            </w:pPr>
            <w:r>
              <w:rPr>
                <w:rFonts w:ascii="Arial Narrow" w:hAnsi="Arial Narrow"/>
                <w:noProof/>
                <w:color w:val="000000"/>
                <w:sz w:val="20"/>
                <w:szCs w:val="20"/>
                <w:highlight w:val="black"/>
              </w:rPr>
              <w:t>'''''''''</w:t>
            </w:r>
            <w:r w:rsidR="004F5C16">
              <w:rPr>
                <w:iCs/>
                <w:color w:val="000000"/>
                <w:szCs w:val="20"/>
                <w:vertAlign w:val="superscript"/>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10F9B" w:rsidRPr="00027DFC" w:rsidRDefault="00027DFC" w:rsidP="00FF6E06">
            <w:pPr>
              <w:keepLines/>
              <w:jc w:val="center"/>
              <w:rPr>
                <w:rFonts w:ascii="Arial Narrow" w:hAnsi="Arial Narrow"/>
                <w:sz w:val="20"/>
                <w:szCs w:val="20"/>
              </w:rPr>
            </w:pPr>
            <w:r>
              <w:rPr>
                <w:rFonts w:ascii="Arial Narrow" w:hAnsi="Arial Narrow"/>
                <w:noProof/>
                <w:color w:val="000000"/>
                <w:sz w:val="20"/>
                <w:szCs w:val="20"/>
                <w:highlight w:val="black"/>
              </w:rPr>
              <w:t>''''''''''</w:t>
            </w:r>
            <w:r w:rsidR="004F5C16">
              <w:rPr>
                <w:iCs/>
                <w:color w:val="000000"/>
                <w:szCs w:val="20"/>
                <w:vertAlign w:val="superscript"/>
              </w:rPr>
              <w:t>1</w:t>
            </w:r>
          </w:p>
        </w:tc>
      </w:tr>
      <w:tr w:rsidR="001523A0" w:rsidRPr="00A862C6" w:rsidTr="001523A0">
        <w:tc>
          <w:tcPr>
            <w:tcW w:w="1254" w:type="pct"/>
            <w:tcBorders>
              <w:top w:val="single" w:sz="4" w:space="0" w:color="auto"/>
              <w:bottom w:val="single" w:sz="4" w:space="0" w:color="auto"/>
              <w:right w:val="single" w:sz="4" w:space="0" w:color="auto"/>
            </w:tcBorders>
            <w:shd w:val="clear" w:color="auto" w:fill="auto"/>
            <w:vAlign w:val="center"/>
          </w:tcPr>
          <w:p w:rsidR="001523A0" w:rsidRPr="00A862C6" w:rsidRDefault="001523A0" w:rsidP="00FF6E06">
            <w:pPr>
              <w:pStyle w:val="Tabletext"/>
              <w:keepLines/>
              <w:rPr>
                <w:szCs w:val="20"/>
              </w:rPr>
            </w:pPr>
            <w:r w:rsidRPr="00A862C6">
              <w:rPr>
                <w:szCs w:val="20"/>
              </w:rPr>
              <w:t xml:space="preserve">PBS/RPBS cost of nivolumab (less copay) </w:t>
            </w:r>
          </w:p>
        </w:tc>
        <w:tc>
          <w:tcPr>
            <w:tcW w:w="624" w:type="pct"/>
            <w:tcBorders>
              <w:top w:val="nil"/>
              <w:left w:val="nil"/>
              <w:bottom w:val="single" w:sz="8" w:space="0" w:color="auto"/>
              <w:right w:val="single" w:sz="8"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4" w:type="pct"/>
            <w:tcBorders>
              <w:top w:val="nil"/>
              <w:left w:val="nil"/>
              <w:bottom w:val="single" w:sz="8" w:space="0" w:color="auto"/>
              <w:right w:val="single" w:sz="8"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5" w:type="pct"/>
            <w:tcBorders>
              <w:top w:val="nil"/>
              <w:left w:val="nil"/>
              <w:bottom w:val="single" w:sz="8" w:space="0" w:color="auto"/>
              <w:right w:val="single" w:sz="8"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4" w:type="pct"/>
            <w:tcBorders>
              <w:top w:val="nil"/>
              <w:left w:val="nil"/>
              <w:bottom w:val="single" w:sz="8" w:space="0" w:color="auto"/>
              <w:right w:val="single" w:sz="8"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4" w:type="pct"/>
            <w:tcBorders>
              <w:top w:val="nil"/>
              <w:left w:val="nil"/>
              <w:bottom w:val="single" w:sz="8" w:space="0" w:color="auto"/>
              <w:right w:val="single" w:sz="8"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5" w:type="pct"/>
            <w:tcBorders>
              <w:top w:val="nil"/>
              <w:left w:val="nil"/>
              <w:bottom w:val="single" w:sz="8" w:space="0" w:color="auto"/>
              <w:right w:val="single" w:sz="8"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r>
      <w:tr w:rsidR="001523A0" w:rsidRPr="00A862C6" w:rsidTr="00CF617A">
        <w:tc>
          <w:tcPr>
            <w:tcW w:w="1254" w:type="pct"/>
            <w:tcBorders>
              <w:top w:val="single" w:sz="4" w:space="0" w:color="auto"/>
              <w:bottom w:val="single" w:sz="4" w:space="0" w:color="auto"/>
              <w:right w:val="single" w:sz="4" w:space="0" w:color="auto"/>
            </w:tcBorders>
            <w:shd w:val="clear" w:color="auto" w:fill="auto"/>
            <w:vAlign w:val="center"/>
          </w:tcPr>
          <w:p w:rsidR="001523A0" w:rsidRPr="00A862C6" w:rsidRDefault="001523A0" w:rsidP="00FF6E06">
            <w:pPr>
              <w:pStyle w:val="Tabletext"/>
              <w:keepLines/>
              <w:rPr>
                <w:szCs w:val="20"/>
              </w:rPr>
            </w:pPr>
            <w:r w:rsidRPr="00A862C6">
              <w:rPr>
                <w:szCs w:val="20"/>
              </w:rPr>
              <w:t xml:space="preserve">Net cost to PBS/RPBS  </w:t>
            </w:r>
          </w:p>
        </w:tc>
        <w:tc>
          <w:tcPr>
            <w:tcW w:w="624" w:type="pct"/>
            <w:tcBorders>
              <w:top w:val="single" w:sz="4" w:space="0" w:color="auto"/>
              <w:left w:val="nil"/>
              <w:bottom w:val="single" w:sz="4" w:space="0" w:color="auto"/>
              <w:right w:val="single" w:sz="4"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523A0" w:rsidRPr="00A862C6" w:rsidRDefault="001523A0" w:rsidP="00FF6E06">
            <w:pPr>
              <w:keepLines/>
              <w:jc w:val="center"/>
              <w:rPr>
                <w:rFonts w:ascii="Arial Narrow" w:hAnsi="Arial Narrow"/>
                <w:sz w:val="20"/>
                <w:szCs w:val="20"/>
              </w:rPr>
            </w:pPr>
            <w:r w:rsidRPr="00A862C6">
              <w:rPr>
                <w:rFonts w:ascii="Arial Narrow" w:hAnsi="Arial Narrow"/>
                <w:sz w:val="20"/>
                <w:szCs w:val="20"/>
              </w:rPr>
              <w:t>$</w:t>
            </w:r>
            <w:r w:rsidR="00027DFC">
              <w:rPr>
                <w:rFonts w:ascii="Arial Narrow" w:hAnsi="Arial Narrow"/>
                <w:noProof/>
                <w:color w:val="000000"/>
                <w:sz w:val="20"/>
                <w:szCs w:val="20"/>
                <w:highlight w:val="black"/>
              </w:rPr>
              <w:t>'''''''''''''''''''''''''</w:t>
            </w:r>
            <w:r w:rsidR="004F5C16">
              <w:rPr>
                <w:iCs/>
                <w:color w:val="000000"/>
                <w:szCs w:val="20"/>
                <w:vertAlign w:val="superscript"/>
              </w:rPr>
              <w:t>3</w:t>
            </w:r>
          </w:p>
        </w:tc>
      </w:tr>
    </w:tbl>
    <w:p w:rsidR="00CD748E" w:rsidRPr="00A862C6" w:rsidRDefault="00CD748E" w:rsidP="00FF6E06">
      <w:pPr>
        <w:pStyle w:val="TableFooter"/>
        <w:keepLines/>
      </w:pPr>
      <w:r w:rsidRPr="00A862C6">
        <w:t>Source: Table 93, 94, 96, 98, 99,101&amp;103-107, p165-168&amp;170-176 of the submission.</w:t>
      </w:r>
    </w:p>
    <w:p w:rsidR="00CD748E" w:rsidRPr="00A862C6" w:rsidRDefault="00CD748E" w:rsidP="00FF6E06">
      <w:pPr>
        <w:pStyle w:val="TableFooter"/>
        <w:keepLines/>
      </w:pPr>
      <w:r w:rsidRPr="00A862C6">
        <w:t xml:space="preserve">1L = first line; 2L = second line; chemo = chemotherapy; DOC = docetaxel; DPMA = dispensed price for maximum amount; ECOG = Eastern Cooperative Oncology Group; FP = fluoropyrimidine and platinum; Oesophageal carcinoma; OSCC = Oesophageal Squamous Cell Carcinoma; PAC = paclitaxel; eff = effective; Q2W = every 2 weeks; Q4W = every 4 weeks </w:t>
      </w:r>
    </w:p>
    <w:p w:rsidR="00C10F9B" w:rsidRPr="00A862C6" w:rsidRDefault="00CD748E" w:rsidP="00FF6E06">
      <w:pPr>
        <w:pStyle w:val="TableFooter"/>
        <w:keepLines/>
      </w:pPr>
      <w:r w:rsidRPr="00A862C6">
        <w:t xml:space="preserve">a The submission assumed that all patients would fail 1L </w:t>
      </w:r>
      <w:r w:rsidR="000868DF" w:rsidRPr="00A862C6">
        <w:t>FP-</w:t>
      </w:r>
      <w:r w:rsidRPr="00A862C6">
        <w:t xml:space="preserve"> based chemotherapy and assumed that all patients would have maintained with an ECOG performance status of 0 or 1 at initiation of 2L treatment. </w:t>
      </w:r>
    </w:p>
    <w:p w:rsidR="00CD748E" w:rsidRPr="00A862C6" w:rsidRDefault="00CD748E" w:rsidP="00FF6E06">
      <w:pPr>
        <w:pStyle w:val="TableFooter"/>
        <w:keepLines/>
      </w:pPr>
      <w:r w:rsidRPr="00A862C6">
        <w:t xml:space="preserve">b The submission inappropriately did not account for the </w:t>
      </w:r>
      <w:r w:rsidR="00027DFC">
        <w:rPr>
          <w:noProof/>
          <w:color w:val="000000"/>
          <w:highlight w:val="black"/>
        </w:rPr>
        <w:t>''''''</w:t>
      </w:r>
      <w:r w:rsidRPr="00A862C6">
        <w:t>% of patients who will continue to receive 2L chemotherapy post introduction of nivolumab. This was corrected during the evaluation.</w:t>
      </w:r>
    </w:p>
    <w:p w:rsidR="00C10F9B" w:rsidRPr="00A862C6" w:rsidRDefault="00CD748E" w:rsidP="00FF6E06">
      <w:pPr>
        <w:pStyle w:val="TableFooter"/>
        <w:keepLines/>
      </w:pPr>
      <w:r w:rsidRPr="00A862C6">
        <w:t xml:space="preserve">c Several errors regarding RPBS estimates, copayments and number of chemotherapy scripts were corrected during evaluation to derive this estimate </w:t>
      </w:r>
    </w:p>
    <w:p w:rsidR="00C10F9B" w:rsidRDefault="00C10F9B" w:rsidP="00FF6E06">
      <w:pPr>
        <w:pStyle w:val="TableFooter"/>
        <w:keepLines/>
      </w:pPr>
      <w:r w:rsidRPr="00A862C6">
        <w:t>d Estimate was updated in the pre-PBAC response to (i) include a prevalent patient pool in Year 1; (ii) increase the</w:t>
      </w:r>
      <w:r w:rsidR="000868DF" w:rsidRPr="00A862C6">
        <w:t xml:space="preserve"> estimated</w:t>
      </w:r>
      <w:r w:rsidRPr="00A862C6">
        <w:t xml:space="preserve"> proportion of </w:t>
      </w:r>
      <w:r w:rsidR="000868DF" w:rsidRPr="00A862C6">
        <w:t xml:space="preserve">palliative patients electing 1L FP to 70% (from 61%); </w:t>
      </w:r>
      <w:r w:rsidR="00C64B20" w:rsidRPr="00A862C6">
        <w:t xml:space="preserve">(iii) </w:t>
      </w:r>
      <w:r w:rsidR="000868DF" w:rsidRPr="00A862C6">
        <w:t>decrease the</w:t>
      </w:r>
      <w:r w:rsidR="00A44A92" w:rsidRPr="00A862C6">
        <w:t xml:space="preserve"> estimated</w:t>
      </w:r>
      <w:r w:rsidR="000868DF" w:rsidRPr="00A862C6">
        <w:t xml:space="preserve"> proportion of patients with ECOG = 0-1 at the start of 2L treatment to 70%</w:t>
      </w:r>
      <w:r w:rsidR="00A44A92" w:rsidRPr="00A862C6">
        <w:t xml:space="preserve"> (from 100%);</w:t>
      </w:r>
      <w:r w:rsidR="007C7195" w:rsidRPr="00A862C6">
        <w:t xml:space="preserve"> and</w:t>
      </w:r>
      <w:r w:rsidR="00C64B20" w:rsidRPr="00A862C6">
        <w:t xml:space="preserve"> (iv)</w:t>
      </w:r>
      <w:r w:rsidR="007C7195" w:rsidRPr="00A862C6">
        <w:t xml:space="preserve"> increase the estimated uptake rate of nivolumab for eligible patients to </w:t>
      </w:r>
      <w:r w:rsidR="00027DFC">
        <w:rPr>
          <w:noProof/>
          <w:color w:val="000000"/>
          <w:highlight w:val="black"/>
        </w:rPr>
        <w:t>''''''</w:t>
      </w:r>
      <w:r w:rsidR="007C7195" w:rsidRPr="00A862C6">
        <w:t xml:space="preserve">% (from </w:t>
      </w:r>
      <w:r w:rsidR="00027DFC">
        <w:rPr>
          <w:noProof/>
          <w:color w:val="000000"/>
          <w:highlight w:val="black"/>
        </w:rPr>
        <w:t>'''''''</w:t>
      </w:r>
      <w:r w:rsidR="007C7195" w:rsidRPr="00A862C6">
        <w:t>%)</w:t>
      </w:r>
      <w:r w:rsidR="00A862C6">
        <w:t xml:space="preserve">. </w:t>
      </w:r>
      <w:r w:rsidR="001523A0" w:rsidRPr="00A862C6">
        <w:t>The revised model d</w:t>
      </w:r>
      <w:r w:rsidR="00CF617A" w:rsidRPr="00A862C6">
        <w:t>id not correct for errors outlined in (c)</w:t>
      </w:r>
      <w:r w:rsidR="00A862C6">
        <w:t xml:space="preserve">. </w:t>
      </w:r>
    </w:p>
    <w:p w:rsidR="008143FE" w:rsidRDefault="008143FE" w:rsidP="008143FE">
      <w:pPr>
        <w:pStyle w:val="TableFigureFooter"/>
        <w:spacing w:after="0"/>
        <w:contextualSpacing w:val="0"/>
        <w:rPr>
          <w:i/>
        </w:rPr>
      </w:pPr>
      <w:r w:rsidRPr="009868C4">
        <w:rPr>
          <w:i/>
        </w:rPr>
        <w:t>The redacted values correspond to the following ranges</w:t>
      </w:r>
      <w:r>
        <w:rPr>
          <w:i/>
        </w:rPr>
        <w:t xml:space="preserve">: </w:t>
      </w:r>
    </w:p>
    <w:p w:rsidR="008143FE" w:rsidRPr="00870C5D" w:rsidRDefault="008143FE" w:rsidP="008143FE">
      <w:pPr>
        <w:pStyle w:val="TableFigureFooter"/>
        <w:spacing w:after="0"/>
        <w:contextualSpacing w:val="0"/>
      </w:pPr>
      <w:r>
        <w:rPr>
          <w:i/>
          <w:vertAlign w:val="superscript"/>
        </w:rPr>
        <w:t>1</w:t>
      </w:r>
      <w:r>
        <w:rPr>
          <w:i/>
        </w:rPr>
        <w:t xml:space="preserve"> </w:t>
      </w:r>
      <w:r w:rsidR="004F5C16" w:rsidRPr="004F5C16">
        <w:rPr>
          <w:i/>
        </w:rPr>
        <w:t>&lt; 500</w:t>
      </w:r>
    </w:p>
    <w:p w:rsidR="008143FE" w:rsidRPr="00870C5D" w:rsidRDefault="008143FE" w:rsidP="008143FE">
      <w:pPr>
        <w:pStyle w:val="TableFigureFooter"/>
        <w:spacing w:after="0"/>
        <w:contextualSpacing w:val="0"/>
      </w:pPr>
      <w:r>
        <w:rPr>
          <w:i/>
          <w:vertAlign w:val="superscript"/>
        </w:rPr>
        <w:t>2</w:t>
      </w:r>
      <w:r>
        <w:rPr>
          <w:i/>
        </w:rPr>
        <w:t xml:space="preserve"> </w:t>
      </w:r>
      <w:r w:rsidR="004F5C16" w:rsidRPr="004F5C16">
        <w:rPr>
          <w:i/>
        </w:rPr>
        <w:t>500 to &lt; 5,000</w:t>
      </w:r>
    </w:p>
    <w:p w:rsidR="008143FE" w:rsidRPr="00A862C6" w:rsidRDefault="008143FE" w:rsidP="004F5C16">
      <w:pPr>
        <w:pStyle w:val="TableFigureFooter"/>
        <w:spacing w:after="0"/>
        <w:contextualSpacing w:val="0"/>
      </w:pPr>
      <w:r>
        <w:rPr>
          <w:i/>
          <w:vertAlign w:val="superscript"/>
        </w:rPr>
        <w:t>3</w:t>
      </w:r>
      <w:r>
        <w:rPr>
          <w:i/>
        </w:rPr>
        <w:t xml:space="preserve"> </w:t>
      </w:r>
      <w:r w:rsidR="004F5C16" w:rsidRPr="004F5C16">
        <w:rPr>
          <w:i/>
        </w:rPr>
        <w:t>$0 to &lt; $10 million</w:t>
      </w:r>
    </w:p>
    <w:p w:rsidR="001523A0" w:rsidRPr="00A862C6" w:rsidRDefault="001523A0" w:rsidP="00C10F9B">
      <w:pPr>
        <w:pStyle w:val="TableFooter"/>
        <w:keepNext/>
        <w:keepLines/>
      </w:pPr>
    </w:p>
    <w:p w:rsidR="00CD748E" w:rsidRPr="00A862C6" w:rsidRDefault="00CD748E" w:rsidP="004F5C16">
      <w:pPr>
        <w:pStyle w:val="ListParagraph"/>
        <w:widowControl/>
        <w:numPr>
          <w:ilvl w:val="1"/>
          <w:numId w:val="2"/>
        </w:numPr>
        <w:rPr>
          <w:iCs/>
        </w:rPr>
      </w:pPr>
      <w:r w:rsidRPr="00A862C6">
        <w:rPr>
          <w:iCs/>
        </w:rPr>
        <w:t xml:space="preserve">The </w:t>
      </w:r>
      <w:r w:rsidR="000D0581" w:rsidRPr="00A862C6">
        <w:rPr>
          <w:iCs/>
        </w:rPr>
        <w:t xml:space="preserve">submission </w:t>
      </w:r>
      <w:r w:rsidRPr="00A862C6">
        <w:rPr>
          <w:iCs/>
        </w:rPr>
        <w:t xml:space="preserve">estimated </w:t>
      </w:r>
      <w:r w:rsidR="000D0581" w:rsidRPr="00A862C6">
        <w:rPr>
          <w:iCs/>
        </w:rPr>
        <w:t xml:space="preserve">the </w:t>
      </w:r>
      <w:r w:rsidRPr="00A862C6">
        <w:rPr>
          <w:iCs/>
        </w:rPr>
        <w:t xml:space="preserve">net cost to the government budget of listing nivolumab on the PBS/RPBS at the proposed effective price was </w:t>
      </w:r>
      <w:r w:rsidR="004F5C16" w:rsidRPr="004F5C16">
        <w:rPr>
          <w:iCs/>
        </w:rPr>
        <w:t>$0 to &lt; $10 million</w:t>
      </w:r>
      <w:r w:rsidR="004F5C16">
        <w:rPr>
          <w:iCs/>
        </w:rPr>
        <w:t xml:space="preserve"> </w:t>
      </w:r>
      <w:r w:rsidRPr="00A862C6">
        <w:rPr>
          <w:iCs/>
        </w:rPr>
        <w:t xml:space="preserve">in Year 1, increasing to </w:t>
      </w:r>
      <w:r w:rsidR="004F5C16" w:rsidRPr="004F5C16">
        <w:rPr>
          <w:iCs/>
        </w:rPr>
        <w:t>$0 to &lt; $10 million</w:t>
      </w:r>
      <w:r w:rsidR="004F5C16">
        <w:rPr>
          <w:iCs/>
        </w:rPr>
        <w:t xml:space="preserve"> </w:t>
      </w:r>
      <w:r w:rsidRPr="00A862C6">
        <w:rPr>
          <w:iCs/>
        </w:rPr>
        <w:t xml:space="preserve">in Year 6. The total cost over the six year period was </w:t>
      </w:r>
      <w:r w:rsidR="004F5C16" w:rsidRPr="004F5C16">
        <w:rPr>
          <w:iCs/>
        </w:rPr>
        <w:t>$20 million to &lt; $30 million</w:t>
      </w:r>
      <w:r w:rsidRPr="00A862C6">
        <w:rPr>
          <w:iCs/>
        </w:rPr>
        <w:t>.</w:t>
      </w:r>
    </w:p>
    <w:p w:rsidR="000D0581" w:rsidRPr="00A862C6" w:rsidRDefault="000D0581" w:rsidP="00DD46F0">
      <w:pPr>
        <w:pStyle w:val="ListParagraph"/>
        <w:widowControl/>
        <w:numPr>
          <w:ilvl w:val="1"/>
          <w:numId w:val="2"/>
        </w:numPr>
        <w:rPr>
          <w:iCs/>
        </w:rPr>
      </w:pPr>
      <w:r w:rsidRPr="00A862C6">
        <w:rPr>
          <w:iCs/>
        </w:rPr>
        <w:t>The DUSC noted the submission estimated that the proportion of patients electing 1L FP</w:t>
      </w:r>
      <w:r w:rsidR="00026108" w:rsidRPr="00A862C6">
        <w:rPr>
          <w:iCs/>
        </w:rPr>
        <w:t>-based</w:t>
      </w:r>
      <w:r w:rsidRPr="00A862C6">
        <w:rPr>
          <w:iCs/>
        </w:rPr>
        <w:t xml:space="preserve"> chemotherapy to be 61%. The DUSC considered it is likely that the availability of nivolumab in the 2L setting would increase the proportion of patients electing treatment with FP</w:t>
      </w:r>
      <w:r w:rsidR="00026108" w:rsidRPr="00A862C6">
        <w:rPr>
          <w:iCs/>
        </w:rPr>
        <w:t>-based</w:t>
      </w:r>
      <w:r w:rsidRPr="00A862C6">
        <w:rPr>
          <w:iCs/>
        </w:rPr>
        <w:t xml:space="preserve"> chemotherapy in the 1L setting and 70% would be a more appropriate estimate.</w:t>
      </w:r>
    </w:p>
    <w:p w:rsidR="000D0581" w:rsidRPr="00A862C6" w:rsidRDefault="000D0581" w:rsidP="00DD46F0">
      <w:pPr>
        <w:pStyle w:val="ListParagraph"/>
        <w:widowControl/>
        <w:numPr>
          <w:ilvl w:val="1"/>
          <w:numId w:val="2"/>
        </w:numPr>
        <w:rPr>
          <w:iCs/>
        </w:rPr>
      </w:pPr>
      <w:r w:rsidRPr="00A862C6">
        <w:rPr>
          <w:iCs/>
        </w:rPr>
        <w:t xml:space="preserve">The DUSC noted the submission estimated that the uptake rate of nivolumab for eligible patients would be </w:t>
      </w:r>
      <w:r w:rsidR="00027DFC">
        <w:rPr>
          <w:iCs/>
          <w:noProof/>
          <w:color w:val="000000"/>
          <w:highlight w:val="black"/>
        </w:rPr>
        <w:t>'''''</w:t>
      </w:r>
      <w:r w:rsidRPr="00A862C6">
        <w:rPr>
          <w:iCs/>
        </w:rPr>
        <w:t xml:space="preserve">%. The DUSC considered that the </w:t>
      </w:r>
      <w:r w:rsidR="00027DFC">
        <w:rPr>
          <w:iCs/>
          <w:noProof/>
          <w:color w:val="000000"/>
          <w:highlight w:val="black"/>
        </w:rPr>
        <w:t>'''''</w:t>
      </w:r>
      <w:r w:rsidRPr="00A862C6">
        <w:rPr>
          <w:iCs/>
        </w:rPr>
        <w:t xml:space="preserve">% who elect 2L chemotherapy will be potentially eligible for 3L nivolumab, and this will effectively increase the nivolumab uptake rate to </w:t>
      </w:r>
      <w:r w:rsidR="00027DFC">
        <w:rPr>
          <w:iCs/>
          <w:noProof/>
          <w:color w:val="000000"/>
          <w:highlight w:val="black"/>
        </w:rPr>
        <w:t>'''''</w:t>
      </w:r>
      <w:r w:rsidRPr="00A862C6">
        <w:rPr>
          <w:iCs/>
        </w:rPr>
        <w:t>%.</w:t>
      </w:r>
    </w:p>
    <w:p w:rsidR="00026108" w:rsidRPr="00A862C6" w:rsidRDefault="00026108" w:rsidP="00DD46F0">
      <w:pPr>
        <w:pStyle w:val="ListParagraph"/>
        <w:numPr>
          <w:ilvl w:val="1"/>
          <w:numId w:val="2"/>
        </w:numPr>
        <w:rPr>
          <w:iCs/>
        </w:rPr>
      </w:pPr>
      <w:r w:rsidRPr="00A862C6">
        <w:rPr>
          <w:iCs/>
        </w:rPr>
        <w:t xml:space="preserve">The DUSC noted the submission assumed that 100% of patients electing 1L FP-based chemotherapy were considered to have ECOG 0-1 and will have the same ECOG performance score when initiating 2L treatment. However, Jaffe 2019 reported that 50.5% and 62.9% of patients in Asia and the West, respectively, had ECOG of 0 or 1 at the initiation of 2L therapy. The DUSC </w:t>
      </w:r>
      <w:r w:rsidR="008F1E26" w:rsidRPr="00A862C6">
        <w:rPr>
          <w:iCs/>
        </w:rPr>
        <w:t xml:space="preserve">considered </w:t>
      </w:r>
      <w:r w:rsidRPr="00A862C6">
        <w:rPr>
          <w:iCs/>
        </w:rPr>
        <w:t>that progression is often rapid and symptomatic in upper gastrointestinal tract cancers and considered 70% a better estimate than 100%.</w:t>
      </w:r>
    </w:p>
    <w:p w:rsidR="00026108" w:rsidRPr="00A862C6" w:rsidRDefault="00026108" w:rsidP="00DD46F0">
      <w:pPr>
        <w:pStyle w:val="ListParagraph"/>
        <w:widowControl/>
        <w:numPr>
          <w:ilvl w:val="1"/>
          <w:numId w:val="2"/>
        </w:numPr>
        <w:rPr>
          <w:iCs/>
        </w:rPr>
      </w:pPr>
      <w:r w:rsidRPr="00A862C6">
        <w:rPr>
          <w:iCs/>
        </w:rPr>
        <w:t xml:space="preserve">The DUSC noted the submission estimates were based on the number of incident oesophageal cancer patients reported by the Australian Institute of Health and Welfare (AIHW). The submission assumed the prevalent population to be same as the incident population. That is, it assumed that all newly diagnosed patients relapsed from Stages 1, 2 and 3 to advanced/metastatic disease in the same year as diagnosis. The DUSC considered this was not consistent with the survival patterns in oesophageal cancer and there would be a prevalent pool of eligible patients in the first year of PBS listing that were not included in the estimates (i.e., patients that were diagnosed in previous years and reached advanced/metastatic disease prior to or during the first year of listing). </w:t>
      </w:r>
    </w:p>
    <w:p w:rsidR="00CD748E" w:rsidRPr="00A862C6" w:rsidRDefault="007C7195" w:rsidP="004F5C16">
      <w:pPr>
        <w:pStyle w:val="ListParagraph"/>
        <w:widowControl/>
        <w:numPr>
          <w:ilvl w:val="1"/>
          <w:numId w:val="2"/>
        </w:numPr>
      </w:pPr>
      <w:r w:rsidRPr="00A862C6">
        <w:t>The pre-PBAC response provided updated financial estimates</w:t>
      </w:r>
      <w:r w:rsidR="008F1E26" w:rsidRPr="00A862C6">
        <w:t xml:space="preserve"> that</w:t>
      </w:r>
      <w:r w:rsidRPr="00A862C6">
        <w:t xml:space="preserve"> (i) include</w:t>
      </w:r>
      <w:r w:rsidR="008F1E26" w:rsidRPr="00A862C6">
        <w:t>d</w:t>
      </w:r>
      <w:r w:rsidRPr="00A862C6">
        <w:t xml:space="preserve"> a prevalent patient pool in Year 1; (ii) increase</w:t>
      </w:r>
      <w:r w:rsidR="008F1E26" w:rsidRPr="00A862C6">
        <w:t>d</w:t>
      </w:r>
      <w:r w:rsidRPr="00A862C6">
        <w:t xml:space="preserve"> the estimated proportion of palliative patients electing 1L FP to 70% (from 61%); </w:t>
      </w:r>
      <w:r w:rsidR="008F1E26" w:rsidRPr="00A862C6">
        <w:t xml:space="preserve">(iii) </w:t>
      </w:r>
      <w:r w:rsidRPr="00A862C6">
        <w:t>decrease</w:t>
      </w:r>
      <w:r w:rsidR="008F1E26" w:rsidRPr="00A862C6">
        <w:t>d</w:t>
      </w:r>
      <w:r w:rsidRPr="00A862C6">
        <w:t xml:space="preserve"> the estimated proportion of patients with ECOG = 0</w:t>
      </w:r>
      <w:r w:rsidR="002E21C7" w:rsidRPr="00A862C6">
        <w:noBreakHyphen/>
      </w:r>
      <w:r w:rsidRPr="00A862C6">
        <w:t xml:space="preserve">1 at the start of 2L treatment to 70% (from 100%); </w:t>
      </w:r>
      <w:r w:rsidR="008F1E26" w:rsidRPr="00A862C6">
        <w:t xml:space="preserve">(iv) </w:t>
      </w:r>
      <w:r w:rsidRPr="00A862C6">
        <w:t>and increase</w:t>
      </w:r>
      <w:r w:rsidR="008F1E26" w:rsidRPr="00A862C6">
        <w:t>d</w:t>
      </w:r>
      <w:r w:rsidRPr="00A862C6">
        <w:t xml:space="preserve"> the estimated uptake rate of nivolumab for eligible patients to </w:t>
      </w:r>
      <w:r w:rsidR="00027DFC">
        <w:rPr>
          <w:noProof/>
          <w:color w:val="000000"/>
          <w:highlight w:val="black"/>
        </w:rPr>
        <w:t>'''''</w:t>
      </w:r>
      <w:r w:rsidRPr="00A862C6">
        <w:t xml:space="preserve">% (from </w:t>
      </w:r>
      <w:r w:rsidR="00027DFC">
        <w:rPr>
          <w:noProof/>
          <w:color w:val="000000"/>
          <w:highlight w:val="black"/>
        </w:rPr>
        <w:t>'''''</w:t>
      </w:r>
      <w:r w:rsidRPr="00A862C6">
        <w:t xml:space="preserve">%). </w:t>
      </w:r>
      <w:r w:rsidR="006D3E33" w:rsidRPr="00A862C6">
        <w:rPr>
          <w:iCs/>
        </w:rPr>
        <w:t xml:space="preserve">The estimated net cost to the government budget was revised to </w:t>
      </w:r>
      <w:r w:rsidR="004F5C16" w:rsidRPr="004F5C16">
        <w:rPr>
          <w:iCs/>
        </w:rPr>
        <w:t>$0 to &lt; $10 million</w:t>
      </w:r>
      <w:r w:rsidR="004F5C16">
        <w:rPr>
          <w:iCs/>
        </w:rPr>
        <w:t xml:space="preserve"> </w:t>
      </w:r>
      <w:r w:rsidR="004827B7" w:rsidRPr="00A862C6">
        <w:rPr>
          <w:iCs/>
        </w:rPr>
        <w:t>in Year 1, de</w:t>
      </w:r>
      <w:r w:rsidR="006D3E33" w:rsidRPr="00A862C6">
        <w:rPr>
          <w:iCs/>
        </w:rPr>
        <w:t xml:space="preserve">creasing to </w:t>
      </w:r>
      <w:r w:rsidR="004F5C16" w:rsidRPr="004F5C16">
        <w:rPr>
          <w:iCs/>
        </w:rPr>
        <w:t>$0 to &lt; $10 million</w:t>
      </w:r>
      <w:r w:rsidR="004F5C16">
        <w:rPr>
          <w:iCs/>
        </w:rPr>
        <w:t xml:space="preserve"> </w:t>
      </w:r>
      <w:r w:rsidR="006D3E33" w:rsidRPr="00A862C6">
        <w:rPr>
          <w:iCs/>
        </w:rPr>
        <w:t xml:space="preserve">in Year 6. The total cost over the six year period was </w:t>
      </w:r>
      <w:r w:rsidR="004F5C16" w:rsidRPr="004F5C16">
        <w:rPr>
          <w:iCs/>
        </w:rPr>
        <w:t>$20 million to &lt; $30 million</w:t>
      </w:r>
      <w:r w:rsidR="006D3E33" w:rsidRPr="00A862C6">
        <w:rPr>
          <w:iCs/>
        </w:rPr>
        <w:t>.</w:t>
      </w:r>
    </w:p>
    <w:p w:rsidR="00916E69" w:rsidRPr="00A862C6" w:rsidRDefault="00916E69" w:rsidP="00DD46F0">
      <w:pPr>
        <w:pStyle w:val="ListParagraph"/>
        <w:widowControl/>
        <w:numPr>
          <w:ilvl w:val="1"/>
          <w:numId w:val="2"/>
        </w:numPr>
      </w:pPr>
      <w:r w:rsidRPr="00A862C6">
        <w:rPr>
          <w:iCs/>
        </w:rPr>
        <w:t xml:space="preserve">The pre-PBAC </w:t>
      </w:r>
      <w:r w:rsidR="007364B4" w:rsidRPr="00A862C6">
        <w:rPr>
          <w:iCs/>
        </w:rPr>
        <w:t xml:space="preserve">response </w:t>
      </w:r>
      <w:r w:rsidR="00F340F2" w:rsidRPr="00A862C6">
        <w:rPr>
          <w:iCs/>
        </w:rPr>
        <w:t>stated the Year 1 prevalent population was calculated based on the total number of patients eligible for nivolumab in the two years prior to PBS listing and survival rates from the IC arm of the ATTRACTION-3 clinical trial. The pre-PBAC response stated that the methodology to derive the number of eligible patients in the two years prior to PBS listing replicated those used to estimate the number of treated nivolumab patients in Years 1-6. The PBAC considered the estimated number of prevalent patients that would access treatment (~</w:t>
      </w:r>
      <w:r w:rsidR="007C7AE4">
        <w:rPr>
          <w:iCs/>
        </w:rPr>
        <w:t>&lt; 500</w:t>
      </w:r>
      <w:r w:rsidR="00F340F2" w:rsidRPr="00A862C6">
        <w:rPr>
          <w:iCs/>
        </w:rPr>
        <w:t>) was reasonable</w:t>
      </w:r>
      <w:r w:rsidR="00A862C6">
        <w:rPr>
          <w:iCs/>
        </w:rPr>
        <w:t xml:space="preserve">. </w:t>
      </w:r>
    </w:p>
    <w:p w:rsidR="000D0581" w:rsidRPr="0010271F" w:rsidRDefault="000D0581" w:rsidP="00DD46F0">
      <w:pPr>
        <w:pStyle w:val="ListParagraph"/>
        <w:widowControl/>
        <w:numPr>
          <w:ilvl w:val="1"/>
          <w:numId w:val="2"/>
        </w:numPr>
      </w:pPr>
      <w:r w:rsidRPr="0010271F">
        <w:t xml:space="preserve">The </w:t>
      </w:r>
      <w:r w:rsidR="00026108" w:rsidRPr="0010271F">
        <w:t xml:space="preserve">PBAC </w:t>
      </w:r>
      <w:r w:rsidRPr="0010271F">
        <w:t>consider</w:t>
      </w:r>
      <w:r w:rsidR="00026108" w:rsidRPr="0010271F">
        <w:t xml:space="preserve">ed there was risk of use </w:t>
      </w:r>
      <w:r w:rsidR="007364B4" w:rsidRPr="0010271F">
        <w:t>in patients with WHO</w:t>
      </w:r>
      <w:r w:rsidR="002D7353">
        <w:t>/ ECOG</w:t>
      </w:r>
      <w:r w:rsidR="007364B4" w:rsidRPr="0010271F">
        <w:t xml:space="preserve"> scores greater than 1 and </w:t>
      </w:r>
      <w:r w:rsidR="00026108" w:rsidRPr="0010271F">
        <w:t>earlier in the treatment setting</w:t>
      </w:r>
      <w:r w:rsidR="0046422E" w:rsidRPr="0010271F">
        <w:t>,</w:t>
      </w:r>
      <w:r w:rsidR="00026108" w:rsidRPr="0010271F">
        <w:t xml:space="preserve"> given the emerging evidence of a benefit </w:t>
      </w:r>
      <w:r w:rsidR="007364B4" w:rsidRPr="0010271F">
        <w:t xml:space="preserve">for immunotherapy </w:t>
      </w:r>
      <w:r w:rsidR="00026108" w:rsidRPr="0010271F">
        <w:t>in the first line and adjuvant treatment setting</w:t>
      </w:r>
      <w:r w:rsidR="00A862C6" w:rsidRPr="0010271F">
        <w:t xml:space="preserve">. </w:t>
      </w:r>
    </w:p>
    <w:p w:rsidR="00285CB1" w:rsidRPr="00A862C6" w:rsidRDefault="00285CB1" w:rsidP="00285CB1">
      <w:pPr>
        <w:pStyle w:val="Heading2"/>
      </w:pPr>
      <w:bookmarkStart w:id="45" w:name="_Toc72263305"/>
      <w:r w:rsidRPr="00A862C6">
        <w:t>Quality Use of Medicines</w:t>
      </w:r>
      <w:bookmarkEnd w:id="45"/>
    </w:p>
    <w:p w:rsidR="00285CB1" w:rsidRPr="00A862C6" w:rsidRDefault="00285CB1" w:rsidP="00285CB1">
      <w:pPr>
        <w:widowControl/>
      </w:pPr>
    </w:p>
    <w:p w:rsidR="00285CB1" w:rsidRPr="00A862C6" w:rsidRDefault="00285CB1" w:rsidP="00DD46F0">
      <w:pPr>
        <w:pStyle w:val="ListParagraph"/>
        <w:widowControl/>
        <w:numPr>
          <w:ilvl w:val="1"/>
          <w:numId w:val="2"/>
        </w:numPr>
      </w:pPr>
      <w:r w:rsidRPr="00A862C6">
        <w:t>The submission noted that the sponsor has implemented the following initiatives:</w:t>
      </w:r>
    </w:p>
    <w:p w:rsidR="00285CB1" w:rsidRPr="00A862C6" w:rsidRDefault="00285CB1" w:rsidP="00DD46F0">
      <w:pPr>
        <w:pStyle w:val="ListParagraph"/>
        <w:widowControl/>
        <w:numPr>
          <w:ilvl w:val="0"/>
          <w:numId w:val="1"/>
        </w:numPr>
        <w:spacing w:after="0"/>
        <w:ind w:left="993" w:hanging="284"/>
      </w:pPr>
      <w:r w:rsidRPr="00A862C6">
        <w:t>Currently runs regular local meetings around physician education and organises national meetings that aim to address identified key educational needs;</w:t>
      </w:r>
    </w:p>
    <w:p w:rsidR="00285CB1" w:rsidRPr="00A862C6" w:rsidRDefault="00285CB1" w:rsidP="00DD46F0">
      <w:pPr>
        <w:pStyle w:val="ListParagraph"/>
        <w:widowControl/>
        <w:numPr>
          <w:ilvl w:val="0"/>
          <w:numId w:val="1"/>
        </w:numPr>
        <w:spacing w:after="0"/>
        <w:ind w:left="993" w:hanging="284"/>
      </w:pPr>
      <w:r w:rsidRPr="00A862C6">
        <w:t>Previously provided sponsorship for Immune-Oncology preceptorship for oncologists and oncology nurses;</w:t>
      </w:r>
    </w:p>
    <w:p w:rsidR="00285CB1" w:rsidRPr="00A862C6" w:rsidRDefault="00285CB1" w:rsidP="00DD46F0">
      <w:pPr>
        <w:pStyle w:val="ListParagraph"/>
        <w:widowControl/>
        <w:numPr>
          <w:ilvl w:val="0"/>
          <w:numId w:val="1"/>
        </w:numPr>
        <w:spacing w:after="0"/>
        <w:ind w:left="993" w:hanging="284"/>
      </w:pPr>
      <w:r w:rsidRPr="00A862C6">
        <w:t>Previously provided sponsorship of a peer-to-peer support mentorship program connecting clinicians with leading oncologists;</w:t>
      </w:r>
    </w:p>
    <w:p w:rsidR="00285CB1" w:rsidRPr="00A862C6" w:rsidRDefault="00285CB1" w:rsidP="00DD46F0">
      <w:pPr>
        <w:pStyle w:val="ListParagraph"/>
        <w:widowControl/>
        <w:numPr>
          <w:ilvl w:val="0"/>
          <w:numId w:val="1"/>
        </w:numPr>
        <w:spacing w:after="0"/>
        <w:ind w:left="993" w:hanging="284"/>
      </w:pPr>
      <w:r w:rsidRPr="00A862C6">
        <w:t>Continues to offer nursing and pharmacy in-services to sites where nivolumab is used;</w:t>
      </w:r>
    </w:p>
    <w:p w:rsidR="00285CB1" w:rsidRPr="00A862C6" w:rsidRDefault="00285CB1" w:rsidP="00DD46F0">
      <w:pPr>
        <w:pStyle w:val="ListParagraph"/>
        <w:widowControl/>
        <w:numPr>
          <w:ilvl w:val="0"/>
          <w:numId w:val="1"/>
        </w:numPr>
        <w:spacing w:after="0"/>
        <w:ind w:left="993" w:hanging="284"/>
      </w:pPr>
      <w:r w:rsidRPr="00A862C6">
        <w:t xml:space="preserve">Has a Risk Management Plan in place for nivolumab in Australia;  </w:t>
      </w:r>
    </w:p>
    <w:p w:rsidR="00285CB1" w:rsidRPr="00A862C6" w:rsidRDefault="00285CB1" w:rsidP="00FF6E06">
      <w:pPr>
        <w:pStyle w:val="ListParagraph"/>
        <w:keepNext/>
        <w:widowControl/>
        <w:numPr>
          <w:ilvl w:val="0"/>
          <w:numId w:val="1"/>
        </w:numPr>
        <w:spacing w:after="240"/>
        <w:ind w:left="993" w:hanging="284"/>
      </w:pPr>
      <w:r w:rsidRPr="00A862C6">
        <w:t>Has made available a range of educational materials and tools for health care professionals (such as the immune-related adverse reactions (irAR) Management Guide with algorithms and irAR symptom checklist, and Prescribers Guide) and patients (such as mediband bracelets, a Patient Information Booklet and irAR wallet alert card nivolumab).</w:t>
      </w:r>
    </w:p>
    <w:p w:rsidR="00715F7D" w:rsidRPr="00A862C6" w:rsidRDefault="00954A47" w:rsidP="00FF6E06">
      <w:pPr>
        <w:pStyle w:val="ListParagraph"/>
        <w:widowControl/>
        <w:rPr>
          <w:rFonts w:asciiTheme="minorHAnsi" w:hAnsiTheme="minorHAnsi"/>
          <w:i/>
        </w:rPr>
      </w:pPr>
      <w:r w:rsidRPr="00A862C6">
        <w:rPr>
          <w:rFonts w:asciiTheme="minorHAnsi" w:hAnsiTheme="minorHAnsi"/>
          <w:i/>
        </w:rPr>
        <w:t>For more detail on PBAC’s view, see section 7 PBAC outcome.</w:t>
      </w:r>
    </w:p>
    <w:p w:rsidR="00715F7D" w:rsidRPr="00A862C6" w:rsidRDefault="00715F7D" w:rsidP="00FF6E06">
      <w:pPr>
        <w:pStyle w:val="PBACHeading1"/>
        <w:keepNext/>
        <w:spacing w:after="100"/>
      </w:pPr>
      <w:r w:rsidRPr="00A862C6">
        <w:t>PBAC Outcome</w:t>
      </w:r>
    </w:p>
    <w:p w:rsidR="00715F7D" w:rsidRPr="00A862C6" w:rsidRDefault="002C6913" w:rsidP="00FF6E06">
      <w:pPr>
        <w:keepNext/>
        <w:numPr>
          <w:ilvl w:val="1"/>
          <w:numId w:val="2"/>
        </w:numPr>
        <w:spacing w:after="120"/>
        <w:rPr>
          <w:rFonts w:asciiTheme="minorHAnsi" w:hAnsiTheme="minorHAnsi" w:cstheme="minorHAnsi"/>
          <w:bCs/>
          <w:szCs w:val="24"/>
        </w:rPr>
      </w:pPr>
      <w:r w:rsidRPr="00A862C6">
        <w:rPr>
          <w:rFonts w:asciiTheme="minorHAnsi" w:hAnsiTheme="minorHAnsi"/>
          <w:bCs/>
        </w:rPr>
        <w:t>The PBAC recommended the Section 100 (Efficient Funding of Chemotherapy – Public and Private Hospital) Authority Required (S</w:t>
      </w:r>
      <w:r w:rsidR="00954111" w:rsidRPr="00A862C6">
        <w:rPr>
          <w:rFonts w:asciiTheme="minorHAnsi" w:hAnsiTheme="minorHAnsi"/>
          <w:bCs/>
        </w:rPr>
        <w:t>treamlined</w:t>
      </w:r>
      <w:r w:rsidRPr="00A862C6">
        <w:rPr>
          <w:rFonts w:asciiTheme="minorHAnsi" w:hAnsiTheme="minorHAnsi"/>
          <w:bCs/>
        </w:rPr>
        <w:t xml:space="preserve">) listing of nivolumab for the treatment of patients with </w:t>
      </w:r>
      <w:r w:rsidRPr="00A862C6">
        <w:t xml:space="preserve">advanced or metastatic oesophageal squamous cell carcinoma (OSCC) who have </w:t>
      </w:r>
      <w:r w:rsidR="00A437AE" w:rsidRPr="00A862C6">
        <w:t xml:space="preserve">disease progression following treatment with a </w:t>
      </w:r>
      <w:r w:rsidRPr="00A862C6">
        <w:t>fluoropyrimidine and platinum (FP)-based chemotherapy regimen</w:t>
      </w:r>
      <w:r w:rsidRPr="00A862C6">
        <w:rPr>
          <w:rFonts w:asciiTheme="minorHAnsi" w:hAnsiTheme="minorHAnsi"/>
          <w:bCs/>
        </w:rPr>
        <w:t xml:space="preserve">. </w:t>
      </w:r>
      <w:r w:rsidRPr="00A862C6">
        <w:rPr>
          <w:rFonts w:asciiTheme="minorHAnsi" w:hAnsiTheme="minorHAnsi" w:cstheme="minorHAnsi"/>
          <w:bCs/>
          <w:szCs w:val="24"/>
        </w:rPr>
        <w:t xml:space="preserve">The PBAC considered there is a </w:t>
      </w:r>
      <w:r w:rsidRPr="003C1988">
        <w:rPr>
          <w:rFonts w:asciiTheme="minorHAnsi" w:hAnsiTheme="minorHAnsi" w:cstheme="minorHAnsi"/>
          <w:bCs/>
          <w:szCs w:val="24"/>
        </w:rPr>
        <w:t>moderate</w:t>
      </w:r>
      <w:r w:rsidR="000B648E" w:rsidRPr="003C1988">
        <w:rPr>
          <w:rFonts w:asciiTheme="minorHAnsi" w:hAnsiTheme="minorHAnsi" w:cstheme="minorHAnsi"/>
          <w:bCs/>
          <w:szCs w:val="24"/>
        </w:rPr>
        <w:t xml:space="preserve"> </w:t>
      </w:r>
      <w:r w:rsidRPr="003C1988">
        <w:rPr>
          <w:rFonts w:asciiTheme="minorHAnsi" w:hAnsiTheme="minorHAnsi" w:cstheme="minorHAnsi"/>
          <w:bCs/>
          <w:szCs w:val="24"/>
        </w:rPr>
        <w:t>need for more effective therapies in this patient population and</w:t>
      </w:r>
      <w:r w:rsidR="000408B0" w:rsidRPr="003C1988">
        <w:rPr>
          <w:rFonts w:asciiTheme="minorHAnsi" w:hAnsiTheme="minorHAnsi" w:cstheme="minorHAnsi"/>
          <w:bCs/>
          <w:szCs w:val="24"/>
        </w:rPr>
        <w:t xml:space="preserve"> acknowledged</w:t>
      </w:r>
      <w:r w:rsidRPr="003C1988">
        <w:rPr>
          <w:rFonts w:asciiTheme="minorHAnsi" w:hAnsiTheme="minorHAnsi" w:cstheme="minorHAnsi"/>
          <w:bCs/>
          <w:szCs w:val="24"/>
        </w:rPr>
        <w:t xml:space="preserve"> the</w:t>
      </w:r>
      <w:r w:rsidRPr="003C1988">
        <w:rPr>
          <w:rFonts w:asciiTheme="minorHAnsi" w:hAnsiTheme="minorHAnsi" w:cstheme="minorHAnsi"/>
          <w:color w:val="000000"/>
          <w:szCs w:val="24"/>
          <w:shd w:val="clear" w:color="auto" w:fill="FFFFFF"/>
        </w:rPr>
        <w:t xml:space="preserve"> </w:t>
      </w:r>
      <w:r w:rsidR="002504DD" w:rsidRPr="003C1988">
        <w:rPr>
          <w:rFonts w:asciiTheme="minorHAnsi" w:hAnsiTheme="minorHAnsi" w:cstheme="minorHAnsi"/>
          <w:color w:val="000000"/>
          <w:szCs w:val="24"/>
          <w:shd w:val="clear" w:color="auto" w:fill="FFFFFF"/>
        </w:rPr>
        <w:t xml:space="preserve">moderate </w:t>
      </w:r>
      <w:r w:rsidR="0082693C" w:rsidRPr="003C1988">
        <w:rPr>
          <w:rFonts w:asciiTheme="minorHAnsi" w:hAnsiTheme="minorHAnsi" w:cstheme="minorHAnsi"/>
          <w:color w:val="000000"/>
          <w:szCs w:val="24"/>
          <w:shd w:val="clear" w:color="auto" w:fill="FFFFFF"/>
        </w:rPr>
        <w:t xml:space="preserve">added benefit provided by </w:t>
      </w:r>
      <w:r w:rsidRPr="003C1988">
        <w:rPr>
          <w:rFonts w:asciiTheme="minorHAnsi" w:hAnsiTheme="minorHAnsi" w:cstheme="minorHAnsi"/>
          <w:color w:val="000000"/>
          <w:szCs w:val="24"/>
          <w:shd w:val="clear" w:color="auto" w:fill="FFFFFF"/>
        </w:rPr>
        <w:t>nivolumab. The PBAC considered that the incremental cost effectiveness</w:t>
      </w:r>
      <w:r w:rsidRPr="00A862C6">
        <w:rPr>
          <w:rFonts w:asciiTheme="minorHAnsi" w:hAnsiTheme="minorHAnsi" w:cstheme="minorHAnsi"/>
          <w:color w:val="000000"/>
          <w:szCs w:val="24"/>
          <w:shd w:val="clear" w:color="auto" w:fill="FFFFFF"/>
        </w:rPr>
        <w:t xml:space="preserve"> ratio (ICER) was high at the proposed price and a price reduction </w:t>
      </w:r>
      <w:r w:rsidR="003C01F5" w:rsidRPr="00A862C6">
        <w:rPr>
          <w:rFonts w:asciiTheme="minorHAnsi" w:hAnsiTheme="minorHAnsi" w:cstheme="minorHAnsi"/>
          <w:color w:val="000000"/>
          <w:szCs w:val="24"/>
          <w:shd w:val="clear" w:color="auto" w:fill="FFFFFF"/>
        </w:rPr>
        <w:t xml:space="preserve">would be </w:t>
      </w:r>
      <w:r w:rsidRPr="00A862C6">
        <w:rPr>
          <w:rFonts w:asciiTheme="minorHAnsi" w:hAnsiTheme="minorHAnsi" w:cstheme="minorHAnsi"/>
          <w:color w:val="000000"/>
          <w:szCs w:val="24"/>
          <w:shd w:val="clear" w:color="auto" w:fill="FFFFFF"/>
        </w:rPr>
        <w:t xml:space="preserve">required to ensure nivolumab </w:t>
      </w:r>
      <w:r w:rsidR="00982EEA">
        <w:rPr>
          <w:rFonts w:asciiTheme="minorHAnsi" w:hAnsiTheme="minorHAnsi" w:cstheme="minorHAnsi"/>
          <w:color w:val="000000"/>
          <w:szCs w:val="24"/>
          <w:shd w:val="clear" w:color="auto" w:fill="FFFFFF"/>
        </w:rPr>
        <w:t>i</w:t>
      </w:r>
      <w:r w:rsidRPr="00A862C6">
        <w:rPr>
          <w:rFonts w:asciiTheme="minorHAnsi" w:hAnsiTheme="minorHAnsi" w:cstheme="minorHAnsi"/>
          <w:color w:val="000000"/>
          <w:szCs w:val="24"/>
          <w:shd w:val="clear" w:color="auto" w:fill="FFFFFF"/>
        </w:rPr>
        <w:t>s cost-effective in this population.</w:t>
      </w:r>
    </w:p>
    <w:p w:rsidR="00715F7D" w:rsidRPr="00A862C6" w:rsidRDefault="009846D9" w:rsidP="00DD46F0">
      <w:pPr>
        <w:numPr>
          <w:ilvl w:val="1"/>
          <w:numId w:val="2"/>
        </w:numPr>
        <w:spacing w:after="120"/>
        <w:rPr>
          <w:rFonts w:asciiTheme="minorHAnsi" w:hAnsiTheme="minorHAnsi"/>
          <w:bCs/>
        </w:rPr>
      </w:pPr>
      <w:r w:rsidRPr="00A862C6">
        <w:rPr>
          <w:rFonts w:asciiTheme="minorHAnsi" w:hAnsiTheme="minorHAnsi"/>
          <w:bCs/>
        </w:rPr>
        <w:t>The PBAC was satisfied that nivolumab provide</w:t>
      </w:r>
      <w:r w:rsidR="005C669C" w:rsidRPr="00A862C6">
        <w:rPr>
          <w:rFonts w:asciiTheme="minorHAnsi" w:hAnsiTheme="minorHAnsi"/>
          <w:bCs/>
        </w:rPr>
        <w:t>d</w:t>
      </w:r>
      <w:r w:rsidRPr="00A862C6">
        <w:rPr>
          <w:rFonts w:asciiTheme="minorHAnsi" w:hAnsiTheme="minorHAnsi"/>
          <w:bCs/>
        </w:rPr>
        <w:t xml:space="preserve">, for some patients, a significant improvement in efficacy and reduction in toxicity over </w:t>
      </w:r>
      <w:r w:rsidR="000408B0" w:rsidRPr="00A862C6">
        <w:rPr>
          <w:rFonts w:asciiTheme="minorHAnsi" w:hAnsiTheme="minorHAnsi"/>
          <w:bCs/>
        </w:rPr>
        <w:t>the nominated comparator</w:t>
      </w:r>
      <w:r w:rsidR="0046422E">
        <w:rPr>
          <w:rFonts w:asciiTheme="minorHAnsi" w:hAnsiTheme="minorHAnsi"/>
          <w:bCs/>
        </w:rPr>
        <w:t xml:space="preserve"> of</w:t>
      </w:r>
      <w:r w:rsidR="000408B0" w:rsidRPr="00A862C6">
        <w:rPr>
          <w:rFonts w:asciiTheme="minorHAnsi" w:hAnsiTheme="minorHAnsi"/>
          <w:bCs/>
        </w:rPr>
        <w:t xml:space="preserve"> </w:t>
      </w:r>
      <w:r w:rsidRPr="00A862C6">
        <w:rPr>
          <w:rFonts w:asciiTheme="minorHAnsi" w:hAnsiTheme="minorHAnsi"/>
          <w:bCs/>
        </w:rPr>
        <w:t>single agent chemotherapy</w:t>
      </w:r>
      <w:r w:rsidR="000408B0" w:rsidRPr="00A862C6">
        <w:rPr>
          <w:rFonts w:asciiTheme="minorHAnsi" w:hAnsiTheme="minorHAnsi"/>
          <w:bCs/>
        </w:rPr>
        <w:t xml:space="preserve"> (paclitaxel, docetaxel or irinotecan)</w:t>
      </w:r>
      <w:r w:rsidR="00A862C6">
        <w:rPr>
          <w:rFonts w:asciiTheme="minorHAnsi" w:hAnsiTheme="minorHAnsi"/>
          <w:bCs/>
        </w:rPr>
        <w:t xml:space="preserve">. </w:t>
      </w:r>
      <w:r w:rsidRPr="00A862C6">
        <w:rPr>
          <w:rFonts w:asciiTheme="minorHAnsi" w:hAnsiTheme="minorHAnsi"/>
          <w:bCs/>
        </w:rPr>
        <w:t xml:space="preserve"> The PBAC noted that </w:t>
      </w:r>
      <w:r w:rsidR="003D1B2F" w:rsidRPr="00A862C6">
        <w:rPr>
          <w:rFonts w:asciiTheme="minorHAnsi" w:hAnsiTheme="minorHAnsi"/>
          <w:bCs/>
        </w:rPr>
        <w:t>although</w:t>
      </w:r>
      <w:r w:rsidRPr="00A862C6">
        <w:rPr>
          <w:rFonts w:asciiTheme="minorHAnsi" w:hAnsiTheme="minorHAnsi"/>
          <w:bCs/>
        </w:rPr>
        <w:t xml:space="preserve"> irinotecan </w:t>
      </w:r>
      <w:r w:rsidRPr="00A862C6">
        <w:t>was nominated as a comparator, the submission did not present any clinical evidence comparing nivolumab to irinotecan or include</w:t>
      </w:r>
      <w:r w:rsidR="008C2588" w:rsidRPr="00A862C6">
        <w:t xml:space="preserve"> it </w:t>
      </w:r>
      <w:r w:rsidRPr="00A862C6">
        <w:t>in the</w:t>
      </w:r>
      <w:r w:rsidR="00DF5FF5" w:rsidRPr="00A862C6">
        <w:t xml:space="preserve"> </w:t>
      </w:r>
      <w:r w:rsidRPr="00A862C6">
        <w:t xml:space="preserve">economic analysis; however, the PBAC considered </w:t>
      </w:r>
      <w:r w:rsidR="00EA7FC0" w:rsidRPr="00A862C6">
        <w:t xml:space="preserve">this was </w:t>
      </w:r>
      <w:r w:rsidR="008C102A" w:rsidRPr="00A862C6">
        <w:t xml:space="preserve">reasonable </w:t>
      </w:r>
      <w:r w:rsidR="00EA7FC0" w:rsidRPr="00A862C6">
        <w:t xml:space="preserve">as </w:t>
      </w:r>
      <w:r w:rsidR="00636081" w:rsidRPr="00A862C6">
        <w:t xml:space="preserve">most </w:t>
      </w:r>
      <w:r w:rsidR="008C102A" w:rsidRPr="00A862C6">
        <w:t xml:space="preserve">patients would receive docetaxel </w:t>
      </w:r>
      <w:r w:rsidR="00DF5FF5" w:rsidRPr="00A862C6">
        <w:t>or paclitaxel as a 2L treatment</w:t>
      </w:r>
      <w:r w:rsidR="00A862C6">
        <w:t xml:space="preserve">. </w:t>
      </w:r>
      <w:r w:rsidR="000C4369" w:rsidRPr="00A862C6">
        <w:rPr>
          <w:rFonts w:asciiTheme="minorHAnsi" w:hAnsiTheme="minorHAnsi"/>
          <w:bCs/>
        </w:rPr>
        <w:t xml:space="preserve"> </w:t>
      </w:r>
    </w:p>
    <w:p w:rsidR="00715F7D" w:rsidRPr="003C1988" w:rsidRDefault="005522D3" w:rsidP="00DD46F0">
      <w:pPr>
        <w:numPr>
          <w:ilvl w:val="1"/>
          <w:numId w:val="2"/>
        </w:numPr>
        <w:spacing w:after="120"/>
        <w:rPr>
          <w:rFonts w:asciiTheme="minorHAnsi" w:hAnsiTheme="minorHAnsi"/>
          <w:bCs/>
        </w:rPr>
      </w:pPr>
      <w:r w:rsidRPr="00A862C6">
        <w:t xml:space="preserve">The PBAC </w:t>
      </w:r>
      <w:r w:rsidR="001B0253" w:rsidRPr="00A862C6">
        <w:t xml:space="preserve">considered </w:t>
      </w:r>
      <w:r w:rsidRPr="00A862C6">
        <w:t xml:space="preserve">there is </w:t>
      </w:r>
      <w:r w:rsidRPr="003C1988">
        <w:t xml:space="preserve">a </w:t>
      </w:r>
      <w:r w:rsidR="00013D38" w:rsidRPr="003C1988">
        <w:t xml:space="preserve">moderate </w:t>
      </w:r>
      <w:r w:rsidRPr="003C1988">
        <w:t>need for</w:t>
      </w:r>
      <w:r w:rsidRPr="00A862C6">
        <w:t xml:space="preserve"> </w:t>
      </w:r>
      <w:r w:rsidR="0082693C">
        <w:t xml:space="preserve">more </w:t>
      </w:r>
      <w:r w:rsidRPr="00A862C6">
        <w:t xml:space="preserve">effective treatments in advanced or metastatic OSCC, given the poor prognosis for patients </w:t>
      </w:r>
      <w:r w:rsidR="00F031BF" w:rsidRPr="00A862C6">
        <w:t xml:space="preserve">and the poor </w:t>
      </w:r>
      <w:r w:rsidR="00F031BF" w:rsidRPr="003C1988">
        <w:t>efficacy and high toxicity of current treatments</w:t>
      </w:r>
      <w:r w:rsidRPr="003C1988">
        <w:t>. The PBAC noted this was supported by the consumer comments received for this submission.</w:t>
      </w:r>
    </w:p>
    <w:p w:rsidR="00715F7D" w:rsidRPr="003C1988" w:rsidRDefault="00021DB3" w:rsidP="00DD46F0">
      <w:pPr>
        <w:pStyle w:val="ListParagraph"/>
        <w:widowControl/>
        <w:numPr>
          <w:ilvl w:val="1"/>
          <w:numId w:val="2"/>
        </w:numPr>
        <w:rPr>
          <w:iCs/>
        </w:rPr>
      </w:pPr>
      <w:r w:rsidRPr="003C1988">
        <w:rPr>
          <w:rFonts w:asciiTheme="minorHAnsi" w:hAnsiTheme="minorHAnsi"/>
          <w:bCs/>
        </w:rPr>
        <w:t xml:space="preserve">The PBAC </w:t>
      </w:r>
      <w:r w:rsidR="00D2244F" w:rsidRPr="003C1988">
        <w:rPr>
          <w:rFonts w:asciiTheme="minorHAnsi" w:hAnsiTheme="minorHAnsi"/>
          <w:bCs/>
        </w:rPr>
        <w:t>noted</w:t>
      </w:r>
      <w:r w:rsidRPr="003C1988">
        <w:rPr>
          <w:rFonts w:asciiTheme="minorHAnsi" w:hAnsiTheme="minorHAnsi"/>
          <w:bCs/>
        </w:rPr>
        <w:t xml:space="preserve"> that </w:t>
      </w:r>
      <w:r w:rsidR="00D2244F" w:rsidRPr="003C1988">
        <w:t xml:space="preserve">the proposed PBS </w:t>
      </w:r>
      <w:r w:rsidR="00786AA5" w:rsidRPr="003C1988">
        <w:t>listing</w:t>
      </w:r>
      <w:r w:rsidR="00D2244F" w:rsidRPr="003C1988">
        <w:t xml:space="preserve"> did not restrict nivolumab use to 2L treatment only, and patients could access nivolumab as 3L therapy. The PBAC considered that </w:t>
      </w:r>
      <w:r w:rsidR="00D2244F" w:rsidRPr="003C1988">
        <w:rPr>
          <w:iCs/>
        </w:rPr>
        <w:t>the majority of use would be in the 2L setting</w:t>
      </w:r>
      <w:r w:rsidR="00AD7540" w:rsidRPr="003C1988">
        <w:rPr>
          <w:iCs/>
        </w:rPr>
        <w:t>, consistent with the clinical evidence provided in the submission,</w:t>
      </w:r>
      <w:r w:rsidR="00D2244F" w:rsidRPr="003C1988">
        <w:rPr>
          <w:iCs/>
        </w:rPr>
        <w:t xml:space="preserve"> and that the requested listing was reasonable.</w:t>
      </w:r>
    </w:p>
    <w:p w:rsidR="00715F7D" w:rsidRPr="003C1988" w:rsidRDefault="00EE021C" w:rsidP="00DD46F0">
      <w:pPr>
        <w:pStyle w:val="ListParagraph"/>
        <w:widowControl/>
        <w:numPr>
          <w:ilvl w:val="1"/>
          <w:numId w:val="2"/>
        </w:numPr>
        <w:rPr>
          <w:rFonts w:asciiTheme="minorHAnsi" w:hAnsiTheme="minorHAnsi"/>
          <w:bCs/>
        </w:rPr>
      </w:pPr>
      <w:r w:rsidRPr="003C1988">
        <w:t xml:space="preserve">The submission was based on one head-to-head randomised, phase 3, open-label multi-centre trial (ATTRACTION-3; N=419) comparing nivolumab to </w:t>
      </w:r>
      <w:r w:rsidR="008C2588" w:rsidRPr="003C1988">
        <w:t>investigator’s choice (</w:t>
      </w:r>
      <w:r w:rsidRPr="003C1988">
        <w:t>IC</w:t>
      </w:r>
      <w:r w:rsidR="008C2588" w:rsidRPr="003C1988">
        <w:t>)</w:t>
      </w:r>
      <w:r w:rsidRPr="003C1988">
        <w:t xml:space="preserve"> of docetaxel or paclitaxel, in patients with OSCC refractory or intolerant to combination therapy with FP-based therapy.</w:t>
      </w:r>
      <w:r w:rsidR="00F700BA" w:rsidRPr="003C1988">
        <w:t xml:space="preserve"> The PBAC noted that there was a statistical</w:t>
      </w:r>
      <w:r w:rsidR="006F3748" w:rsidRPr="003C1988">
        <w:t>ly</w:t>
      </w:r>
      <w:r w:rsidR="00F700BA" w:rsidRPr="003C1988">
        <w:t xml:space="preserve"> significant OS benefit associated with nivolumab (HR=0.79</w:t>
      </w:r>
      <w:r w:rsidR="008C2588" w:rsidRPr="003C1988">
        <w:t xml:space="preserve">, 95% CI: </w:t>
      </w:r>
      <w:r w:rsidR="00983FB0" w:rsidRPr="003C1988">
        <w:t>0.64, 0.97</w:t>
      </w:r>
      <w:r w:rsidR="00F700BA" w:rsidRPr="003C1988">
        <w:t>)</w:t>
      </w:r>
      <w:r w:rsidR="00013D38" w:rsidRPr="003C1988">
        <w:t xml:space="preserve"> </w:t>
      </w:r>
      <w:r w:rsidR="00F700BA" w:rsidRPr="003C1988">
        <w:t>with the median survival improving from 8.5 to 10.9 months, and the 24-month</w:t>
      </w:r>
      <w:r w:rsidR="00F700BA" w:rsidRPr="0082693C">
        <w:t xml:space="preserve"> survival rate improving from 13.5% to 20.2%</w:t>
      </w:r>
      <w:r w:rsidR="00A862C6" w:rsidRPr="0082693C">
        <w:t xml:space="preserve">. </w:t>
      </w:r>
      <w:r w:rsidR="00FC4F53" w:rsidRPr="0082693C">
        <w:rPr>
          <w:rFonts w:asciiTheme="minorHAnsi" w:hAnsiTheme="minorHAnsi"/>
          <w:bCs/>
        </w:rPr>
        <w:t>Th</w:t>
      </w:r>
      <w:r w:rsidR="00763024" w:rsidRPr="0082693C">
        <w:rPr>
          <w:rFonts w:asciiTheme="minorHAnsi" w:hAnsiTheme="minorHAnsi"/>
          <w:bCs/>
        </w:rPr>
        <w:t xml:space="preserve">e PBAC noted that there was a </w:t>
      </w:r>
      <w:r w:rsidR="00114D84" w:rsidRPr="0082693C">
        <w:rPr>
          <w:rFonts w:asciiTheme="minorHAnsi" w:hAnsiTheme="minorHAnsi"/>
          <w:bCs/>
        </w:rPr>
        <w:t>higher</w:t>
      </w:r>
      <w:r w:rsidR="00114D84" w:rsidRPr="00A862C6">
        <w:rPr>
          <w:rFonts w:asciiTheme="minorHAnsi" w:hAnsiTheme="minorHAnsi"/>
          <w:bCs/>
        </w:rPr>
        <w:t xml:space="preserve"> </w:t>
      </w:r>
      <w:r w:rsidR="0062544E" w:rsidRPr="00A862C6">
        <w:rPr>
          <w:rFonts w:asciiTheme="minorHAnsi" w:hAnsiTheme="minorHAnsi"/>
          <w:bCs/>
        </w:rPr>
        <w:t xml:space="preserve">hazard </w:t>
      </w:r>
      <w:r w:rsidR="00763024" w:rsidRPr="00A862C6">
        <w:rPr>
          <w:rFonts w:asciiTheme="minorHAnsi" w:hAnsiTheme="minorHAnsi"/>
          <w:bCs/>
        </w:rPr>
        <w:t xml:space="preserve">of death associated with nivolumab in the </w:t>
      </w:r>
      <w:r w:rsidR="00FC4F53" w:rsidRPr="00A862C6">
        <w:rPr>
          <w:rFonts w:asciiTheme="minorHAnsi" w:hAnsiTheme="minorHAnsi"/>
          <w:bCs/>
        </w:rPr>
        <w:t xml:space="preserve">first few months of </w:t>
      </w:r>
      <w:r w:rsidR="00763024" w:rsidRPr="00A862C6">
        <w:rPr>
          <w:rFonts w:asciiTheme="minorHAnsi" w:hAnsiTheme="minorHAnsi"/>
          <w:bCs/>
        </w:rPr>
        <w:t xml:space="preserve">treatment, with the </w:t>
      </w:r>
      <w:r w:rsidR="00FC4F53" w:rsidRPr="00A862C6">
        <w:rPr>
          <w:rFonts w:asciiTheme="minorHAnsi" w:hAnsiTheme="minorHAnsi"/>
          <w:bCs/>
        </w:rPr>
        <w:t xml:space="preserve">survival curves </w:t>
      </w:r>
      <w:r w:rsidR="00763024" w:rsidRPr="00A862C6">
        <w:rPr>
          <w:rFonts w:asciiTheme="minorHAnsi" w:hAnsiTheme="minorHAnsi"/>
          <w:bCs/>
        </w:rPr>
        <w:t>crossing around the five-month time point</w:t>
      </w:r>
      <w:r w:rsidR="00FC4F53" w:rsidRPr="00A862C6">
        <w:rPr>
          <w:rFonts w:asciiTheme="minorHAnsi" w:hAnsiTheme="minorHAnsi"/>
          <w:bCs/>
        </w:rPr>
        <w:t>; however,</w:t>
      </w:r>
      <w:r w:rsidR="00763024" w:rsidRPr="00A862C6">
        <w:rPr>
          <w:rFonts w:asciiTheme="minorHAnsi" w:hAnsiTheme="minorHAnsi"/>
          <w:bCs/>
        </w:rPr>
        <w:t xml:space="preserve"> it acknowledged this</w:t>
      </w:r>
      <w:r w:rsidR="00EF087E" w:rsidRPr="00A862C6">
        <w:rPr>
          <w:rFonts w:asciiTheme="minorHAnsi" w:hAnsiTheme="minorHAnsi"/>
          <w:bCs/>
        </w:rPr>
        <w:t xml:space="preserve"> has been observed in other</w:t>
      </w:r>
      <w:r w:rsidR="00763024" w:rsidRPr="00A862C6">
        <w:rPr>
          <w:rFonts w:asciiTheme="minorHAnsi" w:hAnsiTheme="minorHAnsi"/>
          <w:bCs/>
        </w:rPr>
        <w:t xml:space="preserve"> </w:t>
      </w:r>
      <w:r w:rsidR="00763024" w:rsidRPr="00A862C6">
        <w:t xml:space="preserve">immunotherapy versus chemotherapy studies, and considered that the survival benefit was meaningful for those patients who responded to immunotherapy. </w:t>
      </w:r>
      <w:r w:rsidR="006F3748" w:rsidRPr="00A862C6">
        <w:t>The PBAC noted there was no difference in ORR</w:t>
      </w:r>
      <w:r w:rsidR="00716AB6" w:rsidRPr="00A862C6">
        <w:t xml:space="preserve">, </w:t>
      </w:r>
      <w:r w:rsidR="006F3748" w:rsidRPr="00A862C6">
        <w:t xml:space="preserve">DCR or </w:t>
      </w:r>
      <w:r w:rsidR="00716AB6" w:rsidRPr="00A862C6">
        <w:t xml:space="preserve">PFS </w:t>
      </w:r>
      <w:r w:rsidR="006F3748" w:rsidRPr="00A862C6">
        <w:t xml:space="preserve">between nivolumab and IC. </w:t>
      </w:r>
      <w:r w:rsidR="003459FF" w:rsidRPr="00A862C6">
        <w:t>However, t</w:t>
      </w:r>
      <w:r w:rsidR="006F3748" w:rsidRPr="00A862C6">
        <w:t>he PBAC considered there was likely to be quality of life benefits given the</w:t>
      </w:r>
      <w:r w:rsidR="00FC4F53" w:rsidRPr="00A862C6">
        <w:t xml:space="preserve"> lower </w:t>
      </w:r>
      <w:r w:rsidR="00FC4F53" w:rsidRPr="003C1988">
        <w:t xml:space="preserve">rate of </w:t>
      </w:r>
      <w:r w:rsidR="006F3748" w:rsidRPr="003C1988">
        <w:t xml:space="preserve">AEs </w:t>
      </w:r>
      <w:r w:rsidR="00FC4F53" w:rsidRPr="003C1988">
        <w:t xml:space="preserve">observed in patients treated with </w:t>
      </w:r>
      <w:r w:rsidR="006F3748" w:rsidRPr="003C1988">
        <w:t>nivolumab compared to IC chemotherapy</w:t>
      </w:r>
      <w:r w:rsidR="00A862C6" w:rsidRPr="003C1988">
        <w:t xml:space="preserve">. </w:t>
      </w:r>
      <w:r w:rsidR="006F3748" w:rsidRPr="003C1988">
        <w:t xml:space="preserve"> </w:t>
      </w:r>
      <w:r w:rsidR="00013D38" w:rsidRPr="003C1988">
        <w:t xml:space="preserve">The PBAC considered nivolumab provided a </w:t>
      </w:r>
      <w:r w:rsidR="0046422E" w:rsidRPr="003C1988">
        <w:t xml:space="preserve">moderate </w:t>
      </w:r>
      <w:r w:rsidR="00013D38" w:rsidRPr="003C1988">
        <w:t xml:space="preserve">added benefit with a </w:t>
      </w:r>
      <w:r w:rsidR="002504DD" w:rsidRPr="003C1988">
        <w:t xml:space="preserve">small </w:t>
      </w:r>
      <w:r w:rsidR="00013D38" w:rsidRPr="003C1988">
        <w:t>increase in median OS, some improvement in quality of life</w:t>
      </w:r>
      <w:r w:rsidR="0046422E" w:rsidRPr="003C1988">
        <w:t>,</w:t>
      </w:r>
      <w:r w:rsidR="00013D38" w:rsidRPr="003C1988">
        <w:t xml:space="preserve"> and a moderate reduction i</w:t>
      </w:r>
      <w:r w:rsidR="00271F05" w:rsidRPr="003C1988">
        <w:t>n</w:t>
      </w:r>
      <w:r w:rsidR="00013D38" w:rsidRPr="003C1988">
        <w:t xml:space="preserve"> adverse events</w:t>
      </w:r>
      <w:r w:rsidR="00A862C6" w:rsidRPr="003C1988">
        <w:t xml:space="preserve">. </w:t>
      </w:r>
      <w:r w:rsidR="00013D38" w:rsidRPr="003C1988">
        <w:t xml:space="preserve"> </w:t>
      </w:r>
    </w:p>
    <w:p w:rsidR="003B34A7" w:rsidRPr="00103EB4" w:rsidRDefault="0078044A" w:rsidP="004F5C16">
      <w:pPr>
        <w:numPr>
          <w:ilvl w:val="1"/>
          <w:numId w:val="2"/>
        </w:numPr>
        <w:spacing w:after="120"/>
      </w:pPr>
      <w:r w:rsidRPr="003C1988">
        <w:t xml:space="preserve">The PBAC noted the </w:t>
      </w:r>
      <w:r w:rsidR="00EF087E" w:rsidRPr="003C1988">
        <w:t xml:space="preserve">base case </w:t>
      </w:r>
      <w:r w:rsidRPr="003C1988">
        <w:t xml:space="preserve">ICER </w:t>
      </w:r>
      <w:r w:rsidR="00EF087E" w:rsidRPr="003C1988">
        <w:t xml:space="preserve">presented in the submission was </w:t>
      </w:r>
      <w:r w:rsidR="004F5C16" w:rsidRPr="004F5C16">
        <w:t xml:space="preserve">$55,000 to &lt; $75,000 </w:t>
      </w:r>
      <w:r w:rsidR="00EF087E" w:rsidRPr="003C1988">
        <w:t>per QALY gained</w:t>
      </w:r>
      <w:r w:rsidR="00A862C6" w:rsidRPr="003C1988">
        <w:t xml:space="preserve">. </w:t>
      </w:r>
      <w:r w:rsidR="00CE6EFB" w:rsidRPr="003C1988">
        <w:t xml:space="preserve">The PBAC considered this ICER was of low certainty with </w:t>
      </w:r>
      <w:r w:rsidR="00B1535F" w:rsidRPr="003C1988">
        <w:t xml:space="preserve">the </w:t>
      </w:r>
      <w:r w:rsidR="00CE6EFB" w:rsidRPr="003C1988">
        <w:t xml:space="preserve">economic model sensitive to time horizon and utility assumptions. </w:t>
      </w:r>
      <w:r w:rsidR="00EF087E" w:rsidRPr="003C1988">
        <w:t>The PBAC noted th</w:t>
      </w:r>
      <w:r w:rsidR="00CE6EFB" w:rsidRPr="003C1988">
        <w:t xml:space="preserve">e base case ICER </w:t>
      </w:r>
      <w:r w:rsidR="00103EB4" w:rsidRPr="003C1988">
        <w:t>assumed</w:t>
      </w:r>
      <w:r w:rsidR="00EF087E" w:rsidRPr="003C1988">
        <w:t xml:space="preserve"> a modelled time horizon of 7 years and appl</w:t>
      </w:r>
      <w:r w:rsidR="00420DF4" w:rsidRPr="003C1988">
        <w:t>ied</w:t>
      </w:r>
      <w:r w:rsidR="00EF087E" w:rsidRPr="00A862C6">
        <w:t xml:space="preserve"> treatment-specific utilities in the pre-progression and p</w:t>
      </w:r>
      <w:r w:rsidR="003F41D9" w:rsidRPr="00A862C6">
        <w:t xml:space="preserve">ost-progression health states. </w:t>
      </w:r>
      <w:r w:rsidR="00EF087E" w:rsidRPr="00A862C6">
        <w:t xml:space="preserve">The PBAC considered a 5 year time horizon was appropriate in this patient population and that applying curve convergence between 3 and 5 years was appropriate. The PBAC considered it </w:t>
      </w:r>
      <w:r w:rsidR="003F41D9" w:rsidRPr="00A862C6">
        <w:t xml:space="preserve">was reasonable </w:t>
      </w:r>
      <w:r w:rsidR="00EF087E" w:rsidRPr="00A862C6">
        <w:t>to use treatment-specific utilities in the pre-progression health state but not in the post-progression health state</w:t>
      </w:r>
      <w:r w:rsidR="003F41D9" w:rsidRPr="00A862C6">
        <w:t xml:space="preserve"> as that would substantially overestimate the </w:t>
      </w:r>
      <w:r w:rsidR="003F41D9" w:rsidRPr="00103EB4">
        <w:t xml:space="preserve">utility gain over </w:t>
      </w:r>
      <w:r w:rsidR="003F41D9" w:rsidRPr="003C1988">
        <w:t>the time horizon of the model</w:t>
      </w:r>
      <w:r w:rsidR="00EF087E" w:rsidRPr="003C1988">
        <w:t xml:space="preserve">. </w:t>
      </w:r>
      <w:r w:rsidR="003F41D9" w:rsidRPr="003C1988">
        <w:t>The PBAC noted the revised ICER applying the</w:t>
      </w:r>
      <w:r w:rsidR="0062544E" w:rsidRPr="003C1988">
        <w:t xml:space="preserve">se </w:t>
      </w:r>
      <w:r w:rsidR="00CE6EFB" w:rsidRPr="003C1988">
        <w:t xml:space="preserve">assumptions </w:t>
      </w:r>
      <w:r w:rsidR="0062544E" w:rsidRPr="003C1988">
        <w:t xml:space="preserve">to the economic model </w:t>
      </w:r>
      <w:r w:rsidRPr="003C1988">
        <w:t xml:space="preserve">was </w:t>
      </w:r>
      <w:r w:rsidR="004F5C16" w:rsidRPr="004F5C16">
        <w:t>$115,000 to &lt; $135,000</w:t>
      </w:r>
      <w:r w:rsidR="004F5C16">
        <w:t xml:space="preserve"> </w:t>
      </w:r>
      <w:r w:rsidR="00CE6EFB" w:rsidRPr="003C1988">
        <w:t>and considered this was of high certainty</w:t>
      </w:r>
      <w:r w:rsidR="003F41D9" w:rsidRPr="003C1988">
        <w:t>. The PBAC considered nivolumab would be cost-effective in this population with an</w:t>
      </w:r>
      <w:r w:rsidR="003F41D9" w:rsidRPr="00103EB4">
        <w:t xml:space="preserve"> </w:t>
      </w:r>
      <w:r w:rsidRPr="00103EB4">
        <w:t xml:space="preserve">ICER </w:t>
      </w:r>
      <w:r w:rsidR="00103EB4" w:rsidRPr="00103EB4">
        <w:t xml:space="preserve">less than </w:t>
      </w:r>
      <w:r w:rsidR="004F5C16">
        <w:t>$55,000 to &lt; $75,000</w:t>
      </w:r>
      <w:r w:rsidR="00A862C6" w:rsidRPr="00103EB4">
        <w:t xml:space="preserve">. </w:t>
      </w:r>
    </w:p>
    <w:p w:rsidR="00146EB5" w:rsidRPr="003C1988" w:rsidRDefault="00177BAF" w:rsidP="00146EB5">
      <w:pPr>
        <w:pStyle w:val="ListParagraph"/>
        <w:numPr>
          <w:ilvl w:val="1"/>
          <w:numId w:val="2"/>
        </w:numPr>
      </w:pPr>
      <w:r w:rsidRPr="00146EB5">
        <w:rPr>
          <w:rFonts w:asciiTheme="minorHAnsi" w:hAnsiTheme="minorHAnsi" w:cstheme="minorHAnsi"/>
        </w:rPr>
        <w:t>The PBAC considered the revised estimates of utilisation provided in the pre-PBAC</w:t>
      </w:r>
      <w:r w:rsidRPr="00103EB4">
        <w:t xml:space="preserve"> response, which incorporated revisions recommended by the DUSC (paragraph 6.55 to paragraph 6.58), were reasonable. The PBAC noted an error in the calculation of cost-offsets identified during evaluation had not been corrected in the estimates provided</w:t>
      </w:r>
      <w:r w:rsidRPr="00A862C6">
        <w:t xml:space="preserve"> with the pre-PBAC response.</w:t>
      </w:r>
      <w:r w:rsidR="00B57A2D" w:rsidRPr="00A862C6">
        <w:t xml:space="preserve"> </w:t>
      </w:r>
      <w:r w:rsidR="00B57A2D" w:rsidRPr="003C1988">
        <w:t>The PBAC considered the financial estimates provided in the pre-PBAC response were of moderate certainty with the initial patient population reason</w:t>
      </w:r>
      <w:r w:rsidR="00146EB5" w:rsidRPr="003C1988">
        <w:t>ably well defined.</w:t>
      </w:r>
    </w:p>
    <w:p w:rsidR="00244205" w:rsidRPr="00244205" w:rsidRDefault="00146EB5" w:rsidP="00146EB5">
      <w:pPr>
        <w:pStyle w:val="ListParagraph"/>
        <w:numPr>
          <w:ilvl w:val="1"/>
          <w:numId w:val="2"/>
        </w:numPr>
      </w:pPr>
      <w:r w:rsidRPr="00244205">
        <w:t xml:space="preserve">The PBAC </w:t>
      </w:r>
      <w:r w:rsidR="00244205" w:rsidRPr="00244205">
        <w:t>considered the restriction criteria in paragraph 3.1 was appropriate with the following amendments:</w:t>
      </w:r>
    </w:p>
    <w:p w:rsidR="00244205" w:rsidRPr="00244205" w:rsidRDefault="00244205" w:rsidP="00244205">
      <w:pPr>
        <w:pStyle w:val="ListParagraph"/>
        <w:numPr>
          <w:ilvl w:val="0"/>
          <w:numId w:val="4"/>
        </w:numPr>
        <w:ind w:left="1134" w:hanging="425"/>
      </w:pPr>
      <w:r w:rsidRPr="00244205">
        <w:t>T</w:t>
      </w:r>
      <w:r w:rsidR="00146EB5" w:rsidRPr="00244205">
        <w:t xml:space="preserve">umour flares at the start of therapy in the context of this condition are </w:t>
      </w:r>
      <w:r w:rsidRPr="00244205">
        <w:t>unlikely to occur</w:t>
      </w:r>
      <w:r w:rsidR="00146EB5" w:rsidRPr="00244205">
        <w:t>.</w:t>
      </w:r>
      <w:r w:rsidRPr="00244205">
        <w:t xml:space="preserve"> </w:t>
      </w:r>
      <w:r w:rsidR="00146EB5" w:rsidRPr="00244205">
        <w:t>Therefore, the administrative note</w:t>
      </w:r>
      <w:r w:rsidRPr="00244205">
        <w:t xml:space="preserve"> in the initial restriction criteria regarding transient tumour flare was not required.  </w:t>
      </w:r>
    </w:p>
    <w:p w:rsidR="00146EB5" w:rsidRPr="00244205" w:rsidRDefault="00244205" w:rsidP="00244205">
      <w:pPr>
        <w:pStyle w:val="ListParagraph"/>
        <w:numPr>
          <w:ilvl w:val="0"/>
          <w:numId w:val="4"/>
        </w:numPr>
        <w:ind w:left="1134" w:hanging="425"/>
      </w:pPr>
      <w:r w:rsidRPr="00244205">
        <w:t>The addition of ‘PBS subsidised’ to the clinical criteria “</w:t>
      </w:r>
      <w:r w:rsidR="00146EB5" w:rsidRPr="00244205">
        <w:t>Patient must not have received prior treatment with a programmed cell death-1 (PD-1) inhibitor or a programmed cell death ligand-1 (PD-L1) inhibitor for this condition</w:t>
      </w:r>
      <w:r w:rsidRPr="00244205">
        <w:t>”</w:t>
      </w:r>
      <w:r>
        <w:t xml:space="preserve"> to ensure patients currently on treatment are not precluded from accessing nivolumab.</w:t>
      </w:r>
    </w:p>
    <w:p w:rsidR="00715F7D" w:rsidRPr="00A862C6" w:rsidRDefault="007D4056" w:rsidP="00DD46F0">
      <w:pPr>
        <w:numPr>
          <w:ilvl w:val="1"/>
          <w:numId w:val="2"/>
        </w:numPr>
        <w:spacing w:after="120"/>
        <w:rPr>
          <w:rFonts w:asciiTheme="minorHAnsi" w:hAnsiTheme="minorHAnsi" w:cstheme="minorHAnsi"/>
        </w:rPr>
      </w:pPr>
      <w:r w:rsidRPr="00244205">
        <w:rPr>
          <w:rFonts w:asciiTheme="minorHAnsi" w:hAnsiTheme="minorHAnsi" w:cstheme="minorHAnsi"/>
        </w:rPr>
        <w:t>The PBAC</w:t>
      </w:r>
      <w:r w:rsidRPr="00A862C6">
        <w:rPr>
          <w:rFonts w:asciiTheme="minorHAnsi" w:hAnsiTheme="minorHAnsi" w:cstheme="minorHAnsi"/>
        </w:rPr>
        <w:t xml:space="preserve"> found that the criteria prescribed by the </w:t>
      </w:r>
      <w:r w:rsidRPr="00A862C6">
        <w:rPr>
          <w:rFonts w:asciiTheme="minorHAnsi" w:hAnsiTheme="minorHAnsi" w:cstheme="minorHAnsi"/>
          <w:i/>
        </w:rPr>
        <w:t>National Health (Pharmaceuticals and Vaccines – Cost Recovery) Regulations 2009</w:t>
      </w:r>
      <w:r w:rsidRPr="00A862C6">
        <w:rPr>
          <w:rFonts w:asciiTheme="minorHAnsi" w:hAnsiTheme="minorHAnsi" w:cstheme="minorHAnsi"/>
        </w:rPr>
        <w:t xml:space="preserve"> for Pricing Pathway A were not met. Specifically, the PBAC found that in the circumstances of its recommendation for nivolumab:</w:t>
      </w:r>
    </w:p>
    <w:p w:rsidR="002C1B59" w:rsidRPr="002C1B59" w:rsidRDefault="007D4056" w:rsidP="00AB0D42">
      <w:pPr>
        <w:pStyle w:val="ListParagraph"/>
        <w:numPr>
          <w:ilvl w:val="0"/>
          <w:numId w:val="7"/>
        </w:numPr>
        <w:spacing w:after="120"/>
        <w:ind w:left="1054" w:hanging="357"/>
        <w:rPr>
          <w:rFonts w:asciiTheme="minorHAnsi" w:hAnsiTheme="minorHAnsi" w:cstheme="minorHAnsi"/>
          <w:b/>
        </w:rPr>
      </w:pPr>
      <w:r w:rsidRPr="002C1B59">
        <w:rPr>
          <w:rFonts w:asciiTheme="minorHAnsi" w:hAnsiTheme="minorHAnsi" w:cstheme="minorHAnsi"/>
        </w:rPr>
        <w:t xml:space="preserve">The treatment is not expected to provide a substantial and clinically relevant improvement in efficacy over alternative therapies. The PBAC considered this criteria was not met as the available evidence showed a </w:t>
      </w:r>
      <w:r w:rsidR="00325480" w:rsidRPr="002C1B59">
        <w:rPr>
          <w:rFonts w:asciiTheme="minorHAnsi" w:hAnsiTheme="minorHAnsi" w:cstheme="minorHAnsi"/>
        </w:rPr>
        <w:t xml:space="preserve">clinically relevant but small </w:t>
      </w:r>
      <w:r w:rsidRPr="002C1B59">
        <w:rPr>
          <w:rFonts w:asciiTheme="minorHAnsi" w:hAnsiTheme="minorHAnsi" w:cstheme="minorHAnsi"/>
        </w:rPr>
        <w:t>improvement in overall survival for some patients;</w:t>
      </w:r>
    </w:p>
    <w:p w:rsidR="002C1B59" w:rsidRPr="002C1B59" w:rsidRDefault="007D4056" w:rsidP="00AB0D42">
      <w:pPr>
        <w:pStyle w:val="ListParagraph"/>
        <w:numPr>
          <w:ilvl w:val="0"/>
          <w:numId w:val="7"/>
        </w:numPr>
        <w:spacing w:after="120"/>
        <w:ind w:left="1054" w:hanging="357"/>
        <w:rPr>
          <w:rFonts w:asciiTheme="minorHAnsi" w:hAnsiTheme="minorHAnsi" w:cstheme="minorHAnsi"/>
          <w:b/>
        </w:rPr>
      </w:pPr>
      <w:r w:rsidRPr="002C1B59">
        <w:rPr>
          <w:rFonts w:asciiTheme="minorHAnsi" w:hAnsiTheme="minorHAnsi" w:cstheme="minorHAnsi"/>
        </w:rPr>
        <w:t>The treatment is not expected to address a high and urgent unmet clinical need</w:t>
      </w:r>
      <w:r w:rsidR="00325480" w:rsidRPr="002C1B59">
        <w:rPr>
          <w:rFonts w:asciiTheme="minorHAnsi" w:hAnsiTheme="minorHAnsi" w:cstheme="minorHAnsi"/>
        </w:rPr>
        <w:t>. The PBAC considered this criteria was not met as other PBS-subsidised therapies were available</w:t>
      </w:r>
      <w:r w:rsidRPr="002C1B59">
        <w:rPr>
          <w:rFonts w:asciiTheme="minorHAnsi" w:hAnsiTheme="minorHAnsi" w:cstheme="minorHAnsi"/>
        </w:rPr>
        <w:t>;</w:t>
      </w:r>
    </w:p>
    <w:p w:rsidR="00715F7D" w:rsidRPr="002C1B59" w:rsidRDefault="007D4056" w:rsidP="00AB0D42">
      <w:pPr>
        <w:pStyle w:val="ListParagraph"/>
        <w:numPr>
          <w:ilvl w:val="0"/>
          <w:numId w:val="7"/>
        </w:numPr>
        <w:spacing w:after="120"/>
        <w:ind w:left="1054" w:hanging="357"/>
        <w:rPr>
          <w:rFonts w:asciiTheme="minorHAnsi" w:hAnsiTheme="minorHAnsi" w:cstheme="minorHAnsi"/>
          <w:b/>
        </w:rPr>
      </w:pPr>
      <w:r w:rsidRPr="002C1B59">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p>
    <w:p w:rsidR="00715F7D" w:rsidRPr="00A862C6" w:rsidRDefault="00600F0F" w:rsidP="00DD46F0">
      <w:pPr>
        <w:numPr>
          <w:ilvl w:val="1"/>
          <w:numId w:val="2"/>
        </w:numPr>
        <w:spacing w:after="120"/>
        <w:rPr>
          <w:rFonts w:asciiTheme="minorHAnsi" w:hAnsiTheme="minorHAnsi"/>
          <w:bCs/>
        </w:rPr>
      </w:pPr>
      <w:r w:rsidRPr="00A862C6">
        <w:t>The PBAC noted that this submission is not eligible for an Independent Review as it received a positive recommendation</w:t>
      </w:r>
      <w:r w:rsidRPr="00A862C6">
        <w:rPr>
          <w:rFonts w:asciiTheme="minorHAnsi" w:hAnsiTheme="minorHAnsi"/>
          <w:bCs/>
        </w:rPr>
        <w:t>.</w:t>
      </w:r>
    </w:p>
    <w:p w:rsidR="00715F7D" w:rsidRPr="00A862C6" w:rsidRDefault="00715F7D" w:rsidP="00715F7D">
      <w:pPr>
        <w:spacing w:before="240"/>
        <w:rPr>
          <w:rFonts w:asciiTheme="minorHAnsi" w:hAnsiTheme="minorHAnsi"/>
          <w:b/>
          <w:bCs/>
        </w:rPr>
      </w:pPr>
      <w:r w:rsidRPr="00A862C6">
        <w:rPr>
          <w:rFonts w:asciiTheme="minorHAnsi" w:hAnsiTheme="minorHAnsi"/>
          <w:b/>
          <w:bCs/>
        </w:rPr>
        <w:t>Outcome:</w:t>
      </w:r>
    </w:p>
    <w:p w:rsidR="00715F7D" w:rsidRPr="00A862C6" w:rsidRDefault="00225160" w:rsidP="00715F7D">
      <w:pPr>
        <w:rPr>
          <w:rFonts w:asciiTheme="minorHAnsi" w:hAnsiTheme="minorHAnsi"/>
          <w:bCs/>
        </w:rPr>
      </w:pPr>
      <w:r w:rsidRPr="00A862C6">
        <w:rPr>
          <w:rFonts w:asciiTheme="minorHAnsi" w:hAnsiTheme="minorHAnsi"/>
          <w:bCs/>
        </w:rPr>
        <w:t>Recommended</w:t>
      </w:r>
    </w:p>
    <w:p w:rsidR="00AF2F45" w:rsidRPr="00A862C6" w:rsidRDefault="00AF2F45" w:rsidP="00715F7D">
      <w:pPr>
        <w:rPr>
          <w:rFonts w:asciiTheme="minorHAnsi" w:hAnsiTheme="minorHAnsi"/>
          <w:b/>
          <w:bCs/>
        </w:rPr>
      </w:pPr>
    </w:p>
    <w:p w:rsidR="00A32E85" w:rsidRPr="00A862C6" w:rsidRDefault="00A32E85" w:rsidP="00DD46F0">
      <w:pPr>
        <w:pStyle w:val="2-SectionHeading"/>
        <w:numPr>
          <w:ilvl w:val="0"/>
          <w:numId w:val="2"/>
        </w:numPr>
      </w:pPr>
      <w:r w:rsidRPr="00A862C6">
        <w:t>Recommended listing</w:t>
      </w:r>
    </w:p>
    <w:p w:rsidR="00715F7D" w:rsidRPr="00A862C6" w:rsidRDefault="00FE6C73" w:rsidP="00DD46F0">
      <w:pPr>
        <w:numPr>
          <w:ilvl w:val="1"/>
          <w:numId w:val="2"/>
        </w:numPr>
        <w:spacing w:after="120"/>
        <w:rPr>
          <w:rFonts w:asciiTheme="minorHAnsi" w:hAnsiTheme="minorHAnsi"/>
          <w:b/>
          <w:bCs/>
        </w:rPr>
      </w:pPr>
      <w:r w:rsidRPr="00A862C6">
        <w:t>Add indication (advanced or metastatic squamous cell carcinoma of oesophagus)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701"/>
        <w:gridCol w:w="1933"/>
      </w:tblGrid>
      <w:tr w:rsidR="009B54A8" w:rsidRPr="00A862C6" w:rsidTr="00964109">
        <w:tc>
          <w:tcPr>
            <w:tcW w:w="2830" w:type="dxa"/>
            <w:shd w:val="clear" w:color="auto" w:fill="auto"/>
          </w:tcPr>
          <w:p w:rsidR="009B54A8" w:rsidRPr="00A862C6" w:rsidRDefault="009B54A8" w:rsidP="009B54A8">
            <w:pPr>
              <w:pStyle w:val="Tabletext"/>
              <w:rPr>
                <w:b/>
              </w:rPr>
            </w:pPr>
            <w:r w:rsidRPr="00A862C6">
              <w:rPr>
                <w:b/>
              </w:rPr>
              <w:t>MEDICINAL PRODUCT</w:t>
            </w:r>
          </w:p>
          <w:p w:rsidR="009B54A8" w:rsidRPr="00A862C6" w:rsidRDefault="009B54A8" w:rsidP="009B54A8">
            <w:pPr>
              <w:pStyle w:val="Tabletext"/>
            </w:pPr>
            <w:r w:rsidRPr="00A862C6">
              <w:rPr>
                <w:b/>
              </w:rPr>
              <w:t>Form</w:t>
            </w:r>
          </w:p>
        </w:tc>
        <w:tc>
          <w:tcPr>
            <w:tcW w:w="2552" w:type="dxa"/>
            <w:shd w:val="clear" w:color="auto" w:fill="auto"/>
          </w:tcPr>
          <w:p w:rsidR="009B54A8" w:rsidRPr="00A862C6" w:rsidRDefault="009B54A8" w:rsidP="00964109">
            <w:pPr>
              <w:pStyle w:val="Tabletext"/>
              <w:jc w:val="center"/>
              <w:rPr>
                <w:rFonts w:cs="Arial"/>
                <w:b/>
                <w:sz w:val="18"/>
                <w:szCs w:val="18"/>
              </w:rPr>
            </w:pPr>
            <w:r w:rsidRPr="00A862C6">
              <w:rPr>
                <w:rFonts w:cs="Arial"/>
                <w:b/>
                <w:sz w:val="18"/>
                <w:szCs w:val="18"/>
              </w:rPr>
              <w:t>PBS item code</w:t>
            </w:r>
          </w:p>
        </w:tc>
        <w:tc>
          <w:tcPr>
            <w:tcW w:w="1701" w:type="dxa"/>
            <w:shd w:val="clear" w:color="auto" w:fill="auto"/>
          </w:tcPr>
          <w:p w:rsidR="009B54A8" w:rsidRPr="00A862C6" w:rsidRDefault="009B54A8" w:rsidP="00964109">
            <w:pPr>
              <w:pStyle w:val="Tabletext"/>
              <w:jc w:val="center"/>
              <w:rPr>
                <w:rFonts w:cs="Arial"/>
                <w:b/>
                <w:sz w:val="18"/>
                <w:szCs w:val="18"/>
              </w:rPr>
            </w:pPr>
            <w:r w:rsidRPr="00A862C6">
              <w:rPr>
                <w:rFonts w:cs="Arial"/>
                <w:b/>
                <w:sz w:val="18"/>
                <w:szCs w:val="18"/>
              </w:rPr>
              <w:t>Maximum amount</w:t>
            </w:r>
          </w:p>
        </w:tc>
        <w:tc>
          <w:tcPr>
            <w:tcW w:w="1933" w:type="dxa"/>
            <w:shd w:val="clear" w:color="auto" w:fill="auto"/>
          </w:tcPr>
          <w:p w:rsidR="009B54A8" w:rsidRPr="00A862C6" w:rsidRDefault="009B54A8" w:rsidP="00964109">
            <w:pPr>
              <w:pStyle w:val="Tabletext"/>
              <w:jc w:val="center"/>
              <w:rPr>
                <w:rFonts w:cs="Arial"/>
                <w:b/>
                <w:sz w:val="18"/>
                <w:szCs w:val="18"/>
              </w:rPr>
            </w:pPr>
            <w:r w:rsidRPr="00A862C6">
              <w:rPr>
                <w:rFonts w:cs="Arial"/>
                <w:b/>
                <w:sz w:val="18"/>
                <w:szCs w:val="18"/>
              </w:rPr>
              <w:t>No. of Repeats</w:t>
            </w:r>
          </w:p>
        </w:tc>
      </w:tr>
      <w:tr w:rsidR="009B54A8" w:rsidRPr="00A862C6" w:rsidTr="00964109">
        <w:tc>
          <w:tcPr>
            <w:tcW w:w="2830" w:type="dxa"/>
          </w:tcPr>
          <w:p w:rsidR="009B54A8" w:rsidRPr="00A862C6" w:rsidRDefault="009B54A8" w:rsidP="00964109">
            <w:pPr>
              <w:pStyle w:val="Tabletext"/>
              <w:ind w:left="-57"/>
              <w:rPr>
                <w:rFonts w:cs="Arial"/>
                <w:sz w:val="18"/>
                <w:szCs w:val="18"/>
              </w:rPr>
            </w:pPr>
            <w:r w:rsidRPr="00A862C6">
              <w:rPr>
                <w:rFonts w:cs="Arial"/>
                <w:sz w:val="18"/>
                <w:szCs w:val="18"/>
              </w:rPr>
              <w:t>NIVOLUMAB</w:t>
            </w:r>
          </w:p>
          <w:p w:rsidR="009B54A8" w:rsidRPr="00A862C6" w:rsidRDefault="009B54A8" w:rsidP="00964109">
            <w:pPr>
              <w:pStyle w:val="Tabletext"/>
              <w:ind w:left="-57"/>
              <w:rPr>
                <w:rFonts w:cs="Arial"/>
                <w:sz w:val="18"/>
                <w:szCs w:val="18"/>
              </w:rPr>
            </w:pPr>
            <w:r w:rsidRPr="00A862C6">
              <w:rPr>
                <w:rFonts w:cs="Arial"/>
                <w:sz w:val="18"/>
                <w:szCs w:val="18"/>
              </w:rPr>
              <w:t>Injection</w:t>
            </w:r>
          </w:p>
          <w:p w:rsidR="009B54A8" w:rsidRPr="00A862C6" w:rsidRDefault="009B54A8" w:rsidP="00964109">
            <w:pPr>
              <w:pStyle w:val="Tabletext"/>
              <w:ind w:left="-57"/>
              <w:rPr>
                <w:rFonts w:cs="Arial"/>
                <w:sz w:val="18"/>
                <w:szCs w:val="18"/>
              </w:rPr>
            </w:pPr>
          </w:p>
        </w:tc>
        <w:tc>
          <w:tcPr>
            <w:tcW w:w="2552" w:type="dxa"/>
            <w:vAlign w:val="center"/>
          </w:tcPr>
          <w:p w:rsidR="009B54A8" w:rsidRPr="00A862C6" w:rsidRDefault="009B54A8" w:rsidP="00964109">
            <w:pPr>
              <w:pStyle w:val="Tabletext"/>
              <w:jc w:val="center"/>
              <w:rPr>
                <w:rFonts w:cs="Arial"/>
                <w:sz w:val="18"/>
                <w:szCs w:val="18"/>
              </w:rPr>
            </w:pPr>
            <w:r w:rsidRPr="00A862C6">
              <w:rPr>
                <w:rFonts w:cs="Arial"/>
                <w:sz w:val="18"/>
                <w:szCs w:val="18"/>
              </w:rPr>
              <w:t>New (Public)</w:t>
            </w:r>
          </w:p>
          <w:p w:rsidR="009B54A8" w:rsidRPr="00A862C6" w:rsidRDefault="009B54A8" w:rsidP="00964109">
            <w:pPr>
              <w:pStyle w:val="Tabletext"/>
              <w:jc w:val="center"/>
              <w:rPr>
                <w:rFonts w:cs="Arial"/>
                <w:sz w:val="18"/>
                <w:szCs w:val="18"/>
              </w:rPr>
            </w:pPr>
            <w:r w:rsidRPr="00A862C6">
              <w:rPr>
                <w:rFonts w:cs="Arial"/>
                <w:sz w:val="18"/>
                <w:szCs w:val="18"/>
              </w:rPr>
              <w:t>New (Private)</w:t>
            </w:r>
          </w:p>
        </w:tc>
        <w:tc>
          <w:tcPr>
            <w:tcW w:w="1701" w:type="dxa"/>
            <w:vAlign w:val="center"/>
          </w:tcPr>
          <w:p w:rsidR="009B54A8" w:rsidRPr="00A862C6" w:rsidRDefault="009B54A8" w:rsidP="00964109">
            <w:pPr>
              <w:pStyle w:val="Tabletext"/>
              <w:jc w:val="center"/>
              <w:rPr>
                <w:rFonts w:cs="Arial"/>
                <w:sz w:val="18"/>
                <w:szCs w:val="18"/>
              </w:rPr>
            </w:pPr>
            <w:r w:rsidRPr="00A862C6">
              <w:rPr>
                <w:rFonts w:cs="Arial"/>
                <w:sz w:val="18"/>
                <w:szCs w:val="18"/>
              </w:rPr>
              <w:t>480 mg</w:t>
            </w:r>
          </w:p>
        </w:tc>
        <w:tc>
          <w:tcPr>
            <w:tcW w:w="1933" w:type="dxa"/>
            <w:vAlign w:val="center"/>
          </w:tcPr>
          <w:p w:rsidR="009B54A8" w:rsidRPr="00A862C6" w:rsidRDefault="009B54A8" w:rsidP="00964109">
            <w:pPr>
              <w:pStyle w:val="Tabletext"/>
              <w:jc w:val="center"/>
              <w:rPr>
                <w:rFonts w:cs="Arial"/>
                <w:sz w:val="18"/>
                <w:szCs w:val="18"/>
              </w:rPr>
            </w:pPr>
            <w:r w:rsidRPr="00A862C6">
              <w:rPr>
                <w:rFonts w:cs="Arial"/>
                <w:sz w:val="18"/>
                <w:szCs w:val="18"/>
              </w:rPr>
              <w:t>8</w:t>
            </w:r>
          </w:p>
        </w:tc>
      </w:tr>
      <w:tr w:rsidR="009B54A8" w:rsidRPr="00A862C6" w:rsidTr="00964109">
        <w:tc>
          <w:tcPr>
            <w:tcW w:w="9016" w:type="dxa"/>
            <w:gridSpan w:val="4"/>
            <w:shd w:val="clear" w:color="auto" w:fill="auto"/>
          </w:tcPr>
          <w:p w:rsidR="009B54A8" w:rsidRPr="00A862C6" w:rsidRDefault="009B54A8" w:rsidP="00964109">
            <w:pPr>
              <w:pStyle w:val="Tabletext"/>
              <w:ind w:left="-57"/>
              <w:rPr>
                <w:rFonts w:cs="Arial"/>
                <w:b/>
                <w:sz w:val="18"/>
                <w:szCs w:val="18"/>
              </w:rPr>
            </w:pPr>
            <w:r w:rsidRPr="00A862C6">
              <w:rPr>
                <w:rFonts w:cs="Arial"/>
                <w:b/>
                <w:sz w:val="18"/>
                <w:szCs w:val="18"/>
              </w:rPr>
              <w:t>Available brands</w:t>
            </w:r>
          </w:p>
        </w:tc>
      </w:tr>
      <w:tr w:rsidR="009B54A8" w:rsidRPr="00A862C6" w:rsidTr="00964109">
        <w:tc>
          <w:tcPr>
            <w:tcW w:w="9016" w:type="dxa"/>
            <w:gridSpan w:val="4"/>
            <w:shd w:val="clear" w:color="auto" w:fill="auto"/>
          </w:tcPr>
          <w:p w:rsidR="009B54A8" w:rsidRPr="00A862C6" w:rsidRDefault="009B54A8" w:rsidP="00964109">
            <w:pPr>
              <w:pStyle w:val="Tabletext"/>
              <w:ind w:left="-57"/>
              <w:rPr>
                <w:rFonts w:cs="Arial"/>
                <w:sz w:val="18"/>
                <w:szCs w:val="18"/>
              </w:rPr>
            </w:pPr>
            <w:r w:rsidRPr="00A862C6">
              <w:rPr>
                <w:rFonts w:cs="Arial"/>
                <w:sz w:val="18"/>
                <w:szCs w:val="18"/>
              </w:rPr>
              <w:t>Opdivo</w:t>
            </w:r>
          </w:p>
          <w:p w:rsidR="009B54A8" w:rsidRPr="00A862C6" w:rsidRDefault="009B54A8" w:rsidP="00964109">
            <w:pPr>
              <w:pStyle w:val="Tabletext"/>
              <w:ind w:left="-57"/>
              <w:rPr>
                <w:rFonts w:cs="Arial"/>
                <w:sz w:val="18"/>
                <w:szCs w:val="18"/>
              </w:rPr>
            </w:pPr>
            <w:r w:rsidRPr="00A862C6">
              <w:rPr>
                <w:rFonts w:cs="Arial"/>
                <w:sz w:val="18"/>
                <w:szCs w:val="18"/>
              </w:rPr>
              <w:t>(nivolumab 40 mg/4 mL injection, 4 mL vial)</w:t>
            </w:r>
          </w:p>
        </w:tc>
      </w:tr>
      <w:tr w:rsidR="009B54A8" w:rsidRPr="00A862C6" w:rsidTr="00964109">
        <w:tc>
          <w:tcPr>
            <w:tcW w:w="9016" w:type="dxa"/>
            <w:gridSpan w:val="4"/>
            <w:shd w:val="clear" w:color="auto" w:fill="auto"/>
          </w:tcPr>
          <w:p w:rsidR="009B54A8" w:rsidRPr="00A862C6" w:rsidRDefault="009B54A8" w:rsidP="00964109">
            <w:pPr>
              <w:pStyle w:val="Tabletext"/>
              <w:ind w:left="-57"/>
              <w:rPr>
                <w:rFonts w:cs="Arial"/>
                <w:sz w:val="18"/>
                <w:szCs w:val="18"/>
              </w:rPr>
            </w:pPr>
            <w:r w:rsidRPr="00A862C6">
              <w:rPr>
                <w:rFonts w:cs="Arial"/>
                <w:sz w:val="18"/>
                <w:szCs w:val="18"/>
              </w:rPr>
              <w:t>Opdivo</w:t>
            </w:r>
          </w:p>
          <w:p w:rsidR="009B54A8" w:rsidRPr="00A862C6" w:rsidRDefault="009B54A8" w:rsidP="00964109">
            <w:pPr>
              <w:pStyle w:val="Tabletext"/>
              <w:ind w:left="-57"/>
              <w:rPr>
                <w:rFonts w:cs="Arial"/>
                <w:sz w:val="18"/>
                <w:szCs w:val="18"/>
              </w:rPr>
            </w:pPr>
            <w:r w:rsidRPr="00A862C6">
              <w:rPr>
                <w:rFonts w:cs="Arial"/>
                <w:sz w:val="18"/>
                <w:szCs w:val="18"/>
              </w:rPr>
              <w:t>(nivolumab 100 mg/10 mL injection, 10 mL vial)</w:t>
            </w:r>
          </w:p>
        </w:tc>
      </w:tr>
      <w:tr w:rsidR="009B54A8" w:rsidRPr="00A862C6" w:rsidTr="00964109">
        <w:tc>
          <w:tcPr>
            <w:tcW w:w="9016" w:type="dxa"/>
            <w:gridSpan w:val="4"/>
            <w:shd w:val="clear" w:color="auto" w:fill="auto"/>
          </w:tcPr>
          <w:p w:rsidR="009B54A8" w:rsidRPr="00A862C6" w:rsidRDefault="009B54A8" w:rsidP="00964109">
            <w:pPr>
              <w:pStyle w:val="Tabletext"/>
              <w:ind w:left="-57"/>
              <w:rPr>
                <w:rFonts w:cs="Arial"/>
                <w:sz w:val="18"/>
                <w:szCs w:val="18"/>
              </w:rPr>
            </w:pPr>
          </w:p>
        </w:tc>
      </w:tr>
    </w:tbl>
    <w:tbl>
      <w:tblPr>
        <w:tblStyle w:val="TableGrid"/>
        <w:tblW w:w="5000" w:type="pct"/>
        <w:tblLook w:val="04A0" w:firstRow="1" w:lastRow="0" w:firstColumn="1" w:lastColumn="0" w:noHBand="0" w:noVBand="1"/>
        <w:tblCaption w:val="recommended listing"/>
      </w:tblPr>
      <w:tblGrid>
        <w:gridCol w:w="1414"/>
        <w:gridCol w:w="7603"/>
      </w:tblGrid>
      <w:tr w:rsidR="009B54A8" w:rsidRPr="00A862C6" w:rsidTr="00E45BC9">
        <w:trPr>
          <w:tblHeader/>
        </w:trPr>
        <w:tc>
          <w:tcPr>
            <w:tcW w:w="5000" w:type="pct"/>
            <w:gridSpan w:val="2"/>
          </w:tcPr>
          <w:p w:rsidR="009B54A8" w:rsidRPr="00A862C6" w:rsidRDefault="009B54A8" w:rsidP="00964109">
            <w:pPr>
              <w:spacing w:before="100" w:beforeAutospacing="1" w:after="100" w:afterAutospacing="1"/>
              <w:rPr>
                <w:rFonts w:ascii="Arial Narrow" w:hAnsi="Arial Narrow"/>
                <w:b/>
                <w:bCs/>
                <w:sz w:val="18"/>
                <w:szCs w:val="18"/>
                <w:lang w:eastAsia="en-AU"/>
              </w:rPr>
            </w:pPr>
            <w:r w:rsidRPr="00A862C6">
              <w:rPr>
                <w:rFonts w:ascii="Arial Narrow" w:hAnsi="Arial Narrow"/>
                <w:b/>
                <w:bCs/>
                <w:sz w:val="18"/>
                <w:szCs w:val="18"/>
                <w:lang w:eastAsia="en-AU"/>
              </w:rPr>
              <w:t>Restriction Summary [New 1]  / Treatment of Concept: [New 2]</w:t>
            </w:r>
          </w:p>
        </w:tc>
      </w:tr>
      <w:tr w:rsidR="009B54A8" w:rsidRPr="00A862C6" w:rsidTr="00964109">
        <w:tc>
          <w:tcPr>
            <w:tcW w:w="784" w:type="pct"/>
            <w:vMerge w:val="restart"/>
          </w:tcPr>
          <w:p w:rsidR="009B54A8" w:rsidRPr="00A862C6" w:rsidRDefault="009B54A8" w:rsidP="00964109">
            <w:pPr>
              <w:jc w:val="center"/>
              <w:rPr>
                <w:rFonts w:ascii="Arial Narrow" w:hAnsi="Arial Narrow"/>
                <w:sz w:val="18"/>
                <w:szCs w:val="18"/>
              </w:rPr>
            </w:pPr>
          </w:p>
        </w:tc>
        <w:tc>
          <w:tcPr>
            <w:tcW w:w="4216" w:type="pct"/>
            <w:tcBorders>
              <w:top w:val="single" w:sz="4" w:space="0" w:color="auto"/>
              <w:left w:val="single" w:sz="4" w:space="0" w:color="auto"/>
              <w:bottom w:val="single" w:sz="4" w:space="0" w:color="auto"/>
              <w:right w:val="single" w:sz="4" w:space="0" w:color="auto"/>
            </w:tcBorders>
          </w:tcPr>
          <w:p w:rsidR="009B54A8" w:rsidRPr="00A862C6" w:rsidRDefault="009B54A8" w:rsidP="00964109">
            <w:pPr>
              <w:ind w:left="-57"/>
              <w:rPr>
                <w:rFonts w:ascii="Arial Narrow" w:hAnsi="Arial Narrow"/>
                <w:b/>
                <w:bCs/>
                <w:sz w:val="18"/>
                <w:szCs w:val="18"/>
                <w:lang w:eastAsia="en-AU"/>
              </w:rPr>
            </w:pPr>
            <w:r w:rsidRPr="00A862C6">
              <w:rPr>
                <w:rFonts w:ascii="Arial Narrow" w:hAnsi="Arial Narrow"/>
                <w:b/>
                <w:sz w:val="18"/>
                <w:szCs w:val="18"/>
              </w:rPr>
              <w:t xml:space="preserve">Category / Program: </w:t>
            </w:r>
            <w:r w:rsidRPr="00A862C6">
              <w:rPr>
                <w:rFonts w:ascii="Arial Narrow" w:hAnsi="Arial Narrow"/>
                <w:sz w:val="18"/>
                <w:szCs w:val="18"/>
              </w:rPr>
              <w:t>Section 100 – Efficient Funding of Chemotherapy Public/Private hospitals</w:t>
            </w:r>
          </w:p>
        </w:tc>
      </w:tr>
      <w:tr w:rsidR="009B54A8" w:rsidRPr="00A862C6" w:rsidTr="00964109">
        <w:tc>
          <w:tcPr>
            <w:tcW w:w="784" w:type="pct"/>
            <w:vMerge/>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Borders>
              <w:top w:val="single" w:sz="4" w:space="0" w:color="auto"/>
              <w:left w:val="single" w:sz="4" w:space="0" w:color="auto"/>
              <w:bottom w:val="single" w:sz="4" w:space="0" w:color="auto"/>
              <w:right w:val="single" w:sz="4" w:space="0" w:color="auto"/>
            </w:tcBorders>
          </w:tcPr>
          <w:p w:rsidR="009B54A8" w:rsidRPr="00A862C6" w:rsidRDefault="009B54A8" w:rsidP="00964109">
            <w:pPr>
              <w:ind w:left="-57"/>
              <w:rPr>
                <w:rFonts w:ascii="Arial Narrow" w:hAnsi="Arial Narrow"/>
                <w:b/>
                <w:bCs/>
                <w:sz w:val="18"/>
                <w:szCs w:val="18"/>
                <w:lang w:eastAsia="en-AU"/>
              </w:rPr>
            </w:pPr>
            <w:r w:rsidRPr="00A862C6">
              <w:rPr>
                <w:rFonts w:ascii="Arial Narrow" w:hAnsi="Arial Narrow"/>
                <w:b/>
                <w:sz w:val="18"/>
                <w:szCs w:val="18"/>
              </w:rPr>
              <w:t xml:space="preserve">Prescriber type:   </w:t>
            </w:r>
            <w:r w:rsidRPr="00A862C6">
              <w:rPr>
                <w:rFonts w:ascii="Arial Narrow" w:hAnsi="Arial Narrow"/>
                <w:i/>
                <w:sz w:val="18"/>
                <w:szCs w:val="18"/>
              </w:rPr>
              <w:fldChar w:fldCharType="begin">
                <w:ffData>
                  <w:name w:val=""/>
                  <w:enabled/>
                  <w:calcOnExit w:val="0"/>
                  <w:checkBox>
                    <w:sizeAuto/>
                    <w:default w:val="1"/>
                  </w:checkBox>
                </w:ffData>
              </w:fldChar>
            </w:r>
            <w:r w:rsidRPr="00A862C6">
              <w:rPr>
                <w:rFonts w:ascii="Arial Narrow" w:hAnsi="Arial Narrow"/>
                <w:i/>
                <w:sz w:val="18"/>
                <w:szCs w:val="18"/>
              </w:rPr>
              <w:instrText xml:space="preserve"> FORMCHECKBOX </w:instrText>
            </w:r>
            <w:r w:rsidR="00980A9E">
              <w:rPr>
                <w:rFonts w:ascii="Arial Narrow" w:hAnsi="Arial Narrow"/>
                <w:i/>
                <w:sz w:val="18"/>
                <w:szCs w:val="18"/>
              </w:rPr>
            </w:r>
            <w:r w:rsidR="00980A9E">
              <w:rPr>
                <w:rFonts w:ascii="Arial Narrow" w:hAnsi="Arial Narrow"/>
                <w:i/>
                <w:sz w:val="18"/>
                <w:szCs w:val="18"/>
              </w:rPr>
              <w:fldChar w:fldCharType="separate"/>
            </w:r>
            <w:r w:rsidRPr="00A862C6">
              <w:rPr>
                <w:rFonts w:ascii="Arial Narrow" w:hAnsi="Arial Narrow"/>
                <w:i/>
                <w:sz w:val="18"/>
                <w:szCs w:val="18"/>
              </w:rPr>
              <w:fldChar w:fldCharType="end"/>
            </w:r>
            <w:r w:rsidRPr="00A862C6">
              <w:rPr>
                <w:rFonts w:ascii="Arial Narrow" w:hAnsi="Arial Narrow"/>
                <w:i/>
                <w:sz w:val="18"/>
                <w:szCs w:val="18"/>
              </w:rPr>
              <w:t xml:space="preserve"> </w:t>
            </w:r>
            <w:r w:rsidRPr="00A862C6">
              <w:rPr>
                <w:rFonts w:ascii="Arial Narrow" w:hAnsi="Arial Narrow"/>
                <w:sz w:val="18"/>
                <w:szCs w:val="18"/>
              </w:rPr>
              <w:t xml:space="preserve">Medical Practitioners    </w:t>
            </w:r>
          </w:p>
        </w:tc>
      </w:tr>
      <w:tr w:rsidR="009B54A8" w:rsidRPr="00A862C6" w:rsidTr="00964109">
        <w:tc>
          <w:tcPr>
            <w:tcW w:w="784" w:type="pct"/>
            <w:vMerge/>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Borders>
              <w:top w:val="single" w:sz="4" w:space="0" w:color="auto"/>
              <w:left w:val="single" w:sz="4" w:space="0" w:color="auto"/>
              <w:bottom w:val="single" w:sz="4" w:space="0" w:color="auto"/>
              <w:right w:val="single" w:sz="4" w:space="0" w:color="auto"/>
            </w:tcBorders>
          </w:tcPr>
          <w:p w:rsidR="009B54A8" w:rsidRPr="00A862C6" w:rsidRDefault="009B54A8" w:rsidP="00964109">
            <w:pPr>
              <w:ind w:left="-57"/>
              <w:rPr>
                <w:rFonts w:ascii="Arial Narrow" w:eastAsia="Calibri" w:hAnsi="Arial Narrow"/>
                <w:sz w:val="18"/>
                <w:szCs w:val="18"/>
              </w:rPr>
            </w:pPr>
            <w:r w:rsidRPr="00A862C6">
              <w:rPr>
                <w:rFonts w:ascii="Arial Narrow" w:hAnsi="Arial Narrow"/>
                <w:b/>
                <w:sz w:val="18"/>
                <w:szCs w:val="18"/>
              </w:rPr>
              <w:t xml:space="preserve">Restriction type: </w:t>
            </w:r>
            <w:r w:rsidRPr="00A862C6">
              <w:rPr>
                <w:rFonts w:ascii="Arial Narrow" w:eastAsia="Calibri" w:hAnsi="Arial Narrow"/>
                <w:sz w:val="18"/>
                <w:szCs w:val="18"/>
              </w:rPr>
              <w:fldChar w:fldCharType="begin">
                <w:ffData>
                  <w:name w:val=""/>
                  <w:enabled/>
                  <w:calcOnExit w:val="0"/>
                  <w:checkBox>
                    <w:sizeAuto/>
                    <w:default w:val="1"/>
                  </w:checkBox>
                </w:ffData>
              </w:fldChar>
            </w:r>
            <w:r w:rsidRPr="00A862C6">
              <w:rPr>
                <w:rFonts w:ascii="Arial Narrow" w:eastAsia="Calibri" w:hAnsi="Arial Narrow"/>
                <w:sz w:val="18"/>
                <w:szCs w:val="18"/>
              </w:rPr>
              <w:instrText xml:space="preserve"> FORMCHECKBOX </w:instrText>
            </w:r>
            <w:r w:rsidR="00980A9E">
              <w:rPr>
                <w:rFonts w:ascii="Arial Narrow" w:eastAsia="Calibri" w:hAnsi="Arial Narrow"/>
                <w:sz w:val="18"/>
                <w:szCs w:val="18"/>
              </w:rPr>
            </w:r>
            <w:r w:rsidR="00980A9E">
              <w:rPr>
                <w:rFonts w:ascii="Arial Narrow" w:eastAsia="Calibri" w:hAnsi="Arial Narrow"/>
                <w:sz w:val="18"/>
                <w:szCs w:val="18"/>
              </w:rPr>
              <w:fldChar w:fldCharType="separate"/>
            </w:r>
            <w:r w:rsidRPr="00A862C6">
              <w:rPr>
                <w:rFonts w:ascii="Arial Narrow" w:eastAsia="Calibri" w:hAnsi="Arial Narrow"/>
                <w:sz w:val="18"/>
                <w:szCs w:val="18"/>
              </w:rPr>
              <w:fldChar w:fldCharType="end"/>
            </w:r>
            <w:r w:rsidRPr="00A862C6">
              <w:rPr>
                <w:rFonts w:ascii="Arial Narrow" w:eastAsia="Calibri" w:hAnsi="Arial Narrow"/>
                <w:sz w:val="18"/>
                <w:szCs w:val="18"/>
              </w:rPr>
              <w:t>Authority Required – Streamlined [New 2]</w:t>
            </w:r>
          </w:p>
        </w:tc>
      </w:tr>
      <w:tr w:rsidR="009B54A8" w:rsidRPr="00A862C6" w:rsidTr="00964109">
        <w:tc>
          <w:tcPr>
            <w:tcW w:w="784" w:type="pct"/>
            <w:vMerge w:val="restar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vAlign w:val="center"/>
          </w:tcPr>
          <w:p w:rsidR="009B54A8" w:rsidRPr="00A862C6" w:rsidRDefault="009B54A8" w:rsidP="00964109">
            <w:pPr>
              <w:ind w:left="-57"/>
              <w:rPr>
                <w:rFonts w:ascii="Arial Narrow" w:hAnsi="Arial Narrow"/>
                <w:b/>
                <w:bCs/>
                <w:sz w:val="18"/>
                <w:szCs w:val="18"/>
                <w:lang w:eastAsia="en-AU"/>
              </w:rPr>
            </w:pPr>
            <w:r w:rsidRPr="00A862C6">
              <w:rPr>
                <w:rFonts w:ascii="Arial Narrow" w:hAnsi="Arial Narrow"/>
                <w:b/>
                <w:bCs/>
                <w:sz w:val="18"/>
                <w:szCs w:val="18"/>
                <w:lang w:eastAsia="en-AU"/>
              </w:rPr>
              <w:t xml:space="preserve">Episodicity: </w:t>
            </w:r>
            <w:r w:rsidRPr="00A862C6">
              <w:rPr>
                <w:rFonts w:ascii="Arial Narrow" w:hAnsi="Arial Narrow"/>
                <w:bCs/>
                <w:sz w:val="18"/>
                <w:szCs w:val="18"/>
                <w:lang w:eastAsia="en-AU"/>
              </w:rPr>
              <w:t>[blank]</w:t>
            </w:r>
          </w:p>
        </w:tc>
      </w:tr>
      <w:tr w:rsidR="009B54A8" w:rsidRPr="00A862C6" w:rsidTr="00964109">
        <w:tc>
          <w:tcPr>
            <w:tcW w:w="784" w:type="pct"/>
            <w:vMerge/>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vAlign w:val="center"/>
          </w:tcPr>
          <w:p w:rsidR="009B54A8" w:rsidRPr="00A862C6" w:rsidRDefault="009B54A8" w:rsidP="00964109">
            <w:pPr>
              <w:ind w:left="-57"/>
              <w:rPr>
                <w:rFonts w:ascii="Arial Narrow" w:hAnsi="Arial Narrow"/>
                <w:bCs/>
                <w:sz w:val="18"/>
                <w:szCs w:val="18"/>
                <w:lang w:eastAsia="en-AU"/>
              </w:rPr>
            </w:pPr>
            <w:r w:rsidRPr="00A862C6">
              <w:rPr>
                <w:rFonts w:ascii="Arial Narrow" w:hAnsi="Arial Narrow"/>
                <w:b/>
                <w:bCs/>
                <w:sz w:val="18"/>
                <w:szCs w:val="18"/>
                <w:lang w:eastAsia="en-AU"/>
              </w:rPr>
              <w:t xml:space="preserve">Severity: </w:t>
            </w:r>
            <w:r w:rsidRPr="00A862C6">
              <w:rPr>
                <w:rFonts w:ascii="Arial Narrow" w:hAnsi="Arial Narrow"/>
                <w:bCs/>
                <w:sz w:val="18"/>
                <w:szCs w:val="18"/>
                <w:lang w:eastAsia="en-AU"/>
              </w:rPr>
              <w:t xml:space="preserve">Advanced or </w:t>
            </w:r>
            <w:r w:rsidR="0046682F" w:rsidRPr="00A862C6">
              <w:rPr>
                <w:rFonts w:ascii="Arial Narrow" w:hAnsi="Arial Narrow"/>
                <w:bCs/>
                <w:sz w:val="18"/>
                <w:szCs w:val="18"/>
                <w:lang w:eastAsia="en-AU"/>
              </w:rPr>
              <w:t>metastatic</w:t>
            </w:r>
            <w:r w:rsidRPr="00A862C6">
              <w:rPr>
                <w:rFonts w:ascii="Arial Narrow" w:hAnsi="Arial Narrow"/>
                <w:b/>
                <w:bCs/>
                <w:sz w:val="18"/>
                <w:szCs w:val="18"/>
                <w:lang w:eastAsia="en-AU"/>
              </w:rPr>
              <w:t xml:space="preserve"> </w:t>
            </w:r>
          </w:p>
        </w:tc>
      </w:tr>
      <w:tr w:rsidR="009B54A8" w:rsidRPr="00A862C6" w:rsidTr="00964109">
        <w:tc>
          <w:tcPr>
            <w:tcW w:w="784" w:type="pct"/>
            <w:vMerge/>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vAlign w:val="center"/>
          </w:tcPr>
          <w:p w:rsidR="009B54A8" w:rsidRPr="00A862C6" w:rsidRDefault="009B54A8" w:rsidP="00964109">
            <w:pPr>
              <w:ind w:left="-57"/>
              <w:rPr>
                <w:rFonts w:ascii="Arial Narrow" w:hAnsi="Arial Narrow"/>
                <w:b/>
                <w:bCs/>
                <w:i/>
                <w:sz w:val="18"/>
                <w:szCs w:val="18"/>
                <w:lang w:eastAsia="en-AU"/>
              </w:rPr>
            </w:pPr>
            <w:r w:rsidRPr="00A862C6">
              <w:rPr>
                <w:rFonts w:ascii="Arial Narrow" w:hAnsi="Arial Narrow"/>
                <w:b/>
                <w:bCs/>
                <w:sz w:val="18"/>
                <w:szCs w:val="18"/>
                <w:lang w:eastAsia="en-AU"/>
              </w:rPr>
              <w:t xml:space="preserve">Condition: </w:t>
            </w:r>
            <w:r w:rsidR="00C076A0" w:rsidRPr="00A862C6">
              <w:rPr>
                <w:rFonts w:ascii="Arial Narrow" w:hAnsi="Arial Narrow"/>
                <w:bCs/>
                <w:sz w:val="18"/>
                <w:szCs w:val="18"/>
                <w:lang w:eastAsia="en-AU"/>
              </w:rPr>
              <w:t>S</w:t>
            </w:r>
            <w:r w:rsidRPr="00A862C6">
              <w:rPr>
                <w:rFonts w:ascii="Arial Narrow" w:hAnsi="Arial Narrow"/>
                <w:bCs/>
                <w:sz w:val="18"/>
                <w:szCs w:val="18"/>
                <w:lang w:eastAsia="en-AU"/>
              </w:rPr>
              <w:t>quamous cell carcinoma of oesophagus</w:t>
            </w:r>
            <w:r w:rsidRPr="00A862C6">
              <w:rPr>
                <w:rFonts w:ascii="Arial Narrow" w:hAnsi="Arial Narrow"/>
                <w:bCs/>
                <w:i/>
                <w:sz w:val="18"/>
                <w:szCs w:val="18"/>
                <w:lang w:eastAsia="en-AU"/>
              </w:rPr>
              <w:t xml:space="preserve"> </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hideMark/>
          </w:tcPr>
          <w:p w:rsidR="009B54A8" w:rsidRPr="00A862C6" w:rsidRDefault="009B54A8" w:rsidP="00C076A0">
            <w:pPr>
              <w:ind w:left="-57"/>
              <w:rPr>
                <w:rFonts w:ascii="Arial Narrow" w:hAnsi="Arial Narrow"/>
                <w:i/>
                <w:sz w:val="18"/>
                <w:szCs w:val="18"/>
                <w:lang w:eastAsia="en-AU"/>
              </w:rPr>
            </w:pPr>
            <w:r w:rsidRPr="00A862C6">
              <w:rPr>
                <w:rFonts w:ascii="Arial Narrow" w:hAnsi="Arial Narrow"/>
                <w:b/>
                <w:bCs/>
                <w:sz w:val="18"/>
                <w:szCs w:val="18"/>
                <w:lang w:eastAsia="en-AU"/>
              </w:rPr>
              <w:t xml:space="preserve">Indication: </w:t>
            </w:r>
            <w:r w:rsidRPr="00A862C6">
              <w:rPr>
                <w:rFonts w:ascii="Arial Narrow" w:hAnsi="Arial Narrow"/>
                <w:sz w:val="18"/>
                <w:szCs w:val="18"/>
                <w:lang w:eastAsia="en-AU"/>
              </w:rPr>
              <w:t>Advanced or metastatic squamous cell carcinoma</w:t>
            </w:r>
            <w:r w:rsidRPr="00A862C6">
              <w:rPr>
                <w:rFonts w:ascii="Arial Narrow" w:hAnsi="Arial Narrow"/>
                <w:i/>
                <w:sz w:val="18"/>
                <w:szCs w:val="18"/>
                <w:lang w:eastAsia="en-AU"/>
              </w:rPr>
              <w:t xml:space="preserve"> </w:t>
            </w:r>
            <w:r w:rsidRPr="00A862C6">
              <w:rPr>
                <w:rFonts w:ascii="Arial Narrow" w:hAnsi="Arial Narrow"/>
                <w:sz w:val="18"/>
                <w:szCs w:val="18"/>
                <w:lang w:eastAsia="en-AU"/>
              </w:rPr>
              <w:t>of oesophagus</w:t>
            </w:r>
          </w:p>
        </w:tc>
      </w:tr>
      <w:tr w:rsidR="009B54A8" w:rsidRPr="00A862C6" w:rsidTr="00964109">
        <w:tc>
          <w:tcPr>
            <w:tcW w:w="784" w:type="pct"/>
          </w:tcPr>
          <w:p w:rsidR="009B54A8" w:rsidRPr="00A862C6" w:rsidRDefault="009B54A8" w:rsidP="00964109">
            <w:pPr>
              <w:jc w:val="center"/>
              <w:rPr>
                <w:rFonts w:ascii="Arial Narrow" w:hAnsi="Arial Narrow"/>
                <w:sz w:val="18"/>
                <w:szCs w:val="18"/>
                <w:lang w:eastAsia="en-AU"/>
              </w:rPr>
            </w:pPr>
          </w:p>
        </w:tc>
        <w:tc>
          <w:tcPr>
            <w:tcW w:w="4216" w:type="pct"/>
            <w:hideMark/>
          </w:tcPr>
          <w:p w:rsidR="009B54A8" w:rsidRPr="00A862C6" w:rsidRDefault="009B54A8" w:rsidP="00964109">
            <w:pPr>
              <w:ind w:left="-57"/>
              <w:rPr>
                <w:rFonts w:ascii="Arial Narrow" w:hAnsi="Arial Narrow"/>
                <w:sz w:val="18"/>
                <w:szCs w:val="18"/>
                <w:lang w:eastAsia="en-AU"/>
              </w:rPr>
            </w:pPr>
            <w:r w:rsidRPr="00A862C6">
              <w:rPr>
                <w:rFonts w:ascii="Arial Narrow" w:hAnsi="Arial Narrow"/>
                <w:b/>
                <w:bCs/>
                <w:sz w:val="18"/>
                <w:szCs w:val="18"/>
                <w:lang w:eastAsia="en-AU"/>
              </w:rPr>
              <w:t xml:space="preserve">Treatment Phase: </w:t>
            </w:r>
            <w:r w:rsidRPr="00A862C6">
              <w:rPr>
                <w:rFonts w:ascii="Arial Narrow" w:hAnsi="Arial Narrow"/>
                <w:sz w:val="18"/>
                <w:szCs w:val="18"/>
                <w:lang w:eastAsia="en-AU"/>
              </w:rPr>
              <w:t xml:space="preserve">Initial treatment </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hideMark/>
          </w:tcPr>
          <w:p w:rsidR="009B54A8" w:rsidRPr="00A862C6" w:rsidRDefault="009B54A8" w:rsidP="00964109">
            <w:pPr>
              <w:ind w:left="-57"/>
              <w:rPr>
                <w:rFonts w:ascii="Arial Narrow" w:hAnsi="Arial Narrow"/>
                <w:sz w:val="18"/>
                <w:szCs w:val="18"/>
                <w:lang w:eastAsia="en-AU"/>
              </w:rPr>
            </w:pPr>
            <w:r w:rsidRPr="00A862C6">
              <w:rPr>
                <w:rFonts w:ascii="Arial Narrow" w:hAnsi="Arial Narrow"/>
                <w:b/>
                <w:bCs/>
                <w:sz w:val="18"/>
                <w:szCs w:val="18"/>
                <w:lang w:eastAsia="en-AU"/>
              </w:rPr>
              <w:t>Clinical criteria:</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ind w:left="-57"/>
              <w:rPr>
                <w:rFonts w:ascii="Arial Narrow" w:hAnsi="Arial Narrow"/>
                <w:strike/>
                <w:sz w:val="18"/>
                <w:szCs w:val="18"/>
                <w:lang w:eastAsia="en-AU"/>
              </w:rPr>
            </w:pPr>
            <w:r w:rsidRPr="00A862C6">
              <w:rPr>
                <w:rFonts w:ascii="Arial Narrow" w:hAnsi="Arial Narrow"/>
                <w:sz w:val="18"/>
                <w:szCs w:val="18"/>
                <w:lang w:eastAsia="en-AU"/>
              </w:rPr>
              <w:t xml:space="preserve">Patient must have a WHO performance status </w:t>
            </w:r>
            <w:r w:rsidR="00954111" w:rsidRPr="00A862C6">
              <w:rPr>
                <w:rFonts w:ascii="Arial Narrow" w:hAnsi="Arial Narrow"/>
                <w:sz w:val="18"/>
                <w:szCs w:val="18"/>
                <w:lang w:eastAsia="en-AU"/>
              </w:rPr>
              <w:t xml:space="preserve"> no greater than 1 at treatment initiation</w:t>
            </w:r>
          </w:p>
        </w:tc>
      </w:tr>
      <w:tr w:rsidR="009B54A8" w:rsidRPr="00A862C6" w:rsidTr="00964109">
        <w:tc>
          <w:tcPr>
            <w:tcW w:w="784" w:type="pct"/>
          </w:tcPr>
          <w:p w:rsidR="009B54A8" w:rsidRPr="00A862C6" w:rsidRDefault="009B54A8" w:rsidP="00964109">
            <w:pPr>
              <w:jc w:val="center"/>
              <w:rPr>
                <w:rFonts w:ascii="Arial Narrow" w:hAnsi="Arial Narrow"/>
                <w:sz w:val="18"/>
                <w:szCs w:val="18"/>
                <w:lang w:eastAsia="en-AU"/>
              </w:rPr>
            </w:pPr>
          </w:p>
        </w:tc>
        <w:tc>
          <w:tcPr>
            <w:tcW w:w="4216" w:type="pct"/>
            <w:hideMark/>
          </w:tcPr>
          <w:p w:rsidR="009B54A8" w:rsidRPr="00A862C6" w:rsidRDefault="009B54A8" w:rsidP="00964109">
            <w:pPr>
              <w:ind w:left="-57"/>
              <w:rPr>
                <w:rFonts w:ascii="Arial Narrow" w:hAnsi="Arial Narrow"/>
                <w:sz w:val="18"/>
                <w:szCs w:val="18"/>
                <w:lang w:eastAsia="en-AU"/>
              </w:rPr>
            </w:pPr>
            <w:r w:rsidRPr="00A862C6">
              <w:rPr>
                <w:rFonts w:ascii="Arial Narrow" w:hAnsi="Arial Narrow"/>
                <w:b/>
                <w:bCs/>
                <w:sz w:val="18"/>
                <w:szCs w:val="18"/>
                <w:lang w:eastAsia="en-AU"/>
              </w:rPr>
              <w:t>AND</w:t>
            </w:r>
          </w:p>
        </w:tc>
      </w:tr>
      <w:tr w:rsidR="009B54A8" w:rsidRPr="00A862C6" w:rsidTr="00964109">
        <w:tc>
          <w:tcPr>
            <w:tcW w:w="784" w:type="pct"/>
          </w:tcPr>
          <w:p w:rsidR="00EB0C63" w:rsidRPr="00A862C6" w:rsidRDefault="00EB0C63" w:rsidP="00EB0C63">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ind w:left="-57"/>
              <w:rPr>
                <w:rFonts w:ascii="Arial Narrow" w:hAnsi="Arial Narrow"/>
                <w:sz w:val="18"/>
                <w:szCs w:val="18"/>
                <w:lang w:eastAsia="en-AU"/>
              </w:rPr>
            </w:pPr>
            <w:r w:rsidRPr="00A862C6">
              <w:rPr>
                <w:rFonts w:ascii="Arial Narrow" w:hAnsi="Arial Narrow"/>
                <w:sz w:val="18"/>
                <w:szCs w:val="18"/>
                <w:lang w:eastAsia="en-AU"/>
              </w:rPr>
              <w:t xml:space="preserve">Patient must not have received prior treatment with a </w:t>
            </w:r>
            <w:r w:rsidR="00325480" w:rsidRPr="00146EB5">
              <w:rPr>
                <w:rFonts w:ascii="Arial Narrow" w:hAnsi="Arial Narrow"/>
                <w:sz w:val="18"/>
                <w:szCs w:val="18"/>
                <w:lang w:eastAsia="en-AU"/>
              </w:rPr>
              <w:t>PBS-subsidised</w:t>
            </w:r>
            <w:r w:rsidR="00325480">
              <w:rPr>
                <w:rFonts w:ascii="Arial Narrow" w:hAnsi="Arial Narrow"/>
                <w:sz w:val="18"/>
                <w:szCs w:val="18"/>
                <w:lang w:eastAsia="en-AU"/>
              </w:rPr>
              <w:t xml:space="preserve"> </w:t>
            </w:r>
            <w:r w:rsidRPr="00A862C6">
              <w:rPr>
                <w:rFonts w:ascii="Arial Narrow" w:hAnsi="Arial Narrow"/>
                <w:sz w:val="18"/>
                <w:szCs w:val="18"/>
                <w:lang w:eastAsia="en-AU"/>
              </w:rPr>
              <w:t>programmed cell death-1 (PD-1) inhibitor or a programmed cell death ligand-1 (PD-L1) inhibitor for this condition</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ind w:left="-57"/>
              <w:rPr>
                <w:rFonts w:ascii="Arial Narrow" w:hAnsi="Arial Narrow"/>
                <w:b/>
                <w:sz w:val="18"/>
                <w:szCs w:val="18"/>
                <w:lang w:eastAsia="en-AU"/>
              </w:rPr>
            </w:pPr>
            <w:r w:rsidRPr="00A862C6">
              <w:rPr>
                <w:rFonts w:ascii="Arial Narrow" w:hAnsi="Arial Narrow"/>
                <w:b/>
                <w:sz w:val="18"/>
                <w:szCs w:val="18"/>
                <w:lang w:eastAsia="en-AU"/>
              </w:rPr>
              <w:t>AND</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pStyle w:val="Tabletext"/>
              <w:keepNext/>
              <w:ind w:left="-57"/>
              <w:rPr>
                <w:b/>
                <w:bCs/>
                <w:sz w:val="18"/>
                <w:szCs w:val="18"/>
                <w:lang w:eastAsia="en-AU"/>
              </w:rPr>
            </w:pPr>
            <w:r w:rsidRPr="00A862C6">
              <w:rPr>
                <w:b/>
                <w:bCs/>
                <w:sz w:val="18"/>
                <w:szCs w:val="18"/>
                <w:lang w:eastAsia="en-AU"/>
              </w:rPr>
              <w:t>Treatment criteria:</w:t>
            </w:r>
          </w:p>
        </w:tc>
      </w:tr>
      <w:tr w:rsidR="009B54A8" w:rsidRPr="00A862C6" w:rsidTr="00964109">
        <w:trPr>
          <w:trHeight w:val="201"/>
        </w:trPr>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pStyle w:val="Tabletext"/>
              <w:keepNext/>
              <w:ind w:left="-57"/>
              <w:rPr>
                <w:bCs/>
                <w:sz w:val="18"/>
                <w:szCs w:val="18"/>
                <w:lang w:eastAsia="en-AU"/>
              </w:rPr>
            </w:pPr>
            <w:r w:rsidRPr="00A862C6">
              <w:rPr>
                <w:bCs/>
                <w:sz w:val="18"/>
                <w:szCs w:val="18"/>
                <w:lang w:eastAsia="en-AU"/>
              </w:rPr>
              <w:t>Patient must be undergoing treatment with this drug only after having disease progression/recurrence following treatment with chemotherapy that contains at least each of: (i) a platinum drug, (ii) a fluoropyrimidine drug</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pStyle w:val="Tabletext"/>
              <w:keepNext/>
              <w:ind w:left="-57"/>
              <w:rPr>
                <w:b/>
                <w:bCs/>
                <w:sz w:val="18"/>
                <w:szCs w:val="18"/>
                <w:lang w:eastAsia="en-AU"/>
              </w:rPr>
            </w:pPr>
            <w:r w:rsidRPr="00A862C6">
              <w:rPr>
                <w:b/>
                <w:bCs/>
                <w:sz w:val="18"/>
                <w:szCs w:val="18"/>
                <w:lang w:eastAsia="en-AU"/>
              </w:rPr>
              <w:t xml:space="preserve">AND </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pStyle w:val="Tabletext"/>
              <w:keepNext/>
              <w:ind w:left="-57"/>
              <w:rPr>
                <w:b/>
                <w:bCs/>
                <w:sz w:val="18"/>
                <w:szCs w:val="18"/>
                <w:lang w:eastAsia="en-AU"/>
              </w:rPr>
            </w:pPr>
            <w:r w:rsidRPr="00A862C6">
              <w:rPr>
                <w:b/>
                <w:bCs/>
                <w:sz w:val="18"/>
                <w:szCs w:val="18"/>
                <w:lang w:eastAsia="en-AU"/>
              </w:rPr>
              <w:t>Treatment criteria:</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pStyle w:val="Tabletext"/>
              <w:keepNext/>
              <w:ind w:left="-57"/>
              <w:rPr>
                <w:bCs/>
                <w:sz w:val="18"/>
                <w:szCs w:val="18"/>
                <w:lang w:eastAsia="en-AU"/>
              </w:rPr>
            </w:pPr>
            <w:r w:rsidRPr="00A862C6">
              <w:rPr>
                <w:bCs/>
                <w:sz w:val="18"/>
                <w:szCs w:val="18"/>
                <w:lang w:eastAsia="en-AU"/>
              </w:rPr>
              <w:t>Patient must be undergoing treatment with this drug as the sole PBS-subsidised therapy for this PBS indication</w:t>
            </w:r>
          </w:p>
        </w:tc>
      </w:tr>
      <w:tr w:rsidR="00954111" w:rsidRPr="00A862C6" w:rsidTr="00964109">
        <w:tc>
          <w:tcPr>
            <w:tcW w:w="784" w:type="pct"/>
          </w:tcPr>
          <w:p w:rsidR="00954111" w:rsidRPr="00A862C6" w:rsidRDefault="00954111" w:rsidP="00954111">
            <w:pPr>
              <w:spacing w:before="100" w:beforeAutospacing="1" w:after="100" w:afterAutospacing="1"/>
              <w:jc w:val="center"/>
              <w:rPr>
                <w:rFonts w:ascii="Arial Narrow" w:hAnsi="Arial Narrow"/>
                <w:sz w:val="18"/>
                <w:szCs w:val="18"/>
                <w:lang w:eastAsia="en-AU"/>
              </w:rPr>
            </w:pPr>
          </w:p>
        </w:tc>
        <w:tc>
          <w:tcPr>
            <w:tcW w:w="4216" w:type="pct"/>
          </w:tcPr>
          <w:p w:rsidR="00954111" w:rsidRPr="00A862C6" w:rsidRDefault="00954111" w:rsidP="00954111">
            <w:pPr>
              <w:pStyle w:val="Tabletext"/>
              <w:keepNext/>
              <w:ind w:left="-57"/>
              <w:rPr>
                <w:bCs/>
                <w:sz w:val="18"/>
                <w:szCs w:val="18"/>
                <w:lang w:eastAsia="en-AU"/>
              </w:rPr>
            </w:pPr>
            <w:r w:rsidRPr="00A862C6">
              <w:rPr>
                <w:b/>
                <w:bCs/>
                <w:sz w:val="18"/>
                <w:szCs w:val="18"/>
                <w:lang w:eastAsia="en-AU"/>
              </w:rPr>
              <w:t xml:space="preserve">Administrative Advice: </w:t>
            </w:r>
            <w:r w:rsidRPr="00A862C6">
              <w:rPr>
                <w:sz w:val="18"/>
                <w:szCs w:val="18"/>
                <w:lang w:eastAsia="en-AU"/>
              </w:rPr>
              <w:t>Special Pricing Arrangements apply.</w:t>
            </w:r>
          </w:p>
        </w:tc>
      </w:tr>
      <w:tr w:rsidR="00954111" w:rsidRPr="00A862C6" w:rsidTr="00964109">
        <w:tc>
          <w:tcPr>
            <w:tcW w:w="784" w:type="pct"/>
          </w:tcPr>
          <w:p w:rsidR="00954111" w:rsidRPr="00A862C6" w:rsidRDefault="00954111" w:rsidP="00954111">
            <w:pPr>
              <w:spacing w:before="100" w:beforeAutospacing="1" w:after="100" w:afterAutospacing="1"/>
              <w:jc w:val="center"/>
              <w:rPr>
                <w:rFonts w:ascii="Arial Narrow" w:hAnsi="Arial Narrow"/>
                <w:sz w:val="18"/>
                <w:szCs w:val="18"/>
                <w:lang w:eastAsia="en-AU"/>
              </w:rPr>
            </w:pPr>
          </w:p>
        </w:tc>
        <w:tc>
          <w:tcPr>
            <w:tcW w:w="4216" w:type="pct"/>
          </w:tcPr>
          <w:p w:rsidR="000A15C5" w:rsidRPr="00A862C6" w:rsidRDefault="00954111" w:rsidP="00954111">
            <w:pPr>
              <w:ind w:left="-57"/>
              <w:rPr>
                <w:rFonts w:ascii="Arial Narrow" w:hAnsi="Arial Narrow"/>
                <w:b/>
                <w:bCs/>
                <w:sz w:val="18"/>
                <w:szCs w:val="18"/>
                <w:lang w:eastAsia="en-AU"/>
              </w:rPr>
            </w:pPr>
            <w:r w:rsidRPr="00A862C6">
              <w:rPr>
                <w:rFonts w:ascii="Arial Narrow" w:hAnsi="Arial Narrow"/>
                <w:b/>
                <w:bCs/>
                <w:sz w:val="18"/>
                <w:szCs w:val="18"/>
                <w:lang w:eastAsia="en-AU"/>
              </w:rPr>
              <w:t xml:space="preserve">Administrative Advice: </w:t>
            </w:r>
          </w:p>
          <w:p w:rsidR="00954111" w:rsidRPr="00A862C6" w:rsidRDefault="00954111" w:rsidP="00954111">
            <w:pPr>
              <w:ind w:left="-57"/>
              <w:rPr>
                <w:rFonts w:ascii="Arial Narrow" w:hAnsi="Arial Narrow"/>
                <w:b/>
                <w:bCs/>
                <w:sz w:val="18"/>
                <w:szCs w:val="18"/>
                <w:lang w:eastAsia="en-AU"/>
              </w:rPr>
            </w:pPr>
            <w:r w:rsidRPr="00A862C6">
              <w:rPr>
                <w:rFonts w:ascii="Arial Narrow" w:hAnsi="Arial Narrow"/>
                <w:bCs/>
                <w:sz w:val="18"/>
                <w:szCs w:val="18"/>
                <w:lang w:eastAsia="en-AU"/>
              </w:rPr>
              <w:t xml:space="preserve">Up to 17 repeats may be sought if dosing at 240 mg every 2 weeks. Where an increase is sought, the benefit is no longer a Streamlined benefit. Seek </w:t>
            </w:r>
            <w:r w:rsidR="000A15C5" w:rsidRPr="00A862C6">
              <w:rPr>
                <w:rFonts w:ascii="Arial Narrow" w:hAnsi="Arial Narrow"/>
                <w:bCs/>
                <w:sz w:val="18"/>
                <w:szCs w:val="18"/>
                <w:lang w:eastAsia="en-AU"/>
              </w:rPr>
              <w:t xml:space="preserve">authority </w:t>
            </w:r>
            <w:r w:rsidRPr="00A862C6">
              <w:rPr>
                <w:rFonts w:ascii="Arial Narrow" w:hAnsi="Arial Narrow"/>
                <w:bCs/>
                <w:sz w:val="18"/>
                <w:szCs w:val="18"/>
                <w:lang w:eastAsia="en-AU"/>
              </w:rPr>
              <w:t xml:space="preserve">approval prior to issuing the prescription. </w:t>
            </w:r>
          </w:p>
        </w:tc>
      </w:tr>
    </w:tbl>
    <w:p w:rsidR="009B54A8" w:rsidRPr="00A862C6" w:rsidRDefault="009B54A8" w:rsidP="009B54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701"/>
        <w:gridCol w:w="1933"/>
      </w:tblGrid>
      <w:tr w:rsidR="009B54A8" w:rsidRPr="00A862C6" w:rsidTr="00964109">
        <w:tc>
          <w:tcPr>
            <w:tcW w:w="2830" w:type="dxa"/>
            <w:shd w:val="clear" w:color="auto" w:fill="auto"/>
          </w:tcPr>
          <w:p w:rsidR="009B54A8" w:rsidRPr="00A862C6" w:rsidRDefault="009B54A8" w:rsidP="00964109">
            <w:pPr>
              <w:pStyle w:val="Tabletext"/>
              <w:ind w:left="-57"/>
              <w:rPr>
                <w:rFonts w:cs="Arial"/>
                <w:b/>
                <w:sz w:val="18"/>
                <w:szCs w:val="18"/>
              </w:rPr>
            </w:pPr>
            <w:r w:rsidRPr="00A862C6">
              <w:rPr>
                <w:rFonts w:cs="Arial"/>
                <w:b/>
                <w:sz w:val="18"/>
                <w:szCs w:val="18"/>
              </w:rPr>
              <w:t>MEDICINAL PRODUCT</w:t>
            </w:r>
          </w:p>
          <w:p w:rsidR="009B54A8" w:rsidRPr="00A862C6" w:rsidRDefault="009B54A8" w:rsidP="00964109">
            <w:pPr>
              <w:pStyle w:val="Tabletext"/>
              <w:ind w:left="-57"/>
              <w:rPr>
                <w:rFonts w:cs="Arial"/>
                <w:b/>
                <w:sz w:val="18"/>
                <w:szCs w:val="18"/>
              </w:rPr>
            </w:pPr>
            <w:r w:rsidRPr="00A862C6">
              <w:rPr>
                <w:rFonts w:cs="Arial"/>
                <w:b/>
                <w:sz w:val="18"/>
                <w:szCs w:val="18"/>
              </w:rPr>
              <w:t>Form</w:t>
            </w:r>
          </w:p>
        </w:tc>
        <w:tc>
          <w:tcPr>
            <w:tcW w:w="2552" w:type="dxa"/>
            <w:shd w:val="clear" w:color="auto" w:fill="auto"/>
          </w:tcPr>
          <w:p w:rsidR="009B54A8" w:rsidRPr="00A862C6" w:rsidRDefault="009B54A8" w:rsidP="00964109">
            <w:pPr>
              <w:pStyle w:val="Tabletext"/>
              <w:jc w:val="center"/>
              <w:rPr>
                <w:rFonts w:cs="Arial"/>
                <w:b/>
                <w:sz w:val="18"/>
                <w:szCs w:val="18"/>
              </w:rPr>
            </w:pPr>
            <w:r w:rsidRPr="00A862C6">
              <w:rPr>
                <w:rFonts w:cs="Arial"/>
                <w:b/>
                <w:sz w:val="18"/>
                <w:szCs w:val="18"/>
              </w:rPr>
              <w:t>PBS item code</w:t>
            </w:r>
          </w:p>
        </w:tc>
        <w:tc>
          <w:tcPr>
            <w:tcW w:w="1701" w:type="dxa"/>
            <w:shd w:val="clear" w:color="auto" w:fill="auto"/>
          </w:tcPr>
          <w:p w:rsidR="009B54A8" w:rsidRPr="00A862C6" w:rsidRDefault="009B54A8" w:rsidP="00964109">
            <w:pPr>
              <w:pStyle w:val="Tabletext"/>
              <w:jc w:val="center"/>
              <w:rPr>
                <w:rFonts w:cs="Arial"/>
                <w:b/>
                <w:sz w:val="18"/>
                <w:szCs w:val="18"/>
              </w:rPr>
            </w:pPr>
            <w:r w:rsidRPr="00A862C6">
              <w:rPr>
                <w:rFonts w:cs="Arial"/>
                <w:b/>
                <w:sz w:val="18"/>
                <w:szCs w:val="18"/>
              </w:rPr>
              <w:t>Maximum amount</w:t>
            </w:r>
          </w:p>
        </w:tc>
        <w:tc>
          <w:tcPr>
            <w:tcW w:w="1933" w:type="dxa"/>
            <w:shd w:val="clear" w:color="auto" w:fill="auto"/>
          </w:tcPr>
          <w:p w:rsidR="009B54A8" w:rsidRPr="00A862C6" w:rsidRDefault="009B54A8" w:rsidP="00964109">
            <w:pPr>
              <w:pStyle w:val="Tabletext"/>
              <w:jc w:val="center"/>
              <w:rPr>
                <w:rFonts w:cs="Arial"/>
                <w:b/>
                <w:sz w:val="18"/>
                <w:szCs w:val="18"/>
              </w:rPr>
            </w:pPr>
            <w:r w:rsidRPr="00A862C6">
              <w:rPr>
                <w:rFonts w:cs="Arial"/>
                <w:b/>
                <w:sz w:val="18"/>
                <w:szCs w:val="18"/>
              </w:rPr>
              <w:t>No. of Repeats</w:t>
            </w:r>
          </w:p>
        </w:tc>
      </w:tr>
      <w:tr w:rsidR="009B54A8" w:rsidRPr="00A862C6" w:rsidTr="00964109">
        <w:tc>
          <w:tcPr>
            <w:tcW w:w="2830" w:type="dxa"/>
          </w:tcPr>
          <w:p w:rsidR="009B54A8" w:rsidRPr="00A862C6" w:rsidRDefault="009B54A8" w:rsidP="00964109">
            <w:pPr>
              <w:pStyle w:val="Tabletext"/>
              <w:ind w:left="-57"/>
              <w:rPr>
                <w:rFonts w:cs="Arial"/>
                <w:sz w:val="18"/>
                <w:szCs w:val="18"/>
              </w:rPr>
            </w:pPr>
            <w:r w:rsidRPr="00A862C6">
              <w:rPr>
                <w:rFonts w:cs="Arial"/>
                <w:sz w:val="18"/>
                <w:szCs w:val="18"/>
              </w:rPr>
              <w:t>NIVOLUMAB</w:t>
            </w:r>
          </w:p>
          <w:p w:rsidR="009B54A8" w:rsidRPr="00A862C6" w:rsidRDefault="009B54A8" w:rsidP="00964109">
            <w:pPr>
              <w:pStyle w:val="Tabletext"/>
              <w:ind w:left="-57"/>
              <w:rPr>
                <w:rFonts w:cs="Arial"/>
                <w:sz w:val="18"/>
                <w:szCs w:val="18"/>
              </w:rPr>
            </w:pPr>
            <w:r w:rsidRPr="00A862C6">
              <w:rPr>
                <w:rFonts w:cs="Arial"/>
                <w:sz w:val="18"/>
                <w:szCs w:val="18"/>
              </w:rPr>
              <w:t>Injection</w:t>
            </w:r>
          </w:p>
          <w:p w:rsidR="009B54A8" w:rsidRPr="00A862C6" w:rsidRDefault="009B54A8" w:rsidP="00964109">
            <w:pPr>
              <w:pStyle w:val="Tabletext"/>
              <w:ind w:left="-57"/>
              <w:rPr>
                <w:rFonts w:cs="Arial"/>
                <w:sz w:val="18"/>
                <w:szCs w:val="18"/>
              </w:rPr>
            </w:pPr>
          </w:p>
        </w:tc>
        <w:tc>
          <w:tcPr>
            <w:tcW w:w="2552" w:type="dxa"/>
            <w:vAlign w:val="center"/>
          </w:tcPr>
          <w:p w:rsidR="009B54A8" w:rsidRPr="00A862C6" w:rsidRDefault="009B54A8" w:rsidP="00964109">
            <w:pPr>
              <w:pStyle w:val="Tabletext"/>
              <w:jc w:val="center"/>
              <w:rPr>
                <w:rFonts w:cs="Arial"/>
                <w:sz w:val="18"/>
                <w:szCs w:val="18"/>
              </w:rPr>
            </w:pPr>
            <w:r w:rsidRPr="00A862C6">
              <w:rPr>
                <w:rFonts w:cs="Arial"/>
                <w:sz w:val="18"/>
                <w:szCs w:val="18"/>
              </w:rPr>
              <w:t>New (Public)</w:t>
            </w:r>
          </w:p>
          <w:p w:rsidR="009B54A8" w:rsidRPr="00A862C6" w:rsidRDefault="009B54A8" w:rsidP="00964109">
            <w:pPr>
              <w:pStyle w:val="Tabletext"/>
              <w:jc w:val="center"/>
              <w:rPr>
                <w:rFonts w:cs="Arial"/>
                <w:sz w:val="18"/>
                <w:szCs w:val="18"/>
              </w:rPr>
            </w:pPr>
            <w:r w:rsidRPr="00A862C6">
              <w:rPr>
                <w:rFonts w:cs="Arial"/>
                <w:sz w:val="18"/>
                <w:szCs w:val="18"/>
              </w:rPr>
              <w:t>New (Private)</w:t>
            </w:r>
          </w:p>
        </w:tc>
        <w:tc>
          <w:tcPr>
            <w:tcW w:w="1701" w:type="dxa"/>
            <w:vAlign w:val="center"/>
          </w:tcPr>
          <w:p w:rsidR="009B54A8" w:rsidRPr="00A862C6" w:rsidRDefault="009B54A8" w:rsidP="00964109">
            <w:pPr>
              <w:pStyle w:val="Tabletext"/>
              <w:jc w:val="center"/>
              <w:rPr>
                <w:rFonts w:cs="Arial"/>
                <w:sz w:val="18"/>
                <w:szCs w:val="18"/>
              </w:rPr>
            </w:pPr>
            <w:r w:rsidRPr="00A862C6">
              <w:rPr>
                <w:rFonts w:cs="Arial"/>
                <w:sz w:val="18"/>
                <w:szCs w:val="18"/>
              </w:rPr>
              <w:t>480 mg</w:t>
            </w:r>
          </w:p>
        </w:tc>
        <w:tc>
          <w:tcPr>
            <w:tcW w:w="1933" w:type="dxa"/>
            <w:vAlign w:val="center"/>
          </w:tcPr>
          <w:p w:rsidR="009B54A8" w:rsidRPr="00A862C6" w:rsidRDefault="009B54A8" w:rsidP="00964109">
            <w:pPr>
              <w:pStyle w:val="Tabletext"/>
              <w:jc w:val="center"/>
              <w:rPr>
                <w:rFonts w:cs="Arial"/>
                <w:sz w:val="18"/>
                <w:szCs w:val="18"/>
              </w:rPr>
            </w:pPr>
            <w:r w:rsidRPr="00A862C6">
              <w:rPr>
                <w:rFonts w:cs="Arial"/>
                <w:sz w:val="18"/>
                <w:szCs w:val="18"/>
              </w:rPr>
              <w:t>11</w:t>
            </w:r>
          </w:p>
        </w:tc>
      </w:tr>
      <w:tr w:rsidR="009B54A8" w:rsidRPr="00A862C6" w:rsidTr="00964109">
        <w:tc>
          <w:tcPr>
            <w:tcW w:w="9016" w:type="dxa"/>
            <w:gridSpan w:val="4"/>
            <w:shd w:val="clear" w:color="auto" w:fill="auto"/>
          </w:tcPr>
          <w:p w:rsidR="009B54A8" w:rsidRPr="00A862C6" w:rsidRDefault="009B54A8" w:rsidP="00964109">
            <w:pPr>
              <w:pStyle w:val="Tabletext"/>
              <w:ind w:left="-57"/>
              <w:rPr>
                <w:rFonts w:cs="Arial"/>
                <w:b/>
                <w:sz w:val="18"/>
                <w:szCs w:val="18"/>
              </w:rPr>
            </w:pPr>
            <w:r w:rsidRPr="00A862C6">
              <w:rPr>
                <w:rFonts w:cs="Arial"/>
                <w:b/>
                <w:sz w:val="18"/>
                <w:szCs w:val="18"/>
              </w:rPr>
              <w:t>Available brands</w:t>
            </w:r>
          </w:p>
        </w:tc>
      </w:tr>
      <w:tr w:rsidR="009B54A8" w:rsidRPr="00A862C6" w:rsidTr="00964109">
        <w:tc>
          <w:tcPr>
            <w:tcW w:w="9016" w:type="dxa"/>
            <w:gridSpan w:val="4"/>
            <w:shd w:val="clear" w:color="auto" w:fill="auto"/>
          </w:tcPr>
          <w:p w:rsidR="009B54A8" w:rsidRPr="00A862C6" w:rsidRDefault="009B54A8" w:rsidP="00964109">
            <w:pPr>
              <w:pStyle w:val="Tabletext"/>
              <w:ind w:left="-57"/>
              <w:rPr>
                <w:rFonts w:cs="Arial"/>
                <w:sz w:val="18"/>
                <w:szCs w:val="18"/>
              </w:rPr>
            </w:pPr>
            <w:r w:rsidRPr="00A862C6">
              <w:rPr>
                <w:rFonts w:cs="Arial"/>
                <w:sz w:val="18"/>
                <w:szCs w:val="18"/>
              </w:rPr>
              <w:t>Opdivo</w:t>
            </w:r>
          </w:p>
          <w:p w:rsidR="009B54A8" w:rsidRPr="00A862C6" w:rsidRDefault="009B54A8" w:rsidP="00964109">
            <w:pPr>
              <w:pStyle w:val="Tabletext"/>
              <w:ind w:left="-57"/>
              <w:rPr>
                <w:rFonts w:cs="Arial"/>
                <w:sz w:val="18"/>
                <w:szCs w:val="18"/>
              </w:rPr>
            </w:pPr>
            <w:r w:rsidRPr="00A862C6">
              <w:rPr>
                <w:rFonts w:cs="Arial"/>
                <w:sz w:val="18"/>
                <w:szCs w:val="18"/>
              </w:rPr>
              <w:t>(nivolumab 40 mg/4 mL injection, 4 mL vial)</w:t>
            </w:r>
          </w:p>
        </w:tc>
      </w:tr>
      <w:tr w:rsidR="009B54A8" w:rsidRPr="00A862C6" w:rsidTr="00964109">
        <w:tc>
          <w:tcPr>
            <w:tcW w:w="9016" w:type="dxa"/>
            <w:gridSpan w:val="4"/>
            <w:shd w:val="clear" w:color="auto" w:fill="auto"/>
          </w:tcPr>
          <w:p w:rsidR="009B54A8" w:rsidRPr="00A862C6" w:rsidRDefault="009B54A8" w:rsidP="00964109">
            <w:pPr>
              <w:pStyle w:val="Tabletext"/>
              <w:ind w:left="-57"/>
              <w:rPr>
                <w:rFonts w:cs="Arial"/>
                <w:sz w:val="18"/>
                <w:szCs w:val="18"/>
              </w:rPr>
            </w:pPr>
            <w:r w:rsidRPr="00A862C6">
              <w:rPr>
                <w:rFonts w:cs="Arial"/>
                <w:sz w:val="18"/>
                <w:szCs w:val="18"/>
              </w:rPr>
              <w:t>Opdivo</w:t>
            </w:r>
          </w:p>
          <w:p w:rsidR="009B54A8" w:rsidRPr="00A862C6" w:rsidRDefault="009B54A8" w:rsidP="00964109">
            <w:pPr>
              <w:pStyle w:val="Tabletext"/>
              <w:ind w:left="-57"/>
              <w:rPr>
                <w:rFonts w:cs="Arial"/>
                <w:sz w:val="18"/>
                <w:szCs w:val="18"/>
              </w:rPr>
            </w:pPr>
            <w:r w:rsidRPr="00A862C6">
              <w:rPr>
                <w:rFonts w:cs="Arial"/>
                <w:sz w:val="18"/>
                <w:szCs w:val="18"/>
              </w:rPr>
              <w:t>(nivolumab 100 mg/10 mL injection, 10 mL vial)</w:t>
            </w:r>
          </w:p>
        </w:tc>
      </w:tr>
      <w:tr w:rsidR="009B54A8" w:rsidRPr="00A862C6" w:rsidTr="00964109">
        <w:tc>
          <w:tcPr>
            <w:tcW w:w="9016" w:type="dxa"/>
            <w:gridSpan w:val="4"/>
            <w:shd w:val="clear" w:color="auto" w:fill="auto"/>
          </w:tcPr>
          <w:p w:rsidR="009B54A8" w:rsidRPr="00A862C6" w:rsidRDefault="009B54A8" w:rsidP="00964109">
            <w:pPr>
              <w:pStyle w:val="Tabletext"/>
              <w:ind w:left="-57"/>
              <w:rPr>
                <w:rFonts w:cs="Arial"/>
                <w:sz w:val="18"/>
                <w:szCs w:val="18"/>
              </w:rPr>
            </w:pPr>
          </w:p>
        </w:tc>
      </w:tr>
    </w:tbl>
    <w:tbl>
      <w:tblPr>
        <w:tblStyle w:val="TableGrid"/>
        <w:tblW w:w="5000" w:type="pct"/>
        <w:tblLook w:val="04A0" w:firstRow="1" w:lastRow="0" w:firstColumn="1" w:lastColumn="0" w:noHBand="0" w:noVBand="1"/>
        <w:tblCaption w:val="recommended listing"/>
      </w:tblPr>
      <w:tblGrid>
        <w:gridCol w:w="1414"/>
        <w:gridCol w:w="7603"/>
      </w:tblGrid>
      <w:tr w:rsidR="009B54A8" w:rsidRPr="00A862C6" w:rsidTr="00E45BC9">
        <w:trPr>
          <w:tblHeader/>
        </w:trPr>
        <w:tc>
          <w:tcPr>
            <w:tcW w:w="5000" w:type="pct"/>
            <w:gridSpan w:val="2"/>
          </w:tcPr>
          <w:p w:rsidR="009B54A8" w:rsidRPr="00A862C6" w:rsidRDefault="009B54A8" w:rsidP="00964109">
            <w:pPr>
              <w:ind w:left="-57"/>
              <w:rPr>
                <w:rFonts w:ascii="Arial Narrow" w:hAnsi="Arial Narrow"/>
                <w:b/>
                <w:bCs/>
                <w:sz w:val="18"/>
                <w:szCs w:val="18"/>
                <w:lang w:eastAsia="en-AU"/>
              </w:rPr>
            </w:pPr>
            <w:bookmarkStart w:id="46" w:name="_GoBack" w:colFirst="0" w:colLast="1"/>
            <w:r w:rsidRPr="00A862C6">
              <w:rPr>
                <w:rFonts w:ascii="Arial Narrow" w:hAnsi="Arial Narrow"/>
                <w:b/>
                <w:bCs/>
                <w:sz w:val="18"/>
                <w:szCs w:val="18"/>
                <w:lang w:eastAsia="en-AU"/>
              </w:rPr>
              <w:t>Restriction Summary [new 3]  / Treatment of Concept: [new 4]</w:t>
            </w:r>
          </w:p>
        </w:tc>
      </w:tr>
      <w:bookmarkEnd w:id="46"/>
      <w:tr w:rsidR="009B54A8" w:rsidRPr="00A862C6" w:rsidTr="00964109">
        <w:tc>
          <w:tcPr>
            <w:tcW w:w="784" w:type="pct"/>
            <w:vMerge w:val="restart"/>
          </w:tcPr>
          <w:p w:rsidR="009B54A8" w:rsidRPr="00A862C6" w:rsidRDefault="009B54A8" w:rsidP="00964109">
            <w:pPr>
              <w:jc w:val="center"/>
              <w:rPr>
                <w:rFonts w:ascii="Arial Narrow" w:hAnsi="Arial Narrow"/>
                <w:b/>
                <w:sz w:val="18"/>
                <w:szCs w:val="18"/>
              </w:rPr>
            </w:pPr>
          </w:p>
        </w:tc>
        <w:tc>
          <w:tcPr>
            <w:tcW w:w="4216" w:type="pct"/>
            <w:tcBorders>
              <w:top w:val="single" w:sz="4" w:space="0" w:color="auto"/>
              <w:left w:val="single" w:sz="4" w:space="0" w:color="auto"/>
              <w:bottom w:val="single" w:sz="4" w:space="0" w:color="auto"/>
              <w:right w:val="single" w:sz="4" w:space="0" w:color="auto"/>
            </w:tcBorders>
          </w:tcPr>
          <w:p w:rsidR="009B54A8" w:rsidRPr="00A862C6" w:rsidRDefault="009B54A8" w:rsidP="00964109">
            <w:pPr>
              <w:ind w:left="-57"/>
              <w:rPr>
                <w:rFonts w:ascii="Arial Narrow" w:hAnsi="Arial Narrow"/>
                <w:b/>
                <w:bCs/>
                <w:sz w:val="18"/>
                <w:szCs w:val="18"/>
                <w:lang w:eastAsia="en-AU"/>
              </w:rPr>
            </w:pPr>
            <w:r w:rsidRPr="00A862C6">
              <w:rPr>
                <w:rFonts w:ascii="Arial Narrow" w:hAnsi="Arial Narrow"/>
                <w:b/>
                <w:sz w:val="18"/>
                <w:szCs w:val="18"/>
              </w:rPr>
              <w:t xml:space="preserve">Category / Program: </w:t>
            </w:r>
            <w:r w:rsidRPr="00A862C6">
              <w:rPr>
                <w:rFonts w:ascii="Arial Narrow" w:hAnsi="Arial Narrow"/>
                <w:sz w:val="18"/>
                <w:szCs w:val="18"/>
              </w:rPr>
              <w:t>Section 100 – Efficient Funding of Chemotherapy Public/Private hospitals</w:t>
            </w:r>
          </w:p>
        </w:tc>
      </w:tr>
      <w:tr w:rsidR="009B54A8" w:rsidRPr="00A862C6" w:rsidTr="00964109">
        <w:tc>
          <w:tcPr>
            <w:tcW w:w="784" w:type="pct"/>
            <w:vMerge/>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Borders>
              <w:top w:val="single" w:sz="4" w:space="0" w:color="auto"/>
              <w:left w:val="single" w:sz="4" w:space="0" w:color="auto"/>
              <w:bottom w:val="single" w:sz="4" w:space="0" w:color="auto"/>
              <w:right w:val="single" w:sz="4" w:space="0" w:color="auto"/>
            </w:tcBorders>
          </w:tcPr>
          <w:p w:rsidR="009B54A8" w:rsidRPr="00A862C6" w:rsidRDefault="009B54A8" w:rsidP="00964109">
            <w:pPr>
              <w:ind w:left="-57"/>
              <w:rPr>
                <w:rFonts w:ascii="Arial Narrow" w:hAnsi="Arial Narrow"/>
                <w:b/>
                <w:bCs/>
                <w:sz w:val="18"/>
                <w:szCs w:val="18"/>
                <w:lang w:eastAsia="en-AU"/>
              </w:rPr>
            </w:pPr>
            <w:r w:rsidRPr="00A862C6">
              <w:rPr>
                <w:rFonts w:ascii="Arial Narrow" w:hAnsi="Arial Narrow"/>
                <w:b/>
                <w:sz w:val="18"/>
                <w:szCs w:val="18"/>
              </w:rPr>
              <w:t xml:space="preserve">Prescriber type:   </w:t>
            </w:r>
            <w:r w:rsidRPr="00A862C6">
              <w:rPr>
                <w:rFonts w:ascii="Arial Narrow" w:hAnsi="Arial Narrow"/>
                <w:i/>
                <w:sz w:val="18"/>
                <w:szCs w:val="18"/>
              </w:rPr>
              <w:fldChar w:fldCharType="begin">
                <w:ffData>
                  <w:name w:val=""/>
                  <w:enabled/>
                  <w:calcOnExit w:val="0"/>
                  <w:checkBox>
                    <w:sizeAuto/>
                    <w:default w:val="1"/>
                  </w:checkBox>
                </w:ffData>
              </w:fldChar>
            </w:r>
            <w:r w:rsidRPr="00A862C6">
              <w:rPr>
                <w:rFonts w:ascii="Arial Narrow" w:hAnsi="Arial Narrow"/>
                <w:i/>
                <w:sz w:val="18"/>
                <w:szCs w:val="18"/>
              </w:rPr>
              <w:instrText xml:space="preserve"> FORMCHECKBOX </w:instrText>
            </w:r>
            <w:r w:rsidR="00980A9E">
              <w:rPr>
                <w:rFonts w:ascii="Arial Narrow" w:hAnsi="Arial Narrow"/>
                <w:i/>
                <w:sz w:val="18"/>
                <w:szCs w:val="18"/>
              </w:rPr>
            </w:r>
            <w:r w:rsidR="00980A9E">
              <w:rPr>
                <w:rFonts w:ascii="Arial Narrow" w:hAnsi="Arial Narrow"/>
                <w:i/>
                <w:sz w:val="18"/>
                <w:szCs w:val="18"/>
              </w:rPr>
              <w:fldChar w:fldCharType="separate"/>
            </w:r>
            <w:r w:rsidRPr="00A862C6">
              <w:rPr>
                <w:rFonts w:ascii="Arial Narrow" w:hAnsi="Arial Narrow"/>
                <w:i/>
                <w:sz w:val="18"/>
                <w:szCs w:val="18"/>
              </w:rPr>
              <w:fldChar w:fldCharType="end"/>
            </w:r>
            <w:r w:rsidRPr="00A862C6">
              <w:rPr>
                <w:rFonts w:ascii="Arial Narrow" w:hAnsi="Arial Narrow"/>
                <w:i/>
                <w:sz w:val="18"/>
                <w:szCs w:val="18"/>
              </w:rPr>
              <w:t xml:space="preserve"> </w:t>
            </w:r>
            <w:r w:rsidRPr="00A862C6">
              <w:rPr>
                <w:rFonts w:ascii="Arial Narrow" w:hAnsi="Arial Narrow"/>
                <w:sz w:val="18"/>
                <w:szCs w:val="18"/>
              </w:rPr>
              <w:t xml:space="preserve">Medical Practitioners    </w:t>
            </w:r>
          </w:p>
        </w:tc>
      </w:tr>
      <w:tr w:rsidR="009B54A8" w:rsidRPr="00A862C6" w:rsidTr="00964109">
        <w:tc>
          <w:tcPr>
            <w:tcW w:w="784" w:type="pct"/>
            <w:vMerge/>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Borders>
              <w:top w:val="single" w:sz="4" w:space="0" w:color="auto"/>
              <w:left w:val="single" w:sz="4" w:space="0" w:color="auto"/>
              <w:bottom w:val="single" w:sz="4" w:space="0" w:color="auto"/>
              <w:right w:val="single" w:sz="4" w:space="0" w:color="auto"/>
            </w:tcBorders>
          </w:tcPr>
          <w:p w:rsidR="009B54A8" w:rsidRPr="00A862C6" w:rsidRDefault="009B54A8" w:rsidP="00964109">
            <w:pPr>
              <w:ind w:left="-57"/>
              <w:rPr>
                <w:rFonts w:ascii="Arial Narrow" w:hAnsi="Arial Narrow"/>
                <w:b/>
                <w:bCs/>
                <w:sz w:val="18"/>
                <w:szCs w:val="18"/>
                <w:lang w:eastAsia="en-AU"/>
              </w:rPr>
            </w:pPr>
            <w:r w:rsidRPr="00A862C6">
              <w:rPr>
                <w:rFonts w:ascii="Arial Narrow" w:hAnsi="Arial Narrow"/>
                <w:b/>
                <w:sz w:val="18"/>
                <w:szCs w:val="18"/>
              </w:rPr>
              <w:t xml:space="preserve">Restriction type: </w:t>
            </w:r>
            <w:r w:rsidRPr="00A862C6">
              <w:rPr>
                <w:rFonts w:ascii="Arial Narrow" w:eastAsia="Calibri" w:hAnsi="Arial Narrow"/>
                <w:sz w:val="18"/>
                <w:szCs w:val="18"/>
              </w:rPr>
              <w:fldChar w:fldCharType="begin">
                <w:ffData>
                  <w:name w:val=""/>
                  <w:enabled/>
                  <w:calcOnExit w:val="0"/>
                  <w:checkBox>
                    <w:sizeAuto/>
                    <w:default w:val="1"/>
                  </w:checkBox>
                </w:ffData>
              </w:fldChar>
            </w:r>
            <w:r w:rsidRPr="00A862C6">
              <w:rPr>
                <w:rFonts w:ascii="Arial Narrow" w:eastAsia="Calibri" w:hAnsi="Arial Narrow"/>
                <w:sz w:val="18"/>
                <w:szCs w:val="18"/>
              </w:rPr>
              <w:instrText xml:space="preserve"> FORMCHECKBOX </w:instrText>
            </w:r>
            <w:r w:rsidR="00980A9E">
              <w:rPr>
                <w:rFonts w:ascii="Arial Narrow" w:eastAsia="Calibri" w:hAnsi="Arial Narrow"/>
                <w:sz w:val="18"/>
                <w:szCs w:val="18"/>
              </w:rPr>
            </w:r>
            <w:r w:rsidR="00980A9E">
              <w:rPr>
                <w:rFonts w:ascii="Arial Narrow" w:eastAsia="Calibri" w:hAnsi="Arial Narrow"/>
                <w:sz w:val="18"/>
                <w:szCs w:val="18"/>
              </w:rPr>
              <w:fldChar w:fldCharType="separate"/>
            </w:r>
            <w:r w:rsidRPr="00A862C6">
              <w:rPr>
                <w:rFonts w:ascii="Arial Narrow" w:eastAsia="Calibri" w:hAnsi="Arial Narrow"/>
                <w:sz w:val="18"/>
                <w:szCs w:val="18"/>
              </w:rPr>
              <w:fldChar w:fldCharType="end"/>
            </w:r>
            <w:r w:rsidRPr="00A862C6">
              <w:rPr>
                <w:rFonts w:ascii="Arial Narrow" w:eastAsia="Calibri" w:hAnsi="Arial Narrow"/>
                <w:sz w:val="18"/>
                <w:szCs w:val="18"/>
              </w:rPr>
              <w:t xml:space="preserve"> Authority Required – Streamlined [New 4]</w:t>
            </w:r>
          </w:p>
        </w:tc>
      </w:tr>
      <w:tr w:rsidR="009B54A8" w:rsidRPr="00A862C6" w:rsidTr="00130986">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hideMark/>
          </w:tcPr>
          <w:p w:rsidR="009B54A8" w:rsidRPr="00A862C6" w:rsidRDefault="009B54A8" w:rsidP="00C076A0">
            <w:pPr>
              <w:ind w:left="-57"/>
              <w:rPr>
                <w:rFonts w:ascii="Arial Narrow" w:hAnsi="Arial Narrow"/>
                <w:sz w:val="18"/>
                <w:szCs w:val="18"/>
                <w:lang w:eastAsia="en-AU"/>
              </w:rPr>
            </w:pPr>
            <w:r w:rsidRPr="00A862C6">
              <w:rPr>
                <w:rFonts w:ascii="Arial Narrow" w:hAnsi="Arial Narrow"/>
                <w:b/>
                <w:bCs/>
                <w:sz w:val="18"/>
                <w:szCs w:val="18"/>
                <w:lang w:eastAsia="en-AU"/>
              </w:rPr>
              <w:t xml:space="preserve">Indication: </w:t>
            </w:r>
            <w:r w:rsidRPr="00A862C6">
              <w:rPr>
                <w:rFonts w:ascii="Arial Narrow" w:hAnsi="Arial Narrow"/>
                <w:sz w:val="18"/>
                <w:szCs w:val="18"/>
                <w:lang w:eastAsia="en-AU"/>
              </w:rPr>
              <w:t>Advanced or metastatic squamous cell carcinoma</w:t>
            </w:r>
            <w:r w:rsidRPr="00A862C6">
              <w:rPr>
                <w:rFonts w:ascii="Arial Narrow" w:hAnsi="Arial Narrow"/>
                <w:i/>
                <w:sz w:val="18"/>
                <w:szCs w:val="18"/>
                <w:lang w:eastAsia="en-AU"/>
              </w:rPr>
              <w:t xml:space="preserve"> </w:t>
            </w:r>
            <w:r w:rsidRPr="00A862C6">
              <w:rPr>
                <w:rFonts w:ascii="Arial Narrow" w:hAnsi="Arial Narrow"/>
                <w:sz w:val="18"/>
                <w:szCs w:val="18"/>
                <w:lang w:eastAsia="en-AU"/>
              </w:rPr>
              <w:t>of oesophagus</w:t>
            </w:r>
          </w:p>
        </w:tc>
      </w:tr>
      <w:tr w:rsidR="009B54A8" w:rsidRPr="00A862C6" w:rsidTr="00130986">
        <w:tc>
          <w:tcPr>
            <w:tcW w:w="784" w:type="pct"/>
          </w:tcPr>
          <w:p w:rsidR="009B54A8" w:rsidRPr="00A862C6" w:rsidRDefault="009B54A8" w:rsidP="00964109">
            <w:pPr>
              <w:jc w:val="center"/>
              <w:rPr>
                <w:rFonts w:ascii="Arial Narrow" w:hAnsi="Arial Narrow"/>
                <w:sz w:val="18"/>
                <w:szCs w:val="18"/>
                <w:lang w:eastAsia="en-AU"/>
              </w:rPr>
            </w:pPr>
          </w:p>
        </w:tc>
        <w:tc>
          <w:tcPr>
            <w:tcW w:w="4216" w:type="pct"/>
            <w:hideMark/>
          </w:tcPr>
          <w:p w:rsidR="009B54A8" w:rsidRPr="00A862C6" w:rsidRDefault="009B54A8" w:rsidP="00964109">
            <w:pPr>
              <w:ind w:left="-57"/>
              <w:rPr>
                <w:rFonts w:ascii="Arial Narrow" w:hAnsi="Arial Narrow"/>
                <w:sz w:val="18"/>
                <w:szCs w:val="18"/>
                <w:lang w:eastAsia="en-AU"/>
              </w:rPr>
            </w:pPr>
            <w:r w:rsidRPr="00A862C6">
              <w:rPr>
                <w:rFonts w:ascii="Arial Narrow" w:hAnsi="Arial Narrow"/>
                <w:b/>
                <w:bCs/>
                <w:sz w:val="18"/>
                <w:szCs w:val="18"/>
                <w:lang w:eastAsia="en-AU"/>
              </w:rPr>
              <w:t xml:space="preserve">Treatment Phase: </w:t>
            </w:r>
            <w:r w:rsidRPr="00A862C6">
              <w:rPr>
                <w:rFonts w:ascii="Arial Narrow" w:hAnsi="Arial Narrow"/>
                <w:sz w:val="18"/>
                <w:szCs w:val="18"/>
                <w:lang w:eastAsia="en-AU"/>
              </w:rPr>
              <w:t xml:space="preserve">Continuing treatment </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ind w:left="-57"/>
              <w:rPr>
                <w:rFonts w:ascii="Arial Narrow" w:hAnsi="Arial Narrow"/>
                <w:b/>
                <w:sz w:val="18"/>
                <w:szCs w:val="18"/>
                <w:lang w:eastAsia="en-AU"/>
              </w:rPr>
            </w:pPr>
            <w:r w:rsidRPr="00A862C6">
              <w:rPr>
                <w:rFonts w:ascii="Arial Narrow" w:hAnsi="Arial Narrow"/>
                <w:b/>
                <w:sz w:val="18"/>
                <w:szCs w:val="18"/>
                <w:lang w:eastAsia="en-AU"/>
              </w:rPr>
              <w:t>Clinical criteria:</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ind w:left="-57"/>
              <w:rPr>
                <w:rFonts w:ascii="Arial Narrow" w:hAnsi="Arial Narrow"/>
                <w:sz w:val="18"/>
                <w:szCs w:val="18"/>
                <w:lang w:eastAsia="en-AU"/>
              </w:rPr>
            </w:pPr>
          </w:p>
          <w:p w:rsidR="009B54A8" w:rsidRPr="00A862C6" w:rsidRDefault="009B54A8" w:rsidP="00964109">
            <w:pPr>
              <w:ind w:left="-57"/>
              <w:rPr>
                <w:rFonts w:ascii="Arial Narrow" w:hAnsi="Arial Narrow"/>
                <w:sz w:val="18"/>
                <w:szCs w:val="18"/>
                <w:lang w:eastAsia="en-AU"/>
              </w:rPr>
            </w:pPr>
            <w:r w:rsidRPr="00A862C6">
              <w:rPr>
                <w:rFonts w:ascii="Arial Narrow" w:hAnsi="Arial Narrow"/>
                <w:sz w:val="18"/>
                <w:szCs w:val="18"/>
                <w:lang w:eastAsia="en-AU"/>
              </w:rPr>
              <w:t>Patient must have stable or responding disease</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ind w:left="-57"/>
              <w:rPr>
                <w:rFonts w:ascii="Arial Narrow" w:hAnsi="Arial Narrow"/>
                <w:sz w:val="18"/>
                <w:szCs w:val="18"/>
                <w:lang w:eastAsia="en-AU"/>
              </w:rPr>
            </w:pPr>
            <w:r w:rsidRPr="00A862C6">
              <w:rPr>
                <w:rFonts w:ascii="Arial Narrow" w:hAnsi="Arial Narrow"/>
                <w:b/>
                <w:sz w:val="18"/>
                <w:szCs w:val="18"/>
                <w:lang w:eastAsia="en-AU"/>
              </w:rPr>
              <w:t>AND</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ind w:left="-57"/>
              <w:rPr>
                <w:rFonts w:ascii="Arial Narrow" w:hAnsi="Arial Narrow"/>
                <w:b/>
                <w:sz w:val="18"/>
                <w:szCs w:val="18"/>
                <w:lang w:eastAsia="en-AU"/>
              </w:rPr>
            </w:pPr>
            <w:r w:rsidRPr="00A862C6">
              <w:rPr>
                <w:rFonts w:ascii="Arial Narrow" w:hAnsi="Arial Narrow"/>
                <w:b/>
                <w:sz w:val="18"/>
                <w:szCs w:val="18"/>
                <w:lang w:eastAsia="en-AU"/>
              </w:rPr>
              <w:t>Treatment criteria:</w:t>
            </w:r>
          </w:p>
        </w:tc>
      </w:tr>
      <w:tr w:rsidR="009B54A8" w:rsidRPr="00A862C6" w:rsidTr="00E72B9B">
        <w:tc>
          <w:tcPr>
            <w:tcW w:w="784" w:type="pct"/>
            <w:vAlign w:val="center"/>
          </w:tcPr>
          <w:p w:rsidR="009B54A8" w:rsidRPr="00A862C6" w:rsidRDefault="009B54A8" w:rsidP="00E72B9B">
            <w:pPr>
              <w:jc w:val="center"/>
              <w:rPr>
                <w:rFonts w:ascii="Arial Narrow" w:hAnsi="Arial Narrow"/>
                <w:sz w:val="18"/>
                <w:szCs w:val="18"/>
                <w:lang w:eastAsia="en-AU"/>
              </w:rPr>
            </w:pPr>
          </w:p>
        </w:tc>
        <w:tc>
          <w:tcPr>
            <w:tcW w:w="4216" w:type="pct"/>
          </w:tcPr>
          <w:p w:rsidR="009B54A8" w:rsidRPr="00A862C6" w:rsidRDefault="009B54A8" w:rsidP="00964109">
            <w:pPr>
              <w:ind w:left="-57"/>
              <w:rPr>
                <w:rFonts w:ascii="Arial Narrow" w:hAnsi="Arial Narrow"/>
                <w:sz w:val="18"/>
                <w:szCs w:val="18"/>
                <w:lang w:eastAsia="en-AU"/>
              </w:rPr>
            </w:pPr>
            <w:r w:rsidRPr="00A862C6">
              <w:rPr>
                <w:rFonts w:ascii="Arial Narrow" w:hAnsi="Arial Narrow"/>
                <w:sz w:val="18"/>
                <w:szCs w:val="18"/>
                <w:lang w:eastAsia="en-AU"/>
              </w:rPr>
              <w:t xml:space="preserve">Patient must be undergoing continuing treatment with this drug for this PBS-indication, </w:t>
            </w:r>
            <w:r w:rsidR="00C74D42" w:rsidRPr="00A862C6">
              <w:rPr>
                <w:rFonts w:ascii="Arial Narrow" w:hAnsi="Arial Narrow"/>
                <w:sz w:val="18"/>
                <w:szCs w:val="18"/>
                <w:lang w:eastAsia="en-AU"/>
              </w:rPr>
              <w:t>with PBS subsidised treatment having commenced under the</w:t>
            </w:r>
            <w:r w:rsidRPr="00A862C6">
              <w:rPr>
                <w:rFonts w:ascii="Arial Narrow" w:hAnsi="Arial Narrow"/>
                <w:sz w:val="18"/>
                <w:szCs w:val="18"/>
                <w:lang w:eastAsia="en-AU"/>
              </w:rPr>
              <w:t xml:space="preserve"> ‘Initial treatment’ phase</w:t>
            </w:r>
            <w:r w:rsidR="00C74D42" w:rsidRPr="00A862C6">
              <w:rPr>
                <w:rFonts w:ascii="Arial Narrow" w:hAnsi="Arial Narrow"/>
                <w:sz w:val="18"/>
                <w:szCs w:val="18"/>
                <w:lang w:eastAsia="en-AU"/>
              </w:rPr>
              <w:t xml:space="preserve"> listing – do not commence PBS subsidised treatment through this treatment phase</w:t>
            </w:r>
          </w:p>
        </w:tc>
      </w:tr>
      <w:tr w:rsidR="009B54A8" w:rsidRPr="00A862C6" w:rsidTr="00130986">
        <w:tc>
          <w:tcPr>
            <w:tcW w:w="784" w:type="pct"/>
          </w:tcPr>
          <w:p w:rsidR="009B54A8" w:rsidRPr="00A862C6" w:rsidRDefault="009B54A8" w:rsidP="00964109">
            <w:pPr>
              <w:jc w:val="center"/>
              <w:rPr>
                <w:rFonts w:ascii="Arial Narrow" w:hAnsi="Arial Narrow"/>
                <w:sz w:val="18"/>
                <w:szCs w:val="18"/>
                <w:lang w:eastAsia="en-AU"/>
              </w:rPr>
            </w:pPr>
          </w:p>
        </w:tc>
        <w:tc>
          <w:tcPr>
            <w:tcW w:w="4216" w:type="pct"/>
            <w:hideMark/>
          </w:tcPr>
          <w:p w:rsidR="009B54A8" w:rsidRPr="00A862C6" w:rsidRDefault="009B54A8" w:rsidP="00964109">
            <w:pPr>
              <w:ind w:left="-57"/>
              <w:rPr>
                <w:rFonts w:ascii="Arial Narrow" w:hAnsi="Arial Narrow"/>
                <w:sz w:val="18"/>
                <w:szCs w:val="18"/>
                <w:lang w:eastAsia="en-AU"/>
              </w:rPr>
            </w:pPr>
            <w:r w:rsidRPr="00A862C6">
              <w:rPr>
                <w:rFonts w:ascii="Arial Narrow" w:hAnsi="Arial Narrow"/>
                <w:b/>
                <w:bCs/>
                <w:sz w:val="18"/>
                <w:szCs w:val="18"/>
                <w:lang w:eastAsia="en-AU"/>
              </w:rPr>
              <w:t>AND</w:t>
            </w:r>
          </w:p>
        </w:tc>
      </w:tr>
      <w:tr w:rsidR="009B54A8" w:rsidRPr="00A862C6" w:rsidTr="00130986">
        <w:tc>
          <w:tcPr>
            <w:tcW w:w="784" w:type="pct"/>
          </w:tcPr>
          <w:p w:rsidR="009B54A8" w:rsidRPr="00A862C6" w:rsidRDefault="009B54A8" w:rsidP="00964109">
            <w:pPr>
              <w:spacing w:before="100" w:beforeAutospacing="1" w:after="100" w:afterAutospacing="1"/>
              <w:jc w:val="center"/>
              <w:rPr>
                <w:rFonts w:ascii="Arial Narrow" w:hAnsi="Arial Narrow"/>
                <w:strike/>
                <w:sz w:val="18"/>
                <w:szCs w:val="18"/>
                <w:lang w:eastAsia="en-AU"/>
              </w:rPr>
            </w:pPr>
          </w:p>
        </w:tc>
        <w:tc>
          <w:tcPr>
            <w:tcW w:w="4216" w:type="pct"/>
            <w:hideMark/>
          </w:tcPr>
          <w:p w:rsidR="009B54A8" w:rsidRPr="00A862C6" w:rsidRDefault="009B54A8" w:rsidP="00964109">
            <w:pPr>
              <w:ind w:left="-57"/>
              <w:rPr>
                <w:rFonts w:ascii="Arial Narrow" w:hAnsi="Arial Narrow"/>
                <w:sz w:val="18"/>
                <w:szCs w:val="18"/>
                <w:lang w:eastAsia="en-AU"/>
              </w:rPr>
            </w:pPr>
            <w:r w:rsidRPr="00A862C6">
              <w:rPr>
                <w:rFonts w:ascii="Arial Narrow" w:hAnsi="Arial Narrow"/>
                <w:b/>
                <w:bCs/>
                <w:sz w:val="18"/>
                <w:szCs w:val="18"/>
                <w:lang w:eastAsia="en-AU"/>
              </w:rPr>
              <w:t>Treatment criteria:</w:t>
            </w:r>
          </w:p>
        </w:tc>
      </w:tr>
      <w:tr w:rsidR="009B54A8" w:rsidRPr="00A862C6" w:rsidTr="00964109">
        <w:tc>
          <w:tcPr>
            <w:tcW w:w="784" w:type="pct"/>
          </w:tcPr>
          <w:p w:rsidR="009B54A8" w:rsidRPr="00A862C6" w:rsidRDefault="009B54A8" w:rsidP="00964109">
            <w:pPr>
              <w:spacing w:before="100" w:beforeAutospacing="1" w:after="100" w:afterAutospacing="1"/>
              <w:jc w:val="center"/>
              <w:rPr>
                <w:rFonts w:ascii="Arial Narrow" w:hAnsi="Arial Narrow"/>
                <w:sz w:val="18"/>
                <w:szCs w:val="18"/>
                <w:lang w:eastAsia="en-AU"/>
              </w:rPr>
            </w:pPr>
          </w:p>
        </w:tc>
        <w:tc>
          <w:tcPr>
            <w:tcW w:w="4216" w:type="pct"/>
          </w:tcPr>
          <w:p w:rsidR="009B54A8" w:rsidRPr="00A862C6" w:rsidRDefault="009B54A8" w:rsidP="00964109">
            <w:pPr>
              <w:ind w:left="-57"/>
              <w:rPr>
                <w:rFonts w:ascii="Arial Narrow" w:hAnsi="Arial Narrow"/>
                <w:sz w:val="18"/>
                <w:szCs w:val="18"/>
                <w:lang w:eastAsia="en-AU"/>
              </w:rPr>
            </w:pPr>
            <w:r w:rsidRPr="00A862C6">
              <w:rPr>
                <w:rFonts w:ascii="Arial Narrow" w:hAnsi="Arial Narrow"/>
                <w:bCs/>
                <w:sz w:val="18"/>
                <w:szCs w:val="18"/>
                <w:lang w:eastAsia="en-AU"/>
              </w:rPr>
              <w:t>Patient must be undergoing treatment with this drug as the sole PBS-subsidised therapy for this PBS indication</w:t>
            </w:r>
          </w:p>
        </w:tc>
      </w:tr>
      <w:tr w:rsidR="000A15C5" w:rsidRPr="00A862C6" w:rsidTr="00964109">
        <w:tc>
          <w:tcPr>
            <w:tcW w:w="784" w:type="pct"/>
          </w:tcPr>
          <w:p w:rsidR="000A15C5" w:rsidRPr="00A862C6" w:rsidRDefault="000A15C5" w:rsidP="000A15C5">
            <w:pPr>
              <w:spacing w:before="100" w:beforeAutospacing="1" w:after="100" w:afterAutospacing="1"/>
              <w:jc w:val="center"/>
              <w:rPr>
                <w:rFonts w:ascii="Arial Narrow" w:hAnsi="Arial Narrow"/>
                <w:sz w:val="18"/>
                <w:szCs w:val="18"/>
                <w:lang w:eastAsia="en-AU"/>
              </w:rPr>
            </w:pPr>
          </w:p>
        </w:tc>
        <w:tc>
          <w:tcPr>
            <w:tcW w:w="4216" w:type="pct"/>
          </w:tcPr>
          <w:p w:rsidR="000A15C5" w:rsidRPr="00A862C6" w:rsidRDefault="000A15C5" w:rsidP="000A15C5">
            <w:pPr>
              <w:ind w:left="-57"/>
              <w:rPr>
                <w:rFonts w:ascii="Arial Narrow" w:hAnsi="Arial Narrow"/>
                <w:bCs/>
                <w:sz w:val="18"/>
                <w:szCs w:val="18"/>
                <w:lang w:eastAsia="en-AU"/>
              </w:rPr>
            </w:pPr>
            <w:r w:rsidRPr="00A862C6">
              <w:rPr>
                <w:rFonts w:ascii="Arial Narrow" w:hAnsi="Arial Narrow"/>
                <w:b/>
                <w:bCs/>
                <w:sz w:val="18"/>
                <w:szCs w:val="18"/>
                <w:lang w:eastAsia="en-AU"/>
              </w:rPr>
              <w:t xml:space="preserve">Administrative Advice: </w:t>
            </w:r>
            <w:r w:rsidRPr="00A862C6">
              <w:rPr>
                <w:rFonts w:ascii="Arial Narrow" w:hAnsi="Arial Narrow"/>
                <w:sz w:val="18"/>
                <w:szCs w:val="18"/>
                <w:lang w:eastAsia="en-AU"/>
              </w:rPr>
              <w:t>Special Pricing Arrangements apply.</w:t>
            </w:r>
          </w:p>
        </w:tc>
      </w:tr>
      <w:tr w:rsidR="000A15C5" w:rsidRPr="00A862C6" w:rsidTr="00E72B9B">
        <w:trPr>
          <w:trHeight w:val="423"/>
        </w:trPr>
        <w:tc>
          <w:tcPr>
            <w:tcW w:w="784" w:type="pct"/>
            <w:vAlign w:val="center"/>
          </w:tcPr>
          <w:p w:rsidR="000A15C5" w:rsidRPr="00A862C6" w:rsidRDefault="000A15C5" w:rsidP="000A15C5">
            <w:pPr>
              <w:spacing w:before="100" w:beforeAutospacing="1" w:after="100" w:afterAutospacing="1"/>
              <w:jc w:val="center"/>
              <w:rPr>
                <w:rFonts w:ascii="Arial Narrow" w:hAnsi="Arial Narrow"/>
                <w:i/>
                <w:sz w:val="18"/>
                <w:szCs w:val="18"/>
                <w:lang w:eastAsia="en-AU"/>
              </w:rPr>
            </w:pPr>
          </w:p>
        </w:tc>
        <w:tc>
          <w:tcPr>
            <w:tcW w:w="4216" w:type="pct"/>
          </w:tcPr>
          <w:p w:rsidR="000A15C5" w:rsidRPr="00A862C6" w:rsidRDefault="000A15C5" w:rsidP="000A15C5">
            <w:pPr>
              <w:ind w:left="-57"/>
              <w:rPr>
                <w:rFonts w:ascii="Arial Narrow" w:hAnsi="Arial Narrow"/>
                <w:b/>
                <w:bCs/>
                <w:sz w:val="18"/>
                <w:szCs w:val="18"/>
                <w:lang w:eastAsia="en-AU"/>
              </w:rPr>
            </w:pPr>
            <w:r w:rsidRPr="00A862C6">
              <w:rPr>
                <w:rFonts w:ascii="Arial Narrow" w:hAnsi="Arial Narrow"/>
                <w:b/>
                <w:bCs/>
                <w:sz w:val="18"/>
                <w:szCs w:val="18"/>
                <w:lang w:eastAsia="en-AU"/>
              </w:rPr>
              <w:t xml:space="preserve">Administrative Advice: </w:t>
            </w:r>
          </w:p>
          <w:p w:rsidR="000A15C5" w:rsidRPr="00A862C6" w:rsidRDefault="000A15C5" w:rsidP="000A15C5">
            <w:pPr>
              <w:ind w:left="-57"/>
              <w:rPr>
                <w:rFonts w:ascii="Arial Narrow" w:hAnsi="Arial Narrow"/>
                <w:b/>
                <w:bCs/>
                <w:sz w:val="18"/>
                <w:szCs w:val="18"/>
                <w:lang w:eastAsia="en-AU"/>
              </w:rPr>
            </w:pPr>
            <w:r w:rsidRPr="00A862C6">
              <w:rPr>
                <w:rFonts w:ascii="Arial Narrow" w:hAnsi="Arial Narrow"/>
                <w:bCs/>
                <w:sz w:val="18"/>
                <w:szCs w:val="18"/>
                <w:lang w:eastAsia="en-AU"/>
              </w:rPr>
              <w:t xml:space="preserve">Up to 23 repeats may be sought if dosing at 240 mg every 2 weeks. Where an increase is sought, the benefit is no longer a Streamlined benefit. Seek authority approval prior to issuing the prescription. </w:t>
            </w:r>
          </w:p>
        </w:tc>
      </w:tr>
    </w:tbl>
    <w:p w:rsidR="009B54A8" w:rsidRPr="00A862C6" w:rsidRDefault="009B54A8" w:rsidP="009B54A8">
      <w:pPr>
        <w:rPr>
          <w:rFonts w:asciiTheme="minorHAnsi" w:hAnsiTheme="minorHAnsi"/>
          <w:bCs/>
        </w:rPr>
      </w:pPr>
    </w:p>
    <w:p w:rsidR="00716772" w:rsidRPr="00A862C6" w:rsidRDefault="00716772" w:rsidP="009B54A8">
      <w:pPr>
        <w:rPr>
          <w:rFonts w:asciiTheme="minorHAnsi" w:hAnsiTheme="minorHAnsi"/>
          <w:bCs/>
        </w:rPr>
      </w:pPr>
      <w:r w:rsidRPr="00A862C6">
        <w:rPr>
          <w:rFonts w:asciiTheme="minorHAnsi" w:hAnsiTheme="minorHAnsi" w:cstheme="minorHAnsi"/>
          <w:b/>
          <w:i/>
        </w:rPr>
        <w:t>This restriction may be subject to further review. Should there be any changes made to the restriction the Sponsor will be informed.</w:t>
      </w:r>
    </w:p>
    <w:bookmarkEnd w:id="3"/>
    <w:bookmarkEnd w:id="4"/>
    <w:bookmarkEnd w:id="5"/>
    <w:bookmarkEnd w:id="6"/>
    <w:bookmarkEnd w:id="7"/>
    <w:bookmarkEnd w:id="8"/>
    <w:bookmarkEnd w:id="9"/>
    <w:bookmarkEnd w:id="10"/>
    <w:p w:rsidR="00716772" w:rsidRDefault="00716772" w:rsidP="009B54A8">
      <w:pPr>
        <w:rPr>
          <w:rFonts w:asciiTheme="minorHAnsi" w:hAnsiTheme="minorHAnsi"/>
          <w:bCs/>
        </w:rPr>
      </w:pPr>
    </w:p>
    <w:p w:rsidR="00130986" w:rsidRPr="00130986" w:rsidRDefault="00130986" w:rsidP="00130986">
      <w:pPr>
        <w:pStyle w:val="2-SectionHeading"/>
        <w:numPr>
          <w:ilvl w:val="0"/>
          <w:numId w:val="2"/>
        </w:numPr>
      </w:pPr>
      <w:r w:rsidRPr="00C07617">
        <w:t>Context for Decision</w:t>
      </w:r>
    </w:p>
    <w:p w:rsidR="00130986" w:rsidRPr="007129F2" w:rsidRDefault="00130986" w:rsidP="00130986">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30986" w:rsidRPr="00130986" w:rsidRDefault="00130986" w:rsidP="00130986">
      <w:pPr>
        <w:pStyle w:val="2-SectionHeading"/>
        <w:numPr>
          <w:ilvl w:val="0"/>
          <w:numId w:val="2"/>
        </w:numPr>
      </w:pPr>
      <w:r>
        <w:t>Sponsor’s Comment</w:t>
      </w:r>
    </w:p>
    <w:p w:rsidR="00130986" w:rsidRPr="005E753D" w:rsidRDefault="00130986" w:rsidP="005E753D">
      <w:pPr>
        <w:spacing w:after="120"/>
        <w:ind w:left="426" w:firstLine="294"/>
        <w:rPr>
          <w:bCs/>
        </w:rPr>
      </w:pPr>
      <w:r w:rsidRPr="00C07617">
        <w:rPr>
          <w:bCs/>
        </w:rPr>
        <w:t>The sponsor had no comment.</w:t>
      </w:r>
    </w:p>
    <w:sectPr w:rsidR="00130986" w:rsidRPr="005E753D" w:rsidSect="00166F49">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FC" w:rsidRDefault="00027DFC" w:rsidP="00124A51">
      <w:r>
        <w:separator/>
      </w:r>
    </w:p>
    <w:p w:rsidR="00027DFC" w:rsidRDefault="00027DFC"/>
  </w:endnote>
  <w:endnote w:type="continuationSeparator" w:id="0">
    <w:p w:rsidR="00027DFC" w:rsidRDefault="00027DFC" w:rsidP="00124A51">
      <w:r>
        <w:continuationSeparator/>
      </w:r>
    </w:p>
    <w:p w:rsidR="00027DFC" w:rsidRDefault="00027DFC"/>
  </w:endnote>
  <w:endnote w:type="continuationNotice" w:id="1">
    <w:p w:rsidR="00027DFC" w:rsidRDefault="00027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DFC" w:rsidRDefault="00027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C60" w:rsidRDefault="004B1C60">
    <w:pPr>
      <w:pStyle w:val="Footer"/>
      <w:jc w:val="center"/>
    </w:pPr>
  </w:p>
  <w:p w:rsidR="004B1C60" w:rsidRPr="00EE0C64" w:rsidRDefault="00980A9E" w:rsidP="00EE0C64">
    <w:pPr>
      <w:pStyle w:val="Footer"/>
      <w:jc w:val="center"/>
    </w:pPr>
    <w:sdt>
      <w:sdtPr>
        <w:id w:val="-601955841"/>
        <w:docPartObj>
          <w:docPartGallery w:val="Page Numbers (Bottom of Page)"/>
          <w:docPartUnique/>
        </w:docPartObj>
      </w:sdtPr>
      <w:sdtEndPr>
        <w:rPr>
          <w:noProof/>
        </w:rPr>
      </w:sdtEndPr>
      <w:sdtContent>
        <w:r w:rsidR="004B1C60" w:rsidRPr="00EE0C64">
          <w:rPr>
            <w:b/>
          </w:rPr>
          <w:fldChar w:fldCharType="begin"/>
        </w:r>
        <w:r w:rsidR="004B1C60" w:rsidRPr="00EE0C64">
          <w:rPr>
            <w:b/>
          </w:rPr>
          <w:instrText xml:space="preserve"> PAGE   \* MERGEFORMAT </w:instrText>
        </w:r>
        <w:r w:rsidR="004B1C60" w:rsidRPr="00EE0C64">
          <w:rPr>
            <w:b/>
          </w:rPr>
          <w:fldChar w:fldCharType="separate"/>
        </w:r>
        <w:r>
          <w:rPr>
            <w:b/>
            <w:noProof/>
          </w:rPr>
          <w:t>34</w:t>
        </w:r>
        <w:r w:rsidR="004B1C60" w:rsidRPr="00EE0C64">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DFC" w:rsidRDefault="00027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FC" w:rsidRDefault="00027DFC" w:rsidP="00124A51">
      <w:r>
        <w:separator/>
      </w:r>
    </w:p>
    <w:p w:rsidR="00027DFC" w:rsidRDefault="00027DFC"/>
  </w:footnote>
  <w:footnote w:type="continuationSeparator" w:id="0">
    <w:p w:rsidR="00027DFC" w:rsidRDefault="00027DFC" w:rsidP="00124A51">
      <w:r>
        <w:continuationSeparator/>
      </w:r>
    </w:p>
    <w:p w:rsidR="00027DFC" w:rsidRDefault="00027DFC"/>
  </w:footnote>
  <w:footnote w:type="continuationNotice" w:id="1">
    <w:p w:rsidR="00027DFC" w:rsidRDefault="00027DFC"/>
  </w:footnote>
  <w:footnote w:id="2">
    <w:p w:rsidR="004B1C60" w:rsidRPr="00904A5E" w:rsidRDefault="004B1C60">
      <w:pPr>
        <w:pStyle w:val="FootnoteText"/>
        <w:rPr>
          <w:rFonts w:ascii="Arial Narrow" w:hAnsi="Arial Narrow"/>
          <w:sz w:val="18"/>
          <w:szCs w:val="18"/>
        </w:rPr>
      </w:pPr>
      <w:r w:rsidRPr="00904A5E">
        <w:rPr>
          <w:rStyle w:val="FootnoteReference"/>
          <w:rFonts w:ascii="Arial Narrow" w:hAnsi="Arial Narrow"/>
          <w:sz w:val="18"/>
          <w:szCs w:val="18"/>
        </w:rPr>
        <w:footnoteRef/>
      </w:r>
      <w:r w:rsidRPr="00904A5E">
        <w:rPr>
          <w:rFonts w:ascii="Arial Narrow" w:hAnsi="Arial Narrow"/>
          <w:sz w:val="18"/>
          <w:szCs w:val="18"/>
        </w:rPr>
        <w:t xml:space="preserve"> Kelly RJ. The emerging role of immunotherapy for esophageal cancer. Curr Opin Gastroenterol. 2019;35(4):337-343. doi:10.1097/MOG.0000000000000542 </w:t>
      </w:r>
    </w:p>
  </w:footnote>
  <w:footnote w:id="3">
    <w:p w:rsidR="004B1C60" w:rsidRPr="00997C26" w:rsidRDefault="004B1C60" w:rsidP="004927D0">
      <w:pPr>
        <w:pStyle w:val="FootnoteText"/>
        <w:rPr>
          <w:rFonts w:ascii="Arial Narrow" w:hAnsi="Arial Narrow"/>
          <w:sz w:val="18"/>
          <w:szCs w:val="18"/>
        </w:rPr>
      </w:pPr>
      <w:r w:rsidRPr="00997C26">
        <w:rPr>
          <w:rStyle w:val="FootnoteReference"/>
          <w:rFonts w:ascii="Arial Narrow" w:hAnsi="Arial Narrow"/>
          <w:sz w:val="18"/>
          <w:szCs w:val="18"/>
        </w:rPr>
        <w:footnoteRef/>
      </w:r>
      <w:r w:rsidRPr="00997C26">
        <w:rPr>
          <w:rFonts w:ascii="Arial Narrow" w:hAnsi="Arial Narrow"/>
          <w:sz w:val="18"/>
          <w:szCs w:val="18"/>
        </w:rPr>
        <w:t xml:space="preserve"> </w:t>
      </w:r>
      <w:r w:rsidRPr="00997C26">
        <w:rPr>
          <w:rFonts w:ascii="Arial Narrow" w:hAnsi="Arial Narrow"/>
          <w:bCs/>
          <w:sz w:val="18"/>
          <w:szCs w:val="18"/>
        </w:rPr>
        <w:t>Cherny NI, Dafni U, Bogaerts J, et al: ESMO-Magnitude of Clinical Benefit Scale version 1.1. Annals of Oncology 28:2340-2366, 2017.</w:t>
      </w:r>
    </w:p>
  </w:footnote>
  <w:footnote w:id="4">
    <w:p w:rsidR="004B1C60" w:rsidRPr="005B0E56" w:rsidRDefault="004B1C60">
      <w:pPr>
        <w:pStyle w:val="FootnoteText"/>
        <w:rPr>
          <w:rFonts w:ascii="Arial Narrow" w:hAnsi="Arial Narrow"/>
          <w:sz w:val="18"/>
          <w:szCs w:val="18"/>
        </w:rPr>
      </w:pPr>
      <w:r w:rsidRPr="005B0E56">
        <w:rPr>
          <w:rStyle w:val="FootnoteReference"/>
          <w:rFonts w:ascii="Arial Narrow" w:hAnsi="Arial Narrow"/>
          <w:sz w:val="18"/>
          <w:szCs w:val="18"/>
        </w:rPr>
        <w:footnoteRef/>
      </w:r>
      <w:r w:rsidRPr="005B0E56">
        <w:rPr>
          <w:rFonts w:ascii="Arial Narrow" w:hAnsi="Arial Narrow"/>
          <w:sz w:val="18"/>
          <w:szCs w:val="18"/>
        </w:rPr>
        <w:t xml:space="preserve"> https://www.nice.org.uk/guidance/gid-ta10222/documents/final-appraisal-determination-document-2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DFC" w:rsidRDefault="00027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C60" w:rsidRPr="00EE0C64" w:rsidRDefault="004B1C60" w:rsidP="00EE0C64">
    <w:pPr>
      <w:pStyle w:val="Header"/>
      <w:keepNext/>
      <w:ind w:left="360"/>
      <w:jc w:val="center"/>
      <w:rPr>
        <w:rFonts w:asciiTheme="minorHAnsi" w:hAnsiTheme="minorHAnsi"/>
        <w:i/>
      </w:rPr>
    </w:pPr>
    <w:r w:rsidRPr="00130986">
      <w:rPr>
        <w:rFonts w:asciiTheme="minorHAnsi" w:hAnsiTheme="minorHAnsi"/>
        <w:i/>
      </w:rPr>
      <w:t xml:space="preserve">Public Summary Document </w:t>
    </w:r>
    <w:r w:rsidRPr="00EE0C64">
      <w:rPr>
        <w:rFonts w:asciiTheme="minorHAnsi" w:hAnsiTheme="minorHAnsi"/>
        <w:i/>
      </w:rPr>
      <w:t>– July 2021 PBAC Meeting</w:t>
    </w:r>
  </w:p>
  <w:p w:rsidR="004B1C60" w:rsidRDefault="004B1C6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DFC" w:rsidRDefault="0002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7B36"/>
    <w:multiLevelType w:val="hybridMultilevel"/>
    <w:tmpl w:val="AC5AA1B6"/>
    <w:lvl w:ilvl="0" w:tplc="5E4030B8">
      <w:start w:val="1"/>
      <w:numFmt w:val="lowerLetter"/>
      <w:lvlText w:val="%1)"/>
      <w:lvlJc w:val="left"/>
      <w:pPr>
        <w:ind w:left="2160" w:hanging="360"/>
      </w:pPr>
      <w:rPr>
        <w:b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26553CD8"/>
    <w:multiLevelType w:val="hybridMultilevel"/>
    <w:tmpl w:val="801E7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442297"/>
    <w:multiLevelType w:val="hybridMultilevel"/>
    <w:tmpl w:val="1A324DE6"/>
    <w:lvl w:ilvl="0" w:tplc="C324F4FC">
      <w:start w:val="1"/>
      <w:numFmt w:val="bullet"/>
      <w:pStyle w:val="Bulletpoin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F5C51"/>
    <w:multiLevelType w:val="hybridMultilevel"/>
    <w:tmpl w:val="BA642E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784D033C"/>
    <w:multiLevelType w:val="multilevel"/>
    <w:tmpl w:val="1A12667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bCs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activeWritingStyle w:appName="MSWord" w:lang="en-AU" w:vendorID="64" w:dllVersion="0" w:nlCheck="1" w:checkStyle="1"/>
  <w:activeWritingStyle w:appName="MSWord" w:lang="en-AU" w:vendorID="64" w:dllVersion="131078" w:nlCheck="1" w:checkStyle="1"/>
  <w:activeWritingStyle w:appName="MSWord" w:lang="en-GB" w:vendorID="64" w:dllVersion="131078" w:nlCheck="1" w:checkStyle="1"/>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CAD"/>
    <w:rsid w:val="0000110B"/>
    <w:rsid w:val="00001426"/>
    <w:rsid w:val="000016D3"/>
    <w:rsid w:val="000017AB"/>
    <w:rsid w:val="00001D84"/>
    <w:rsid w:val="0000347C"/>
    <w:rsid w:val="00003499"/>
    <w:rsid w:val="00003534"/>
    <w:rsid w:val="000039B7"/>
    <w:rsid w:val="00003AFD"/>
    <w:rsid w:val="00006AED"/>
    <w:rsid w:val="00006B42"/>
    <w:rsid w:val="000072A5"/>
    <w:rsid w:val="000073E4"/>
    <w:rsid w:val="000078F3"/>
    <w:rsid w:val="00007F9A"/>
    <w:rsid w:val="000104B7"/>
    <w:rsid w:val="000109D2"/>
    <w:rsid w:val="000128DF"/>
    <w:rsid w:val="00012A30"/>
    <w:rsid w:val="00013134"/>
    <w:rsid w:val="00013247"/>
    <w:rsid w:val="00013382"/>
    <w:rsid w:val="00013D38"/>
    <w:rsid w:val="000149F3"/>
    <w:rsid w:val="0001540E"/>
    <w:rsid w:val="00015886"/>
    <w:rsid w:val="00015CD9"/>
    <w:rsid w:val="000162EF"/>
    <w:rsid w:val="00016701"/>
    <w:rsid w:val="00016C4C"/>
    <w:rsid w:val="000171EE"/>
    <w:rsid w:val="000206E8"/>
    <w:rsid w:val="00020792"/>
    <w:rsid w:val="00021DB3"/>
    <w:rsid w:val="0002225F"/>
    <w:rsid w:val="0002231F"/>
    <w:rsid w:val="000232DA"/>
    <w:rsid w:val="00023557"/>
    <w:rsid w:val="00023763"/>
    <w:rsid w:val="0002422E"/>
    <w:rsid w:val="00025803"/>
    <w:rsid w:val="00025A17"/>
    <w:rsid w:val="00026108"/>
    <w:rsid w:val="000265DD"/>
    <w:rsid w:val="00027DFC"/>
    <w:rsid w:val="000304E4"/>
    <w:rsid w:val="000317F8"/>
    <w:rsid w:val="00032667"/>
    <w:rsid w:val="0003331B"/>
    <w:rsid w:val="00033863"/>
    <w:rsid w:val="00033DF4"/>
    <w:rsid w:val="000341CA"/>
    <w:rsid w:val="000347D0"/>
    <w:rsid w:val="000352AF"/>
    <w:rsid w:val="00035DC0"/>
    <w:rsid w:val="000366C7"/>
    <w:rsid w:val="00036829"/>
    <w:rsid w:val="00036D5D"/>
    <w:rsid w:val="00037045"/>
    <w:rsid w:val="00040895"/>
    <w:rsid w:val="000408B0"/>
    <w:rsid w:val="000409BA"/>
    <w:rsid w:val="000419B0"/>
    <w:rsid w:val="00042FB0"/>
    <w:rsid w:val="000434B6"/>
    <w:rsid w:val="000437F5"/>
    <w:rsid w:val="00043827"/>
    <w:rsid w:val="00043C37"/>
    <w:rsid w:val="00043D33"/>
    <w:rsid w:val="00043D34"/>
    <w:rsid w:val="00044458"/>
    <w:rsid w:val="00044B1F"/>
    <w:rsid w:val="00045017"/>
    <w:rsid w:val="00045A2B"/>
    <w:rsid w:val="00045E9C"/>
    <w:rsid w:val="0004601E"/>
    <w:rsid w:val="00046588"/>
    <w:rsid w:val="000467CA"/>
    <w:rsid w:val="0004698F"/>
    <w:rsid w:val="00047491"/>
    <w:rsid w:val="00047CE9"/>
    <w:rsid w:val="00051892"/>
    <w:rsid w:val="000519D8"/>
    <w:rsid w:val="000539D0"/>
    <w:rsid w:val="00054621"/>
    <w:rsid w:val="000546D7"/>
    <w:rsid w:val="00054F76"/>
    <w:rsid w:val="00055684"/>
    <w:rsid w:val="0005704A"/>
    <w:rsid w:val="00057E73"/>
    <w:rsid w:val="000618D0"/>
    <w:rsid w:val="00062ED9"/>
    <w:rsid w:val="00063D40"/>
    <w:rsid w:val="000645E2"/>
    <w:rsid w:val="00065A82"/>
    <w:rsid w:val="00066360"/>
    <w:rsid w:val="000665A5"/>
    <w:rsid w:val="00066B48"/>
    <w:rsid w:val="00066D51"/>
    <w:rsid w:val="00066EC6"/>
    <w:rsid w:val="00071248"/>
    <w:rsid w:val="000718AA"/>
    <w:rsid w:val="00071D3D"/>
    <w:rsid w:val="00071EAB"/>
    <w:rsid w:val="000720B9"/>
    <w:rsid w:val="00072763"/>
    <w:rsid w:val="000737F7"/>
    <w:rsid w:val="000740E1"/>
    <w:rsid w:val="000740EA"/>
    <w:rsid w:val="0007499F"/>
    <w:rsid w:val="00074BC0"/>
    <w:rsid w:val="000755D1"/>
    <w:rsid w:val="000756B6"/>
    <w:rsid w:val="0007672F"/>
    <w:rsid w:val="00076A83"/>
    <w:rsid w:val="000774F0"/>
    <w:rsid w:val="0007770B"/>
    <w:rsid w:val="00077F9A"/>
    <w:rsid w:val="000801C8"/>
    <w:rsid w:val="00080909"/>
    <w:rsid w:val="000812CA"/>
    <w:rsid w:val="00081384"/>
    <w:rsid w:val="00081436"/>
    <w:rsid w:val="00081A3B"/>
    <w:rsid w:val="00081D3F"/>
    <w:rsid w:val="0008258D"/>
    <w:rsid w:val="00082C86"/>
    <w:rsid w:val="00083046"/>
    <w:rsid w:val="000834E4"/>
    <w:rsid w:val="00083E99"/>
    <w:rsid w:val="0008437B"/>
    <w:rsid w:val="00085209"/>
    <w:rsid w:val="000856C5"/>
    <w:rsid w:val="000863DB"/>
    <w:rsid w:val="00086571"/>
    <w:rsid w:val="000868DF"/>
    <w:rsid w:val="000868FE"/>
    <w:rsid w:val="00086B21"/>
    <w:rsid w:val="0008773E"/>
    <w:rsid w:val="00087F4F"/>
    <w:rsid w:val="00090C7E"/>
    <w:rsid w:val="00091AC7"/>
    <w:rsid w:val="00092600"/>
    <w:rsid w:val="0009262B"/>
    <w:rsid w:val="00093310"/>
    <w:rsid w:val="0009445C"/>
    <w:rsid w:val="00094D63"/>
    <w:rsid w:val="00095FE5"/>
    <w:rsid w:val="00096284"/>
    <w:rsid w:val="00097E21"/>
    <w:rsid w:val="000A15C5"/>
    <w:rsid w:val="000A2A16"/>
    <w:rsid w:val="000A4764"/>
    <w:rsid w:val="000A4E92"/>
    <w:rsid w:val="000A5011"/>
    <w:rsid w:val="000A554D"/>
    <w:rsid w:val="000A660F"/>
    <w:rsid w:val="000A706C"/>
    <w:rsid w:val="000A7130"/>
    <w:rsid w:val="000A7BAE"/>
    <w:rsid w:val="000A7D08"/>
    <w:rsid w:val="000B0670"/>
    <w:rsid w:val="000B0E75"/>
    <w:rsid w:val="000B0EBB"/>
    <w:rsid w:val="000B2CB6"/>
    <w:rsid w:val="000B316A"/>
    <w:rsid w:val="000B44C4"/>
    <w:rsid w:val="000B4C26"/>
    <w:rsid w:val="000B5B65"/>
    <w:rsid w:val="000B5DCF"/>
    <w:rsid w:val="000B648E"/>
    <w:rsid w:val="000B6858"/>
    <w:rsid w:val="000B6B28"/>
    <w:rsid w:val="000B6CAC"/>
    <w:rsid w:val="000B7578"/>
    <w:rsid w:val="000B7612"/>
    <w:rsid w:val="000B778B"/>
    <w:rsid w:val="000C0EC0"/>
    <w:rsid w:val="000C2353"/>
    <w:rsid w:val="000C2375"/>
    <w:rsid w:val="000C2ABE"/>
    <w:rsid w:val="000C333F"/>
    <w:rsid w:val="000C3493"/>
    <w:rsid w:val="000C3DF9"/>
    <w:rsid w:val="000C4369"/>
    <w:rsid w:val="000C4486"/>
    <w:rsid w:val="000C4A9F"/>
    <w:rsid w:val="000C5435"/>
    <w:rsid w:val="000C5ACB"/>
    <w:rsid w:val="000C5D55"/>
    <w:rsid w:val="000C64AA"/>
    <w:rsid w:val="000C6713"/>
    <w:rsid w:val="000D0236"/>
    <w:rsid w:val="000D0581"/>
    <w:rsid w:val="000D09FE"/>
    <w:rsid w:val="000D1773"/>
    <w:rsid w:val="000D1BFC"/>
    <w:rsid w:val="000D1FC7"/>
    <w:rsid w:val="000D281A"/>
    <w:rsid w:val="000D326A"/>
    <w:rsid w:val="000D4EC3"/>
    <w:rsid w:val="000D5098"/>
    <w:rsid w:val="000D514E"/>
    <w:rsid w:val="000D51FB"/>
    <w:rsid w:val="000D6501"/>
    <w:rsid w:val="000D6DBA"/>
    <w:rsid w:val="000E135D"/>
    <w:rsid w:val="000E1D6F"/>
    <w:rsid w:val="000E228C"/>
    <w:rsid w:val="000E2A77"/>
    <w:rsid w:val="000E3024"/>
    <w:rsid w:val="000E37C4"/>
    <w:rsid w:val="000E39C7"/>
    <w:rsid w:val="000E440D"/>
    <w:rsid w:val="000E44F9"/>
    <w:rsid w:val="000E4C13"/>
    <w:rsid w:val="000E5A6C"/>
    <w:rsid w:val="000E7473"/>
    <w:rsid w:val="000E75C7"/>
    <w:rsid w:val="000F00BA"/>
    <w:rsid w:val="000F02AB"/>
    <w:rsid w:val="000F08EC"/>
    <w:rsid w:val="000F1FC5"/>
    <w:rsid w:val="000F316A"/>
    <w:rsid w:val="000F37C4"/>
    <w:rsid w:val="000F3A11"/>
    <w:rsid w:val="000F3C0C"/>
    <w:rsid w:val="000F3C74"/>
    <w:rsid w:val="000F4BB8"/>
    <w:rsid w:val="000F5459"/>
    <w:rsid w:val="000F7127"/>
    <w:rsid w:val="000F7CE1"/>
    <w:rsid w:val="00100073"/>
    <w:rsid w:val="001007CA"/>
    <w:rsid w:val="00100CF9"/>
    <w:rsid w:val="00100DF7"/>
    <w:rsid w:val="00100F8A"/>
    <w:rsid w:val="00102074"/>
    <w:rsid w:val="0010271F"/>
    <w:rsid w:val="00103325"/>
    <w:rsid w:val="00103EB4"/>
    <w:rsid w:val="001040F7"/>
    <w:rsid w:val="001047A7"/>
    <w:rsid w:val="00104E2B"/>
    <w:rsid w:val="00104F18"/>
    <w:rsid w:val="00105A5A"/>
    <w:rsid w:val="00105AE2"/>
    <w:rsid w:val="00106B80"/>
    <w:rsid w:val="00107457"/>
    <w:rsid w:val="0011032E"/>
    <w:rsid w:val="00111024"/>
    <w:rsid w:val="00111E3C"/>
    <w:rsid w:val="00112A14"/>
    <w:rsid w:val="0011348B"/>
    <w:rsid w:val="00113B59"/>
    <w:rsid w:val="00114C06"/>
    <w:rsid w:val="00114D84"/>
    <w:rsid w:val="00115982"/>
    <w:rsid w:val="00116492"/>
    <w:rsid w:val="00116C53"/>
    <w:rsid w:val="00117203"/>
    <w:rsid w:val="0011730C"/>
    <w:rsid w:val="00117DA8"/>
    <w:rsid w:val="0012014C"/>
    <w:rsid w:val="001209C8"/>
    <w:rsid w:val="00120B03"/>
    <w:rsid w:val="00120C65"/>
    <w:rsid w:val="001212C0"/>
    <w:rsid w:val="00121799"/>
    <w:rsid w:val="001222FC"/>
    <w:rsid w:val="00122CD9"/>
    <w:rsid w:val="00122F98"/>
    <w:rsid w:val="001243A1"/>
    <w:rsid w:val="00124526"/>
    <w:rsid w:val="00124A51"/>
    <w:rsid w:val="00125A45"/>
    <w:rsid w:val="00125C33"/>
    <w:rsid w:val="00126304"/>
    <w:rsid w:val="00126621"/>
    <w:rsid w:val="001301E9"/>
    <w:rsid w:val="001304DF"/>
    <w:rsid w:val="00130986"/>
    <w:rsid w:val="00130B8B"/>
    <w:rsid w:val="00131D82"/>
    <w:rsid w:val="00131F89"/>
    <w:rsid w:val="0013206C"/>
    <w:rsid w:val="001321C6"/>
    <w:rsid w:val="00133D36"/>
    <w:rsid w:val="00134197"/>
    <w:rsid w:val="0013421E"/>
    <w:rsid w:val="00134581"/>
    <w:rsid w:val="00134BFD"/>
    <w:rsid w:val="00134E10"/>
    <w:rsid w:val="00136C5B"/>
    <w:rsid w:val="00136CAE"/>
    <w:rsid w:val="001370C5"/>
    <w:rsid w:val="00137645"/>
    <w:rsid w:val="0014015A"/>
    <w:rsid w:val="00140176"/>
    <w:rsid w:val="00140390"/>
    <w:rsid w:val="00140E99"/>
    <w:rsid w:val="00141E9C"/>
    <w:rsid w:val="001421A0"/>
    <w:rsid w:val="00142564"/>
    <w:rsid w:val="00142696"/>
    <w:rsid w:val="00143167"/>
    <w:rsid w:val="0014340D"/>
    <w:rsid w:val="00143581"/>
    <w:rsid w:val="00145540"/>
    <w:rsid w:val="001455EF"/>
    <w:rsid w:val="001456B0"/>
    <w:rsid w:val="00145E05"/>
    <w:rsid w:val="00146CAC"/>
    <w:rsid w:val="00146EB5"/>
    <w:rsid w:val="001501C2"/>
    <w:rsid w:val="001511EB"/>
    <w:rsid w:val="0015194B"/>
    <w:rsid w:val="00151D22"/>
    <w:rsid w:val="00151D83"/>
    <w:rsid w:val="001523A0"/>
    <w:rsid w:val="001526B7"/>
    <w:rsid w:val="00154FF2"/>
    <w:rsid w:val="00157130"/>
    <w:rsid w:val="0015744D"/>
    <w:rsid w:val="001576B1"/>
    <w:rsid w:val="00157DA9"/>
    <w:rsid w:val="00160A4C"/>
    <w:rsid w:val="00160A63"/>
    <w:rsid w:val="00160FBB"/>
    <w:rsid w:val="001614B5"/>
    <w:rsid w:val="001621E7"/>
    <w:rsid w:val="00162913"/>
    <w:rsid w:val="00162CEB"/>
    <w:rsid w:val="00163EFF"/>
    <w:rsid w:val="001641AC"/>
    <w:rsid w:val="00165497"/>
    <w:rsid w:val="001656F7"/>
    <w:rsid w:val="00165B7D"/>
    <w:rsid w:val="001661FB"/>
    <w:rsid w:val="00166E1F"/>
    <w:rsid w:val="00166F49"/>
    <w:rsid w:val="0016731E"/>
    <w:rsid w:val="00167379"/>
    <w:rsid w:val="0017005B"/>
    <w:rsid w:val="00170D97"/>
    <w:rsid w:val="00170E63"/>
    <w:rsid w:val="00171E5D"/>
    <w:rsid w:val="0017263B"/>
    <w:rsid w:val="00173565"/>
    <w:rsid w:val="00173A44"/>
    <w:rsid w:val="00173B07"/>
    <w:rsid w:val="00174058"/>
    <w:rsid w:val="001741E4"/>
    <w:rsid w:val="00174A2F"/>
    <w:rsid w:val="00174B3D"/>
    <w:rsid w:val="001751A1"/>
    <w:rsid w:val="00175B9A"/>
    <w:rsid w:val="00175DE4"/>
    <w:rsid w:val="00176600"/>
    <w:rsid w:val="001775F1"/>
    <w:rsid w:val="00177BAF"/>
    <w:rsid w:val="00177C2F"/>
    <w:rsid w:val="00180734"/>
    <w:rsid w:val="00181D9C"/>
    <w:rsid w:val="001824EB"/>
    <w:rsid w:val="00182B3B"/>
    <w:rsid w:val="001834E3"/>
    <w:rsid w:val="001846F3"/>
    <w:rsid w:val="0018486A"/>
    <w:rsid w:val="0018574D"/>
    <w:rsid w:val="001858DA"/>
    <w:rsid w:val="00185DE8"/>
    <w:rsid w:val="001862E5"/>
    <w:rsid w:val="00186304"/>
    <w:rsid w:val="001868FA"/>
    <w:rsid w:val="0018752F"/>
    <w:rsid w:val="00187872"/>
    <w:rsid w:val="00187D9B"/>
    <w:rsid w:val="00190438"/>
    <w:rsid w:val="00191321"/>
    <w:rsid w:val="00191A52"/>
    <w:rsid w:val="00191DF9"/>
    <w:rsid w:val="001920F5"/>
    <w:rsid w:val="0019240D"/>
    <w:rsid w:val="00194DC0"/>
    <w:rsid w:val="0019511D"/>
    <w:rsid w:val="00195222"/>
    <w:rsid w:val="00196167"/>
    <w:rsid w:val="00196BAB"/>
    <w:rsid w:val="001973DA"/>
    <w:rsid w:val="001975D8"/>
    <w:rsid w:val="00197AE7"/>
    <w:rsid w:val="00197FE5"/>
    <w:rsid w:val="001A0C40"/>
    <w:rsid w:val="001A0C90"/>
    <w:rsid w:val="001A11F3"/>
    <w:rsid w:val="001A2668"/>
    <w:rsid w:val="001A346A"/>
    <w:rsid w:val="001A3D2E"/>
    <w:rsid w:val="001A43FA"/>
    <w:rsid w:val="001A456F"/>
    <w:rsid w:val="001A4CE3"/>
    <w:rsid w:val="001A59FB"/>
    <w:rsid w:val="001A6348"/>
    <w:rsid w:val="001A6354"/>
    <w:rsid w:val="001A6665"/>
    <w:rsid w:val="001A7AE8"/>
    <w:rsid w:val="001A7BBD"/>
    <w:rsid w:val="001A7E90"/>
    <w:rsid w:val="001B0253"/>
    <w:rsid w:val="001B08DD"/>
    <w:rsid w:val="001B1A29"/>
    <w:rsid w:val="001B204E"/>
    <w:rsid w:val="001B21E7"/>
    <w:rsid w:val="001B23ED"/>
    <w:rsid w:val="001B3443"/>
    <w:rsid w:val="001B3587"/>
    <w:rsid w:val="001B36D8"/>
    <w:rsid w:val="001B3DB2"/>
    <w:rsid w:val="001B4563"/>
    <w:rsid w:val="001B4B1A"/>
    <w:rsid w:val="001B4BB2"/>
    <w:rsid w:val="001B4BDE"/>
    <w:rsid w:val="001B4D20"/>
    <w:rsid w:val="001B5304"/>
    <w:rsid w:val="001B5418"/>
    <w:rsid w:val="001B54DE"/>
    <w:rsid w:val="001B5BF0"/>
    <w:rsid w:val="001B5E99"/>
    <w:rsid w:val="001B5EB3"/>
    <w:rsid w:val="001C1BE3"/>
    <w:rsid w:val="001C270E"/>
    <w:rsid w:val="001C2949"/>
    <w:rsid w:val="001C2A9B"/>
    <w:rsid w:val="001C35D0"/>
    <w:rsid w:val="001C37DC"/>
    <w:rsid w:val="001C4299"/>
    <w:rsid w:val="001C45AE"/>
    <w:rsid w:val="001C474A"/>
    <w:rsid w:val="001C4972"/>
    <w:rsid w:val="001C5F94"/>
    <w:rsid w:val="001C6509"/>
    <w:rsid w:val="001C6E66"/>
    <w:rsid w:val="001C76D1"/>
    <w:rsid w:val="001D0826"/>
    <w:rsid w:val="001D0A2E"/>
    <w:rsid w:val="001D0FA8"/>
    <w:rsid w:val="001D12CE"/>
    <w:rsid w:val="001D1CD4"/>
    <w:rsid w:val="001D38D6"/>
    <w:rsid w:val="001D3AB9"/>
    <w:rsid w:val="001D3B75"/>
    <w:rsid w:val="001D3CD4"/>
    <w:rsid w:val="001D4282"/>
    <w:rsid w:val="001D4869"/>
    <w:rsid w:val="001D639A"/>
    <w:rsid w:val="001D71E6"/>
    <w:rsid w:val="001D7FCF"/>
    <w:rsid w:val="001E0335"/>
    <w:rsid w:val="001E0C27"/>
    <w:rsid w:val="001E0D51"/>
    <w:rsid w:val="001E0FEA"/>
    <w:rsid w:val="001E1D40"/>
    <w:rsid w:val="001E238E"/>
    <w:rsid w:val="001E2483"/>
    <w:rsid w:val="001E270B"/>
    <w:rsid w:val="001E2A63"/>
    <w:rsid w:val="001E2B1E"/>
    <w:rsid w:val="001E30D4"/>
    <w:rsid w:val="001E3243"/>
    <w:rsid w:val="001E3423"/>
    <w:rsid w:val="001E3B82"/>
    <w:rsid w:val="001E3D2B"/>
    <w:rsid w:val="001E3D49"/>
    <w:rsid w:val="001E431E"/>
    <w:rsid w:val="001E4AF3"/>
    <w:rsid w:val="001E52EB"/>
    <w:rsid w:val="001E5332"/>
    <w:rsid w:val="001E5CF3"/>
    <w:rsid w:val="001E61D2"/>
    <w:rsid w:val="001E6AF1"/>
    <w:rsid w:val="001E740C"/>
    <w:rsid w:val="001E7DC4"/>
    <w:rsid w:val="001F0254"/>
    <w:rsid w:val="001F1235"/>
    <w:rsid w:val="001F188A"/>
    <w:rsid w:val="001F19C2"/>
    <w:rsid w:val="001F1CB3"/>
    <w:rsid w:val="001F20D5"/>
    <w:rsid w:val="001F23AB"/>
    <w:rsid w:val="001F31BA"/>
    <w:rsid w:val="001F38B5"/>
    <w:rsid w:val="001F4DDC"/>
    <w:rsid w:val="001F5FF3"/>
    <w:rsid w:val="001F6977"/>
    <w:rsid w:val="001F6CBB"/>
    <w:rsid w:val="001F7361"/>
    <w:rsid w:val="001F7868"/>
    <w:rsid w:val="00200DCC"/>
    <w:rsid w:val="002011B0"/>
    <w:rsid w:val="002012F7"/>
    <w:rsid w:val="00202579"/>
    <w:rsid w:val="00203181"/>
    <w:rsid w:val="00203783"/>
    <w:rsid w:val="0020385F"/>
    <w:rsid w:val="0020516E"/>
    <w:rsid w:val="0020563E"/>
    <w:rsid w:val="00205835"/>
    <w:rsid w:val="002065AA"/>
    <w:rsid w:val="00206C0C"/>
    <w:rsid w:val="00207021"/>
    <w:rsid w:val="0020732F"/>
    <w:rsid w:val="002075B9"/>
    <w:rsid w:val="00207D00"/>
    <w:rsid w:val="00210335"/>
    <w:rsid w:val="002105C1"/>
    <w:rsid w:val="0021073D"/>
    <w:rsid w:val="0021193F"/>
    <w:rsid w:val="002122F9"/>
    <w:rsid w:val="00212DAF"/>
    <w:rsid w:val="00213AF6"/>
    <w:rsid w:val="00213D3C"/>
    <w:rsid w:val="00214846"/>
    <w:rsid w:val="00215AD9"/>
    <w:rsid w:val="00216571"/>
    <w:rsid w:val="00216B36"/>
    <w:rsid w:val="00216CAE"/>
    <w:rsid w:val="00220FC7"/>
    <w:rsid w:val="002222CC"/>
    <w:rsid w:val="002237FB"/>
    <w:rsid w:val="00223B49"/>
    <w:rsid w:val="00223F9E"/>
    <w:rsid w:val="002244B2"/>
    <w:rsid w:val="002244BD"/>
    <w:rsid w:val="00224799"/>
    <w:rsid w:val="00224AD7"/>
    <w:rsid w:val="00224B82"/>
    <w:rsid w:val="00224DD4"/>
    <w:rsid w:val="00225160"/>
    <w:rsid w:val="0022574F"/>
    <w:rsid w:val="00225D68"/>
    <w:rsid w:val="002270FE"/>
    <w:rsid w:val="002302DB"/>
    <w:rsid w:val="002309CC"/>
    <w:rsid w:val="002319D5"/>
    <w:rsid w:val="00231C55"/>
    <w:rsid w:val="00231FA2"/>
    <w:rsid w:val="0023209F"/>
    <w:rsid w:val="002320AA"/>
    <w:rsid w:val="002328E8"/>
    <w:rsid w:val="002332A6"/>
    <w:rsid w:val="00234977"/>
    <w:rsid w:val="00234BB3"/>
    <w:rsid w:val="00234E4F"/>
    <w:rsid w:val="002350AC"/>
    <w:rsid w:val="00235F24"/>
    <w:rsid w:val="0023629D"/>
    <w:rsid w:val="00236BE9"/>
    <w:rsid w:val="00237255"/>
    <w:rsid w:val="0023769E"/>
    <w:rsid w:val="00237B01"/>
    <w:rsid w:val="00237CEA"/>
    <w:rsid w:val="00240198"/>
    <w:rsid w:val="002409F8"/>
    <w:rsid w:val="00240BFE"/>
    <w:rsid w:val="00240D69"/>
    <w:rsid w:val="00241DAB"/>
    <w:rsid w:val="002420AF"/>
    <w:rsid w:val="002424AF"/>
    <w:rsid w:val="002424CA"/>
    <w:rsid w:val="00242877"/>
    <w:rsid w:val="00243383"/>
    <w:rsid w:val="002435CC"/>
    <w:rsid w:val="002439DC"/>
    <w:rsid w:val="00244205"/>
    <w:rsid w:val="00244DC8"/>
    <w:rsid w:val="002458BA"/>
    <w:rsid w:val="0024636C"/>
    <w:rsid w:val="00246681"/>
    <w:rsid w:val="00247193"/>
    <w:rsid w:val="00247925"/>
    <w:rsid w:val="00247987"/>
    <w:rsid w:val="002504DD"/>
    <w:rsid w:val="00250586"/>
    <w:rsid w:val="0025269B"/>
    <w:rsid w:val="00253BA1"/>
    <w:rsid w:val="00253D26"/>
    <w:rsid w:val="00254DCF"/>
    <w:rsid w:val="0025534B"/>
    <w:rsid w:val="00255BB7"/>
    <w:rsid w:val="00255DCB"/>
    <w:rsid w:val="00255F58"/>
    <w:rsid w:val="00257541"/>
    <w:rsid w:val="002577C2"/>
    <w:rsid w:val="00257898"/>
    <w:rsid w:val="00260173"/>
    <w:rsid w:val="00260200"/>
    <w:rsid w:val="00260473"/>
    <w:rsid w:val="002611A8"/>
    <w:rsid w:val="00261415"/>
    <w:rsid w:val="00261509"/>
    <w:rsid w:val="00262A1A"/>
    <w:rsid w:val="00262A87"/>
    <w:rsid w:val="00262AE0"/>
    <w:rsid w:val="0026428A"/>
    <w:rsid w:val="002644A2"/>
    <w:rsid w:val="00264D26"/>
    <w:rsid w:val="00265623"/>
    <w:rsid w:val="002657A5"/>
    <w:rsid w:val="00266C08"/>
    <w:rsid w:val="00267642"/>
    <w:rsid w:val="00267AEA"/>
    <w:rsid w:val="002700E6"/>
    <w:rsid w:val="00271178"/>
    <w:rsid w:val="00271F05"/>
    <w:rsid w:val="0027236C"/>
    <w:rsid w:val="0027294B"/>
    <w:rsid w:val="0027366F"/>
    <w:rsid w:val="00274ACD"/>
    <w:rsid w:val="00275741"/>
    <w:rsid w:val="00275826"/>
    <w:rsid w:val="002759FE"/>
    <w:rsid w:val="00275C5A"/>
    <w:rsid w:val="00275EC3"/>
    <w:rsid w:val="00275F49"/>
    <w:rsid w:val="0027635E"/>
    <w:rsid w:val="00276FE8"/>
    <w:rsid w:val="002802C4"/>
    <w:rsid w:val="002804A6"/>
    <w:rsid w:val="002808B9"/>
    <w:rsid w:val="00280986"/>
    <w:rsid w:val="00281014"/>
    <w:rsid w:val="00283BBE"/>
    <w:rsid w:val="00283F74"/>
    <w:rsid w:val="00284A0B"/>
    <w:rsid w:val="00284FAE"/>
    <w:rsid w:val="002853B3"/>
    <w:rsid w:val="00285BEE"/>
    <w:rsid w:val="00285CB1"/>
    <w:rsid w:val="00286088"/>
    <w:rsid w:val="00287C15"/>
    <w:rsid w:val="00290813"/>
    <w:rsid w:val="00291464"/>
    <w:rsid w:val="0029195D"/>
    <w:rsid w:val="00291F4A"/>
    <w:rsid w:val="00293B97"/>
    <w:rsid w:val="00293FC1"/>
    <w:rsid w:val="0029481A"/>
    <w:rsid w:val="00294C17"/>
    <w:rsid w:val="00294EC5"/>
    <w:rsid w:val="002950CE"/>
    <w:rsid w:val="002953CB"/>
    <w:rsid w:val="00295DF3"/>
    <w:rsid w:val="002961B4"/>
    <w:rsid w:val="00296594"/>
    <w:rsid w:val="00296CE1"/>
    <w:rsid w:val="00297336"/>
    <w:rsid w:val="002979BD"/>
    <w:rsid w:val="00297A5D"/>
    <w:rsid w:val="002A14AB"/>
    <w:rsid w:val="002A1714"/>
    <w:rsid w:val="002A28C5"/>
    <w:rsid w:val="002A2C74"/>
    <w:rsid w:val="002A2F50"/>
    <w:rsid w:val="002A38FC"/>
    <w:rsid w:val="002A3932"/>
    <w:rsid w:val="002A3F8C"/>
    <w:rsid w:val="002A4BCB"/>
    <w:rsid w:val="002A4FB8"/>
    <w:rsid w:val="002A552B"/>
    <w:rsid w:val="002A6686"/>
    <w:rsid w:val="002A6FA2"/>
    <w:rsid w:val="002A72C3"/>
    <w:rsid w:val="002A7D54"/>
    <w:rsid w:val="002B09A4"/>
    <w:rsid w:val="002B1C1F"/>
    <w:rsid w:val="002B21DA"/>
    <w:rsid w:val="002B432F"/>
    <w:rsid w:val="002B4E6C"/>
    <w:rsid w:val="002B5B22"/>
    <w:rsid w:val="002B5E5B"/>
    <w:rsid w:val="002B62B3"/>
    <w:rsid w:val="002B6754"/>
    <w:rsid w:val="002B67D2"/>
    <w:rsid w:val="002B6CCE"/>
    <w:rsid w:val="002B6CDB"/>
    <w:rsid w:val="002B721F"/>
    <w:rsid w:val="002B769D"/>
    <w:rsid w:val="002C0CDE"/>
    <w:rsid w:val="002C1083"/>
    <w:rsid w:val="002C10F2"/>
    <w:rsid w:val="002C1B59"/>
    <w:rsid w:val="002C2510"/>
    <w:rsid w:val="002C2775"/>
    <w:rsid w:val="002C27C1"/>
    <w:rsid w:val="002C3443"/>
    <w:rsid w:val="002C34CF"/>
    <w:rsid w:val="002C3703"/>
    <w:rsid w:val="002C3BFD"/>
    <w:rsid w:val="002C3C1F"/>
    <w:rsid w:val="002C458D"/>
    <w:rsid w:val="002C5099"/>
    <w:rsid w:val="002C5889"/>
    <w:rsid w:val="002C596D"/>
    <w:rsid w:val="002C6913"/>
    <w:rsid w:val="002C70B6"/>
    <w:rsid w:val="002C71CE"/>
    <w:rsid w:val="002C7440"/>
    <w:rsid w:val="002C79C3"/>
    <w:rsid w:val="002C7CC2"/>
    <w:rsid w:val="002D0663"/>
    <w:rsid w:val="002D0888"/>
    <w:rsid w:val="002D242D"/>
    <w:rsid w:val="002D30EF"/>
    <w:rsid w:val="002D4392"/>
    <w:rsid w:val="002D43A5"/>
    <w:rsid w:val="002D4A04"/>
    <w:rsid w:val="002D558A"/>
    <w:rsid w:val="002D577C"/>
    <w:rsid w:val="002D5C83"/>
    <w:rsid w:val="002D60B7"/>
    <w:rsid w:val="002D6984"/>
    <w:rsid w:val="002D7085"/>
    <w:rsid w:val="002D7353"/>
    <w:rsid w:val="002D7754"/>
    <w:rsid w:val="002D791A"/>
    <w:rsid w:val="002D7A8F"/>
    <w:rsid w:val="002E02A5"/>
    <w:rsid w:val="002E033C"/>
    <w:rsid w:val="002E1233"/>
    <w:rsid w:val="002E15B9"/>
    <w:rsid w:val="002E2158"/>
    <w:rsid w:val="002E21C7"/>
    <w:rsid w:val="002E2D41"/>
    <w:rsid w:val="002E2F35"/>
    <w:rsid w:val="002E320E"/>
    <w:rsid w:val="002E384C"/>
    <w:rsid w:val="002E391E"/>
    <w:rsid w:val="002E3D2D"/>
    <w:rsid w:val="002E3D59"/>
    <w:rsid w:val="002E4154"/>
    <w:rsid w:val="002E4350"/>
    <w:rsid w:val="002E59BB"/>
    <w:rsid w:val="002E6457"/>
    <w:rsid w:val="002E64AD"/>
    <w:rsid w:val="002E732A"/>
    <w:rsid w:val="002E7722"/>
    <w:rsid w:val="002E78A4"/>
    <w:rsid w:val="002E7995"/>
    <w:rsid w:val="002E7C7B"/>
    <w:rsid w:val="002F040C"/>
    <w:rsid w:val="002F07BA"/>
    <w:rsid w:val="002F0998"/>
    <w:rsid w:val="002F0A4C"/>
    <w:rsid w:val="002F0DA9"/>
    <w:rsid w:val="002F362F"/>
    <w:rsid w:val="002F58C0"/>
    <w:rsid w:val="002F60DF"/>
    <w:rsid w:val="002F643C"/>
    <w:rsid w:val="002F6DE0"/>
    <w:rsid w:val="002F71C0"/>
    <w:rsid w:val="002F7270"/>
    <w:rsid w:val="002F74F2"/>
    <w:rsid w:val="0030002F"/>
    <w:rsid w:val="00301017"/>
    <w:rsid w:val="0030155F"/>
    <w:rsid w:val="00302B4D"/>
    <w:rsid w:val="00302D0C"/>
    <w:rsid w:val="003035E3"/>
    <w:rsid w:val="0030428A"/>
    <w:rsid w:val="003045F5"/>
    <w:rsid w:val="00304C4D"/>
    <w:rsid w:val="00304EA4"/>
    <w:rsid w:val="00304FC6"/>
    <w:rsid w:val="003050BD"/>
    <w:rsid w:val="0030587B"/>
    <w:rsid w:val="00305A5A"/>
    <w:rsid w:val="00306D98"/>
    <w:rsid w:val="0030759B"/>
    <w:rsid w:val="0030786C"/>
    <w:rsid w:val="0031031A"/>
    <w:rsid w:val="003104BF"/>
    <w:rsid w:val="00310981"/>
    <w:rsid w:val="00311004"/>
    <w:rsid w:val="00311F9F"/>
    <w:rsid w:val="003124B4"/>
    <w:rsid w:val="00312E52"/>
    <w:rsid w:val="00313760"/>
    <w:rsid w:val="00315498"/>
    <w:rsid w:val="0031564F"/>
    <w:rsid w:val="00315ECB"/>
    <w:rsid w:val="0031605B"/>
    <w:rsid w:val="00316574"/>
    <w:rsid w:val="00316615"/>
    <w:rsid w:val="00316B01"/>
    <w:rsid w:val="0032000D"/>
    <w:rsid w:val="003202B4"/>
    <w:rsid w:val="0032110F"/>
    <w:rsid w:val="0032193E"/>
    <w:rsid w:val="00321B3C"/>
    <w:rsid w:val="00321C62"/>
    <w:rsid w:val="00321E8E"/>
    <w:rsid w:val="00322107"/>
    <w:rsid w:val="00322846"/>
    <w:rsid w:val="00322875"/>
    <w:rsid w:val="00322DE8"/>
    <w:rsid w:val="00323BCE"/>
    <w:rsid w:val="00324F76"/>
    <w:rsid w:val="00325480"/>
    <w:rsid w:val="003264C9"/>
    <w:rsid w:val="00326DA7"/>
    <w:rsid w:val="003270E4"/>
    <w:rsid w:val="00327C49"/>
    <w:rsid w:val="00330F0A"/>
    <w:rsid w:val="00330F5C"/>
    <w:rsid w:val="00331355"/>
    <w:rsid w:val="00331636"/>
    <w:rsid w:val="00331CE0"/>
    <w:rsid w:val="003324F4"/>
    <w:rsid w:val="00332C9D"/>
    <w:rsid w:val="00334018"/>
    <w:rsid w:val="0033587B"/>
    <w:rsid w:val="003366C9"/>
    <w:rsid w:val="003366E0"/>
    <w:rsid w:val="003371B0"/>
    <w:rsid w:val="00340DF1"/>
    <w:rsid w:val="0034196B"/>
    <w:rsid w:val="00341C2C"/>
    <w:rsid w:val="00341DFF"/>
    <w:rsid w:val="00342B8A"/>
    <w:rsid w:val="00342ED1"/>
    <w:rsid w:val="00342F95"/>
    <w:rsid w:val="00343965"/>
    <w:rsid w:val="00343F82"/>
    <w:rsid w:val="00345269"/>
    <w:rsid w:val="003455A2"/>
    <w:rsid w:val="003459FF"/>
    <w:rsid w:val="00345C95"/>
    <w:rsid w:val="003500D1"/>
    <w:rsid w:val="00350369"/>
    <w:rsid w:val="00351272"/>
    <w:rsid w:val="003517F9"/>
    <w:rsid w:val="00351EF5"/>
    <w:rsid w:val="00352CD6"/>
    <w:rsid w:val="003535A5"/>
    <w:rsid w:val="00355B8C"/>
    <w:rsid w:val="0035620E"/>
    <w:rsid w:val="003566E3"/>
    <w:rsid w:val="003569EF"/>
    <w:rsid w:val="00357AE4"/>
    <w:rsid w:val="00357D5E"/>
    <w:rsid w:val="003606F2"/>
    <w:rsid w:val="00360A5E"/>
    <w:rsid w:val="00361178"/>
    <w:rsid w:val="003621C6"/>
    <w:rsid w:val="0036235F"/>
    <w:rsid w:val="003624C4"/>
    <w:rsid w:val="00362CC5"/>
    <w:rsid w:val="0036333C"/>
    <w:rsid w:val="003634DE"/>
    <w:rsid w:val="003636AA"/>
    <w:rsid w:val="003643AD"/>
    <w:rsid w:val="003654AC"/>
    <w:rsid w:val="003703BE"/>
    <w:rsid w:val="00370C32"/>
    <w:rsid w:val="00370DC9"/>
    <w:rsid w:val="003710CF"/>
    <w:rsid w:val="00371984"/>
    <w:rsid w:val="00372758"/>
    <w:rsid w:val="003727C5"/>
    <w:rsid w:val="0037337F"/>
    <w:rsid w:val="0037358A"/>
    <w:rsid w:val="003738C2"/>
    <w:rsid w:val="00373B57"/>
    <w:rsid w:val="00374447"/>
    <w:rsid w:val="00374808"/>
    <w:rsid w:val="003750F6"/>
    <w:rsid w:val="00375739"/>
    <w:rsid w:val="00375AF3"/>
    <w:rsid w:val="00375C65"/>
    <w:rsid w:val="003760FC"/>
    <w:rsid w:val="00376311"/>
    <w:rsid w:val="003763C8"/>
    <w:rsid w:val="00376713"/>
    <w:rsid w:val="0037674D"/>
    <w:rsid w:val="00380037"/>
    <w:rsid w:val="00380218"/>
    <w:rsid w:val="00380CB9"/>
    <w:rsid w:val="00382A13"/>
    <w:rsid w:val="00382C4D"/>
    <w:rsid w:val="00382CC9"/>
    <w:rsid w:val="00383085"/>
    <w:rsid w:val="00383296"/>
    <w:rsid w:val="0038365C"/>
    <w:rsid w:val="0038369B"/>
    <w:rsid w:val="00383B78"/>
    <w:rsid w:val="00384B6A"/>
    <w:rsid w:val="00385463"/>
    <w:rsid w:val="00385644"/>
    <w:rsid w:val="00385A9D"/>
    <w:rsid w:val="00386BBA"/>
    <w:rsid w:val="0038745A"/>
    <w:rsid w:val="0038769A"/>
    <w:rsid w:val="00387723"/>
    <w:rsid w:val="003902B1"/>
    <w:rsid w:val="00390687"/>
    <w:rsid w:val="00391152"/>
    <w:rsid w:val="003919C1"/>
    <w:rsid w:val="00391B32"/>
    <w:rsid w:val="00391F06"/>
    <w:rsid w:val="003924D8"/>
    <w:rsid w:val="00392D3D"/>
    <w:rsid w:val="00395854"/>
    <w:rsid w:val="00395FC8"/>
    <w:rsid w:val="00396896"/>
    <w:rsid w:val="00396FD0"/>
    <w:rsid w:val="00397223"/>
    <w:rsid w:val="00397A3E"/>
    <w:rsid w:val="00397AD2"/>
    <w:rsid w:val="003A1214"/>
    <w:rsid w:val="003A176F"/>
    <w:rsid w:val="003A1A7A"/>
    <w:rsid w:val="003A1D7F"/>
    <w:rsid w:val="003A213C"/>
    <w:rsid w:val="003A2392"/>
    <w:rsid w:val="003A2831"/>
    <w:rsid w:val="003A3D7C"/>
    <w:rsid w:val="003A3ED1"/>
    <w:rsid w:val="003A61DA"/>
    <w:rsid w:val="003A629A"/>
    <w:rsid w:val="003A671D"/>
    <w:rsid w:val="003A676B"/>
    <w:rsid w:val="003A798A"/>
    <w:rsid w:val="003B0900"/>
    <w:rsid w:val="003B0E93"/>
    <w:rsid w:val="003B1091"/>
    <w:rsid w:val="003B1453"/>
    <w:rsid w:val="003B17C0"/>
    <w:rsid w:val="003B1939"/>
    <w:rsid w:val="003B1E0E"/>
    <w:rsid w:val="003B2EC9"/>
    <w:rsid w:val="003B2FFF"/>
    <w:rsid w:val="003B34A7"/>
    <w:rsid w:val="003B379D"/>
    <w:rsid w:val="003B4C31"/>
    <w:rsid w:val="003B5B61"/>
    <w:rsid w:val="003B6774"/>
    <w:rsid w:val="003B7FB5"/>
    <w:rsid w:val="003B7FB8"/>
    <w:rsid w:val="003C01F5"/>
    <w:rsid w:val="003C1048"/>
    <w:rsid w:val="003C1654"/>
    <w:rsid w:val="003C1988"/>
    <w:rsid w:val="003C1A8E"/>
    <w:rsid w:val="003C1B16"/>
    <w:rsid w:val="003C1B66"/>
    <w:rsid w:val="003C27D3"/>
    <w:rsid w:val="003C286E"/>
    <w:rsid w:val="003C3097"/>
    <w:rsid w:val="003C399C"/>
    <w:rsid w:val="003C4430"/>
    <w:rsid w:val="003C446D"/>
    <w:rsid w:val="003C491E"/>
    <w:rsid w:val="003C4AB9"/>
    <w:rsid w:val="003C4F9C"/>
    <w:rsid w:val="003C5660"/>
    <w:rsid w:val="003C5978"/>
    <w:rsid w:val="003C5E79"/>
    <w:rsid w:val="003C6234"/>
    <w:rsid w:val="003C626E"/>
    <w:rsid w:val="003C6435"/>
    <w:rsid w:val="003C7CF2"/>
    <w:rsid w:val="003C7D19"/>
    <w:rsid w:val="003D1180"/>
    <w:rsid w:val="003D12CA"/>
    <w:rsid w:val="003D1828"/>
    <w:rsid w:val="003D1B2F"/>
    <w:rsid w:val="003D1DE4"/>
    <w:rsid w:val="003D22C2"/>
    <w:rsid w:val="003D2422"/>
    <w:rsid w:val="003D36A0"/>
    <w:rsid w:val="003D39A1"/>
    <w:rsid w:val="003D3FBF"/>
    <w:rsid w:val="003D48F9"/>
    <w:rsid w:val="003D4A30"/>
    <w:rsid w:val="003D510A"/>
    <w:rsid w:val="003D79BB"/>
    <w:rsid w:val="003D7C98"/>
    <w:rsid w:val="003E0543"/>
    <w:rsid w:val="003E20AB"/>
    <w:rsid w:val="003E22B0"/>
    <w:rsid w:val="003E251A"/>
    <w:rsid w:val="003E2E0F"/>
    <w:rsid w:val="003E3AC3"/>
    <w:rsid w:val="003E430C"/>
    <w:rsid w:val="003E454C"/>
    <w:rsid w:val="003E54EA"/>
    <w:rsid w:val="003E6682"/>
    <w:rsid w:val="003E6723"/>
    <w:rsid w:val="003E70EE"/>
    <w:rsid w:val="003F042A"/>
    <w:rsid w:val="003F04A1"/>
    <w:rsid w:val="003F0C16"/>
    <w:rsid w:val="003F0EBC"/>
    <w:rsid w:val="003F1256"/>
    <w:rsid w:val="003F216D"/>
    <w:rsid w:val="003F2BEB"/>
    <w:rsid w:val="003F2C7B"/>
    <w:rsid w:val="003F2D31"/>
    <w:rsid w:val="003F4156"/>
    <w:rsid w:val="003F41D9"/>
    <w:rsid w:val="003F4297"/>
    <w:rsid w:val="003F448B"/>
    <w:rsid w:val="003F5BE3"/>
    <w:rsid w:val="003F5DF6"/>
    <w:rsid w:val="003F611E"/>
    <w:rsid w:val="003F7784"/>
    <w:rsid w:val="0040023A"/>
    <w:rsid w:val="00400703"/>
    <w:rsid w:val="00400AD6"/>
    <w:rsid w:val="00400B29"/>
    <w:rsid w:val="00400EBC"/>
    <w:rsid w:val="004012F0"/>
    <w:rsid w:val="004015E6"/>
    <w:rsid w:val="0040360B"/>
    <w:rsid w:val="00404830"/>
    <w:rsid w:val="00404B37"/>
    <w:rsid w:val="00404D8D"/>
    <w:rsid w:val="0040504B"/>
    <w:rsid w:val="004050C7"/>
    <w:rsid w:val="00405D78"/>
    <w:rsid w:val="004065AC"/>
    <w:rsid w:val="004071DC"/>
    <w:rsid w:val="0040763E"/>
    <w:rsid w:val="00410708"/>
    <w:rsid w:val="00410EC7"/>
    <w:rsid w:val="00411476"/>
    <w:rsid w:val="00411B39"/>
    <w:rsid w:val="00413A1E"/>
    <w:rsid w:val="00413AF4"/>
    <w:rsid w:val="00414476"/>
    <w:rsid w:val="00414C2E"/>
    <w:rsid w:val="00414D65"/>
    <w:rsid w:val="004151CF"/>
    <w:rsid w:val="004161C6"/>
    <w:rsid w:val="00416364"/>
    <w:rsid w:val="00416D8C"/>
    <w:rsid w:val="00417279"/>
    <w:rsid w:val="00417777"/>
    <w:rsid w:val="00417AF1"/>
    <w:rsid w:val="004200D8"/>
    <w:rsid w:val="00420AA6"/>
    <w:rsid w:val="00420B9F"/>
    <w:rsid w:val="00420BB0"/>
    <w:rsid w:val="00420DF4"/>
    <w:rsid w:val="00422260"/>
    <w:rsid w:val="00422628"/>
    <w:rsid w:val="004237D6"/>
    <w:rsid w:val="0042413F"/>
    <w:rsid w:val="00424194"/>
    <w:rsid w:val="00424F24"/>
    <w:rsid w:val="00426068"/>
    <w:rsid w:val="00427626"/>
    <w:rsid w:val="00427683"/>
    <w:rsid w:val="004276D7"/>
    <w:rsid w:val="00427E26"/>
    <w:rsid w:val="004309B6"/>
    <w:rsid w:val="004311E9"/>
    <w:rsid w:val="00431949"/>
    <w:rsid w:val="004319F8"/>
    <w:rsid w:val="00431D80"/>
    <w:rsid w:val="00431E55"/>
    <w:rsid w:val="004321F6"/>
    <w:rsid w:val="00433044"/>
    <w:rsid w:val="00433252"/>
    <w:rsid w:val="0043414D"/>
    <w:rsid w:val="0043452B"/>
    <w:rsid w:val="00434AFD"/>
    <w:rsid w:val="00435C1E"/>
    <w:rsid w:val="00435E4C"/>
    <w:rsid w:val="004369AD"/>
    <w:rsid w:val="00436E27"/>
    <w:rsid w:val="004371B3"/>
    <w:rsid w:val="004375B9"/>
    <w:rsid w:val="004376F2"/>
    <w:rsid w:val="00441174"/>
    <w:rsid w:val="004428D0"/>
    <w:rsid w:val="0044313C"/>
    <w:rsid w:val="004432F6"/>
    <w:rsid w:val="00443975"/>
    <w:rsid w:val="00443C98"/>
    <w:rsid w:val="00444264"/>
    <w:rsid w:val="004443A7"/>
    <w:rsid w:val="0044442C"/>
    <w:rsid w:val="00445941"/>
    <w:rsid w:val="00445A93"/>
    <w:rsid w:val="00445C3C"/>
    <w:rsid w:val="00445E79"/>
    <w:rsid w:val="004464EB"/>
    <w:rsid w:val="004471E6"/>
    <w:rsid w:val="004478E2"/>
    <w:rsid w:val="00447D26"/>
    <w:rsid w:val="00447EA3"/>
    <w:rsid w:val="00450059"/>
    <w:rsid w:val="0045052E"/>
    <w:rsid w:val="00450530"/>
    <w:rsid w:val="00451626"/>
    <w:rsid w:val="00451856"/>
    <w:rsid w:val="00454362"/>
    <w:rsid w:val="00454B2A"/>
    <w:rsid w:val="00455D45"/>
    <w:rsid w:val="00455DD7"/>
    <w:rsid w:val="004568A8"/>
    <w:rsid w:val="00457282"/>
    <w:rsid w:val="00457C48"/>
    <w:rsid w:val="00457DB3"/>
    <w:rsid w:val="00460C87"/>
    <w:rsid w:val="0046109D"/>
    <w:rsid w:val="00463004"/>
    <w:rsid w:val="00463043"/>
    <w:rsid w:val="00463311"/>
    <w:rsid w:val="00463DC1"/>
    <w:rsid w:val="0046422E"/>
    <w:rsid w:val="00464595"/>
    <w:rsid w:val="0046460F"/>
    <w:rsid w:val="00464727"/>
    <w:rsid w:val="0046536B"/>
    <w:rsid w:val="0046682F"/>
    <w:rsid w:val="00466F55"/>
    <w:rsid w:val="00467158"/>
    <w:rsid w:val="00467A04"/>
    <w:rsid w:val="0047070C"/>
    <w:rsid w:val="00471B79"/>
    <w:rsid w:val="00471F31"/>
    <w:rsid w:val="00472353"/>
    <w:rsid w:val="004728B3"/>
    <w:rsid w:val="00472A79"/>
    <w:rsid w:val="00473AC6"/>
    <w:rsid w:val="00473F19"/>
    <w:rsid w:val="0047424F"/>
    <w:rsid w:val="00474F47"/>
    <w:rsid w:val="00475E22"/>
    <w:rsid w:val="0047669D"/>
    <w:rsid w:val="00476D82"/>
    <w:rsid w:val="0048088E"/>
    <w:rsid w:val="00480DCD"/>
    <w:rsid w:val="00481AF8"/>
    <w:rsid w:val="00482558"/>
    <w:rsid w:val="00482720"/>
    <w:rsid w:val="004827B7"/>
    <w:rsid w:val="00482A49"/>
    <w:rsid w:val="004830EC"/>
    <w:rsid w:val="004835E7"/>
    <w:rsid w:val="004837E2"/>
    <w:rsid w:val="00485256"/>
    <w:rsid w:val="004852F3"/>
    <w:rsid w:val="004853C0"/>
    <w:rsid w:val="00485CD3"/>
    <w:rsid w:val="00485F8F"/>
    <w:rsid w:val="0048613A"/>
    <w:rsid w:val="004867E2"/>
    <w:rsid w:val="00486F7A"/>
    <w:rsid w:val="004919B7"/>
    <w:rsid w:val="00491A08"/>
    <w:rsid w:val="00491B3A"/>
    <w:rsid w:val="00492698"/>
    <w:rsid w:val="004927D0"/>
    <w:rsid w:val="00492CD4"/>
    <w:rsid w:val="00492CFD"/>
    <w:rsid w:val="00492D2F"/>
    <w:rsid w:val="004932A2"/>
    <w:rsid w:val="0049453B"/>
    <w:rsid w:val="00494779"/>
    <w:rsid w:val="00494DD5"/>
    <w:rsid w:val="00495A3F"/>
    <w:rsid w:val="00495C6A"/>
    <w:rsid w:val="004962D2"/>
    <w:rsid w:val="00497E68"/>
    <w:rsid w:val="004A08DF"/>
    <w:rsid w:val="004A0DA1"/>
    <w:rsid w:val="004A21A7"/>
    <w:rsid w:val="004A278A"/>
    <w:rsid w:val="004A288C"/>
    <w:rsid w:val="004A52E9"/>
    <w:rsid w:val="004A6597"/>
    <w:rsid w:val="004A69C9"/>
    <w:rsid w:val="004A6F01"/>
    <w:rsid w:val="004A7848"/>
    <w:rsid w:val="004A7ACF"/>
    <w:rsid w:val="004A7EA9"/>
    <w:rsid w:val="004B0546"/>
    <w:rsid w:val="004B118F"/>
    <w:rsid w:val="004B161A"/>
    <w:rsid w:val="004B1C60"/>
    <w:rsid w:val="004B1CB4"/>
    <w:rsid w:val="004B2A23"/>
    <w:rsid w:val="004B2F18"/>
    <w:rsid w:val="004B30F1"/>
    <w:rsid w:val="004B3DDB"/>
    <w:rsid w:val="004B44FD"/>
    <w:rsid w:val="004B46B5"/>
    <w:rsid w:val="004B4ECC"/>
    <w:rsid w:val="004B4FB8"/>
    <w:rsid w:val="004B566E"/>
    <w:rsid w:val="004B5935"/>
    <w:rsid w:val="004B5CFC"/>
    <w:rsid w:val="004B774D"/>
    <w:rsid w:val="004B7F00"/>
    <w:rsid w:val="004C0814"/>
    <w:rsid w:val="004C106C"/>
    <w:rsid w:val="004C2C35"/>
    <w:rsid w:val="004C33AD"/>
    <w:rsid w:val="004C46F8"/>
    <w:rsid w:val="004C4AED"/>
    <w:rsid w:val="004C5582"/>
    <w:rsid w:val="004C61CE"/>
    <w:rsid w:val="004C6B02"/>
    <w:rsid w:val="004C78D7"/>
    <w:rsid w:val="004D029D"/>
    <w:rsid w:val="004D02EB"/>
    <w:rsid w:val="004D03EC"/>
    <w:rsid w:val="004D11B3"/>
    <w:rsid w:val="004D2AA3"/>
    <w:rsid w:val="004D2C2D"/>
    <w:rsid w:val="004D3487"/>
    <w:rsid w:val="004D3A4B"/>
    <w:rsid w:val="004D418D"/>
    <w:rsid w:val="004D50B2"/>
    <w:rsid w:val="004D52E1"/>
    <w:rsid w:val="004D5962"/>
    <w:rsid w:val="004D5AD9"/>
    <w:rsid w:val="004D6D12"/>
    <w:rsid w:val="004D7227"/>
    <w:rsid w:val="004D7A30"/>
    <w:rsid w:val="004D7A80"/>
    <w:rsid w:val="004E03E7"/>
    <w:rsid w:val="004E04E8"/>
    <w:rsid w:val="004E0E7F"/>
    <w:rsid w:val="004E0EB8"/>
    <w:rsid w:val="004E1240"/>
    <w:rsid w:val="004E1D38"/>
    <w:rsid w:val="004E2343"/>
    <w:rsid w:val="004E26E0"/>
    <w:rsid w:val="004E2ADC"/>
    <w:rsid w:val="004E33B0"/>
    <w:rsid w:val="004E3C43"/>
    <w:rsid w:val="004E43B2"/>
    <w:rsid w:val="004E4EE6"/>
    <w:rsid w:val="004E567C"/>
    <w:rsid w:val="004E675D"/>
    <w:rsid w:val="004E7814"/>
    <w:rsid w:val="004E7B7D"/>
    <w:rsid w:val="004F12E7"/>
    <w:rsid w:val="004F1D02"/>
    <w:rsid w:val="004F2679"/>
    <w:rsid w:val="004F2F21"/>
    <w:rsid w:val="004F34E7"/>
    <w:rsid w:val="004F3AC4"/>
    <w:rsid w:val="004F3B84"/>
    <w:rsid w:val="004F578A"/>
    <w:rsid w:val="004F5C16"/>
    <w:rsid w:val="004F6487"/>
    <w:rsid w:val="004F6913"/>
    <w:rsid w:val="004F6B3D"/>
    <w:rsid w:val="004F73F7"/>
    <w:rsid w:val="004F7865"/>
    <w:rsid w:val="004F78B5"/>
    <w:rsid w:val="004F78FC"/>
    <w:rsid w:val="00501959"/>
    <w:rsid w:val="0050219B"/>
    <w:rsid w:val="00502488"/>
    <w:rsid w:val="005027CD"/>
    <w:rsid w:val="00503524"/>
    <w:rsid w:val="005035EC"/>
    <w:rsid w:val="00503B73"/>
    <w:rsid w:val="00503F17"/>
    <w:rsid w:val="005041EA"/>
    <w:rsid w:val="005048AB"/>
    <w:rsid w:val="005051AC"/>
    <w:rsid w:val="00505A9A"/>
    <w:rsid w:val="00506928"/>
    <w:rsid w:val="005076F2"/>
    <w:rsid w:val="005107E4"/>
    <w:rsid w:val="00511D6E"/>
    <w:rsid w:val="005129E1"/>
    <w:rsid w:val="005129E6"/>
    <w:rsid w:val="00512A55"/>
    <w:rsid w:val="00512DC9"/>
    <w:rsid w:val="00513429"/>
    <w:rsid w:val="00513474"/>
    <w:rsid w:val="005140B8"/>
    <w:rsid w:val="0051469F"/>
    <w:rsid w:val="00514C19"/>
    <w:rsid w:val="005152B5"/>
    <w:rsid w:val="00515A26"/>
    <w:rsid w:val="005179B2"/>
    <w:rsid w:val="005201FE"/>
    <w:rsid w:val="0052051B"/>
    <w:rsid w:val="00520C9B"/>
    <w:rsid w:val="00521319"/>
    <w:rsid w:val="005219EA"/>
    <w:rsid w:val="00521B8A"/>
    <w:rsid w:val="0052219D"/>
    <w:rsid w:val="005229D8"/>
    <w:rsid w:val="00522BC8"/>
    <w:rsid w:val="00523C28"/>
    <w:rsid w:val="00524937"/>
    <w:rsid w:val="00524B2B"/>
    <w:rsid w:val="00524B8F"/>
    <w:rsid w:val="005257DA"/>
    <w:rsid w:val="0052684F"/>
    <w:rsid w:val="0052746C"/>
    <w:rsid w:val="005274F6"/>
    <w:rsid w:val="0052779B"/>
    <w:rsid w:val="005301D0"/>
    <w:rsid w:val="00530354"/>
    <w:rsid w:val="005303EF"/>
    <w:rsid w:val="00530D4D"/>
    <w:rsid w:val="00531C70"/>
    <w:rsid w:val="005320EE"/>
    <w:rsid w:val="0053267F"/>
    <w:rsid w:val="0053303F"/>
    <w:rsid w:val="00533900"/>
    <w:rsid w:val="00533B41"/>
    <w:rsid w:val="005343D6"/>
    <w:rsid w:val="005352BA"/>
    <w:rsid w:val="00536757"/>
    <w:rsid w:val="00536789"/>
    <w:rsid w:val="00536F42"/>
    <w:rsid w:val="00537182"/>
    <w:rsid w:val="005372B9"/>
    <w:rsid w:val="00537A44"/>
    <w:rsid w:val="00537F02"/>
    <w:rsid w:val="00540E97"/>
    <w:rsid w:val="00542743"/>
    <w:rsid w:val="00542C2D"/>
    <w:rsid w:val="005437C9"/>
    <w:rsid w:val="005439BF"/>
    <w:rsid w:val="00543F13"/>
    <w:rsid w:val="0054484B"/>
    <w:rsid w:val="005455B1"/>
    <w:rsid w:val="00550C5D"/>
    <w:rsid w:val="00551985"/>
    <w:rsid w:val="00551C72"/>
    <w:rsid w:val="005522D3"/>
    <w:rsid w:val="00552BD3"/>
    <w:rsid w:val="00553376"/>
    <w:rsid w:val="00553CCF"/>
    <w:rsid w:val="00553CD8"/>
    <w:rsid w:val="00554B12"/>
    <w:rsid w:val="00555109"/>
    <w:rsid w:val="0055518E"/>
    <w:rsid w:val="0055575F"/>
    <w:rsid w:val="00555854"/>
    <w:rsid w:val="00555F99"/>
    <w:rsid w:val="0055671A"/>
    <w:rsid w:val="0055719C"/>
    <w:rsid w:val="00557D34"/>
    <w:rsid w:val="00557EF1"/>
    <w:rsid w:val="00561274"/>
    <w:rsid w:val="0056183A"/>
    <w:rsid w:val="00561B41"/>
    <w:rsid w:val="00561B9D"/>
    <w:rsid w:val="0056239C"/>
    <w:rsid w:val="00562703"/>
    <w:rsid w:val="00562AAE"/>
    <w:rsid w:val="005637CA"/>
    <w:rsid w:val="005639B4"/>
    <w:rsid w:val="00563BA9"/>
    <w:rsid w:val="005644E3"/>
    <w:rsid w:val="00564609"/>
    <w:rsid w:val="0056534B"/>
    <w:rsid w:val="0056595C"/>
    <w:rsid w:val="0056696F"/>
    <w:rsid w:val="0056705D"/>
    <w:rsid w:val="005670E8"/>
    <w:rsid w:val="00570656"/>
    <w:rsid w:val="00572269"/>
    <w:rsid w:val="0057244A"/>
    <w:rsid w:val="00572489"/>
    <w:rsid w:val="0057413F"/>
    <w:rsid w:val="00574265"/>
    <w:rsid w:val="00574A70"/>
    <w:rsid w:val="00575D74"/>
    <w:rsid w:val="00575D8D"/>
    <w:rsid w:val="00576972"/>
    <w:rsid w:val="00576D25"/>
    <w:rsid w:val="00576DAB"/>
    <w:rsid w:val="00580F5F"/>
    <w:rsid w:val="005820CB"/>
    <w:rsid w:val="00583252"/>
    <w:rsid w:val="00583699"/>
    <w:rsid w:val="00583A4D"/>
    <w:rsid w:val="00583D9F"/>
    <w:rsid w:val="00584180"/>
    <w:rsid w:val="0058460B"/>
    <w:rsid w:val="00584FCD"/>
    <w:rsid w:val="00585CDD"/>
    <w:rsid w:val="00587058"/>
    <w:rsid w:val="0058732C"/>
    <w:rsid w:val="00590E7C"/>
    <w:rsid w:val="00591957"/>
    <w:rsid w:val="00591B5D"/>
    <w:rsid w:val="00591F32"/>
    <w:rsid w:val="00591FEE"/>
    <w:rsid w:val="0059214E"/>
    <w:rsid w:val="0059251D"/>
    <w:rsid w:val="00592FC6"/>
    <w:rsid w:val="00594B37"/>
    <w:rsid w:val="00594F65"/>
    <w:rsid w:val="00595289"/>
    <w:rsid w:val="00595AE9"/>
    <w:rsid w:val="005968EF"/>
    <w:rsid w:val="00596BDF"/>
    <w:rsid w:val="00596DD1"/>
    <w:rsid w:val="00597957"/>
    <w:rsid w:val="00597BF9"/>
    <w:rsid w:val="005A1269"/>
    <w:rsid w:val="005A1897"/>
    <w:rsid w:val="005A1A35"/>
    <w:rsid w:val="005A373D"/>
    <w:rsid w:val="005A471D"/>
    <w:rsid w:val="005A7896"/>
    <w:rsid w:val="005B0E29"/>
    <w:rsid w:val="005B0E56"/>
    <w:rsid w:val="005B1030"/>
    <w:rsid w:val="005B22DA"/>
    <w:rsid w:val="005B343D"/>
    <w:rsid w:val="005B42EC"/>
    <w:rsid w:val="005B5857"/>
    <w:rsid w:val="005B6152"/>
    <w:rsid w:val="005B6A81"/>
    <w:rsid w:val="005B6D7A"/>
    <w:rsid w:val="005B71D8"/>
    <w:rsid w:val="005B732D"/>
    <w:rsid w:val="005C048E"/>
    <w:rsid w:val="005C0733"/>
    <w:rsid w:val="005C195D"/>
    <w:rsid w:val="005C1B83"/>
    <w:rsid w:val="005C2743"/>
    <w:rsid w:val="005C2D55"/>
    <w:rsid w:val="005C346B"/>
    <w:rsid w:val="005C3D6C"/>
    <w:rsid w:val="005C48D0"/>
    <w:rsid w:val="005C5D6C"/>
    <w:rsid w:val="005C6190"/>
    <w:rsid w:val="005C669C"/>
    <w:rsid w:val="005C7215"/>
    <w:rsid w:val="005C7257"/>
    <w:rsid w:val="005C7725"/>
    <w:rsid w:val="005C7C41"/>
    <w:rsid w:val="005D044D"/>
    <w:rsid w:val="005D0ABD"/>
    <w:rsid w:val="005D1147"/>
    <w:rsid w:val="005D1729"/>
    <w:rsid w:val="005D1779"/>
    <w:rsid w:val="005D18AD"/>
    <w:rsid w:val="005D1B4E"/>
    <w:rsid w:val="005D242D"/>
    <w:rsid w:val="005D26B4"/>
    <w:rsid w:val="005D2F9F"/>
    <w:rsid w:val="005D394E"/>
    <w:rsid w:val="005D51C3"/>
    <w:rsid w:val="005D61DD"/>
    <w:rsid w:val="005D6489"/>
    <w:rsid w:val="005D6EC2"/>
    <w:rsid w:val="005D7BB0"/>
    <w:rsid w:val="005E0396"/>
    <w:rsid w:val="005E0A70"/>
    <w:rsid w:val="005E0CC6"/>
    <w:rsid w:val="005E2B4D"/>
    <w:rsid w:val="005E2CBA"/>
    <w:rsid w:val="005E64E3"/>
    <w:rsid w:val="005E6A19"/>
    <w:rsid w:val="005E6CBC"/>
    <w:rsid w:val="005E73C0"/>
    <w:rsid w:val="005E753D"/>
    <w:rsid w:val="005E76B5"/>
    <w:rsid w:val="005F088F"/>
    <w:rsid w:val="005F0BFF"/>
    <w:rsid w:val="005F1BDF"/>
    <w:rsid w:val="005F2706"/>
    <w:rsid w:val="005F38B3"/>
    <w:rsid w:val="005F58E9"/>
    <w:rsid w:val="005F5C61"/>
    <w:rsid w:val="005F5FED"/>
    <w:rsid w:val="005F6186"/>
    <w:rsid w:val="005F6A60"/>
    <w:rsid w:val="005F6A8F"/>
    <w:rsid w:val="005F72AB"/>
    <w:rsid w:val="00600897"/>
    <w:rsid w:val="00600F0F"/>
    <w:rsid w:val="00601756"/>
    <w:rsid w:val="00601D64"/>
    <w:rsid w:val="00601D8E"/>
    <w:rsid w:val="006028FD"/>
    <w:rsid w:val="006037D9"/>
    <w:rsid w:val="00603DB9"/>
    <w:rsid w:val="00606C43"/>
    <w:rsid w:val="00607669"/>
    <w:rsid w:val="00607AFD"/>
    <w:rsid w:val="00607B29"/>
    <w:rsid w:val="00610317"/>
    <w:rsid w:val="006116DD"/>
    <w:rsid w:val="00611908"/>
    <w:rsid w:val="00611B19"/>
    <w:rsid w:val="00612074"/>
    <w:rsid w:val="00612324"/>
    <w:rsid w:val="00612F97"/>
    <w:rsid w:val="0061345D"/>
    <w:rsid w:val="0061392F"/>
    <w:rsid w:val="00613B77"/>
    <w:rsid w:val="00613C76"/>
    <w:rsid w:val="00613CAE"/>
    <w:rsid w:val="00614059"/>
    <w:rsid w:val="006147A3"/>
    <w:rsid w:val="00614886"/>
    <w:rsid w:val="0061499B"/>
    <w:rsid w:val="006151DE"/>
    <w:rsid w:val="00615568"/>
    <w:rsid w:val="00615E77"/>
    <w:rsid w:val="00616525"/>
    <w:rsid w:val="00616802"/>
    <w:rsid w:val="0061750D"/>
    <w:rsid w:val="00617E12"/>
    <w:rsid w:val="006208C4"/>
    <w:rsid w:val="00621361"/>
    <w:rsid w:val="00621477"/>
    <w:rsid w:val="00621A3A"/>
    <w:rsid w:val="00622E6D"/>
    <w:rsid w:val="00622FC7"/>
    <w:rsid w:val="006237CE"/>
    <w:rsid w:val="0062544E"/>
    <w:rsid w:val="00625C60"/>
    <w:rsid w:val="00630193"/>
    <w:rsid w:val="0063158F"/>
    <w:rsid w:val="00631D6B"/>
    <w:rsid w:val="00632468"/>
    <w:rsid w:val="006330A1"/>
    <w:rsid w:val="00633290"/>
    <w:rsid w:val="00633473"/>
    <w:rsid w:val="00633758"/>
    <w:rsid w:val="006339D0"/>
    <w:rsid w:val="00633D55"/>
    <w:rsid w:val="00633D66"/>
    <w:rsid w:val="0063479F"/>
    <w:rsid w:val="00634BC1"/>
    <w:rsid w:val="00634C2C"/>
    <w:rsid w:val="00635168"/>
    <w:rsid w:val="006353F0"/>
    <w:rsid w:val="00636081"/>
    <w:rsid w:val="006364A1"/>
    <w:rsid w:val="006368F1"/>
    <w:rsid w:val="00637329"/>
    <w:rsid w:val="00637BFD"/>
    <w:rsid w:val="00640333"/>
    <w:rsid w:val="006410FD"/>
    <w:rsid w:val="0064191D"/>
    <w:rsid w:val="00641C4E"/>
    <w:rsid w:val="00642439"/>
    <w:rsid w:val="006425E5"/>
    <w:rsid w:val="006432D4"/>
    <w:rsid w:val="00643F14"/>
    <w:rsid w:val="0064518A"/>
    <w:rsid w:val="006452CC"/>
    <w:rsid w:val="00646051"/>
    <w:rsid w:val="006471CC"/>
    <w:rsid w:val="006473EF"/>
    <w:rsid w:val="0065079F"/>
    <w:rsid w:val="00650CA2"/>
    <w:rsid w:val="00651E74"/>
    <w:rsid w:val="00652513"/>
    <w:rsid w:val="0065280A"/>
    <w:rsid w:val="00652B14"/>
    <w:rsid w:val="00652F40"/>
    <w:rsid w:val="0065379F"/>
    <w:rsid w:val="00654B08"/>
    <w:rsid w:val="00654D55"/>
    <w:rsid w:val="00654DBE"/>
    <w:rsid w:val="00655FD3"/>
    <w:rsid w:val="00656289"/>
    <w:rsid w:val="00656C24"/>
    <w:rsid w:val="00660D7B"/>
    <w:rsid w:val="00661C6B"/>
    <w:rsid w:val="00662CE8"/>
    <w:rsid w:val="0066305D"/>
    <w:rsid w:val="00663101"/>
    <w:rsid w:val="0066343D"/>
    <w:rsid w:val="00663E68"/>
    <w:rsid w:val="006644C9"/>
    <w:rsid w:val="0066490A"/>
    <w:rsid w:val="006650DD"/>
    <w:rsid w:val="0066554B"/>
    <w:rsid w:val="00665AD5"/>
    <w:rsid w:val="00665D79"/>
    <w:rsid w:val="006660AA"/>
    <w:rsid w:val="00666121"/>
    <w:rsid w:val="00667D04"/>
    <w:rsid w:val="0067019B"/>
    <w:rsid w:val="00671ED8"/>
    <w:rsid w:val="00674281"/>
    <w:rsid w:val="006743D9"/>
    <w:rsid w:val="006744A2"/>
    <w:rsid w:val="00674E42"/>
    <w:rsid w:val="00675C40"/>
    <w:rsid w:val="0067630A"/>
    <w:rsid w:val="00676414"/>
    <w:rsid w:val="006767BC"/>
    <w:rsid w:val="00676DDC"/>
    <w:rsid w:val="006775D7"/>
    <w:rsid w:val="006778BF"/>
    <w:rsid w:val="00680929"/>
    <w:rsid w:val="00680FEF"/>
    <w:rsid w:val="006811E2"/>
    <w:rsid w:val="00681F6D"/>
    <w:rsid w:val="00682112"/>
    <w:rsid w:val="0068280A"/>
    <w:rsid w:val="006829D8"/>
    <w:rsid w:val="00683DB6"/>
    <w:rsid w:val="00686957"/>
    <w:rsid w:val="006870EC"/>
    <w:rsid w:val="00687293"/>
    <w:rsid w:val="006872BA"/>
    <w:rsid w:val="00687326"/>
    <w:rsid w:val="0069134D"/>
    <w:rsid w:val="00691648"/>
    <w:rsid w:val="006917D7"/>
    <w:rsid w:val="0069242C"/>
    <w:rsid w:val="006937F4"/>
    <w:rsid w:val="00694CF7"/>
    <w:rsid w:val="00694E73"/>
    <w:rsid w:val="00694F44"/>
    <w:rsid w:val="0069530C"/>
    <w:rsid w:val="00695A3C"/>
    <w:rsid w:val="00695A4B"/>
    <w:rsid w:val="00695C81"/>
    <w:rsid w:val="006962F6"/>
    <w:rsid w:val="006963BF"/>
    <w:rsid w:val="0069647B"/>
    <w:rsid w:val="0069670B"/>
    <w:rsid w:val="00696B46"/>
    <w:rsid w:val="006973FB"/>
    <w:rsid w:val="006979C1"/>
    <w:rsid w:val="006A271B"/>
    <w:rsid w:val="006A55D1"/>
    <w:rsid w:val="006A5EC6"/>
    <w:rsid w:val="006A693F"/>
    <w:rsid w:val="006A6E2B"/>
    <w:rsid w:val="006A7E5F"/>
    <w:rsid w:val="006B06E0"/>
    <w:rsid w:val="006B1A5E"/>
    <w:rsid w:val="006B2563"/>
    <w:rsid w:val="006B261B"/>
    <w:rsid w:val="006B2C90"/>
    <w:rsid w:val="006B2DB3"/>
    <w:rsid w:val="006B4871"/>
    <w:rsid w:val="006B4ABF"/>
    <w:rsid w:val="006B4BA8"/>
    <w:rsid w:val="006B4C10"/>
    <w:rsid w:val="006B5A63"/>
    <w:rsid w:val="006B6A7C"/>
    <w:rsid w:val="006B6DD0"/>
    <w:rsid w:val="006C070B"/>
    <w:rsid w:val="006C0F5F"/>
    <w:rsid w:val="006C1195"/>
    <w:rsid w:val="006C11FC"/>
    <w:rsid w:val="006C275A"/>
    <w:rsid w:val="006C2A8E"/>
    <w:rsid w:val="006C2B09"/>
    <w:rsid w:val="006C2C1D"/>
    <w:rsid w:val="006C2ED2"/>
    <w:rsid w:val="006C3985"/>
    <w:rsid w:val="006C47FD"/>
    <w:rsid w:val="006C5FD8"/>
    <w:rsid w:val="006C6663"/>
    <w:rsid w:val="006C7F55"/>
    <w:rsid w:val="006D0B03"/>
    <w:rsid w:val="006D0CB8"/>
    <w:rsid w:val="006D172A"/>
    <w:rsid w:val="006D1A86"/>
    <w:rsid w:val="006D2530"/>
    <w:rsid w:val="006D2629"/>
    <w:rsid w:val="006D3659"/>
    <w:rsid w:val="006D3A1B"/>
    <w:rsid w:val="006D3C7D"/>
    <w:rsid w:val="006D3E33"/>
    <w:rsid w:val="006D4961"/>
    <w:rsid w:val="006D4F59"/>
    <w:rsid w:val="006D5D5F"/>
    <w:rsid w:val="006D5F4C"/>
    <w:rsid w:val="006E0348"/>
    <w:rsid w:val="006E1B3F"/>
    <w:rsid w:val="006E2088"/>
    <w:rsid w:val="006E286E"/>
    <w:rsid w:val="006E2E29"/>
    <w:rsid w:val="006E4076"/>
    <w:rsid w:val="006E44CB"/>
    <w:rsid w:val="006E46F4"/>
    <w:rsid w:val="006E56B4"/>
    <w:rsid w:val="006E5FF9"/>
    <w:rsid w:val="006E65E5"/>
    <w:rsid w:val="006E69EA"/>
    <w:rsid w:val="006E72FE"/>
    <w:rsid w:val="006E7C36"/>
    <w:rsid w:val="006F02DC"/>
    <w:rsid w:val="006F306C"/>
    <w:rsid w:val="006F319C"/>
    <w:rsid w:val="006F3748"/>
    <w:rsid w:val="006F3C4F"/>
    <w:rsid w:val="006F4AEC"/>
    <w:rsid w:val="006F4DE0"/>
    <w:rsid w:val="006F63A5"/>
    <w:rsid w:val="006F63DA"/>
    <w:rsid w:val="006F6B11"/>
    <w:rsid w:val="00700458"/>
    <w:rsid w:val="00700845"/>
    <w:rsid w:val="00700999"/>
    <w:rsid w:val="0070142B"/>
    <w:rsid w:val="007018CF"/>
    <w:rsid w:val="0070276E"/>
    <w:rsid w:val="007028D1"/>
    <w:rsid w:val="00702F8F"/>
    <w:rsid w:val="007030D4"/>
    <w:rsid w:val="0070319F"/>
    <w:rsid w:val="00703E07"/>
    <w:rsid w:val="0070493A"/>
    <w:rsid w:val="00704B0B"/>
    <w:rsid w:val="00704DCE"/>
    <w:rsid w:val="007059AE"/>
    <w:rsid w:val="00706F82"/>
    <w:rsid w:val="0070773F"/>
    <w:rsid w:val="007108E6"/>
    <w:rsid w:val="00710B38"/>
    <w:rsid w:val="007113AE"/>
    <w:rsid w:val="00711A36"/>
    <w:rsid w:val="00712263"/>
    <w:rsid w:val="00712786"/>
    <w:rsid w:val="00712C54"/>
    <w:rsid w:val="00713AAD"/>
    <w:rsid w:val="00713CD7"/>
    <w:rsid w:val="00714C2B"/>
    <w:rsid w:val="0071529C"/>
    <w:rsid w:val="00715AEE"/>
    <w:rsid w:val="00715F7D"/>
    <w:rsid w:val="00716772"/>
    <w:rsid w:val="00716AB6"/>
    <w:rsid w:val="00716ED4"/>
    <w:rsid w:val="007172AD"/>
    <w:rsid w:val="00717CD6"/>
    <w:rsid w:val="007211BD"/>
    <w:rsid w:val="007211FB"/>
    <w:rsid w:val="00721401"/>
    <w:rsid w:val="00721755"/>
    <w:rsid w:val="00722A38"/>
    <w:rsid w:val="00722B1B"/>
    <w:rsid w:val="00723121"/>
    <w:rsid w:val="007232CC"/>
    <w:rsid w:val="007237D9"/>
    <w:rsid w:val="007240D0"/>
    <w:rsid w:val="0072416F"/>
    <w:rsid w:val="00724729"/>
    <w:rsid w:val="0072485F"/>
    <w:rsid w:val="007250BE"/>
    <w:rsid w:val="007256BF"/>
    <w:rsid w:val="00725911"/>
    <w:rsid w:val="007259A4"/>
    <w:rsid w:val="007260F8"/>
    <w:rsid w:val="00726B48"/>
    <w:rsid w:val="00726B90"/>
    <w:rsid w:val="00727C94"/>
    <w:rsid w:val="00730C6A"/>
    <w:rsid w:val="007313EE"/>
    <w:rsid w:val="00731EAE"/>
    <w:rsid w:val="00731F7C"/>
    <w:rsid w:val="00732428"/>
    <w:rsid w:val="00732B26"/>
    <w:rsid w:val="007332CF"/>
    <w:rsid w:val="0073359B"/>
    <w:rsid w:val="00734279"/>
    <w:rsid w:val="00734D32"/>
    <w:rsid w:val="00735033"/>
    <w:rsid w:val="00735328"/>
    <w:rsid w:val="0073544C"/>
    <w:rsid w:val="007356C0"/>
    <w:rsid w:val="00735DDB"/>
    <w:rsid w:val="00735F41"/>
    <w:rsid w:val="00736111"/>
    <w:rsid w:val="007364B4"/>
    <w:rsid w:val="0073685B"/>
    <w:rsid w:val="00737066"/>
    <w:rsid w:val="00740670"/>
    <w:rsid w:val="00740ABC"/>
    <w:rsid w:val="00741083"/>
    <w:rsid w:val="00741965"/>
    <w:rsid w:val="00743B20"/>
    <w:rsid w:val="00743B7B"/>
    <w:rsid w:val="007449C0"/>
    <w:rsid w:val="00744C4A"/>
    <w:rsid w:val="00744DAD"/>
    <w:rsid w:val="00745363"/>
    <w:rsid w:val="0074560C"/>
    <w:rsid w:val="00745F86"/>
    <w:rsid w:val="007463DC"/>
    <w:rsid w:val="00746806"/>
    <w:rsid w:val="00746A65"/>
    <w:rsid w:val="00750979"/>
    <w:rsid w:val="0075185E"/>
    <w:rsid w:val="00751A85"/>
    <w:rsid w:val="00751BAA"/>
    <w:rsid w:val="00752142"/>
    <w:rsid w:val="007523F9"/>
    <w:rsid w:val="007526A0"/>
    <w:rsid w:val="0075287D"/>
    <w:rsid w:val="00752D16"/>
    <w:rsid w:val="0075381D"/>
    <w:rsid w:val="007539DE"/>
    <w:rsid w:val="00753C22"/>
    <w:rsid w:val="00753E4A"/>
    <w:rsid w:val="00754365"/>
    <w:rsid w:val="007573E8"/>
    <w:rsid w:val="00760375"/>
    <w:rsid w:val="00760C4E"/>
    <w:rsid w:val="00761A1E"/>
    <w:rsid w:val="00762065"/>
    <w:rsid w:val="00762A43"/>
    <w:rsid w:val="00763024"/>
    <w:rsid w:val="00763531"/>
    <w:rsid w:val="00764BC2"/>
    <w:rsid w:val="00764CB4"/>
    <w:rsid w:val="00764F95"/>
    <w:rsid w:val="00765384"/>
    <w:rsid w:val="00765B1A"/>
    <w:rsid w:val="00766AAA"/>
    <w:rsid w:val="00767E26"/>
    <w:rsid w:val="00767E6B"/>
    <w:rsid w:val="00771C3C"/>
    <w:rsid w:val="0077345B"/>
    <w:rsid w:val="00773C83"/>
    <w:rsid w:val="00776C42"/>
    <w:rsid w:val="007772E5"/>
    <w:rsid w:val="00777A43"/>
    <w:rsid w:val="0078041B"/>
    <w:rsid w:val="0078044A"/>
    <w:rsid w:val="007805F3"/>
    <w:rsid w:val="00780B05"/>
    <w:rsid w:val="00780B22"/>
    <w:rsid w:val="00781317"/>
    <w:rsid w:val="007817EB"/>
    <w:rsid w:val="00782440"/>
    <w:rsid w:val="007825DC"/>
    <w:rsid w:val="00782C41"/>
    <w:rsid w:val="00783A30"/>
    <w:rsid w:val="00783BF3"/>
    <w:rsid w:val="00783D77"/>
    <w:rsid w:val="00783F67"/>
    <w:rsid w:val="007843F2"/>
    <w:rsid w:val="007844BC"/>
    <w:rsid w:val="00785779"/>
    <w:rsid w:val="00785955"/>
    <w:rsid w:val="0078671A"/>
    <w:rsid w:val="00786AA5"/>
    <w:rsid w:val="00787000"/>
    <w:rsid w:val="007879E8"/>
    <w:rsid w:val="00787A4C"/>
    <w:rsid w:val="00787FF0"/>
    <w:rsid w:val="00790E7B"/>
    <w:rsid w:val="007910D4"/>
    <w:rsid w:val="00791177"/>
    <w:rsid w:val="00791DCE"/>
    <w:rsid w:val="00792387"/>
    <w:rsid w:val="0079307F"/>
    <w:rsid w:val="00793DAB"/>
    <w:rsid w:val="00793EED"/>
    <w:rsid w:val="007941CC"/>
    <w:rsid w:val="007943B4"/>
    <w:rsid w:val="0079505C"/>
    <w:rsid w:val="00795C8A"/>
    <w:rsid w:val="00795DD5"/>
    <w:rsid w:val="007974D1"/>
    <w:rsid w:val="007A006C"/>
    <w:rsid w:val="007A0388"/>
    <w:rsid w:val="007A0A12"/>
    <w:rsid w:val="007A132D"/>
    <w:rsid w:val="007A17BA"/>
    <w:rsid w:val="007A18F1"/>
    <w:rsid w:val="007A1F64"/>
    <w:rsid w:val="007A4957"/>
    <w:rsid w:val="007A4AD7"/>
    <w:rsid w:val="007A6F29"/>
    <w:rsid w:val="007A6F78"/>
    <w:rsid w:val="007A7A4F"/>
    <w:rsid w:val="007A7CAC"/>
    <w:rsid w:val="007B0D68"/>
    <w:rsid w:val="007B175B"/>
    <w:rsid w:val="007B251D"/>
    <w:rsid w:val="007B2E2D"/>
    <w:rsid w:val="007B36C5"/>
    <w:rsid w:val="007B4F58"/>
    <w:rsid w:val="007B528D"/>
    <w:rsid w:val="007B6B43"/>
    <w:rsid w:val="007B6B90"/>
    <w:rsid w:val="007B77D1"/>
    <w:rsid w:val="007C0D98"/>
    <w:rsid w:val="007C1643"/>
    <w:rsid w:val="007C169D"/>
    <w:rsid w:val="007C1A18"/>
    <w:rsid w:val="007C1CD9"/>
    <w:rsid w:val="007C1D16"/>
    <w:rsid w:val="007C2C3E"/>
    <w:rsid w:val="007C361D"/>
    <w:rsid w:val="007C3880"/>
    <w:rsid w:val="007C3E21"/>
    <w:rsid w:val="007C448A"/>
    <w:rsid w:val="007C449D"/>
    <w:rsid w:val="007C4B72"/>
    <w:rsid w:val="007C4B84"/>
    <w:rsid w:val="007C4C8F"/>
    <w:rsid w:val="007C4EE8"/>
    <w:rsid w:val="007C5B9E"/>
    <w:rsid w:val="007C5D02"/>
    <w:rsid w:val="007C64C1"/>
    <w:rsid w:val="007C650F"/>
    <w:rsid w:val="007C699F"/>
    <w:rsid w:val="007C7195"/>
    <w:rsid w:val="007C7ADE"/>
    <w:rsid w:val="007C7AE4"/>
    <w:rsid w:val="007D004F"/>
    <w:rsid w:val="007D01A2"/>
    <w:rsid w:val="007D0B38"/>
    <w:rsid w:val="007D13BD"/>
    <w:rsid w:val="007D1F30"/>
    <w:rsid w:val="007D4056"/>
    <w:rsid w:val="007D5440"/>
    <w:rsid w:val="007D5E82"/>
    <w:rsid w:val="007D69D3"/>
    <w:rsid w:val="007E1291"/>
    <w:rsid w:val="007E14E3"/>
    <w:rsid w:val="007E17C2"/>
    <w:rsid w:val="007E1EAA"/>
    <w:rsid w:val="007E20B8"/>
    <w:rsid w:val="007E29FD"/>
    <w:rsid w:val="007E2F83"/>
    <w:rsid w:val="007E3207"/>
    <w:rsid w:val="007E41E8"/>
    <w:rsid w:val="007E4282"/>
    <w:rsid w:val="007E4FFC"/>
    <w:rsid w:val="007E5128"/>
    <w:rsid w:val="007E5AD6"/>
    <w:rsid w:val="007E6C9C"/>
    <w:rsid w:val="007E6DE3"/>
    <w:rsid w:val="007F0212"/>
    <w:rsid w:val="007F100A"/>
    <w:rsid w:val="007F1017"/>
    <w:rsid w:val="007F1DE1"/>
    <w:rsid w:val="007F1ED0"/>
    <w:rsid w:val="007F2465"/>
    <w:rsid w:val="007F25B1"/>
    <w:rsid w:val="007F27D5"/>
    <w:rsid w:val="007F27F8"/>
    <w:rsid w:val="007F3B5E"/>
    <w:rsid w:val="007F4A3F"/>
    <w:rsid w:val="007F4A61"/>
    <w:rsid w:val="007F4D5D"/>
    <w:rsid w:val="007F57F7"/>
    <w:rsid w:val="007F61C2"/>
    <w:rsid w:val="007F6381"/>
    <w:rsid w:val="007F6A47"/>
    <w:rsid w:val="007F7833"/>
    <w:rsid w:val="007F7A13"/>
    <w:rsid w:val="008020EC"/>
    <w:rsid w:val="008022A8"/>
    <w:rsid w:val="008025D5"/>
    <w:rsid w:val="00803F88"/>
    <w:rsid w:val="00805142"/>
    <w:rsid w:val="00805ED8"/>
    <w:rsid w:val="00806031"/>
    <w:rsid w:val="00806E93"/>
    <w:rsid w:val="00807A03"/>
    <w:rsid w:val="00807A8B"/>
    <w:rsid w:val="00811383"/>
    <w:rsid w:val="00812149"/>
    <w:rsid w:val="0081245C"/>
    <w:rsid w:val="00812CAC"/>
    <w:rsid w:val="00812DB8"/>
    <w:rsid w:val="00813516"/>
    <w:rsid w:val="00813844"/>
    <w:rsid w:val="008140DA"/>
    <w:rsid w:val="008143FE"/>
    <w:rsid w:val="00814BFD"/>
    <w:rsid w:val="00816098"/>
    <w:rsid w:val="008166EF"/>
    <w:rsid w:val="00817AC8"/>
    <w:rsid w:val="00817F31"/>
    <w:rsid w:val="0082066F"/>
    <w:rsid w:val="00820AED"/>
    <w:rsid w:val="00820C0F"/>
    <w:rsid w:val="00822D1C"/>
    <w:rsid w:val="008242AA"/>
    <w:rsid w:val="00824620"/>
    <w:rsid w:val="00825751"/>
    <w:rsid w:val="00825978"/>
    <w:rsid w:val="00825FCD"/>
    <w:rsid w:val="0082603E"/>
    <w:rsid w:val="008264EB"/>
    <w:rsid w:val="0082693C"/>
    <w:rsid w:val="00826DC1"/>
    <w:rsid w:val="00827248"/>
    <w:rsid w:val="00830396"/>
    <w:rsid w:val="00830539"/>
    <w:rsid w:val="008312D9"/>
    <w:rsid w:val="008322E8"/>
    <w:rsid w:val="0083289A"/>
    <w:rsid w:val="0083308D"/>
    <w:rsid w:val="00833B05"/>
    <w:rsid w:val="0083453B"/>
    <w:rsid w:val="008362B4"/>
    <w:rsid w:val="0083632C"/>
    <w:rsid w:val="008372B4"/>
    <w:rsid w:val="00837488"/>
    <w:rsid w:val="0083762C"/>
    <w:rsid w:val="00837922"/>
    <w:rsid w:val="0084029B"/>
    <w:rsid w:val="0084041C"/>
    <w:rsid w:val="00840602"/>
    <w:rsid w:val="00840CA2"/>
    <w:rsid w:val="0084106B"/>
    <w:rsid w:val="00842971"/>
    <w:rsid w:val="0084299B"/>
    <w:rsid w:val="0084374F"/>
    <w:rsid w:val="00843A8E"/>
    <w:rsid w:val="00844487"/>
    <w:rsid w:val="0084544C"/>
    <w:rsid w:val="00845F7B"/>
    <w:rsid w:val="00846C54"/>
    <w:rsid w:val="0084738A"/>
    <w:rsid w:val="00847DF5"/>
    <w:rsid w:val="00851622"/>
    <w:rsid w:val="0085202C"/>
    <w:rsid w:val="00852D17"/>
    <w:rsid w:val="0085309D"/>
    <w:rsid w:val="008539F9"/>
    <w:rsid w:val="00853F65"/>
    <w:rsid w:val="00855B81"/>
    <w:rsid w:val="00855DD5"/>
    <w:rsid w:val="00856138"/>
    <w:rsid w:val="00856897"/>
    <w:rsid w:val="00856E9A"/>
    <w:rsid w:val="00856F72"/>
    <w:rsid w:val="008573AC"/>
    <w:rsid w:val="0085749D"/>
    <w:rsid w:val="00857B3D"/>
    <w:rsid w:val="0086075D"/>
    <w:rsid w:val="00861628"/>
    <w:rsid w:val="00861CDA"/>
    <w:rsid w:val="00862502"/>
    <w:rsid w:val="0086416F"/>
    <w:rsid w:val="00864247"/>
    <w:rsid w:val="00864DFA"/>
    <w:rsid w:val="008650BC"/>
    <w:rsid w:val="00865C59"/>
    <w:rsid w:val="008660D4"/>
    <w:rsid w:val="00867088"/>
    <w:rsid w:val="008676BA"/>
    <w:rsid w:val="00870915"/>
    <w:rsid w:val="00871AD2"/>
    <w:rsid w:val="00871D10"/>
    <w:rsid w:val="00871FA9"/>
    <w:rsid w:val="00872244"/>
    <w:rsid w:val="008728E9"/>
    <w:rsid w:val="008732DB"/>
    <w:rsid w:val="00873324"/>
    <w:rsid w:val="00873788"/>
    <w:rsid w:val="008741D1"/>
    <w:rsid w:val="0087426D"/>
    <w:rsid w:val="00874D24"/>
    <w:rsid w:val="00875847"/>
    <w:rsid w:val="00876501"/>
    <w:rsid w:val="008766BD"/>
    <w:rsid w:val="00876D38"/>
    <w:rsid w:val="00876F4F"/>
    <w:rsid w:val="00877100"/>
    <w:rsid w:val="0087723B"/>
    <w:rsid w:val="0088002A"/>
    <w:rsid w:val="0088011C"/>
    <w:rsid w:val="00880322"/>
    <w:rsid w:val="008809FF"/>
    <w:rsid w:val="00880B3B"/>
    <w:rsid w:val="00882874"/>
    <w:rsid w:val="008829B0"/>
    <w:rsid w:val="00882E07"/>
    <w:rsid w:val="00883787"/>
    <w:rsid w:val="0088435B"/>
    <w:rsid w:val="00884B95"/>
    <w:rsid w:val="008868A8"/>
    <w:rsid w:val="00886CD2"/>
    <w:rsid w:val="00887A52"/>
    <w:rsid w:val="00890358"/>
    <w:rsid w:val="00890577"/>
    <w:rsid w:val="00892A36"/>
    <w:rsid w:val="00893239"/>
    <w:rsid w:val="00893786"/>
    <w:rsid w:val="00893E9F"/>
    <w:rsid w:val="00894489"/>
    <w:rsid w:val="0089454B"/>
    <w:rsid w:val="00894CC3"/>
    <w:rsid w:val="00895078"/>
    <w:rsid w:val="00895080"/>
    <w:rsid w:val="0089525A"/>
    <w:rsid w:val="00895D8F"/>
    <w:rsid w:val="00895FDA"/>
    <w:rsid w:val="008963A5"/>
    <w:rsid w:val="0089718A"/>
    <w:rsid w:val="008978BE"/>
    <w:rsid w:val="00897D63"/>
    <w:rsid w:val="008A0C30"/>
    <w:rsid w:val="008A0E33"/>
    <w:rsid w:val="008A124C"/>
    <w:rsid w:val="008A1375"/>
    <w:rsid w:val="008A1C6B"/>
    <w:rsid w:val="008A27F5"/>
    <w:rsid w:val="008A2F8F"/>
    <w:rsid w:val="008A3363"/>
    <w:rsid w:val="008A3371"/>
    <w:rsid w:val="008A3C3E"/>
    <w:rsid w:val="008A5939"/>
    <w:rsid w:val="008A5AC2"/>
    <w:rsid w:val="008A6747"/>
    <w:rsid w:val="008A6851"/>
    <w:rsid w:val="008A79DE"/>
    <w:rsid w:val="008B1757"/>
    <w:rsid w:val="008B325C"/>
    <w:rsid w:val="008B37C2"/>
    <w:rsid w:val="008B38DE"/>
    <w:rsid w:val="008B3F5B"/>
    <w:rsid w:val="008B43BC"/>
    <w:rsid w:val="008B48B2"/>
    <w:rsid w:val="008B509D"/>
    <w:rsid w:val="008B5964"/>
    <w:rsid w:val="008B5CB3"/>
    <w:rsid w:val="008B6F9D"/>
    <w:rsid w:val="008B72D5"/>
    <w:rsid w:val="008B7D7E"/>
    <w:rsid w:val="008C0504"/>
    <w:rsid w:val="008C102A"/>
    <w:rsid w:val="008C108A"/>
    <w:rsid w:val="008C2588"/>
    <w:rsid w:val="008C3E9E"/>
    <w:rsid w:val="008C3F4B"/>
    <w:rsid w:val="008C4907"/>
    <w:rsid w:val="008C4F40"/>
    <w:rsid w:val="008C58AD"/>
    <w:rsid w:val="008C738A"/>
    <w:rsid w:val="008C7ECB"/>
    <w:rsid w:val="008D1FE2"/>
    <w:rsid w:val="008D2C23"/>
    <w:rsid w:val="008D2FBF"/>
    <w:rsid w:val="008D33F3"/>
    <w:rsid w:val="008D36B3"/>
    <w:rsid w:val="008D4755"/>
    <w:rsid w:val="008D4C3D"/>
    <w:rsid w:val="008D4C7C"/>
    <w:rsid w:val="008D562F"/>
    <w:rsid w:val="008D5949"/>
    <w:rsid w:val="008D5A63"/>
    <w:rsid w:val="008D5BA0"/>
    <w:rsid w:val="008D5BAD"/>
    <w:rsid w:val="008D78D8"/>
    <w:rsid w:val="008D7A53"/>
    <w:rsid w:val="008D7C78"/>
    <w:rsid w:val="008D7E2D"/>
    <w:rsid w:val="008E0D3C"/>
    <w:rsid w:val="008E1B9E"/>
    <w:rsid w:val="008E1E64"/>
    <w:rsid w:val="008E208E"/>
    <w:rsid w:val="008E23CB"/>
    <w:rsid w:val="008E2B3F"/>
    <w:rsid w:val="008E32E7"/>
    <w:rsid w:val="008E451C"/>
    <w:rsid w:val="008E55AB"/>
    <w:rsid w:val="008E6D0D"/>
    <w:rsid w:val="008E6FF3"/>
    <w:rsid w:val="008E776A"/>
    <w:rsid w:val="008E7E32"/>
    <w:rsid w:val="008F08BB"/>
    <w:rsid w:val="008F120A"/>
    <w:rsid w:val="008F1E26"/>
    <w:rsid w:val="008F235B"/>
    <w:rsid w:val="008F27E0"/>
    <w:rsid w:val="008F2ABE"/>
    <w:rsid w:val="008F48DB"/>
    <w:rsid w:val="008F48EB"/>
    <w:rsid w:val="008F4F0B"/>
    <w:rsid w:val="008F5073"/>
    <w:rsid w:val="008F5A4B"/>
    <w:rsid w:val="008F69EF"/>
    <w:rsid w:val="009014BE"/>
    <w:rsid w:val="009015B4"/>
    <w:rsid w:val="00901E22"/>
    <w:rsid w:val="009046C4"/>
    <w:rsid w:val="00904A5E"/>
    <w:rsid w:val="009062A5"/>
    <w:rsid w:val="00906A05"/>
    <w:rsid w:val="00906DFB"/>
    <w:rsid w:val="0091000D"/>
    <w:rsid w:val="0091022B"/>
    <w:rsid w:val="0091033D"/>
    <w:rsid w:val="00910F0C"/>
    <w:rsid w:val="00911272"/>
    <w:rsid w:val="00911597"/>
    <w:rsid w:val="00912A69"/>
    <w:rsid w:val="009135D6"/>
    <w:rsid w:val="00913CD4"/>
    <w:rsid w:val="00913FDE"/>
    <w:rsid w:val="0091433D"/>
    <w:rsid w:val="009145F6"/>
    <w:rsid w:val="00914C77"/>
    <w:rsid w:val="00916E63"/>
    <w:rsid w:val="00916E69"/>
    <w:rsid w:val="0091768A"/>
    <w:rsid w:val="00917CA6"/>
    <w:rsid w:val="00920528"/>
    <w:rsid w:val="009216A7"/>
    <w:rsid w:val="00921933"/>
    <w:rsid w:val="009225FA"/>
    <w:rsid w:val="009228C1"/>
    <w:rsid w:val="00922EEC"/>
    <w:rsid w:val="00922F83"/>
    <w:rsid w:val="009230FF"/>
    <w:rsid w:val="0092349B"/>
    <w:rsid w:val="0092369B"/>
    <w:rsid w:val="00925C76"/>
    <w:rsid w:val="009262A2"/>
    <w:rsid w:val="009267F6"/>
    <w:rsid w:val="009268D2"/>
    <w:rsid w:val="00927CD3"/>
    <w:rsid w:val="00930194"/>
    <w:rsid w:val="00932635"/>
    <w:rsid w:val="009330DA"/>
    <w:rsid w:val="00933A45"/>
    <w:rsid w:val="00933BA8"/>
    <w:rsid w:val="00933C7D"/>
    <w:rsid w:val="00934170"/>
    <w:rsid w:val="0093470E"/>
    <w:rsid w:val="00934A93"/>
    <w:rsid w:val="00934B25"/>
    <w:rsid w:val="00934F8E"/>
    <w:rsid w:val="00935823"/>
    <w:rsid w:val="00936EE3"/>
    <w:rsid w:val="00937493"/>
    <w:rsid w:val="009376DD"/>
    <w:rsid w:val="00942133"/>
    <w:rsid w:val="00943357"/>
    <w:rsid w:val="009444C6"/>
    <w:rsid w:val="00944765"/>
    <w:rsid w:val="009456D1"/>
    <w:rsid w:val="00945DE2"/>
    <w:rsid w:val="00945FFD"/>
    <w:rsid w:val="00946E7A"/>
    <w:rsid w:val="00947515"/>
    <w:rsid w:val="0095081C"/>
    <w:rsid w:val="009510A2"/>
    <w:rsid w:val="00951FC3"/>
    <w:rsid w:val="00952163"/>
    <w:rsid w:val="009524FB"/>
    <w:rsid w:val="0095302B"/>
    <w:rsid w:val="009531B7"/>
    <w:rsid w:val="00953257"/>
    <w:rsid w:val="009537FB"/>
    <w:rsid w:val="00953C67"/>
    <w:rsid w:val="00953DCA"/>
    <w:rsid w:val="00954111"/>
    <w:rsid w:val="00954A47"/>
    <w:rsid w:val="00954B90"/>
    <w:rsid w:val="00955246"/>
    <w:rsid w:val="0095598F"/>
    <w:rsid w:val="00955F2D"/>
    <w:rsid w:val="00956747"/>
    <w:rsid w:val="00957371"/>
    <w:rsid w:val="00957934"/>
    <w:rsid w:val="009605B3"/>
    <w:rsid w:val="00960669"/>
    <w:rsid w:val="00962AD9"/>
    <w:rsid w:val="00962CB9"/>
    <w:rsid w:val="00962D38"/>
    <w:rsid w:val="00962DC9"/>
    <w:rsid w:val="00963C42"/>
    <w:rsid w:val="00964109"/>
    <w:rsid w:val="00964312"/>
    <w:rsid w:val="009644F0"/>
    <w:rsid w:val="00964F79"/>
    <w:rsid w:val="00965B8A"/>
    <w:rsid w:val="00965D2B"/>
    <w:rsid w:val="00966E28"/>
    <w:rsid w:val="00966E81"/>
    <w:rsid w:val="00966FC1"/>
    <w:rsid w:val="0097167E"/>
    <w:rsid w:val="009717AC"/>
    <w:rsid w:val="00972E83"/>
    <w:rsid w:val="0097465B"/>
    <w:rsid w:val="0097492C"/>
    <w:rsid w:val="00974B4C"/>
    <w:rsid w:val="00976D08"/>
    <w:rsid w:val="009804F5"/>
    <w:rsid w:val="00980A9E"/>
    <w:rsid w:val="00980B82"/>
    <w:rsid w:val="009820C8"/>
    <w:rsid w:val="00982178"/>
    <w:rsid w:val="00982584"/>
    <w:rsid w:val="00982EEA"/>
    <w:rsid w:val="00983904"/>
    <w:rsid w:val="00983DD0"/>
    <w:rsid w:val="00983E57"/>
    <w:rsid w:val="00983FB0"/>
    <w:rsid w:val="009846D9"/>
    <w:rsid w:val="00985298"/>
    <w:rsid w:val="00985926"/>
    <w:rsid w:val="0098675D"/>
    <w:rsid w:val="00986A72"/>
    <w:rsid w:val="00986A95"/>
    <w:rsid w:val="009872DF"/>
    <w:rsid w:val="00990461"/>
    <w:rsid w:val="00990D26"/>
    <w:rsid w:val="009917DD"/>
    <w:rsid w:val="0099265C"/>
    <w:rsid w:val="00993B33"/>
    <w:rsid w:val="00995123"/>
    <w:rsid w:val="0099516C"/>
    <w:rsid w:val="0099577A"/>
    <w:rsid w:val="00995F1F"/>
    <w:rsid w:val="00996B1A"/>
    <w:rsid w:val="00997C26"/>
    <w:rsid w:val="009A0724"/>
    <w:rsid w:val="009A0EFF"/>
    <w:rsid w:val="009A10E9"/>
    <w:rsid w:val="009A2F1C"/>
    <w:rsid w:val="009A344E"/>
    <w:rsid w:val="009A3560"/>
    <w:rsid w:val="009A3C4C"/>
    <w:rsid w:val="009A5743"/>
    <w:rsid w:val="009A72C9"/>
    <w:rsid w:val="009A765D"/>
    <w:rsid w:val="009A7F10"/>
    <w:rsid w:val="009B160C"/>
    <w:rsid w:val="009B21D8"/>
    <w:rsid w:val="009B2961"/>
    <w:rsid w:val="009B309B"/>
    <w:rsid w:val="009B3D0C"/>
    <w:rsid w:val="009B3E26"/>
    <w:rsid w:val="009B4E10"/>
    <w:rsid w:val="009B4E37"/>
    <w:rsid w:val="009B545E"/>
    <w:rsid w:val="009B54A8"/>
    <w:rsid w:val="009B5B96"/>
    <w:rsid w:val="009B7E14"/>
    <w:rsid w:val="009B7EA3"/>
    <w:rsid w:val="009C08DB"/>
    <w:rsid w:val="009C0E06"/>
    <w:rsid w:val="009C1437"/>
    <w:rsid w:val="009C18D1"/>
    <w:rsid w:val="009C1D9C"/>
    <w:rsid w:val="009C311D"/>
    <w:rsid w:val="009C3D1D"/>
    <w:rsid w:val="009C475C"/>
    <w:rsid w:val="009C6CDF"/>
    <w:rsid w:val="009C6CEA"/>
    <w:rsid w:val="009C6F93"/>
    <w:rsid w:val="009C7685"/>
    <w:rsid w:val="009C7B85"/>
    <w:rsid w:val="009C7D1B"/>
    <w:rsid w:val="009C7DD1"/>
    <w:rsid w:val="009D1482"/>
    <w:rsid w:val="009D1710"/>
    <w:rsid w:val="009D1862"/>
    <w:rsid w:val="009D2FB5"/>
    <w:rsid w:val="009D37A4"/>
    <w:rsid w:val="009D43FF"/>
    <w:rsid w:val="009D4FAB"/>
    <w:rsid w:val="009D5275"/>
    <w:rsid w:val="009D5291"/>
    <w:rsid w:val="009D5692"/>
    <w:rsid w:val="009D57A8"/>
    <w:rsid w:val="009D5B91"/>
    <w:rsid w:val="009D6DA6"/>
    <w:rsid w:val="009D792E"/>
    <w:rsid w:val="009D7DC9"/>
    <w:rsid w:val="009E0CD5"/>
    <w:rsid w:val="009E0DFE"/>
    <w:rsid w:val="009E17A1"/>
    <w:rsid w:val="009E1A25"/>
    <w:rsid w:val="009E1DF7"/>
    <w:rsid w:val="009E2017"/>
    <w:rsid w:val="009E44B2"/>
    <w:rsid w:val="009E4C07"/>
    <w:rsid w:val="009E523A"/>
    <w:rsid w:val="009E5797"/>
    <w:rsid w:val="009E5E21"/>
    <w:rsid w:val="009F1415"/>
    <w:rsid w:val="009F1494"/>
    <w:rsid w:val="009F1FD5"/>
    <w:rsid w:val="009F2178"/>
    <w:rsid w:val="009F26AD"/>
    <w:rsid w:val="009F2B22"/>
    <w:rsid w:val="009F53F2"/>
    <w:rsid w:val="009F5519"/>
    <w:rsid w:val="009F6864"/>
    <w:rsid w:val="009F69A7"/>
    <w:rsid w:val="009F6ABD"/>
    <w:rsid w:val="009F6F8F"/>
    <w:rsid w:val="009F7FDE"/>
    <w:rsid w:val="00A00707"/>
    <w:rsid w:val="00A009A4"/>
    <w:rsid w:val="00A00D5F"/>
    <w:rsid w:val="00A0100F"/>
    <w:rsid w:val="00A01184"/>
    <w:rsid w:val="00A01C5D"/>
    <w:rsid w:val="00A034D9"/>
    <w:rsid w:val="00A03D43"/>
    <w:rsid w:val="00A04380"/>
    <w:rsid w:val="00A0455D"/>
    <w:rsid w:val="00A04C68"/>
    <w:rsid w:val="00A05E7A"/>
    <w:rsid w:val="00A06735"/>
    <w:rsid w:val="00A07DEB"/>
    <w:rsid w:val="00A10FBC"/>
    <w:rsid w:val="00A11CD0"/>
    <w:rsid w:val="00A11CDB"/>
    <w:rsid w:val="00A11F10"/>
    <w:rsid w:val="00A12437"/>
    <w:rsid w:val="00A12464"/>
    <w:rsid w:val="00A130F8"/>
    <w:rsid w:val="00A13948"/>
    <w:rsid w:val="00A144F2"/>
    <w:rsid w:val="00A14E14"/>
    <w:rsid w:val="00A1555B"/>
    <w:rsid w:val="00A155C5"/>
    <w:rsid w:val="00A15EF3"/>
    <w:rsid w:val="00A1630D"/>
    <w:rsid w:val="00A167E9"/>
    <w:rsid w:val="00A16AD8"/>
    <w:rsid w:val="00A1796A"/>
    <w:rsid w:val="00A17F91"/>
    <w:rsid w:val="00A218D6"/>
    <w:rsid w:val="00A21CF3"/>
    <w:rsid w:val="00A229CD"/>
    <w:rsid w:val="00A2304B"/>
    <w:rsid w:val="00A23721"/>
    <w:rsid w:val="00A242FB"/>
    <w:rsid w:val="00A2487D"/>
    <w:rsid w:val="00A253EB"/>
    <w:rsid w:val="00A25932"/>
    <w:rsid w:val="00A2640D"/>
    <w:rsid w:val="00A26B57"/>
    <w:rsid w:val="00A278C9"/>
    <w:rsid w:val="00A27AEC"/>
    <w:rsid w:val="00A311D2"/>
    <w:rsid w:val="00A320DB"/>
    <w:rsid w:val="00A322FB"/>
    <w:rsid w:val="00A3272A"/>
    <w:rsid w:val="00A32E85"/>
    <w:rsid w:val="00A336EA"/>
    <w:rsid w:val="00A349CF"/>
    <w:rsid w:val="00A35D16"/>
    <w:rsid w:val="00A363EC"/>
    <w:rsid w:val="00A370BE"/>
    <w:rsid w:val="00A37202"/>
    <w:rsid w:val="00A37384"/>
    <w:rsid w:val="00A37518"/>
    <w:rsid w:val="00A37A52"/>
    <w:rsid w:val="00A37BCD"/>
    <w:rsid w:val="00A42219"/>
    <w:rsid w:val="00A42BFC"/>
    <w:rsid w:val="00A437AE"/>
    <w:rsid w:val="00A43C59"/>
    <w:rsid w:val="00A44A92"/>
    <w:rsid w:val="00A44D84"/>
    <w:rsid w:val="00A47FD2"/>
    <w:rsid w:val="00A503ED"/>
    <w:rsid w:val="00A5055D"/>
    <w:rsid w:val="00A50ECD"/>
    <w:rsid w:val="00A51391"/>
    <w:rsid w:val="00A5183B"/>
    <w:rsid w:val="00A518F3"/>
    <w:rsid w:val="00A5194B"/>
    <w:rsid w:val="00A51C27"/>
    <w:rsid w:val="00A51CA1"/>
    <w:rsid w:val="00A51E18"/>
    <w:rsid w:val="00A523D9"/>
    <w:rsid w:val="00A524F8"/>
    <w:rsid w:val="00A52729"/>
    <w:rsid w:val="00A52C49"/>
    <w:rsid w:val="00A52F65"/>
    <w:rsid w:val="00A53675"/>
    <w:rsid w:val="00A53DEE"/>
    <w:rsid w:val="00A53FDD"/>
    <w:rsid w:val="00A54056"/>
    <w:rsid w:val="00A54545"/>
    <w:rsid w:val="00A55589"/>
    <w:rsid w:val="00A55E52"/>
    <w:rsid w:val="00A561D6"/>
    <w:rsid w:val="00A563DE"/>
    <w:rsid w:val="00A564D7"/>
    <w:rsid w:val="00A56B6A"/>
    <w:rsid w:val="00A578DC"/>
    <w:rsid w:val="00A6102B"/>
    <w:rsid w:val="00A6182C"/>
    <w:rsid w:val="00A6190C"/>
    <w:rsid w:val="00A61C48"/>
    <w:rsid w:val="00A62160"/>
    <w:rsid w:val="00A6253B"/>
    <w:rsid w:val="00A62DDA"/>
    <w:rsid w:val="00A62F53"/>
    <w:rsid w:val="00A63704"/>
    <w:rsid w:val="00A63CFD"/>
    <w:rsid w:val="00A6415F"/>
    <w:rsid w:val="00A64B26"/>
    <w:rsid w:val="00A66FD3"/>
    <w:rsid w:val="00A6725B"/>
    <w:rsid w:val="00A6746B"/>
    <w:rsid w:val="00A6764F"/>
    <w:rsid w:val="00A67958"/>
    <w:rsid w:val="00A70605"/>
    <w:rsid w:val="00A7073F"/>
    <w:rsid w:val="00A70784"/>
    <w:rsid w:val="00A70A74"/>
    <w:rsid w:val="00A72364"/>
    <w:rsid w:val="00A7296E"/>
    <w:rsid w:val="00A73134"/>
    <w:rsid w:val="00A731D5"/>
    <w:rsid w:val="00A7355E"/>
    <w:rsid w:val="00A7359E"/>
    <w:rsid w:val="00A73784"/>
    <w:rsid w:val="00A7399D"/>
    <w:rsid w:val="00A74B93"/>
    <w:rsid w:val="00A752F7"/>
    <w:rsid w:val="00A756C7"/>
    <w:rsid w:val="00A75CF6"/>
    <w:rsid w:val="00A777B2"/>
    <w:rsid w:val="00A777FC"/>
    <w:rsid w:val="00A819B3"/>
    <w:rsid w:val="00A831C4"/>
    <w:rsid w:val="00A83340"/>
    <w:rsid w:val="00A85C86"/>
    <w:rsid w:val="00A862C6"/>
    <w:rsid w:val="00A865E5"/>
    <w:rsid w:val="00A8674F"/>
    <w:rsid w:val="00A86E8B"/>
    <w:rsid w:val="00A87164"/>
    <w:rsid w:val="00A87687"/>
    <w:rsid w:val="00A876AD"/>
    <w:rsid w:val="00A878B6"/>
    <w:rsid w:val="00A87995"/>
    <w:rsid w:val="00A87CF0"/>
    <w:rsid w:val="00A87E66"/>
    <w:rsid w:val="00A91E79"/>
    <w:rsid w:val="00A93072"/>
    <w:rsid w:val="00A934E7"/>
    <w:rsid w:val="00A936AF"/>
    <w:rsid w:val="00A93953"/>
    <w:rsid w:val="00A94B3D"/>
    <w:rsid w:val="00A959D8"/>
    <w:rsid w:val="00A95FB6"/>
    <w:rsid w:val="00A97F40"/>
    <w:rsid w:val="00AA113D"/>
    <w:rsid w:val="00AA11A9"/>
    <w:rsid w:val="00AA1A09"/>
    <w:rsid w:val="00AA2AD0"/>
    <w:rsid w:val="00AA2D7F"/>
    <w:rsid w:val="00AA3BC1"/>
    <w:rsid w:val="00AA5326"/>
    <w:rsid w:val="00AA5E6C"/>
    <w:rsid w:val="00AA5F06"/>
    <w:rsid w:val="00AA614E"/>
    <w:rsid w:val="00AA623C"/>
    <w:rsid w:val="00AA6C7D"/>
    <w:rsid w:val="00AA6F40"/>
    <w:rsid w:val="00AA715A"/>
    <w:rsid w:val="00AA75FE"/>
    <w:rsid w:val="00AA78AF"/>
    <w:rsid w:val="00AA7DEC"/>
    <w:rsid w:val="00AA7FD6"/>
    <w:rsid w:val="00AB042A"/>
    <w:rsid w:val="00AB0D42"/>
    <w:rsid w:val="00AB0DD2"/>
    <w:rsid w:val="00AB107C"/>
    <w:rsid w:val="00AB1183"/>
    <w:rsid w:val="00AB1528"/>
    <w:rsid w:val="00AB17B6"/>
    <w:rsid w:val="00AB1B49"/>
    <w:rsid w:val="00AB1F91"/>
    <w:rsid w:val="00AB24CB"/>
    <w:rsid w:val="00AB2D34"/>
    <w:rsid w:val="00AB301B"/>
    <w:rsid w:val="00AB3430"/>
    <w:rsid w:val="00AB36E8"/>
    <w:rsid w:val="00AB39DD"/>
    <w:rsid w:val="00AB4A18"/>
    <w:rsid w:val="00AB4AD1"/>
    <w:rsid w:val="00AB4E58"/>
    <w:rsid w:val="00AB61AA"/>
    <w:rsid w:val="00AB677F"/>
    <w:rsid w:val="00AB7004"/>
    <w:rsid w:val="00AB7406"/>
    <w:rsid w:val="00AB77C6"/>
    <w:rsid w:val="00AB7A21"/>
    <w:rsid w:val="00AB7CFA"/>
    <w:rsid w:val="00AC0524"/>
    <w:rsid w:val="00AC0663"/>
    <w:rsid w:val="00AC0BD9"/>
    <w:rsid w:val="00AC0F4D"/>
    <w:rsid w:val="00AC1160"/>
    <w:rsid w:val="00AC30EA"/>
    <w:rsid w:val="00AC3C0E"/>
    <w:rsid w:val="00AC3E39"/>
    <w:rsid w:val="00AC3F38"/>
    <w:rsid w:val="00AC49DC"/>
    <w:rsid w:val="00AC4D6D"/>
    <w:rsid w:val="00AC51E2"/>
    <w:rsid w:val="00AC5721"/>
    <w:rsid w:val="00AC588C"/>
    <w:rsid w:val="00AC5906"/>
    <w:rsid w:val="00AC5B48"/>
    <w:rsid w:val="00AC7A04"/>
    <w:rsid w:val="00AC7AF4"/>
    <w:rsid w:val="00AD0363"/>
    <w:rsid w:val="00AD06AE"/>
    <w:rsid w:val="00AD0F54"/>
    <w:rsid w:val="00AD1A4F"/>
    <w:rsid w:val="00AD2B5C"/>
    <w:rsid w:val="00AD340D"/>
    <w:rsid w:val="00AD43A9"/>
    <w:rsid w:val="00AD43D7"/>
    <w:rsid w:val="00AD45F9"/>
    <w:rsid w:val="00AD46B0"/>
    <w:rsid w:val="00AD47EC"/>
    <w:rsid w:val="00AD539E"/>
    <w:rsid w:val="00AD6502"/>
    <w:rsid w:val="00AD7540"/>
    <w:rsid w:val="00AE0A3F"/>
    <w:rsid w:val="00AE1D4E"/>
    <w:rsid w:val="00AE25AB"/>
    <w:rsid w:val="00AE2F10"/>
    <w:rsid w:val="00AE36BC"/>
    <w:rsid w:val="00AE3A0B"/>
    <w:rsid w:val="00AE3E58"/>
    <w:rsid w:val="00AE5FD5"/>
    <w:rsid w:val="00AE615F"/>
    <w:rsid w:val="00AE707C"/>
    <w:rsid w:val="00AE73CF"/>
    <w:rsid w:val="00AE7CE0"/>
    <w:rsid w:val="00AE7EB8"/>
    <w:rsid w:val="00AF1315"/>
    <w:rsid w:val="00AF1852"/>
    <w:rsid w:val="00AF18A8"/>
    <w:rsid w:val="00AF19BF"/>
    <w:rsid w:val="00AF1FD7"/>
    <w:rsid w:val="00AF2DC3"/>
    <w:rsid w:val="00AF2F45"/>
    <w:rsid w:val="00AF3BE7"/>
    <w:rsid w:val="00AF48C0"/>
    <w:rsid w:val="00AF6226"/>
    <w:rsid w:val="00AF62A5"/>
    <w:rsid w:val="00AF651A"/>
    <w:rsid w:val="00AF6897"/>
    <w:rsid w:val="00AF7320"/>
    <w:rsid w:val="00AF73A1"/>
    <w:rsid w:val="00AF7E03"/>
    <w:rsid w:val="00B0323B"/>
    <w:rsid w:val="00B033E5"/>
    <w:rsid w:val="00B03A16"/>
    <w:rsid w:val="00B03A63"/>
    <w:rsid w:val="00B03CB5"/>
    <w:rsid w:val="00B0499A"/>
    <w:rsid w:val="00B0503E"/>
    <w:rsid w:val="00B0636D"/>
    <w:rsid w:val="00B06C3A"/>
    <w:rsid w:val="00B070D5"/>
    <w:rsid w:val="00B0743A"/>
    <w:rsid w:val="00B105CE"/>
    <w:rsid w:val="00B10913"/>
    <w:rsid w:val="00B10CD7"/>
    <w:rsid w:val="00B12433"/>
    <w:rsid w:val="00B13420"/>
    <w:rsid w:val="00B1438B"/>
    <w:rsid w:val="00B14E16"/>
    <w:rsid w:val="00B1535F"/>
    <w:rsid w:val="00B1544E"/>
    <w:rsid w:val="00B1590A"/>
    <w:rsid w:val="00B16BFB"/>
    <w:rsid w:val="00B16E5E"/>
    <w:rsid w:val="00B1726E"/>
    <w:rsid w:val="00B201A4"/>
    <w:rsid w:val="00B2022C"/>
    <w:rsid w:val="00B2099C"/>
    <w:rsid w:val="00B2111B"/>
    <w:rsid w:val="00B213A6"/>
    <w:rsid w:val="00B22C6F"/>
    <w:rsid w:val="00B230BD"/>
    <w:rsid w:val="00B23280"/>
    <w:rsid w:val="00B23552"/>
    <w:rsid w:val="00B24B13"/>
    <w:rsid w:val="00B24DF6"/>
    <w:rsid w:val="00B25024"/>
    <w:rsid w:val="00B25447"/>
    <w:rsid w:val="00B25597"/>
    <w:rsid w:val="00B258A3"/>
    <w:rsid w:val="00B25C5B"/>
    <w:rsid w:val="00B2612B"/>
    <w:rsid w:val="00B2623B"/>
    <w:rsid w:val="00B2636F"/>
    <w:rsid w:val="00B276D1"/>
    <w:rsid w:val="00B2774C"/>
    <w:rsid w:val="00B3019E"/>
    <w:rsid w:val="00B312E2"/>
    <w:rsid w:val="00B31B5A"/>
    <w:rsid w:val="00B33043"/>
    <w:rsid w:val="00B33F49"/>
    <w:rsid w:val="00B34303"/>
    <w:rsid w:val="00B34DA9"/>
    <w:rsid w:val="00B34FE2"/>
    <w:rsid w:val="00B357D8"/>
    <w:rsid w:val="00B35AFB"/>
    <w:rsid w:val="00B36326"/>
    <w:rsid w:val="00B3663E"/>
    <w:rsid w:val="00B37BFC"/>
    <w:rsid w:val="00B40358"/>
    <w:rsid w:val="00B40491"/>
    <w:rsid w:val="00B41614"/>
    <w:rsid w:val="00B42851"/>
    <w:rsid w:val="00B42F80"/>
    <w:rsid w:val="00B435CB"/>
    <w:rsid w:val="00B43AFC"/>
    <w:rsid w:val="00B43EE2"/>
    <w:rsid w:val="00B46447"/>
    <w:rsid w:val="00B46F93"/>
    <w:rsid w:val="00B502CE"/>
    <w:rsid w:val="00B50CCE"/>
    <w:rsid w:val="00B50DB8"/>
    <w:rsid w:val="00B50E0E"/>
    <w:rsid w:val="00B51BD9"/>
    <w:rsid w:val="00B535CD"/>
    <w:rsid w:val="00B53654"/>
    <w:rsid w:val="00B53905"/>
    <w:rsid w:val="00B54B5B"/>
    <w:rsid w:val="00B5562E"/>
    <w:rsid w:val="00B5599F"/>
    <w:rsid w:val="00B55C34"/>
    <w:rsid w:val="00B55FDC"/>
    <w:rsid w:val="00B565BA"/>
    <w:rsid w:val="00B56932"/>
    <w:rsid w:val="00B57000"/>
    <w:rsid w:val="00B57A2D"/>
    <w:rsid w:val="00B60554"/>
    <w:rsid w:val="00B60939"/>
    <w:rsid w:val="00B60AFD"/>
    <w:rsid w:val="00B60D54"/>
    <w:rsid w:val="00B60E2E"/>
    <w:rsid w:val="00B61FFE"/>
    <w:rsid w:val="00B62330"/>
    <w:rsid w:val="00B62715"/>
    <w:rsid w:val="00B6280B"/>
    <w:rsid w:val="00B62FB0"/>
    <w:rsid w:val="00B63C87"/>
    <w:rsid w:val="00B6426E"/>
    <w:rsid w:val="00B6442C"/>
    <w:rsid w:val="00B64907"/>
    <w:rsid w:val="00B649CC"/>
    <w:rsid w:val="00B66285"/>
    <w:rsid w:val="00B662F1"/>
    <w:rsid w:val="00B669D0"/>
    <w:rsid w:val="00B66A7D"/>
    <w:rsid w:val="00B7001D"/>
    <w:rsid w:val="00B70188"/>
    <w:rsid w:val="00B70F62"/>
    <w:rsid w:val="00B715A4"/>
    <w:rsid w:val="00B71CA2"/>
    <w:rsid w:val="00B71DC3"/>
    <w:rsid w:val="00B72160"/>
    <w:rsid w:val="00B7307B"/>
    <w:rsid w:val="00B7448D"/>
    <w:rsid w:val="00B768B6"/>
    <w:rsid w:val="00B76A6B"/>
    <w:rsid w:val="00B77D80"/>
    <w:rsid w:val="00B807A8"/>
    <w:rsid w:val="00B80A9C"/>
    <w:rsid w:val="00B814AA"/>
    <w:rsid w:val="00B8150E"/>
    <w:rsid w:val="00B817B7"/>
    <w:rsid w:val="00B818A4"/>
    <w:rsid w:val="00B819AF"/>
    <w:rsid w:val="00B82884"/>
    <w:rsid w:val="00B82A14"/>
    <w:rsid w:val="00B82E98"/>
    <w:rsid w:val="00B82F63"/>
    <w:rsid w:val="00B8398D"/>
    <w:rsid w:val="00B83E3E"/>
    <w:rsid w:val="00B84117"/>
    <w:rsid w:val="00B84727"/>
    <w:rsid w:val="00B84C9A"/>
    <w:rsid w:val="00B85AA2"/>
    <w:rsid w:val="00B86282"/>
    <w:rsid w:val="00B8649C"/>
    <w:rsid w:val="00B86AB4"/>
    <w:rsid w:val="00B86F0D"/>
    <w:rsid w:val="00B8705B"/>
    <w:rsid w:val="00B874D6"/>
    <w:rsid w:val="00B8789D"/>
    <w:rsid w:val="00B87F0A"/>
    <w:rsid w:val="00B9011D"/>
    <w:rsid w:val="00B90CCA"/>
    <w:rsid w:val="00B9101B"/>
    <w:rsid w:val="00B910E3"/>
    <w:rsid w:val="00B91EB9"/>
    <w:rsid w:val="00B91F7E"/>
    <w:rsid w:val="00B9210B"/>
    <w:rsid w:val="00B924ED"/>
    <w:rsid w:val="00B926BF"/>
    <w:rsid w:val="00B92D0B"/>
    <w:rsid w:val="00B92FA3"/>
    <w:rsid w:val="00B9319C"/>
    <w:rsid w:val="00B9467D"/>
    <w:rsid w:val="00B947DF"/>
    <w:rsid w:val="00B94945"/>
    <w:rsid w:val="00B94B64"/>
    <w:rsid w:val="00B94B6B"/>
    <w:rsid w:val="00B94C33"/>
    <w:rsid w:val="00B95903"/>
    <w:rsid w:val="00B95969"/>
    <w:rsid w:val="00B95A3B"/>
    <w:rsid w:val="00B9627F"/>
    <w:rsid w:val="00B96EF9"/>
    <w:rsid w:val="00B973AD"/>
    <w:rsid w:val="00BA0D7C"/>
    <w:rsid w:val="00BA1380"/>
    <w:rsid w:val="00BA29CD"/>
    <w:rsid w:val="00BA2C2A"/>
    <w:rsid w:val="00BA322D"/>
    <w:rsid w:val="00BA3645"/>
    <w:rsid w:val="00BA434A"/>
    <w:rsid w:val="00BA4B97"/>
    <w:rsid w:val="00BA51EB"/>
    <w:rsid w:val="00BA69FA"/>
    <w:rsid w:val="00BB0BDD"/>
    <w:rsid w:val="00BB1FE4"/>
    <w:rsid w:val="00BB2160"/>
    <w:rsid w:val="00BB29D9"/>
    <w:rsid w:val="00BB2A73"/>
    <w:rsid w:val="00BB2B0D"/>
    <w:rsid w:val="00BB4ACC"/>
    <w:rsid w:val="00BB5AD2"/>
    <w:rsid w:val="00BB694A"/>
    <w:rsid w:val="00BB703E"/>
    <w:rsid w:val="00BB7405"/>
    <w:rsid w:val="00BC0CEA"/>
    <w:rsid w:val="00BC135B"/>
    <w:rsid w:val="00BC3631"/>
    <w:rsid w:val="00BC4023"/>
    <w:rsid w:val="00BC43E5"/>
    <w:rsid w:val="00BC4C43"/>
    <w:rsid w:val="00BC7885"/>
    <w:rsid w:val="00BC7D74"/>
    <w:rsid w:val="00BC7E7B"/>
    <w:rsid w:val="00BD06EF"/>
    <w:rsid w:val="00BD15E3"/>
    <w:rsid w:val="00BD24D7"/>
    <w:rsid w:val="00BD2611"/>
    <w:rsid w:val="00BD2A4F"/>
    <w:rsid w:val="00BD3215"/>
    <w:rsid w:val="00BD3F28"/>
    <w:rsid w:val="00BD4239"/>
    <w:rsid w:val="00BD4629"/>
    <w:rsid w:val="00BD4B3D"/>
    <w:rsid w:val="00BD4FCA"/>
    <w:rsid w:val="00BD60FD"/>
    <w:rsid w:val="00BD68A3"/>
    <w:rsid w:val="00BD6938"/>
    <w:rsid w:val="00BD6CF3"/>
    <w:rsid w:val="00BD7320"/>
    <w:rsid w:val="00BD7B8D"/>
    <w:rsid w:val="00BE1293"/>
    <w:rsid w:val="00BE16F3"/>
    <w:rsid w:val="00BE17FF"/>
    <w:rsid w:val="00BE2023"/>
    <w:rsid w:val="00BE20AE"/>
    <w:rsid w:val="00BE2180"/>
    <w:rsid w:val="00BE21F2"/>
    <w:rsid w:val="00BE2BC9"/>
    <w:rsid w:val="00BE39D4"/>
    <w:rsid w:val="00BE4275"/>
    <w:rsid w:val="00BE4475"/>
    <w:rsid w:val="00BE4CE2"/>
    <w:rsid w:val="00BE612A"/>
    <w:rsid w:val="00BE681E"/>
    <w:rsid w:val="00BE76A6"/>
    <w:rsid w:val="00BE77C5"/>
    <w:rsid w:val="00BF00E1"/>
    <w:rsid w:val="00BF02F6"/>
    <w:rsid w:val="00BF0DD4"/>
    <w:rsid w:val="00BF0F8E"/>
    <w:rsid w:val="00BF0F95"/>
    <w:rsid w:val="00BF14A0"/>
    <w:rsid w:val="00BF1B88"/>
    <w:rsid w:val="00BF2433"/>
    <w:rsid w:val="00BF430D"/>
    <w:rsid w:val="00BF61C9"/>
    <w:rsid w:val="00BF6C94"/>
    <w:rsid w:val="00BF7905"/>
    <w:rsid w:val="00BF792D"/>
    <w:rsid w:val="00C002DD"/>
    <w:rsid w:val="00C00424"/>
    <w:rsid w:val="00C007FA"/>
    <w:rsid w:val="00C01B27"/>
    <w:rsid w:val="00C01E4C"/>
    <w:rsid w:val="00C036E4"/>
    <w:rsid w:val="00C03A80"/>
    <w:rsid w:val="00C04C1C"/>
    <w:rsid w:val="00C04FFC"/>
    <w:rsid w:val="00C05781"/>
    <w:rsid w:val="00C05F90"/>
    <w:rsid w:val="00C0602D"/>
    <w:rsid w:val="00C06381"/>
    <w:rsid w:val="00C06BBE"/>
    <w:rsid w:val="00C06E11"/>
    <w:rsid w:val="00C076A0"/>
    <w:rsid w:val="00C07811"/>
    <w:rsid w:val="00C07CF7"/>
    <w:rsid w:val="00C10F9B"/>
    <w:rsid w:val="00C12C14"/>
    <w:rsid w:val="00C133EF"/>
    <w:rsid w:val="00C142C2"/>
    <w:rsid w:val="00C1526F"/>
    <w:rsid w:val="00C153D1"/>
    <w:rsid w:val="00C16099"/>
    <w:rsid w:val="00C16888"/>
    <w:rsid w:val="00C16DA0"/>
    <w:rsid w:val="00C17122"/>
    <w:rsid w:val="00C173D9"/>
    <w:rsid w:val="00C200AA"/>
    <w:rsid w:val="00C20665"/>
    <w:rsid w:val="00C2069E"/>
    <w:rsid w:val="00C21844"/>
    <w:rsid w:val="00C21C70"/>
    <w:rsid w:val="00C2214C"/>
    <w:rsid w:val="00C237ED"/>
    <w:rsid w:val="00C24632"/>
    <w:rsid w:val="00C248D9"/>
    <w:rsid w:val="00C24F4D"/>
    <w:rsid w:val="00C253C2"/>
    <w:rsid w:val="00C25418"/>
    <w:rsid w:val="00C25A3B"/>
    <w:rsid w:val="00C25D9C"/>
    <w:rsid w:val="00C26A9A"/>
    <w:rsid w:val="00C26E04"/>
    <w:rsid w:val="00C2778B"/>
    <w:rsid w:val="00C27A7B"/>
    <w:rsid w:val="00C30B6E"/>
    <w:rsid w:val="00C30D59"/>
    <w:rsid w:val="00C3119B"/>
    <w:rsid w:val="00C31649"/>
    <w:rsid w:val="00C31726"/>
    <w:rsid w:val="00C32164"/>
    <w:rsid w:val="00C32450"/>
    <w:rsid w:val="00C33CE0"/>
    <w:rsid w:val="00C347F1"/>
    <w:rsid w:val="00C352B6"/>
    <w:rsid w:val="00C35C02"/>
    <w:rsid w:val="00C35CEE"/>
    <w:rsid w:val="00C35E5E"/>
    <w:rsid w:val="00C36251"/>
    <w:rsid w:val="00C37020"/>
    <w:rsid w:val="00C37497"/>
    <w:rsid w:val="00C37FA7"/>
    <w:rsid w:val="00C40020"/>
    <w:rsid w:val="00C40276"/>
    <w:rsid w:val="00C40385"/>
    <w:rsid w:val="00C40B44"/>
    <w:rsid w:val="00C43FE6"/>
    <w:rsid w:val="00C44434"/>
    <w:rsid w:val="00C446A6"/>
    <w:rsid w:val="00C450A8"/>
    <w:rsid w:val="00C45157"/>
    <w:rsid w:val="00C45CA8"/>
    <w:rsid w:val="00C461D6"/>
    <w:rsid w:val="00C46386"/>
    <w:rsid w:val="00C46BAD"/>
    <w:rsid w:val="00C475AA"/>
    <w:rsid w:val="00C50155"/>
    <w:rsid w:val="00C50D14"/>
    <w:rsid w:val="00C50FD1"/>
    <w:rsid w:val="00C51281"/>
    <w:rsid w:val="00C51A60"/>
    <w:rsid w:val="00C52872"/>
    <w:rsid w:val="00C530FA"/>
    <w:rsid w:val="00C554CF"/>
    <w:rsid w:val="00C560CA"/>
    <w:rsid w:val="00C561E3"/>
    <w:rsid w:val="00C563AF"/>
    <w:rsid w:val="00C577C2"/>
    <w:rsid w:val="00C60D73"/>
    <w:rsid w:val="00C62D40"/>
    <w:rsid w:val="00C630F6"/>
    <w:rsid w:val="00C64B20"/>
    <w:rsid w:val="00C653EC"/>
    <w:rsid w:val="00C65576"/>
    <w:rsid w:val="00C65BB4"/>
    <w:rsid w:val="00C66165"/>
    <w:rsid w:val="00C66660"/>
    <w:rsid w:val="00C67122"/>
    <w:rsid w:val="00C711FA"/>
    <w:rsid w:val="00C7151A"/>
    <w:rsid w:val="00C71F60"/>
    <w:rsid w:val="00C72241"/>
    <w:rsid w:val="00C73217"/>
    <w:rsid w:val="00C73C38"/>
    <w:rsid w:val="00C73EF2"/>
    <w:rsid w:val="00C740D9"/>
    <w:rsid w:val="00C7439D"/>
    <w:rsid w:val="00C7475B"/>
    <w:rsid w:val="00C74817"/>
    <w:rsid w:val="00C74D42"/>
    <w:rsid w:val="00C750C8"/>
    <w:rsid w:val="00C75361"/>
    <w:rsid w:val="00C7560F"/>
    <w:rsid w:val="00C75A15"/>
    <w:rsid w:val="00C75EF1"/>
    <w:rsid w:val="00C7673A"/>
    <w:rsid w:val="00C80A0E"/>
    <w:rsid w:val="00C80BB6"/>
    <w:rsid w:val="00C8153D"/>
    <w:rsid w:val="00C81598"/>
    <w:rsid w:val="00C82033"/>
    <w:rsid w:val="00C8213F"/>
    <w:rsid w:val="00C829F8"/>
    <w:rsid w:val="00C82C08"/>
    <w:rsid w:val="00C83193"/>
    <w:rsid w:val="00C84A9B"/>
    <w:rsid w:val="00C8600E"/>
    <w:rsid w:val="00C860F6"/>
    <w:rsid w:val="00C8797A"/>
    <w:rsid w:val="00C900B8"/>
    <w:rsid w:val="00C9023A"/>
    <w:rsid w:val="00C906CD"/>
    <w:rsid w:val="00C90B9F"/>
    <w:rsid w:val="00C90C71"/>
    <w:rsid w:val="00C91E9E"/>
    <w:rsid w:val="00C920E3"/>
    <w:rsid w:val="00C922C1"/>
    <w:rsid w:val="00C92C5F"/>
    <w:rsid w:val="00C92FAB"/>
    <w:rsid w:val="00C930D8"/>
    <w:rsid w:val="00C931CF"/>
    <w:rsid w:val="00C938CF"/>
    <w:rsid w:val="00C94385"/>
    <w:rsid w:val="00C9624D"/>
    <w:rsid w:val="00C969DA"/>
    <w:rsid w:val="00C97A7F"/>
    <w:rsid w:val="00CA0FD8"/>
    <w:rsid w:val="00CA1323"/>
    <w:rsid w:val="00CA1688"/>
    <w:rsid w:val="00CA1AF6"/>
    <w:rsid w:val="00CA21D0"/>
    <w:rsid w:val="00CA2597"/>
    <w:rsid w:val="00CA2C77"/>
    <w:rsid w:val="00CA2E17"/>
    <w:rsid w:val="00CA40B3"/>
    <w:rsid w:val="00CA444F"/>
    <w:rsid w:val="00CA46E0"/>
    <w:rsid w:val="00CA49C7"/>
    <w:rsid w:val="00CA5245"/>
    <w:rsid w:val="00CA67BE"/>
    <w:rsid w:val="00CA6F80"/>
    <w:rsid w:val="00CA71F4"/>
    <w:rsid w:val="00CA7B09"/>
    <w:rsid w:val="00CA7CBB"/>
    <w:rsid w:val="00CB02E1"/>
    <w:rsid w:val="00CB04CE"/>
    <w:rsid w:val="00CB07FD"/>
    <w:rsid w:val="00CB131E"/>
    <w:rsid w:val="00CB2918"/>
    <w:rsid w:val="00CB2ACD"/>
    <w:rsid w:val="00CB2B5E"/>
    <w:rsid w:val="00CB2E6D"/>
    <w:rsid w:val="00CB2F2A"/>
    <w:rsid w:val="00CB3160"/>
    <w:rsid w:val="00CB3A26"/>
    <w:rsid w:val="00CB434A"/>
    <w:rsid w:val="00CB4F5B"/>
    <w:rsid w:val="00CB5369"/>
    <w:rsid w:val="00CB545B"/>
    <w:rsid w:val="00CB5528"/>
    <w:rsid w:val="00CB56E3"/>
    <w:rsid w:val="00CB5827"/>
    <w:rsid w:val="00CB5AD7"/>
    <w:rsid w:val="00CB5B1A"/>
    <w:rsid w:val="00CB610F"/>
    <w:rsid w:val="00CB6B22"/>
    <w:rsid w:val="00CB7239"/>
    <w:rsid w:val="00CB7F5F"/>
    <w:rsid w:val="00CC0117"/>
    <w:rsid w:val="00CC097D"/>
    <w:rsid w:val="00CC1B39"/>
    <w:rsid w:val="00CC2AFB"/>
    <w:rsid w:val="00CC2E3B"/>
    <w:rsid w:val="00CC3164"/>
    <w:rsid w:val="00CC4D8F"/>
    <w:rsid w:val="00CC5591"/>
    <w:rsid w:val="00CC58B8"/>
    <w:rsid w:val="00CC5F5B"/>
    <w:rsid w:val="00CC6470"/>
    <w:rsid w:val="00CC70A4"/>
    <w:rsid w:val="00CC7A27"/>
    <w:rsid w:val="00CD04DB"/>
    <w:rsid w:val="00CD0E50"/>
    <w:rsid w:val="00CD22B6"/>
    <w:rsid w:val="00CD2809"/>
    <w:rsid w:val="00CD37D1"/>
    <w:rsid w:val="00CD41F6"/>
    <w:rsid w:val="00CD549E"/>
    <w:rsid w:val="00CD5760"/>
    <w:rsid w:val="00CD5856"/>
    <w:rsid w:val="00CD5E94"/>
    <w:rsid w:val="00CD6ADC"/>
    <w:rsid w:val="00CD6E8C"/>
    <w:rsid w:val="00CD748E"/>
    <w:rsid w:val="00CD77C7"/>
    <w:rsid w:val="00CD7A34"/>
    <w:rsid w:val="00CE0F39"/>
    <w:rsid w:val="00CE1073"/>
    <w:rsid w:val="00CE1772"/>
    <w:rsid w:val="00CE2DD8"/>
    <w:rsid w:val="00CE3147"/>
    <w:rsid w:val="00CE3B8F"/>
    <w:rsid w:val="00CE5954"/>
    <w:rsid w:val="00CE5E05"/>
    <w:rsid w:val="00CE6274"/>
    <w:rsid w:val="00CE6382"/>
    <w:rsid w:val="00CE6440"/>
    <w:rsid w:val="00CE6CAB"/>
    <w:rsid w:val="00CE6EFB"/>
    <w:rsid w:val="00CE7114"/>
    <w:rsid w:val="00CF057B"/>
    <w:rsid w:val="00CF069A"/>
    <w:rsid w:val="00CF260C"/>
    <w:rsid w:val="00CF2783"/>
    <w:rsid w:val="00CF2A58"/>
    <w:rsid w:val="00CF2B8D"/>
    <w:rsid w:val="00CF3351"/>
    <w:rsid w:val="00CF3585"/>
    <w:rsid w:val="00CF36FD"/>
    <w:rsid w:val="00CF456B"/>
    <w:rsid w:val="00CF56B3"/>
    <w:rsid w:val="00CF5A22"/>
    <w:rsid w:val="00CF617A"/>
    <w:rsid w:val="00CF6F4A"/>
    <w:rsid w:val="00CF7258"/>
    <w:rsid w:val="00CF73AF"/>
    <w:rsid w:val="00CF7D1F"/>
    <w:rsid w:val="00D00380"/>
    <w:rsid w:val="00D00A33"/>
    <w:rsid w:val="00D0192D"/>
    <w:rsid w:val="00D0262E"/>
    <w:rsid w:val="00D04B94"/>
    <w:rsid w:val="00D05179"/>
    <w:rsid w:val="00D061AC"/>
    <w:rsid w:val="00D062D5"/>
    <w:rsid w:val="00D0656B"/>
    <w:rsid w:val="00D06809"/>
    <w:rsid w:val="00D06A5D"/>
    <w:rsid w:val="00D06DBC"/>
    <w:rsid w:val="00D06E93"/>
    <w:rsid w:val="00D070D5"/>
    <w:rsid w:val="00D078AF"/>
    <w:rsid w:val="00D1076C"/>
    <w:rsid w:val="00D1083C"/>
    <w:rsid w:val="00D10855"/>
    <w:rsid w:val="00D10E84"/>
    <w:rsid w:val="00D110BD"/>
    <w:rsid w:val="00D11164"/>
    <w:rsid w:val="00D11262"/>
    <w:rsid w:val="00D11A3C"/>
    <w:rsid w:val="00D12C7E"/>
    <w:rsid w:val="00D13675"/>
    <w:rsid w:val="00D13CEA"/>
    <w:rsid w:val="00D140F9"/>
    <w:rsid w:val="00D141E1"/>
    <w:rsid w:val="00D141F6"/>
    <w:rsid w:val="00D1528B"/>
    <w:rsid w:val="00D1710A"/>
    <w:rsid w:val="00D171A1"/>
    <w:rsid w:val="00D17D6C"/>
    <w:rsid w:val="00D215AB"/>
    <w:rsid w:val="00D21F1E"/>
    <w:rsid w:val="00D21F26"/>
    <w:rsid w:val="00D2244F"/>
    <w:rsid w:val="00D230AB"/>
    <w:rsid w:val="00D2338B"/>
    <w:rsid w:val="00D23D82"/>
    <w:rsid w:val="00D23F6E"/>
    <w:rsid w:val="00D2400F"/>
    <w:rsid w:val="00D24036"/>
    <w:rsid w:val="00D243A1"/>
    <w:rsid w:val="00D2482A"/>
    <w:rsid w:val="00D24923"/>
    <w:rsid w:val="00D25AF7"/>
    <w:rsid w:val="00D25FE3"/>
    <w:rsid w:val="00D26CB6"/>
    <w:rsid w:val="00D2754D"/>
    <w:rsid w:val="00D27B27"/>
    <w:rsid w:val="00D27F70"/>
    <w:rsid w:val="00D30181"/>
    <w:rsid w:val="00D30650"/>
    <w:rsid w:val="00D3074E"/>
    <w:rsid w:val="00D31232"/>
    <w:rsid w:val="00D313CE"/>
    <w:rsid w:val="00D318AD"/>
    <w:rsid w:val="00D31E96"/>
    <w:rsid w:val="00D32F78"/>
    <w:rsid w:val="00D32FF9"/>
    <w:rsid w:val="00D33698"/>
    <w:rsid w:val="00D33BE9"/>
    <w:rsid w:val="00D33C5C"/>
    <w:rsid w:val="00D33D3C"/>
    <w:rsid w:val="00D3437F"/>
    <w:rsid w:val="00D347A7"/>
    <w:rsid w:val="00D351E5"/>
    <w:rsid w:val="00D353D2"/>
    <w:rsid w:val="00D357FF"/>
    <w:rsid w:val="00D35FC0"/>
    <w:rsid w:val="00D36877"/>
    <w:rsid w:val="00D36914"/>
    <w:rsid w:val="00D400B6"/>
    <w:rsid w:val="00D40916"/>
    <w:rsid w:val="00D40A05"/>
    <w:rsid w:val="00D41A23"/>
    <w:rsid w:val="00D4226E"/>
    <w:rsid w:val="00D424C7"/>
    <w:rsid w:val="00D42940"/>
    <w:rsid w:val="00D43B2A"/>
    <w:rsid w:val="00D43B94"/>
    <w:rsid w:val="00D43E28"/>
    <w:rsid w:val="00D44144"/>
    <w:rsid w:val="00D445D9"/>
    <w:rsid w:val="00D44910"/>
    <w:rsid w:val="00D44E7B"/>
    <w:rsid w:val="00D455CF"/>
    <w:rsid w:val="00D45C3D"/>
    <w:rsid w:val="00D4626C"/>
    <w:rsid w:val="00D47575"/>
    <w:rsid w:val="00D47B8C"/>
    <w:rsid w:val="00D47F3E"/>
    <w:rsid w:val="00D5051E"/>
    <w:rsid w:val="00D50E61"/>
    <w:rsid w:val="00D52DFC"/>
    <w:rsid w:val="00D5353D"/>
    <w:rsid w:val="00D536BB"/>
    <w:rsid w:val="00D53C05"/>
    <w:rsid w:val="00D53E7D"/>
    <w:rsid w:val="00D54BD5"/>
    <w:rsid w:val="00D55603"/>
    <w:rsid w:val="00D55666"/>
    <w:rsid w:val="00D55CFD"/>
    <w:rsid w:val="00D55E38"/>
    <w:rsid w:val="00D57D25"/>
    <w:rsid w:val="00D60F2D"/>
    <w:rsid w:val="00D62F14"/>
    <w:rsid w:val="00D633B7"/>
    <w:rsid w:val="00D65992"/>
    <w:rsid w:val="00D6685F"/>
    <w:rsid w:val="00D67C41"/>
    <w:rsid w:val="00D70F16"/>
    <w:rsid w:val="00D714BC"/>
    <w:rsid w:val="00D7183C"/>
    <w:rsid w:val="00D7273A"/>
    <w:rsid w:val="00D74CC4"/>
    <w:rsid w:val="00D74DF6"/>
    <w:rsid w:val="00D75E74"/>
    <w:rsid w:val="00D767E4"/>
    <w:rsid w:val="00D76A44"/>
    <w:rsid w:val="00D778A3"/>
    <w:rsid w:val="00D80BF9"/>
    <w:rsid w:val="00D815EF"/>
    <w:rsid w:val="00D81BDC"/>
    <w:rsid w:val="00D82CDF"/>
    <w:rsid w:val="00D85592"/>
    <w:rsid w:val="00D85762"/>
    <w:rsid w:val="00D8606C"/>
    <w:rsid w:val="00D86FA0"/>
    <w:rsid w:val="00D87A19"/>
    <w:rsid w:val="00D90778"/>
    <w:rsid w:val="00D91664"/>
    <w:rsid w:val="00D91923"/>
    <w:rsid w:val="00D932EF"/>
    <w:rsid w:val="00D93753"/>
    <w:rsid w:val="00D93CF4"/>
    <w:rsid w:val="00D94657"/>
    <w:rsid w:val="00D96793"/>
    <w:rsid w:val="00DA124C"/>
    <w:rsid w:val="00DA1E08"/>
    <w:rsid w:val="00DA1E72"/>
    <w:rsid w:val="00DA3167"/>
    <w:rsid w:val="00DA342C"/>
    <w:rsid w:val="00DA4530"/>
    <w:rsid w:val="00DA4DC3"/>
    <w:rsid w:val="00DA51E0"/>
    <w:rsid w:val="00DA52C9"/>
    <w:rsid w:val="00DA77A5"/>
    <w:rsid w:val="00DA7B4B"/>
    <w:rsid w:val="00DB02E5"/>
    <w:rsid w:val="00DB0503"/>
    <w:rsid w:val="00DB159D"/>
    <w:rsid w:val="00DB2682"/>
    <w:rsid w:val="00DB3300"/>
    <w:rsid w:val="00DB34F6"/>
    <w:rsid w:val="00DB3805"/>
    <w:rsid w:val="00DB484F"/>
    <w:rsid w:val="00DB6EC3"/>
    <w:rsid w:val="00DB77DC"/>
    <w:rsid w:val="00DC02C8"/>
    <w:rsid w:val="00DC04F6"/>
    <w:rsid w:val="00DC29B2"/>
    <w:rsid w:val="00DC2E89"/>
    <w:rsid w:val="00DC333F"/>
    <w:rsid w:val="00DC3B79"/>
    <w:rsid w:val="00DC3C57"/>
    <w:rsid w:val="00DC42F8"/>
    <w:rsid w:val="00DC4BFC"/>
    <w:rsid w:val="00DC53B0"/>
    <w:rsid w:val="00DC5501"/>
    <w:rsid w:val="00DC59A4"/>
    <w:rsid w:val="00DC5EC3"/>
    <w:rsid w:val="00DC6251"/>
    <w:rsid w:val="00DC72CF"/>
    <w:rsid w:val="00DC72EC"/>
    <w:rsid w:val="00DD06CC"/>
    <w:rsid w:val="00DD0799"/>
    <w:rsid w:val="00DD199D"/>
    <w:rsid w:val="00DD1A3D"/>
    <w:rsid w:val="00DD1ED5"/>
    <w:rsid w:val="00DD273C"/>
    <w:rsid w:val="00DD2FE1"/>
    <w:rsid w:val="00DD3C50"/>
    <w:rsid w:val="00DD3F28"/>
    <w:rsid w:val="00DD4537"/>
    <w:rsid w:val="00DD46F0"/>
    <w:rsid w:val="00DD4B95"/>
    <w:rsid w:val="00DD4E15"/>
    <w:rsid w:val="00DD75D1"/>
    <w:rsid w:val="00DD7664"/>
    <w:rsid w:val="00DE1146"/>
    <w:rsid w:val="00DE1DFE"/>
    <w:rsid w:val="00DE2309"/>
    <w:rsid w:val="00DE3138"/>
    <w:rsid w:val="00DE3337"/>
    <w:rsid w:val="00DE3778"/>
    <w:rsid w:val="00DE3788"/>
    <w:rsid w:val="00DE37F8"/>
    <w:rsid w:val="00DE3B72"/>
    <w:rsid w:val="00DE4FCB"/>
    <w:rsid w:val="00DE5784"/>
    <w:rsid w:val="00DE6015"/>
    <w:rsid w:val="00DE625F"/>
    <w:rsid w:val="00DE6544"/>
    <w:rsid w:val="00DE676F"/>
    <w:rsid w:val="00DE6E32"/>
    <w:rsid w:val="00DE6EAA"/>
    <w:rsid w:val="00DE71D6"/>
    <w:rsid w:val="00DE7832"/>
    <w:rsid w:val="00DE7B53"/>
    <w:rsid w:val="00DF18FC"/>
    <w:rsid w:val="00DF1A7D"/>
    <w:rsid w:val="00DF21CF"/>
    <w:rsid w:val="00DF2A70"/>
    <w:rsid w:val="00DF4F04"/>
    <w:rsid w:val="00DF5D2B"/>
    <w:rsid w:val="00DF5F4D"/>
    <w:rsid w:val="00DF5FF5"/>
    <w:rsid w:val="00DF6F96"/>
    <w:rsid w:val="00E00C1B"/>
    <w:rsid w:val="00E00E8E"/>
    <w:rsid w:val="00E03518"/>
    <w:rsid w:val="00E05630"/>
    <w:rsid w:val="00E058BD"/>
    <w:rsid w:val="00E06416"/>
    <w:rsid w:val="00E069F8"/>
    <w:rsid w:val="00E06DBB"/>
    <w:rsid w:val="00E06DD7"/>
    <w:rsid w:val="00E07F2A"/>
    <w:rsid w:val="00E07F98"/>
    <w:rsid w:val="00E10149"/>
    <w:rsid w:val="00E10267"/>
    <w:rsid w:val="00E1123D"/>
    <w:rsid w:val="00E11499"/>
    <w:rsid w:val="00E11817"/>
    <w:rsid w:val="00E12939"/>
    <w:rsid w:val="00E12D1B"/>
    <w:rsid w:val="00E1316C"/>
    <w:rsid w:val="00E1580B"/>
    <w:rsid w:val="00E158B0"/>
    <w:rsid w:val="00E16372"/>
    <w:rsid w:val="00E16653"/>
    <w:rsid w:val="00E16DFE"/>
    <w:rsid w:val="00E174C0"/>
    <w:rsid w:val="00E2057B"/>
    <w:rsid w:val="00E20E4D"/>
    <w:rsid w:val="00E20ED6"/>
    <w:rsid w:val="00E211CB"/>
    <w:rsid w:val="00E21358"/>
    <w:rsid w:val="00E2249B"/>
    <w:rsid w:val="00E224AA"/>
    <w:rsid w:val="00E22A0D"/>
    <w:rsid w:val="00E255CD"/>
    <w:rsid w:val="00E25BDB"/>
    <w:rsid w:val="00E26324"/>
    <w:rsid w:val="00E26CBC"/>
    <w:rsid w:val="00E26E09"/>
    <w:rsid w:val="00E27021"/>
    <w:rsid w:val="00E273C9"/>
    <w:rsid w:val="00E274EF"/>
    <w:rsid w:val="00E2771E"/>
    <w:rsid w:val="00E27BE0"/>
    <w:rsid w:val="00E30B08"/>
    <w:rsid w:val="00E316E8"/>
    <w:rsid w:val="00E3232F"/>
    <w:rsid w:val="00E3255B"/>
    <w:rsid w:val="00E32699"/>
    <w:rsid w:val="00E3386C"/>
    <w:rsid w:val="00E33FC0"/>
    <w:rsid w:val="00E34948"/>
    <w:rsid w:val="00E34A14"/>
    <w:rsid w:val="00E3539A"/>
    <w:rsid w:val="00E353D6"/>
    <w:rsid w:val="00E35B1C"/>
    <w:rsid w:val="00E36793"/>
    <w:rsid w:val="00E36886"/>
    <w:rsid w:val="00E36E41"/>
    <w:rsid w:val="00E37569"/>
    <w:rsid w:val="00E40990"/>
    <w:rsid w:val="00E4133F"/>
    <w:rsid w:val="00E41AF6"/>
    <w:rsid w:val="00E41E30"/>
    <w:rsid w:val="00E434B5"/>
    <w:rsid w:val="00E437A6"/>
    <w:rsid w:val="00E43D70"/>
    <w:rsid w:val="00E44248"/>
    <w:rsid w:val="00E447C2"/>
    <w:rsid w:val="00E4542A"/>
    <w:rsid w:val="00E45971"/>
    <w:rsid w:val="00E45BC9"/>
    <w:rsid w:val="00E46439"/>
    <w:rsid w:val="00E466F3"/>
    <w:rsid w:val="00E473DE"/>
    <w:rsid w:val="00E47B2C"/>
    <w:rsid w:val="00E50F01"/>
    <w:rsid w:val="00E512E7"/>
    <w:rsid w:val="00E51560"/>
    <w:rsid w:val="00E51EAC"/>
    <w:rsid w:val="00E51F5E"/>
    <w:rsid w:val="00E521F0"/>
    <w:rsid w:val="00E52656"/>
    <w:rsid w:val="00E53287"/>
    <w:rsid w:val="00E53511"/>
    <w:rsid w:val="00E537E6"/>
    <w:rsid w:val="00E53E2E"/>
    <w:rsid w:val="00E54347"/>
    <w:rsid w:val="00E549E2"/>
    <w:rsid w:val="00E54E99"/>
    <w:rsid w:val="00E55424"/>
    <w:rsid w:val="00E55BB5"/>
    <w:rsid w:val="00E55D07"/>
    <w:rsid w:val="00E563F1"/>
    <w:rsid w:val="00E56596"/>
    <w:rsid w:val="00E57656"/>
    <w:rsid w:val="00E57D9E"/>
    <w:rsid w:val="00E6062B"/>
    <w:rsid w:val="00E6063E"/>
    <w:rsid w:val="00E610C3"/>
    <w:rsid w:val="00E61D8E"/>
    <w:rsid w:val="00E62FB2"/>
    <w:rsid w:val="00E63287"/>
    <w:rsid w:val="00E6468C"/>
    <w:rsid w:val="00E65129"/>
    <w:rsid w:val="00E65ABA"/>
    <w:rsid w:val="00E65E47"/>
    <w:rsid w:val="00E65E79"/>
    <w:rsid w:val="00E6618F"/>
    <w:rsid w:val="00E663DD"/>
    <w:rsid w:val="00E66984"/>
    <w:rsid w:val="00E66BA2"/>
    <w:rsid w:val="00E67416"/>
    <w:rsid w:val="00E674C2"/>
    <w:rsid w:val="00E67C27"/>
    <w:rsid w:val="00E7174E"/>
    <w:rsid w:val="00E718B6"/>
    <w:rsid w:val="00E71A19"/>
    <w:rsid w:val="00E71BC1"/>
    <w:rsid w:val="00E723BA"/>
    <w:rsid w:val="00E72B9B"/>
    <w:rsid w:val="00E73121"/>
    <w:rsid w:val="00E733CE"/>
    <w:rsid w:val="00E73581"/>
    <w:rsid w:val="00E74A1E"/>
    <w:rsid w:val="00E75ACC"/>
    <w:rsid w:val="00E75E19"/>
    <w:rsid w:val="00E77C07"/>
    <w:rsid w:val="00E809A8"/>
    <w:rsid w:val="00E82B8D"/>
    <w:rsid w:val="00E833F7"/>
    <w:rsid w:val="00E83774"/>
    <w:rsid w:val="00E839A2"/>
    <w:rsid w:val="00E83BDF"/>
    <w:rsid w:val="00E847E9"/>
    <w:rsid w:val="00E853C2"/>
    <w:rsid w:val="00E8606A"/>
    <w:rsid w:val="00E865F5"/>
    <w:rsid w:val="00E87A1D"/>
    <w:rsid w:val="00E87B25"/>
    <w:rsid w:val="00E9163E"/>
    <w:rsid w:val="00E926A5"/>
    <w:rsid w:val="00E92B3B"/>
    <w:rsid w:val="00E92CEB"/>
    <w:rsid w:val="00E93929"/>
    <w:rsid w:val="00E94886"/>
    <w:rsid w:val="00E952BA"/>
    <w:rsid w:val="00E952C2"/>
    <w:rsid w:val="00E95C34"/>
    <w:rsid w:val="00E96EE4"/>
    <w:rsid w:val="00E97981"/>
    <w:rsid w:val="00E979B5"/>
    <w:rsid w:val="00EA17C3"/>
    <w:rsid w:val="00EA1FAB"/>
    <w:rsid w:val="00EA2468"/>
    <w:rsid w:val="00EA2CAA"/>
    <w:rsid w:val="00EA3864"/>
    <w:rsid w:val="00EA3B07"/>
    <w:rsid w:val="00EA49B3"/>
    <w:rsid w:val="00EA6C5F"/>
    <w:rsid w:val="00EA7640"/>
    <w:rsid w:val="00EA778A"/>
    <w:rsid w:val="00EA7FC0"/>
    <w:rsid w:val="00EB000C"/>
    <w:rsid w:val="00EB0705"/>
    <w:rsid w:val="00EB0ABE"/>
    <w:rsid w:val="00EB0C63"/>
    <w:rsid w:val="00EB0F3C"/>
    <w:rsid w:val="00EB15B6"/>
    <w:rsid w:val="00EB15F5"/>
    <w:rsid w:val="00EB1D43"/>
    <w:rsid w:val="00EB27D9"/>
    <w:rsid w:val="00EB2A80"/>
    <w:rsid w:val="00EB2D68"/>
    <w:rsid w:val="00EB4916"/>
    <w:rsid w:val="00EB4B3E"/>
    <w:rsid w:val="00EB4EEB"/>
    <w:rsid w:val="00EB5846"/>
    <w:rsid w:val="00EB6E02"/>
    <w:rsid w:val="00EB707F"/>
    <w:rsid w:val="00EB7AFF"/>
    <w:rsid w:val="00EC00C9"/>
    <w:rsid w:val="00EC0B53"/>
    <w:rsid w:val="00EC0BE2"/>
    <w:rsid w:val="00EC2649"/>
    <w:rsid w:val="00EC271D"/>
    <w:rsid w:val="00EC2C92"/>
    <w:rsid w:val="00EC3AD3"/>
    <w:rsid w:val="00EC3BB3"/>
    <w:rsid w:val="00EC489A"/>
    <w:rsid w:val="00EC4B99"/>
    <w:rsid w:val="00ED0548"/>
    <w:rsid w:val="00ED1AD5"/>
    <w:rsid w:val="00ED1BB1"/>
    <w:rsid w:val="00ED291F"/>
    <w:rsid w:val="00ED3598"/>
    <w:rsid w:val="00ED46DB"/>
    <w:rsid w:val="00ED4926"/>
    <w:rsid w:val="00ED53FA"/>
    <w:rsid w:val="00ED57EA"/>
    <w:rsid w:val="00ED5838"/>
    <w:rsid w:val="00ED5907"/>
    <w:rsid w:val="00ED5E0D"/>
    <w:rsid w:val="00ED6DDE"/>
    <w:rsid w:val="00EE021C"/>
    <w:rsid w:val="00EE07D3"/>
    <w:rsid w:val="00EE0C64"/>
    <w:rsid w:val="00EE0D22"/>
    <w:rsid w:val="00EE15AA"/>
    <w:rsid w:val="00EE15CC"/>
    <w:rsid w:val="00EE229D"/>
    <w:rsid w:val="00EE22AF"/>
    <w:rsid w:val="00EE3714"/>
    <w:rsid w:val="00EE506E"/>
    <w:rsid w:val="00EE5295"/>
    <w:rsid w:val="00EE61CA"/>
    <w:rsid w:val="00EE661E"/>
    <w:rsid w:val="00EE70C5"/>
    <w:rsid w:val="00EE7476"/>
    <w:rsid w:val="00EF0171"/>
    <w:rsid w:val="00EF0642"/>
    <w:rsid w:val="00EF0807"/>
    <w:rsid w:val="00EF087E"/>
    <w:rsid w:val="00EF0DE1"/>
    <w:rsid w:val="00EF1B25"/>
    <w:rsid w:val="00EF2A63"/>
    <w:rsid w:val="00EF2E7D"/>
    <w:rsid w:val="00EF3546"/>
    <w:rsid w:val="00EF3C23"/>
    <w:rsid w:val="00EF4747"/>
    <w:rsid w:val="00EF4A3F"/>
    <w:rsid w:val="00EF4BF8"/>
    <w:rsid w:val="00EF4E25"/>
    <w:rsid w:val="00EF5326"/>
    <w:rsid w:val="00EF54EC"/>
    <w:rsid w:val="00EF583F"/>
    <w:rsid w:val="00EF5D41"/>
    <w:rsid w:val="00EF7EAB"/>
    <w:rsid w:val="00F00F07"/>
    <w:rsid w:val="00F01062"/>
    <w:rsid w:val="00F01BE1"/>
    <w:rsid w:val="00F02253"/>
    <w:rsid w:val="00F02F3D"/>
    <w:rsid w:val="00F031BF"/>
    <w:rsid w:val="00F03C2E"/>
    <w:rsid w:val="00F0409C"/>
    <w:rsid w:val="00F043BE"/>
    <w:rsid w:val="00F0475C"/>
    <w:rsid w:val="00F04A66"/>
    <w:rsid w:val="00F04F85"/>
    <w:rsid w:val="00F0516C"/>
    <w:rsid w:val="00F067A2"/>
    <w:rsid w:val="00F0720C"/>
    <w:rsid w:val="00F0776A"/>
    <w:rsid w:val="00F07932"/>
    <w:rsid w:val="00F07B7E"/>
    <w:rsid w:val="00F07E25"/>
    <w:rsid w:val="00F11121"/>
    <w:rsid w:val="00F11281"/>
    <w:rsid w:val="00F1173B"/>
    <w:rsid w:val="00F11A15"/>
    <w:rsid w:val="00F11CCC"/>
    <w:rsid w:val="00F1259F"/>
    <w:rsid w:val="00F1263A"/>
    <w:rsid w:val="00F12856"/>
    <w:rsid w:val="00F12945"/>
    <w:rsid w:val="00F12ABB"/>
    <w:rsid w:val="00F13653"/>
    <w:rsid w:val="00F13F9C"/>
    <w:rsid w:val="00F14BAA"/>
    <w:rsid w:val="00F156A0"/>
    <w:rsid w:val="00F161FB"/>
    <w:rsid w:val="00F16CC8"/>
    <w:rsid w:val="00F20092"/>
    <w:rsid w:val="00F200C6"/>
    <w:rsid w:val="00F21547"/>
    <w:rsid w:val="00F2172F"/>
    <w:rsid w:val="00F21E2B"/>
    <w:rsid w:val="00F2215C"/>
    <w:rsid w:val="00F22BFC"/>
    <w:rsid w:val="00F2322A"/>
    <w:rsid w:val="00F23701"/>
    <w:rsid w:val="00F239F2"/>
    <w:rsid w:val="00F23B9E"/>
    <w:rsid w:val="00F24302"/>
    <w:rsid w:val="00F24837"/>
    <w:rsid w:val="00F249D5"/>
    <w:rsid w:val="00F24E60"/>
    <w:rsid w:val="00F2575F"/>
    <w:rsid w:val="00F25DD0"/>
    <w:rsid w:val="00F2609C"/>
    <w:rsid w:val="00F2629B"/>
    <w:rsid w:val="00F27565"/>
    <w:rsid w:val="00F27ADB"/>
    <w:rsid w:val="00F30392"/>
    <w:rsid w:val="00F310D4"/>
    <w:rsid w:val="00F31A41"/>
    <w:rsid w:val="00F31D5A"/>
    <w:rsid w:val="00F329F2"/>
    <w:rsid w:val="00F33DE9"/>
    <w:rsid w:val="00F340F2"/>
    <w:rsid w:val="00F34178"/>
    <w:rsid w:val="00F3453B"/>
    <w:rsid w:val="00F35A31"/>
    <w:rsid w:val="00F3619A"/>
    <w:rsid w:val="00F36853"/>
    <w:rsid w:val="00F369EE"/>
    <w:rsid w:val="00F378B1"/>
    <w:rsid w:val="00F4036A"/>
    <w:rsid w:val="00F40416"/>
    <w:rsid w:val="00F40A79"/>
    <w:rsid w:val="00F40AAA"/>
    <w:rsid w:val="00F40BA7"/>
    <w:rsid w:val="00F40E60"/>
    <w:rsid w:val="00F411B3"/>
    <w:rsid w:val="00F424CA"/>
    <w:rsid w:val="00F4311B"/>
    <w:rsid w:val="00F43338"/>
    <w:rsid w:val="00F43B8F"/>
    <w:rsid w:val="00F43E2A"/>
    <w:rsid w:val="00F4478F"/>
    <w:rsid w:val="00F44B95"/>
    <w:rsid w:val="00F452D3"/>
    <w:rsid w:val="00F46CB6"/>
    <w:rsid w:val="00F46FCA"/>
    <w:rsid w:val="00F475B1"/>
    <w:rsid w:val="00F47DE8"/>
    <w:rsid w:val="00F50B63"/>
    <w:rsid w:val="00F51066"/>
    <w:rsid w:val="00F511B5"/>
    <w:rsid w:val="00F51734"/>
    <w:rsid w:val="00F530C9"/>
    <w:rsid w:val="00F53A72"/>
    <w:rsid w:val="00F542C1"/>
    <w:rsid w:val="00F54866"/>
    <w:rsid w:val="00F550E4"/>
    <w:rsid w:val="00F551A8"/>
    <w:rsid w:val="00F557BE"/>
    <w:rsid w:val="00F55E73"/>
    <w:rsid w:val="00F55EDA"/>
    <w:rsid w:val="00F56476"/>
    <w:rsid w:val="00F564EA"/>
    <w:rsid w:val="00F60092"/>
    <w:rsid w:val="00F6063E"/>
    <w:rsid w:val="00F60B84"/>
    <w:rsid w:val="00F60BA8"/>
    <w:rsid w:val="00F60CCE"/>
    <w:rsid w:val="00F610B5"/>
    <w:rsid w:val="00F61556"/>
    <w:rsid w:val="00F61FED"/>
    <w:rsid w:val="00F62E22"/>
    <w:rsid w:val="00F63A0D"/>
    <w:rsid w:val="00F64E81"/>
    <w:rsid w:val="00F65BF0"/>
    <w:rsid w:val="00F65F4B"/>
    <w:rsid w:val="00F66E04"/>
    <w:rsid w:val="00F67173"/>
    <w:rsid w:val="00F673A3"/>
    <w:rsid w:val="00F67B9F"/>
    <w:rsid w:val="00F67D8D"/>
    <w:rsid w:val="00F700BA"/>
    <w:rsid w:val="00F7060C"/>
    <w:rsid w:val="00F7078A"/>
    <w:rsid w:val="00F70BE2"/>
    <w:rsid w:val="00F70C9D"/>
    <w:rsid w:val="00F70CE8"/>
    <w:rsid w:val="00F70EAA"/>
    <w:rsid w:val="00F71DE4"/>
    <w:rsid w:val="00F7313F"/>
    <w:rsid w:val="00F73A5F"/>
    <w:rsid w:val="00F73D02"/>
    <w:rsid w:val="00F73D62"/>
    <w:rsid w:val="00F74535"/>
    <w:rsid w:val="00F74CD9"/>
    <w:rsid w:val="00F750E6"/>
    <w:rsid w:val="00F75BEE"/>
    <w:rsid w:val="00F75CEF"/>
    <w:rsid w:val="00F77753"/>
    <w:rsid w:val="00F77867"/>
    <w:rsid w:val="00F779A0"/>
    <w:rsid w:val="00F77F3C"/>
    <w:rsid w:val="00F80A7B"/>
    <w:rsid w:val="00F80E5D"/>
    <w:rsid w:val="00F82CAC"/>
    <w:rsid w:val="00F83A93"/>
    <w:rsid w:val="00F850A9"/>
    <w:rsid w:val="00F851CE"/>
    <w:rsid w:val="00F85D2D"/>
    <w:rsid w:val="00F85D9B"/>
    <w:rsid w:val="00F85DD6"/>
    <w:rsid w:val="00F87134"/>
    <w:rsid w:val="00F90997"/>
    <w:rsid w:val="00F90F03"/>
    <w:rsid w:val="00F91219"/>
    <w:rsid w:val="00F926CF"/>
    <w:rsid w:val="00F9302B"/>
    <w:rsid w:val="00F932AA"/>
    <w:rsid w:val="00F93A4B"/>
    <w:rsid w:val="00F94070"/>
    <w:rsid w:val="00F942EF"/>
    <w:rsid w:val="00F94305"/>
    <w:rsid w:val="00F94E61"/>
    <w:rsid w:val="00F95DB2"/>
    <w:rsid w:val="00F9791E"/>
    <w:rsid w:val="00F97979"/>
    <w:rsid w:val="00F97A78"/>
    <w:rsid w:val="00FA0B20"/>
    <w:rsid w:val="00FA0DE6"/>
    <w:rsid w:val="00FA1CB9"/>
    <w:rsid w:val="00FA20D3"/>
    <w:rsid w:val="00FA211E"/>
    <w:rsid w:val="00FA24E7"/>
    <w:rsid w:val="00FA3B99"/>
    <w:rsid w:val="00FA3F35"/>
    <w:rsid w:val="00FA4132"/>
    <w:rsid w:val="00FA4214"/>
    <w:rsid w:val="00FA5536"/>
    <w:rsid w:val="00FA6A9F"/>
    <w:rsid w:val="00FA6F42"/>
    <w:rsid w:val="00FA751E"/>
    <w:rsid w:val="00FB1DC7"/>
    <w:rsid w:val="00FB1F5A"/>
    <w:rsid w:val="00FB2666"/>
    <w:rsid w:val="00FB2FCB"/>
    <w:rsid w:val="00FB49AE"/>
    <w:rsid w:val="00FB582A"/>
    <w:rsid w:val="00FB5C1B"/>
    <w:rsid w:val="00FB5D43"/>
    <w:rsid w:val="00FB5DEF"/>
    <w:rsid w:val="00FB6230"/>
    <w:rsid w:val="00FB65DC"/>
    <w:rsid w:val="00FB66B5"/>
    <w:rsid w:val="00FB7A14"/>
    <w:rsid w:val="00FC039A"/>
    <w:rsid w:val="00FC0796"/>
    <w:rsid w:val="00FC0CD2"/>
    <w:rsid w:val="00FC1074"/>
    <w:rsid w:val="00FC110E"/>
    <w:rsid w:val="00FC1884"/>
    <w:rsid w:val="00FC1C2B"/>
    <w:rsid w:val="00FC33C9"/>
    <w:rsid w:val="00FC371D"/>
    <w:rsid w:val="00FC3ED7"/>
    <w:rsid w:val="00FC3F2B"/>
    <w:rsid w:val="00FC4F53"/>
    <w:rsid w:val="00FC5F0B"/>
    <w:rsid w:val="00FC5F72"/>
    <w:rsid w:val="00FC6562"/>
    <w:rsid w:val="00FC6A20"/>
    <w:rsid w:val="00FC72A6"/>
    <w:rsid w:val="00FC7309"/>
    <w:rsid w:val="00FD0873"/>
    <w:rsid w:val="00FD193E"/>
    <w:rsid w:val="00FD2100"/>
    <w:rsid w:val="00FD3624"/>
    <w:rsid w:val="00FD3808"/>
    <w:rsid w:val="00FD436C"/>
    <w:rsid w:val="00FD446D"/>
    <w:rsid w:val="00FD6394"/>
    <w:rsid w:val="00FD68AD"/>
    <w:rsid w:val="00FD75CD"/>
    <w:rsid w:val="00FE000F"/>
    <w:rsid w:val="00FE04DE"/>
    <w:rsid w:val="00FE059A"/>
    <w:rsid w:val="00FE08CB"/>
    <w:rsid w:val="00FE0935"/>
    <w:rsid w:val="00FE0E6C"/>
    <w:rsid w:val="00FE1426"/>
    <w:rsid w:val="00FE18BD"/>
    <w:rsid w:val="00FE199D"/>
    <w:rsid w:val="00FE1CCD"/>
    <w:rsid w:val="00FE22C2"/>
    <w:rsid w:val="00FE334C"/>
    <w:rsid w:val="00FE3CB4"/>
    <w:rsid w:val="00FE4564"/>
    <w:rsid w:val="00FE5158"/>
    <w:rsid w:val="00FE530F"/>
    <w:rsid w:val="00FE5ED9"/>
    <w:rsid w:val="00FE6C73"/>
    <w:rsid w:val="00FE70C3"/>
    <w:rsid w:val="00FE7287"/>
    <w:rsid w:val="00FE73C6"/>
    <w:rsid w:val="00FF00D3"/>
    <w:rsid w:val="00FF0303"/>
    <w:rsid w:val="00FF1289"/>
    <w:rsid w:val="00FF17EC"/>
    <w:rsid w:val="00FF185A"/>
    <w:rsid w:val="00FF2159"/>
    <w:rsid w:val="00FF2957"/>
    <w:rsid w:val="00FF2BBA"/>
    <w:rsid w:val="00FF2D57"/>
    <w:rsid w:val="00FF3ABF"/>
    <w:rsid w:val="00FF3AFC"/>
    <w:rsid w:val="00FF3DCF"/>
    <w:rsid w:val="00FF492C"/>
    <w:rsid w:val="00FF4A21"/>
    <w:rsid w:val="00FF5AA3"/>
    <w:rsid w:val="00FF5AD8"/>
    <w:rsid w:val="00FF5D11"/>
    <w:rsid w:val="00FF6E06"/>
    <w:rsid w:val="00FF7C6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129"/>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Dossier table,CMA Table Templat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99"/>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65129"/>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rsid w:val="00764BC2"/>
    <w:rPr>
      <w:rFonts w:ascii="Arial Narrow" w:eastAsiaTheme="minorHAnsi" w:hAnsi="Arial Narrow" w:cstheme="minorBidi"/>
      <w:szCs w:val="22"/>
      <w:lang w:eastAsia="en-US"/>
    </w:rPr>
  </w:style>
  <w:style w:type="character" w:customStyle="1" w:styleId="hitinf">
    <w:name w:val="hit_inf"/>
    <w:basedOn w:val="DefaultParagraphFont"/>
    <w:rsid w:val="00CD0E50"/>
  </w:style>
  <w:style w:type="paragraph" w:styleId="FootnoteText">
    <w:name w:val="footnote text"/>
    <w:basedOn w:val="Normal"/>
    <w:link w:val="FootnoteTextChar"/>
    <w:semiHidden/>
    <w:unhideWhenUsed/>
    <w:rsid w:val="00AD2B5C"/>
    <w:rPr>
      <w:sz w:val="20"/>
      <w:szCs w:val="20"/>
    </w:rPr>
  </w:style>
  <w:style w:type="character" w:customStyle="1" w:styleId="FootnoteTextChar">
    <w:name w:val="Footnote Text Char"/>
    <w:basedOn w:val="DefaultParagraphFont"/>
    <w:link w:val="FootnoteText"/>
    <w:semiHidden/>
    <w:rsid w:val="00AD2B5C"/>
    <w:rPr>
      <w:rFonts w:ascii="Calibri" w:hAnsi="Calibri" w:cs="Arial"/>
      <w:snapToGrid w:val="0"/>
      <w:lang w:eastAsia="en-US"/>
    </w:rPr>
  </w:style>
  <w:style w:type="character" w:styleId="FootnoteReference">
    <w:name w:val="footnote reference"/>
    <w:basedOn w:val="DefaultParagraphFont"/>
    <w:semiHidden/>
    <w:unhideWhenUsed/>
    <w:rsid w:val="00AD2B5C"/>
    <w:rPr>
      <w:vertAlign w:val="superscript"/>
    </w:rPr>
  </w:style>
  <w:style w:type="character" w:customStyle="1" w:styleId="TablenotesChar">
    <w:name w:val="Table notes Char"/>
    <w:basedOn w:val="DefaultParagraphFont"/>
    <w:link w:val="Tablenotes"/>
    <w:locked/>
    <w:rsid w:val="00D40916"/>
    <w:rPr>
      <w:rFonts w:ascii="Trebuchet MS" w:hAnsi="Trebuchet MS"/>
      <w:sz w:val="16"/>
    </w:rPr>
  </w:style>
  <w:style w:type="paragraph" w:customStyle="1" w:styleId="Tablenotes">
    <w:name w:val="Table notes"/>
    <w:basedOn w:val="Normal"/>
    <w:link w:val="TablenotesChar"/>
    <w:qFormat/>
    <w:rsid w:val="00D40916"/>
    <w:pPr>
      <w:widowControl/>
      <w:jc w:val="left"/>
    </w:pPr>
    <w:rPr>
      <w:rFonts w:ascii="Trebuchet MS" w:hAnsi="Trebuchet MS" w:cs="Times New Roman"/>
      <w:snapToGrid/>
      <w:sz w:val="16"/>
      <w:szCs w:val="20"/>
      <w:lang w:eastAsia="en-AU"/>
    </w:rPr>
  </w:style>
  <w:style w:type="paragraph" w:customStyle="1" w:styleId="MATabletext">
    <w:name w:val="MA Table text"/>
    <w:basedOn w:val="Normal"/>
    <w:link w:val="MATabletextChar"/>
    <w:qFormat/>
    <w:rsid w:val="009D5275"/>
    <w:pPr>
      <w:widowControl/>
      <w:spacing w:before="20" w:after="20"/>
    </w:pPr>
    <w:rPr>
      <w:rFonts w:ascii="Trebuchet MS" w:eastAsiaTheme="minorHAnsi" w:hAnsi="Trebuchet MS"/>
      <w:bCs/>
      <w:snapToGrid/>
      <w:color w:val="222222"/>
      <w:sz w:val="20"/>
      <w:szCs w:val="21"/>
    </w:rPr>
  </w:style>
  <w:style w:type="character" w:customStyle="1" w:styleId="MATabletextChar">
    <w:name w:val="MA Table text Char"/>
    <w:basedOn w:val="DefaultParagraphFont"/>
    <w:link w:val="MATabletext"/>
    <w:rsid w:val="009D5275"/>
    <w:rPr>
      <w:rFonts w:ascii="Trebuchet MS" w:eastAsiaTheme="minorHAnsi" w:hAnsi="Trebuchet MS" w:cs="Arial"/>
      <w:bCs/>
      <w:color w:val="222222"/>
      <w:szCs w:val="21"/>
      <w:lang w:eastAsia="en-US"/>
    </w:rPr>
  </w:style>
  <w:style w:type="paragraph" w:customStyle="1" w:styleId="MATableHeading">
    <w:name w:val="MA TableHeading"/>
    <w:basedOn w:val="MATabletext"/>
    <w:rsid w:val="009D5275"/>
    <w:pPr>
      <w:widowControl w:val="0"/>
      <w:spacing w:before="0" w:after="0"/>
    </w:pPr>
    <w:rPr>
      <w:rFonts w:cs="Times New Roman"/>
      <w:b/>
      <w:bCs w:val="0"/>
      <w:color w:val="000000" w:themeColor="text1"/>
      <w:szCs w:val="18"/>
    </w:rPr>
  </w:style>
  <w:style w:type="paragraph" w:customStyle="1" w:styleId="In-tableHeading">
    <w:name w:val="In-table Heading"/>
    <w:qFormat/>
    <w:rsid w:val="0083289A"/>
    <w:pPr>
      <w:keepNext/>
    </w:pPr>
    <w:rPr>
      <w:rFonts w:ascii="Arial Narrow" w:eastAsiaTheme="majorEastAsia" w:hAnsi="Arial Narrow"/>
      <w:b/>
      <w:szCs w:val="24"/>
      <w:lang w:val="en-US"/>
    </w:rPr>
  </w:style>
  <w:style w:type="paragraph" w:customStyle="1" w:styleId="bullet">
    <w:name w:val="bullet"/>
    <w:basedOn w:val="ListParagraph"/>
    <w:qFormat/>
    <w:rsid w:val="00AA2D7F"/>
    <w:pPr>
      <w:widowControl/>
      <w:numPr>
        <w:numId w:val="5"/>
      </w:numPr>
      <w:spacing w:after="120"/>
    </w:pPr>
    <w:rPr>
      <w:rFonts w:cstheme="minorBidi"/>
      <w:i/>
      <w:snapToGrid/>
      <w:sz w:val="22"/>
    </w:rPr>
  </w:style>
  <w:style w:type="character" w:customStyle="1" w:styleId="Heading1Char">
    <w:name w:val="Heading 1 Char"/>
    <w:basedOn w:val="DefaultParagraphFont"/>
    <w:link w:val="Heading1"/>
    <w:rsid w:val="00EE0C64"/>
    <w:rPr>
      <w:rFonts w:ascii="Calibri" w:hAnsi="Calibri" w:cs="Arial"/>
      <w:b/>
      <w:caps/>
      <w:snapToGrid w:val="0"/>
      <w:sz w:val="32"/>
      <w:szCs w:val="22"/>
      <w:lang w:eastAsia="en-US"/>
    </w:rPr>
  </w:style>
  <w:style w:type="paragraph" w:styleId="BodyText3">
    <w:name w:val="Body Text 3"/>
    <w:basedOn w:val="Normal"/>
    <w:link w:val="BodyText3Char"/>
    <w:semiHidden/>
    <w:unhideWhenUsed/>
    <w:rsid w:val="00154FF2"/>
    <w:pPr>
      <w:spacing w:after="120"/>
    </w:pPr>
    <w:rPr>
      <w:sz w:val="16"/>
      <w:szCs w:val="16"/>
    </w:rPr>
  </w:style>
  <w:style w:type="character" w:customStyle="1" w:styleId="BodyText3Char">
    <w:name w:val="Body Text 3 Char"/>
    <w:basedOn w:val="DefaultParagraphFont"/>
    <w:link w:val="BodyText3"/>
    <w:semiHidden/>
    <w:rsid w:val="00154FF2"/>
    <w:rPr>
      <w:rFonts w:ascii="Calibri" w:hAnsi="Calibri" w:cs="Arial"/>
      <w:snapToGrid w:val="0"/>
      <w:sz w:val="16"/>
      <w:szCs w:val="16"/>
      <w:lang w:eastAsia="en-US"/>
    </w:rPr>
  </w:style>
  <w:style w:type="paragraph" w:customStyle="1" w:styleId="2-SectionHeading">
    <w:name w:val="2-Section Heading"/>
    <w:qFormat/>
    <w:rsid w:val="003569EF"/>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3569EF"/>
    <w:pPr>
      <w:widowControl/>
      <w:overflowPunct w:val="0"/>
      <w:autoSpaceDE w:val="0"/>
      <w:autoSpaceDN w:val="0"/>
      <w:adjustRightInd w:val="0"/>
      <w:spacing w:before="120" w:after="120"/>
      <w:ind w:hanging="720"/>
      <w:jc w:val="left"/>
      <w:textAlignment w:val="baseline"/>
    </w:pPr>
    <w:rPr>
      <w:rFonts w:ascii="Times New Roman" w:hAnsi="Times New Roman"/>
      <w:szCs w:val="24"/>
      <w:lang w:val="en-US" w:eastAsia="en-AU"/>
    </w:rPr>
  </w:style>
  <w:style w:type="paragraph" w:customStyle="1" w:styleId="Default">
    <w:name w:val="Default"/>
    <w:rsid w:val="004827B7"/>
    <w:pPr>
      <w:autoSpaceDE w:val="0"/>
      <w:autoSpaceDN w:val="0"/>
      <w:adjustRightInd w:val="0"/>
    </w:pPr>
    <w:rPr>
      <w:rFonts w:eastAsiaTheme="minorHAnsi"/>
      <w:color w:val="000000"/>
      <w:sz w:val="24"/>
      <w:szCs w:val="24"/>
      <w:lang w:eastAsia="en-US"/>
    </w:rPr>
  </w:style>
  <w:style w:type="character" w:customStyle="1" w:styleId="3-BodyTextChar">
    <w:name w:val="3-Body Text Char"/>
    <w:basedOn w:val="DefaultParagraphFont"/>
    <w:link w:val="3-BodyText"/>
    <w:rsid w:val="003F41D9"/>
    <w:rPr>
      <w:rFonts w:cs="Arial"/>
      <w:snapToGrid w:val="0"/>
      <w:sz w:val="24"/>
      <w:szCs w:val="24"/>
      <w:lang w:val="en-US"/>
    </w:rPr>
  </w:style>
  <w:style w:type="character" w:customStyle="1" w:styleId="UnresolvedMention1">
    <w:name w:val="Unresolved Mention1"/>
    <w:basedOn w:val="DefaultParagraphFont"/>
    <w:uiPriority w:val="99"/>
    <w:semiHidden/>
    <w:unhideWhenUsed/>
    <w:rsid w:val="00954111"/>
    <w:rPr>
      <w:color w:val="605E5C"/>
      <w:shd w:val="clear" w:color="auto" w:fill="E1DFDD"/>
    </w:rPr>
  </w:style>
  <w:style w:type="character" w:customStyle="1" w:styleId="TableFigureFooterChar">
    <w:name w:val="Table/Figure Footer Char"/>
    <w:link w:val="TableFigureFooter"/>
    <w:locked/>
    <w:rsid w:val="00A54056"/>
    <w:rPr>
      <w:rFonts w:ascii="Arial Narrow" w:hAnsi="Arial Narrow" w:cs="Arial"/>
      <w:sz w:val="18"/>
    </w:rPr>
  </w:style>
  <w:style w:type="paragraph" w:customStyle="1" w:styleId="TableFigureFooter">
    <w:name w:val="Table/Figure Footer"/>
    <w:basedOn w:val="Normal"/>
    <w:link w:val="TableFigureFooterChar"/>
    <w:qFormat/>
    <w:rsid w:val="00A54056"/>
    <w:pPr>
      <w:widowControl/>
      <w:snapToGrid w:val="0"/>
      <w:spacing w:after="120"/>
      <w:contextualSpacing/>
    </w:pPr>
    <w:rPr>
      <w:rFonts w:ascii="Arial Narrow" w:hAnsi="Arial Narrow"/>
      <w:snapToGrid/>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6991">
      <w:bodyDiv w:val="1"/>
      <w:marLeft w:val="0"/>
      <w:marRight w:val="0"/>
      <w:marTop w:val="0"/>
      <w:marBottom w:val="0"/>
      <w:divBdr>
        <w:top w:val="none" w:sz="0" w:space="0" w:color="auto"/>
        <w:left w:val="none" w:sz="0" w:space="0" w:color="auto"/>
        <w:bottom w:val="none" w:sz="0" w:space="0" w:color="auto"/>
        <w:right w:val="none" w:sz="0" w:space="0" w:color="auto"/>
      </w:divBdr>
      <w:divsChild>
        <w:div w:id="804664542">
          <w:marLeft w:val="547"/>
          <w:marRight w:val="0"/>
          <w:marTop w:val="86"/>
          <w:marBottom w:val="0"/>
          <w:divBdr>
            <w:top w:val="none" w:sz="0" w:space="0" w:color="auto"/>
            <w:left w:val="none" w:sz="0" w:space="0" w:color="auto"/>
            <w:bottom w:val="none" w:sz="0" w:space="0" w:color="auto"/>
            <w:right w:val="none" w:sz="0" w:space="0" w:color="auto"/>
          </w:divBdr>
        </w:div>
        <w:div w:id="1552038039">
          <w:marLeft w:val="1166"/>
          <w:marRight w:val="0"/>
          <w:marTop w:val="72"/>
          <w:marBottom w:val="0"/>
          <w:divBdr>
            <w:top w:val="none" w:sz="0" w:space="0" w:color="auto"/>
            <w:left w:val="none" w:sz="0" w:space="0" w:color="auto"/>
            <w:bottom w:val="none" w:sz="0" w:space="0" w:color="auto"/>
            <w:right w:val="none" w:sz="0" w:space="0" w:color="auto"/>
          </w:divBdr>
        </w:div>
      </w:divsChild>
    </w:div>
    <w:div w:id="59594688">
      <w:bodyDiv w:val="1"/>
      <w:marLeft w:val="0"/>
      <w:marRight w:val="0"/>
      <w:marTop w:val="0"/>
      <w:marBottom w:val="0"/>
      <w:divBdr>
        <w:top w:val="none" w:sz="0" w:space="0" w:color="auto"/>
        <w:left w:val="none" w:sz="0" w:space="0" w:color="auto"/>
        <w:bottom w:val="none" w:sz="0" w:space="0" w:color="auto"/>
        <w:right w:val="none" w:sz="0" w:space="0" w:color="auto"/>
      </w:divBdr>
      <w:divsChild>
        <w:div w:id="891885511">
          <w:marLeft w:val="360"/>
          <w:marRight w:val="0"/>
          <w:marTop w:val="200"/>
          <w:marBottom w:val="0"/>
          <w:divBdr>
            <w:top w:val="none" w:sz="0" w:space="0" w:color="auto"/>
            <w:left w:val="none" w:sz="0" w:space="0" w:color="auto"/>
            <w:bottom w:val="none" w:sz="0" w:space="0" w:color="auto"/>
            <w:right w:val="none" w:sz="0" w:space="0" w:color="auto"/>
          </w:divBdr>
        </w:div>
        <w:div w:id="26102022">
          <w:marLeft w:val="1080"/>
          <w:marRight w:val="0"/>
          <w:marTop w:val="100"/>
          <w:marBottom w:val="0"/>
          <w:divBdr>
            <w:top w:val="none" w:sz="0" w:space="0" w:color="auto"/>
            <w:left w:val="none" w:sz="0" w:space="0" w:color="auto"/>
            <w:bottom w:val="none" w:sz="0" w:space="0" w:color="auto"/>
            <w:right w:val="none" w:sz="0" w:space="0" w:color="auto"/>
          </w:divBdr>
        </w:div>
        <w:div w:id="2142337669">
          <w:marLeft w:val="1080"/>
          <w:marRight w:val="0"/>
          <w:marTop w:val="100"/>
          <w:marBottom w:val="0"/>
          <w:divBdr>
            <w:top w:val="none" w:sz="0" w:space="0" w:color="auto"/>
            <w:left w:val="none" w:sz="0" w:space="0" w:color="auto"/>
            <w:bottom w:val="none" w:sz="0" w:space="0" w:color="auto"/>
            <w:right w:val="none" w:sz="0" w:space="0" w:color="auto"/>
          </w:divBdr>
        </w:div>
        <w:div w:id="2035304061">
          <w:marLeft w:val="360"/>
          <w:marRight w:val="0"/>
          <w:marTop w:val="0"/>
          <w:marBottom w:val="0"/>
          <w:divBdr>
            <w:top w:val="none" w:sz="0" w:space="0" w:color="auto"/>
            <w:left w:val="none" w:sz="0" w:space="0" w:color="auto"/>
            <w:bottom w:val="none" w:sz="0" w:space="0" w:color="auto"/>
            <w:right w:val="none" w:sz="0" w:space="0" w:color="auto"/>
          </w:divBdr>
        </w:div>
        <w:div w:id="1326662634">
          <w:marLeft w:val="1080"/>
          <w:marRight w:val="0"/>
          <w:marTop w:val="0"/>
          <w:marBottom w:val="0"/>
          <w:divBdr>
            <w:top w:val="none" w:sz="0" w:space="0" w:color="auto"/>
            <w:left w:val="none" w:sz="0" w:space="0" w:color="auto"/>
            <w:bottom w:val="none" w:sz="0" w:space="0" w:color="auto"/>
            <w:right w:val="none" w:sz="0" w:space="0" w:color="auto"/>
          </w:divBdr>
        </w:div>
        <w:div w:id="1678922558">
          <w:marLeft w:val="360"/>
          <w:marRight w:val="0"/>
          <w:marTop w:val="0"/>
          <w:marBottom w:val="0"/>
          <w:divBdr>
            <w:top w:val="none" w:sz="0" w:space="0" w:color="auto"/>
            <w:left w:val="none" w:sz="0" w:space="0" w:color="auto"/>
            <w:bottom w:val="none" w:sz="0" w:space="0" w:color="auto"/>
            <w:right w:val="none" w:sz="0" w:space="0" w:color="auto"/>
          </w:divBdr>
        </w:div>
        <w:div w:id="590116749">
          <w:marLeft w:val="1080"/>
          <w:marRight w:val="0"/>
          <w:marTop w:val="0"/>
          <w:marBottom w:val="0"/>
          <w:divBdr>
            <w:top w:val="none" w:sz="0" w:space="0" w:color="auto"/>
            <w:left w:val="none" w:sz="0" w:space="0" w:color="auto"/>
            <w:bottom w:val="none" w:sz="0" w:space="0" w:color="auto"/>
            <w:right w:val="none" w:sz="0" w:space="0" w:color="auto"/>
          </w:divBdr>
        </w:div>
      </w:divsChild>
    </w:div>
    <w:div w:id="157238239">
      <w:bodyDiv w:val="1"/>
      <w:marLeft w:val="0"/>
      <w:marRight w:val="0"/>
      <w:marTop w:val="0"/>
      <w:marBottom w:val="0"/>
      <w:divBdr>
        <w:top w:val="none" w:sz="0" w:space="0" w:color="auto"/>
        <w:left w:val="none" w:sz="0" w:space="0" w:color="auto"/>
        <w:bottom w:val="none" w:sz="0" w:space="0" w:color="auto"/>
        <w:right w:val="none" w:sz="0" w:space="0" w:color="auto"/>
      </w:divBdr>
    </w:div>
    <w:div w:id="176891428">
      <w:bodyDiv w:val="1"/>
      <w:marLeft w:val="0"/>
      <w:marRight w:val="0"/>
      <w:marTop w:val="0"/>
      <w:marBottom w:val="0"/>
      <w:divBdr>
        <w:top w:val="none" w:sz="0" w:space="0" w:color="auto"/>
        <w:left w:val="none" w:sz="0" w:space="0" w:color="auto"/>
        <w:bottom w:val="none" w:sz="0" w:space="0" w:color="auto"/>
        <w:right w:val="none" w:sz="0" w:space="0" w:color="auto"/>
      </w:divBdr>
      <w:divsChild>
        <w:div w:id="384259507">
          <w:marLeft w:val="360"/>
          <w:marRight w:val="0"/>
          <w:marTop w:val="200"/>
          <w:marBottom w:val="0"/>
          <w:divBdr>
            <w:top w:val="none" w:sz="0" w:space="0" w:color="auto"/>
            <w:left w:val="none" w:sz="0" w:space="0" w:color="auto"/>
            <w:bottom w:val="none" w:sz="0" w:space="0" w:color="auto"/>
            <w:right w:val="none" w:sz="0" w:space="0" w:color="auto"/>
          </w:divBdr>
        </w:div>
        <w:div w:id="1726292185">
          <w:marLeft w:val="1080"/>
          <w:marRight w:val="0"/>
          <w:marTop w:val="100"/>
          <w:marBottom w:val="0"/>
          <w:divBdr>
            <w:top w:val="none" w:sz="0" w:space="0" w:color="auto"/>
            <w:left w:val="none" w:sz="0" w:space="0" w:color="auto"/>
            <w:bottom w:val="none" w:sz="0" w:space="0" w:color="auto"/>
            <w:right w:val="none" w:sz="0" w:space="0" w:color="auto"/>
          </w:divBdr>
        </w:div>
        <w:div w:id="2089492775">
          <w:marLeft w:val="1080"/>
          <w:marRight w:val="0"/>
          <w:marTop w:val="100"/>
          <w:marBottom w:val="0"/>
          <w:divBdr>
            <w:top w:val="none" w:sz="0" w:space="0" w:color="auto"/>
            <w:left w:val="none" w:sz="0" w:space="0" w:color="auto"/>
            <w:bottom w:val="none" w:sz="0" w:space="0" w:color="auto"/>
            <w:right w:val="none" w:sz="0" w:space="0" w:color="auto"/>
          </w:divBdr>
        </w:div>
        <w:div w:id="1719470985">
          <w:marLeft w:val="360"/>
          <w:marRight w:val="0"/>
          <w:marTop w:val="0"/>
          <w:marBottom w:val="0"/>
          <w:divBdr>
            <w:top w:val="none" w:sz="0" w:space="0" w:color="auto"/>
            <w:left w:val="none" w:sz="0" w:space="0" w:color="auto"/>
            <w:bottom w:val="none" w:sz="0" w:space="0" w:color="auto"/>
            <w:right w:val="none" w:sz="0" w:space="0" w:color="auto"/>
          </w:divBdr>
        </w:div>
        <w:div w:id="1022324831">
          <w:marLeft w:val="1080"/>
          <w:marRight w:val="0"/>
          <w:marTop w:val="0"/>
          <w:marBottom w:val="0"/>
          <w:divBdr>
            <w:top w:val="none" w:sz="0" w:space="0" w:color="auto"/>
            <w:left w:val="none" w:sz="0" w:space="0" w:color="auto"/>
            <w:bottom w:val="none" w:sz="0" w:space="0" w:color="auto"/>
            <w:right w:val="none" w:sz="0" w:space="0" w:color="auto"/>
          </w:divBdr>
        </w:div>
        <w:div w:id="1064060575">
          <w:marLeft w:val="360"/>
          <w:marRight w:val="0"/>
          <w:marTop w:val="0"/>
          <w:marBottom w:val="0"/>
          <w:divBdr>
            <w:top w:val="none" w:sz="0" w:space="0" w:color="auto"/>
            <w:left w:val="none" w:sz="0" w:space="0" w:color="auto"/>
            <w:bottom w:val="none" w:sz="0" w:space="0" w:color="auto"/>
            <w:right w:val="none" w:sz="0" w:space="0" w:color="auto"/>
          </w:divBdr>
        </w:div>
        <w:div w:id="95948551">
          <w:marLeft w:val="1080"/>
          <w:marRight w:val="0"/>
          <w:marTop w:val="0"/>
          <w:marBottom w:val="0"/>
          <w:divBdr>
            <w:top w:val="none" w:sz="0" w:space="0" w:color="auto"/>
            <w:left w:val="none" w:sz="0" w:space="0" w:color="auto"/>
            <w:bottom w:val="none" w:sz="0" w:space="0" w:color="auto"/>
            <w:right w:val="none" w:sz="0" w:space="0" w:color="auto"/>
          </w:divBdr>
        </w:div>
      </w:divsChild>
    </w:div>
    <w:div w:id="190340982">
      <w:bodyDiv w:val="1"/>
      <w:marLeft w:val="0"/>
      <w:marRight w:val="0"/>
      <w:marTop w:val="0"/>
      <w:marBottom w:val="0"/>
      <w:divBdr>
        <w:top w:val="none" w:sz="0" w:space="0" w:color="auto"/>
        <w:left w:val="none" w:sz="0" w:space="0" w:color="auto"/>
        <w:bottom w:val="none" w:sz="0" w:space="0" w:color="auto"/>
        <w:right w:val="none" w:sz="0" w:space="0" w:color="auto"/>
      </w:divBdr>
    </w:div>
    <w:div w:id="238642304">
      <w:bodyDiv w:val="1"/>
      <w:marLeft w:val="0"/>
      <w:marRight w:val="0"/>
      <w:marTop w:val="0"/>
      <w:marBottom w:val="0"/>
      <w:divBdr>
        <w:top w:val="none" w:sz="0" w:space="0" w:color="auto"/>
        <w:left w:val="none" w:sz="0" w:space="0" w:color="auto"/>
        <w:bottom w:val="none" w:sz="0" w:space="0" w:color="auto"/>
        <w:right w:val="none" w:sz="0" w:space="0" w:color="auto"/>
      </w:divBdr>
    </w:div>
    <w:div w:id="293799130">
      <w:bodyDiv w:val="1"/>
      <w:marLeft w:val="0"/>
      <w:marRight w:val="0"/>
      <w:marTop w:val="0"/>
      <w:marBottom w:val="0"/>
      <w:divBdr>
        <w:top w:val="none" w:sz="0" w:space="0" w:color="auto"/>
        <w:left w:val="none" w:sz="0" w:space="0" w:color="auto"/>
        <w:bottom w:val="none" w:sz="0" w:space="0" w:color="auto"/>
        <w:right w:val="none" w:sz="0" w:space="0" w:color="auto"/>
      </w:divBdr>
    </w:div>
    <w:div w:id="340622227">
      <w:bodyDiv w:val="1"/>
      <w:marLeft w:val="0"/>
      <w:marRight w:val="0"/>
      <w:marTop w:val="0"/>
      <w:marBottom w:val="0"/>
      <w:divBdr>
        <w:top w:val="none" w:sz="0" w:space="0" w:color="auto"/>
        <w:left w:val="none" w:sz="0" w:space="0" w:color="auto"/>
        <w:bottom w:val="none" w:sz="0" w:space="0" w:color="auto"/>
        <w:right w:val="none" w:sz="0" w:space="0" w:color="auto"/>
      </w:divBdr>
    </w:div>
    <w:div w:id="468476348">
      <w:bodyDiv w:val="1"/>
      <w:marLeft w:val="0"/>
      <w:marRight w:val="0"/>
      <w:marTop w:val="0"/>
      <w:marBottom w:val="0"/>
      <w:divBdr>
        <w:top w:val="none" w:sz="0" w:space="0" w:color="auto"/>
        <w:left w:val="none" w:sz="0" w:space="0" w:color="auto"/>
        <w:bottom w:val="none" w:sz="0" w:space="0" w:color="auto"/>
        <w:right w:val="none" w:sz="0" w:space="0" w:color="auto"/>
      </w:divBdr>
    </w:div>
    <w:div w:id="480273195">
      <w:bodyDiv w:val="1"/>
      <w:marLeft w:val="0"/>
      <w:marRight w:val="0"/>
      <w:marTop w:val="0"/>
      <w:marBottom w:val="0"/>
      <w:divBdr>
        <w:top w:val="none" w:sz="0" w:space="0" w:color="auto"/>
        <w:left w:val="none" w:sz="0" w:space="0" w:color="auto"/>
        <w:bottom w:val="none" w:sz="0" w:space="0" w:color="auto"/>
        <w:right w:val="none" w:sz="0" w:space="0" w:color="auto"/>
      </w:divBdr>
    </w:div>
    <w:div w:id="535002325">
      <w:bodyDiv w:val="1"/>
      <w:marLeft w:val="0"/>
      <w:marRight w:val="0"/>
      <w:marTop w:val="0"/>
      <w:marBottom w:val="0"/>
      <w:divBdr>
        <w:top w:val="none" w:sz="0" w:space="0" w:color="auto"/>
        <w:left w:val="none" w:sz="0" w:space="0" w:color="auto"/>
        <w:bottom w:val="none" w:sz="0" w:space="0" w:color="auto"/>
        <w:right w:val="none" w:sz="0" w:space="0" w:color="auto"/>
      </w:divBdr>
    </w:div>
    <w:div w:id="546263831">
      <w:bodyDiv w:val="1"/>
      <w:marLeft w:val="0"/>
      <w:marRight w:val="0"/>
      <w:marTop w:val="0"/>
      <w:marBottom w:val="0"/>
      <w:divBdr>
        <w:top w:val="none" w:sz="0" w:space="0" w:color="auto"/>
        <w:left w:val="none" w:sz="0" w:space="0" w:color="auto"/>
        <w:bottom w:val="none" w:sz="0" w:space="0" w:color="auto"/>
        <w:right w:val="none" w:sz="0" w:space="0" w:color="auto"/>
      </w:divBdr>
    </w:div>
    <w:div w:id="552741989">
      <w:bodyDiv w:val="1"/>
      <w:marLeft w:val="0"/>
      <w:marRight w:val="0"/>
      <w:marTop w:val="0"/>
      <w:marBottom w:val="0"/>
      <w:divBdr>
        <w:top w:val="none" w:sz="0" w:space="0" w:color="auto"/>
        <w:left w:val="none" w:sz="0" w:space="0" w:color="auto"/>
        <w:bottom w:val="none" w:sz="0" w:space="0" w:color="auto"/>
        <w:right w:val="none" w:sz="0" w:space="0" w:color="auto"/>
      </w:divBdr>
    </w:div>
    <w:div w:id="573398935">
      <w:bodyDiv w:val="1"/>
      <w:marLeft w:val="0"/>
      <w:marRight w:val="0"/>
      <w:marTop w:val="0"/>
      <w:marBottom w:val="0"/>
      <w:divBdr>
        <w:top w:val="none" w:sz="0" w:space="0" w:color="auto"/>
        <w:left w:val="none" w:sz="0" w:space="0" w:color="auto"/>
        <w:bottom w:val="none" w:sz="0" w:space="0" w:color="auto"/>
        <w:right w:val="none" w:sz="0" w:space="0" w:color="auto"/>
      </w:divBdr>
    </w:div>
    <w:div w:id="672612325">
      <w:bodyDiv w:val="1"/>
      <w:marLeft w:val="0"/>
      <w:marRight w:val="0"/>
      <w:marTop w:val="0"/>
      <w:marBottom w:val="0"/>
      <w:divBdr>
        <w:top w:val="none" w:sz="0" w:space="0" w:color="auto"/>
        <w:left w:val="none" w:sz="0" w:space="0" w:color="auto"/>
        <w:bottom w:val="none" w:sz="0" w:space="0" w:color="auto"/>
        <w:right w:val="none" w:sz="0" w:space="0" w:color="auto"/>
      </w:divBdr>
    </w:div>
    <w:div w:id="789474766">
      <w:bodyDiv w:val="1"/>
      <w:marLeft w:val="0"/>
      <w:marRight w:val="0"/>
      <w:marTop w:val="0"/>
      <w:marBottom w:val="0"/>
      <w:divBdr>
        <w:top w:val="none" w:sz="0" w:space="0" w:color="auto"/>
        <w:left w:val="none" w:sz="0" w:space="0" w:color="auto"/>
        <w:bottom w:val="none" w:sz="0" w:space="0" w:color="auto"/>
        <w:right w:val="none" w:sz="0" w:space="0" w:color="auto"/>
      </w:divBdr>
    </w:div>
    <w:div w:id="807165319">
      <w:bodyDiv w:val="1"/>
      <w:marLeft w:val="0"/>
      <w:marRight w:val="0"/>
      <w:marTop w:val="0"/>
      <w:marBottom w:val="0"/>
      <w:divBdr>
        <w:top w:val="none" w:sz="0" w:space="0" w:color="auto"/>
        <w:left w:val="none" w:sz="0" w:space="0" w:color="auto"/>
        <w:bottom w:val="none" w:sz="0" w:space="0" w:color="auto"/>
        <w:right w:val="none" w:sz="0" w:space="0" w:color="auto"/>
      </w:divBdr>
    </w:div>
    <w:div w:id="829634653">
      <w:bodyDiv w:val="1"/>
      <w:marLeft w:val="0"/>
      <w:marRight w:val="0"/>
      <w:marTop w:val="0"/>
      <w:marBottom w:val="0"/>
      <w:divBdr>
        <w:top w:val="none" w:sz="0" w:space="0" w:color="auto"/>
        <w:left w:val="none" w:sz="0" w:space="0" w:color="auto"/>
        <w:bottom w:val="none" w:sz="0" w:space="0" w:color="auto"/>
        <w:right w:val="none" w:sz="0" w:space="0" w:color="auto"/>
      </w:divBdr>
    </w:div>
    <w:div w:id="866217529">
      <w:bodyDiv w:val="1"/>
      <w:marLeft w:val="0"/>
      <w:marRight w:val="0"/>
      <w:marTop w:val="0"/>
      <w:marBottom w:val="0"/>
      <w:divBdr>
        <w:top w:val="none" w:sz="0" w:space="0" w:color="auto"/>
        <w:left w:val="none" w:sz="0" w:space="0" w:color="auto"/>
        <w:bottom w:val="none" w:sz="0" w:space="0" w:color="auto"/>
        <w:right w:val="none" w:sz="0" w:space="0" w:color="auto"/>
      </w:divBdr>
      <w:divsChild>
        <w:div w:id="2087723870">
          <w:marLeft w:val="360"/>
          <w:marRight w:val="0"/>
          <w:marTop w:val="200"/>
          <w:marBottom w:val="0"/>
          <w:divBdr>
            <w:top w:val="none" w:sz="0" w:space="0" w:color="auto"/>
            <w:left w:val="none" w:sz="0" w:space="0" w:color="auto"/>
            <w:bottom w:val="none" w:sz="0" w:space="0" w:color="auto"/>
            <w:right w:val="none" w:sz="0" w:space="0" w:color="auto"/>
          </w:divBdr>
        </w:div>
        <w:div w:id="1469124454">
          <w:marLeft w:val="1080"/>
          <w:marRight w:val="0"/>
          <w:marTop w:val="100"/>
          <w:marBottom w:val="0"/>
          <w:divBdr>
            <w:top w:val="none" w:sz="0" w:space="0" w:color="auto"/>
            <w:left w:val="none" w:sz="0" w:space="0" w:color="auto"/>
            <w:bottom w:val="none" w:sz="0" w:space="0" w:color="auto"/>
            <w:right w:val="none" w:sz="0" w:space="0" w:color="auto"/>
          </w:divBdr>
        </w:div>
        <w:div w:id="835146476">
          <w:marLeft w:val="1080"/>
          <w:marRight w:val="0"/>
          <w:marTop w:val="100"/>
          <w:marBottom w:val="0"/>
          <w:divBdr>
            <w:top w:val="none" w:sz="0" w:space="0" w:color="auto"/>
            <w:left w:val="none" w:sz="0" w:space="0" w:color="auto"/>
            <w:bottom w:val="none" w:sz="0" w:space="0" w:color="auto"/>
            <w:right w:val="none" w:sz="0" w:space="0" w:color="auto"/>
          </w:divBdr>
        </w:div>
        <w:div w:id="1448507386">
          <w:marLeft w:val="1080"/>
          <w:marRight w:val="0"/>
          <w:marTop w:val="100"/>
          <w:marBottom w:val="0"/>
          <w:divBdr>
            <w:top w:val="none" w:sz="0" w:space="0" w:color="auto"/>
            <w:left w:val="none" w:sz="0" w:space="0" w:color="auto"/>
            <w:bottom w:val="none" w:sz="0" w:space="0" w:color="auto"/>
            <w:right w:val="none" w:sz="0" w:space="0" w:color="auto"/>
          </w:divBdr>
        </w:div>
        <w:div w:id="837696737">
          <w:marLeft w:val="360"/>
          <w:marRight w:val="0"/>
          <w:marTop w:val="200"/>
          <w:marBottom w:val="0"/>
          <w:divBdr>
            <w:top w:val="none" w:sz="0" w:space="0" w:color="auto"/>
            <w:left w:val="none" w:sz="0" w:space="0" w:color="auto"/>
            <w:bottom w:val="none" w:sz="0" w:space="0" w:color="auto"/>
            <w:right w:val="none" w:sz="0" w:space="0" w:color="auto"/>
          </w:divBdr>
        </w:div>
        <w:div w:id="861017861">
          <w:marLeft w:val="1080"/>
          <w:marRight w:val="0"/>
          <w:marTop w:val="100"/>
          <w:marBottom w:val="0"/>
          <w:divBdr>
            <w:top w:val="none" w:sz="0" w:space="0" w:color="auto"/>
            <w:left w:val="none" w:sz="0" w:space="0" w:color="auto"/>
            <w:bottom w:val="none" w:sz="0" w:space="0" w:color="auto"/>
            <w:right w:val="none" w:sz="0" w:space="0" w:color="auto"/>
          </w:divBdr>
        </w:div>
        <w:div w:id="749740422">
          <w:marLeft w:val="360"/>
          <w:marRight w:val="0"/>
          <w:marTop w:val="200"/>
          <w:marBottom w:val="0"/>
          <w:divBdr>
            <w:top w:val="none" w:sz="0" w:space="0" w:color="auto"/>
            <w:left w:val="none" w:sz="0" w:space="0" w:color="auto"/>
            <w:bottom w:val="none" w:sz="0" w:space="0" w:color="auto"/>
            <w:right w:val="none" w:sz="0" w:space="0" w:color="auto"/>
          </w:divBdr>
        </w:div>
        <w:div w:id="286863658">
          <w:marLeft w:val="1080"/>
          <w:marRight w:val="0"/>
          <w:marTop w:val="100"/>
          <w:marBottom w:val="0"/>
          <w:divBdr>
            <w:top w:val="none" w:sz="0" w:space="0" w:color="auto"/>
            <w:left w:val="none" w:sz="0" w:space="0" w:color="auto"/>
            <w:bottom w:val="none" w:sz="0" w:space="0" w:color="auto"/>
            <w:right w:val="none" w:sz="0" w:space="0" w:color="auto"/>
          </w:divBdr>
        </w:div>
      </w:divsChild>
    </w:div>
    <w:div w:id="1009285537">
      <w:bodyDiv w:val="1"/>
      <w:marLeft w:val="0"/>
      <w:marRight w:val="0"/>
      <w:marTop w:val="0"/>
      <w:marBottom w:val="0"/>
      <w:divBdr>
        <w:top w:val="none" w:sz="0" w:space="0" w:color="auto"/>
        <w:left w:val="none" w:sz="0" w:space="0" w:color="auto"/>
        <w:bottom w:val="none" w:sz="0" w:space="0" w:color="auto"/>
        <w:right w:val="none" w:sz="0" w:space="0" w:color="auto"/>
      </w:divBdr>
    </w:div>
    <w:div w:id="1051347077">
      <w:bodyDiv w:val="1"/>
      <w:marLeft w:val="0"/>
      <w:marRight w:val="0"/>
      <w:marTop w:val="0"/>
      <w:marBottom w:val="0"/>
      <w:divBdr>
        <w:top w:val="none" w:sz="0" w:space="0" w:color="auto"/>
        <w:left w:val="none" w:sz="0" w:space="0" w:color="auto"/>
        <w:bottom w:val="none" w:sz="0" w:space="0" w:color="auto"/>
        <w:right w:val="none" w:sz="0" w:space="0" w:color="auto"/>
      </w:divBdr>
      <w:divsChild>
        <w:div w:id="1523937835">
          <w:marLeft w:val="360"/>
          <w:marRight w:val="0"/>
          <w:marTop w:val="200"/>
          <w:marBottom w:val="0"/>
          <w:divBdr>
            <w:top w:val="none" w:sz="0" w:space="0" w:color="auto"/>
            <w:left w:val="none" w:sz="0" w:space="0" w:color="auto"/>
            <w:bottom w:val="none" w:sz="0" w:space="0" w:color="auto"/>
            <w:right w:val="none" w:sz="0" w:space="0" w:color="auto"/>
          </w:divBdr>
        </w:div>
        <w:div w:id="1550148620">
          <w:marLeft w:val="360"/>
          <w:marRight w:val="0"/>
          <w:marTop w:val="200"/>
          <w:marBottom w:val="0"/>
          <w:divBdr>
            <w:top w:val="none" w:sz="0" w:space="0" w:color="auto"/>
            <w:left w:val="none" w:sz="0" w:space="0" w:color="auto"/>
            <w:bottom w:val="none" w:sz="0" w:space="0" w:color="auto"/>
            <w:right w:val="none" w:sz="0" w:space="0" w:color="auto"/>
          </w:divBdr>
        </w:div>
        <w:div w:id="1084490765">
          <w:marLeft w:val="360"/>
          <w:marRight w:val="0"/>
          <w:marTop w:val="200"/>
          <w:marBottom w:val="0"/>
          <w:divBdr>
            <w:top w:val="none" w:sz="0" w:space="0" w:color="auto"/>
            <w:left w:val="none" w:sz="0" w:space="0" w:color="auto"/>
            <w:bottom w:val="none" w:sz="0" w:space="0" w:color="auto"/>
            <w:right w:val="none" w:sz="0" w:space="0" w:color="auto"/>
          </w:divBdr>
        </w:div>
        <w:div w:id="1604916781">
          <w:marLeft w:val="360"/>
          <w:marRight w:val="0"/>
          <w:marTop w:val="200"/>
          <w:marBottom w:val="0"/>
          <w:divBdr>
            <w:top w:val="none" w:sz="0" w:space="0" w:color="auto"/>
            <w:left w:val="none" w:sz="0" w:space="0" w:color="auto"/>
            <w:bottom w:val="none" w:sz="0" w:space="0" w:color="auto"/>
            <w:right w:val="none" w:sz="0" w:space="0" w:color="auto"/>
          </w:divBdr>
        </w:div>
      </w:divsChild>
    </w:div>
    <w:div w:id="1108281161">
      <w:bodyDiv w:val="1"/>
      <w:marLeft w:val="0"/>
      <w:marRight w:val="0"/>
      <w:marTop w:val="0"/>
      <w:marBottom w:val="0"/>
      <w:divBdr>
        <w:top w:val="none" w:sz="0" w:space="0" w:color="auto"/>
        <w:left w:val="none" w:sz="0" w:space="0" w:color="auto"/>
        <w:bottom w:val="none" w:sz="0" w:space="0" w:color="auto"/>
        <w:right w:val="none" w:sz="0" w:space="0" w:color="auto"/>
      </w:divBdr>
    </w:div>
    <w:div w:id="1133252499">
      <w:bodyDiv w:val="1"/>
      <w:marLeft w:val="0"/>
      <w:marRight w:val="0"/>
      <w:marTop w:val="0"/>
      <w:marBottom w:val="0"/>
      <w:divBdr>
        <w:top w:val="none" w:sz="0" w:space="0" w:color="auto"/>
        <w:left w:val="none" w:sz="0" w:space="0" w:color="auto"/>
        <w:bottom w:val="none" w:sz="0" w:space="0" w:color="auto"/>
        <w:right w:val="none" w:sz="0" w:space="0" w:color="auto"/>
      </w:divBdr>
    </w:div>
    <w:div w:id="1198666254">
      <w:bodyDiv w:val="1"/>
      <w:marLeft w:val="0"/>
      <w:marRight w:val="0"/>
      <w:marTop w:val="0"/>
      <w:marBottom w:val="0"/>
      <w:divBdr>
        <w:top w:val="none" w:sz="0" w:space="0" w:color="auto"/>
        <w:left w:val="none" w:sz="0" w:space="0" w:color="auto"/>
        <w:bottom w:val="none" w:sz="0" w:space="0" w:color="auto"/>
        <w:right w:val="none" w:sz="0" w:space="0" w:color="auto"/>
      </w:divBdr>
    </w:div>
    <w:div w:id="1199079142">
      <w:bodyDiv w:val="1"/>
      <w:marLeft w:val="0"/>
      <w:marRight w:val="0"/>
      <w:marTop w:val="0"/>
      <w:marBottom w:val="0"/>
      <w:divBdr>
        <w:top w:val="none" w:sz="0" w:space="0" w:color="auto"/>
        <w:left w:val="none" w:sz="0" w:space="0" w:color="auto"/>
        <w:bottom w:val="none" w:sz="0" w:space="0" w:color="auto"/>
        <w:right w:val="none" w:sz="0" w:space="0" w:color="auto"/>
      </w:divBdr>
      <w:divsChild>
        <w:div w:id="1026442933">
          <w:marLeft w:val="547"/>
          <w:marRight w:val="0"/>
          <w:marTop w:val="0"/>
          <w:marBottom w:val="0"/>
          <w:divBdr>
            <w:top w:val="none" w:sz="0" w:space="0" w:color="auto"/>
            <w:left w:val="none" w:sz="0" w:space="0" w:color="auto"/>
            <w:bottom w:val="none" w:sz="0" w:space="0" w:color="auto"/>
            <w:right w:val="none" w:sz="0" w:space="0" w:color="auto"/>
          </w:divBdr>
        </w:div>
        <w:div w:id="1275088867">
          <w:marLeft w:val="547"/>
          <w:marRight w:val="0"/>
          <w:marTop w:val="0"/>
          <w:marBottom w:val="0"/>
          <w:divBdr>
            <w:top w:val="none" w:sz="0" w:space="0" w:color="auto"/>
            <w:left w:val="none" w:sz="0" w:space="0" w:color="auto"/>
            <w:bottom w:val="none" w:sz="0" w:space="0" w:color="auto"/>
            <w:right w:val="none" w:sz="0" w:space="0" w:color="auto"/>
          </w:divBdr>
        </w:div>
        <w:div w:id="15544015">
          <w:marLeft w:val="547"/>
          <w:marRight w:val="0"/>
          <w:marTop w:val="0"/>
          <w:marBottom w:val="0"/>
          <w:divBdr>
            <w:top w:val="none" w:sz="0" w:space="0" w:color="auto"/>
            <w:left w:val="none" w:sz="0" w:space="0" w:color="auto"/>
            <w:bottom w:val="none" w:sz="0" w:space="0" w:color="auto"/>
            <w:right w:val="none" w:sz="0" w:space="0" w:color="auto"/>
          </w:divBdr>
        </w:div>
      </w:divsChild>
    </w:div>
    <w:div w:id="1366642057">
      <w:bodyDiv w:val="1"/>
      <w:marLeft w:val="0"/>
      <w:marRight w:val="0"/>
      <w:marTop w:val="0"/>
      <w:marBottom w:val="0"/>
      <w:divBdr>
        <w:top w:val="none" w:sz="0" w:space="0" w:color="auto"/>
        <w:left w:val="none" w:sz="0" w:space="0" w:color="auto"/>
        <w:bottom w:val="none" w:sz="0" w:space="0" w:color="auto"/>
        <w:right w:val="none" w:sz="0" w:space="0" w:color="auto"/>
      </w:divBdr>
    </w:div>
    <w:div w:id="1385367590">
      <w:bodyDiv w:val="1"/>
      <w:marLeft w:val="0"/>
      <w:marRight w:val="0"/>
      <w:marTop w:val="0"/>
      <w:marBottom w:val="0"/>
      <w:divBdr>
        <w:top w:val="none" w:sz="0" w:space="0" w:color="auto"/>
        <w:left w:val="none" w:sz="0" w:space="0" w:color="auto"/>
        <w:bottom w:val="none" w:sz="0" w:space="0" w:color="auto"/>
        <w:right w:val="none" w:sz="0" w:space="0" w:color="auto"/>
      </w:divBdr>
    </w:div>
    <w:div w:id="1500384844">
      <w:bodyDiv w:val="1"/>
      <w:marLeft w:val="0"/>
      <w:marRight w:val="0"/>
      <w:marTop w:val="0"/>
      <w:marBottom w:val="0"/>
      <w:divBdr>
        <w:top w:val="none" w:sz="0" w:space="0" w:color="auto"/>
        <w:left w:val="none" w:sz="0" w:space="0" w:color="auto"/>
        <w:bottom w:val="none" w:sz="0" w:space="0" w:color="auto"/>
        <w:right w:val="none" w:sz="0" w:space="0" w:color="auto"/>
      </w:divBdr>
    </w:div>
    <w:div w:id="1548108962">
      <w:bodyDiv w:val="1"/>
      <w:marLeft w:val="0"/>
      <w:marRight w:val="0"/>
      <w:marTop w:val="0"/>
      <w:marBottom w:val="0"/>
      <w:divBdr>
        <w:top w:val="none" w:sz="0" w:space="0" w:color="auto"/>
        <w:left w:val="none" w:sz="0" w:space="0" w:color="auto"/>
        <w:bottom w:val="none" w:sz="0" w:space="0" w:color="auto"/>
        <w:right w:val="none" w:sz="0" w:space="0" w:color="auto"/>
      </w:divBdr>
    </w:div>
    <w:div w:id="1560557636">
      <w:bodyDiv w:val="1"/>
      <w:marLeft w:val="0"/>
      <w:marRight w:val="0"/>
      <w:marTop w:val="0"/>
      <w:marBottom w:val="0"/>
      <w:divBdr>
        <w:top w:val="none" w:sz="0" w:space="0" w:color="auto"/>
        <w:left w:val="none" w:sz="0" w:space="0" w:color="auto"/>
        <w:bottom w:val="none" w:sz="0" w:space="0" w:color="auto"/>
        <w:right w:val="none" w:sz="0" w:space="0" w:color="auto"/>
      </w:divBdr>
    </w:div>
    <w:div w:id="2032489783">
      <w:bodyDiv w:val="1"/>
      <w:marLeft w:val="0"/>
      <w:marRight w:val="0"/>
      <w:marTop w:val="0"/>
      <w:marBottom w:val="0"/>
      <w:divBdr>
        <w:top w:val="none" w:sz="0" w:space="0" w:color="auto"/>
        <w:left w:val="none" w:sz="0" w:space="0" w:color="auto"/>
        <w:bottom w:val="none" w:sz="0" w:space="0" w:color="auto"/>
        <w:right w:val="none" w:sz="0" w:space="0" w:color="auto"/>
      </w:divBdr>
    </w:div>
    <w:div w:id="2040668498">
      <w:bodyDiv w:val="1"/>
      <w:marLeft w:val="0"/>
      <w:marRight w:val="0"/>
      <w:marTop w:val="0"/>
      <w:marBottom w:val="0"/>
      <w:divBdr>
        <w:top w:val="none" w:sz="0" w:space="0" w:color="auto"/>
        <w:left w:val="none" w:sz="0" w:space="0" w:color="auto"/>
        <w:bottom w:val="none" w:sz="0" w:space="0" w:color="auto"/>
        <w:right w:val="none" w:sz="0" w:space="0" w:color="auto"/>
      </w:divBdr>
      <w:divsChild>
        <w:div w:id="903756099">
          <w:marLeft w:val="1166"/>
          <w:marRight w:val="0"/>
          <w:marTop w:val="72"/>
          <w:marBottom w:val="0"/>
          <w:divBdr>
            <w:top w:val="none" w:sz="0" w:space="0" w:color="auto"/>
            <w:left w:val="none" w:sz="0" w:space="0" w:color="auto"/>
            <w:bottom w:val="none" w:sz="0" w:space="0" w:color="auto"/>
            <w:right w:val="none" w:sz="0" w:space="0" w:color="auto"/>
          </w:divBdr>
        </w:div>
        <w:div w:id="936838116">
          <w:marLeft w:val="1166"/>
          <w:marRight w:val="0"/>
          <w:marTop w:val="72"/>
          <w:marBottom w:val="0"/>
          <w:divBdr>
            <w:top w:val="none" w:sz="0" w:space="0" w:color="auto"/>
            <w:left w:val="none" w:sz="0" w:space="0" w:color="auto"/>
            <w:bottom w:val="none" w:sz="0" w:space="0" w:color="auto"/>
            <w:right w:val="none" w:sz="0" w:space="0" w:color="auto"/>
          </w:divBdr>
        </w:div>
        <w:div w:id="280310493">
          <w:marLeft w:val="1166"/>
          <w:marRight w:val="0"/>
          <w:marTop w:val="72"/>
          <w:marBottom w:val="0"/>
          <w:divBdr>
            <w:top w:val="none" w:sz="0" w:space="0" w:color="auto"/>
            <w:left w:val="none" w:sz="0" w:space="0" w:color="auto"/>
            <w:bottom w:val="none" w:sz="0" w:space="0" w:color="auto"/>
            <w:right w:val="none" w:sz="0" w:space="0" w:color="auto"/>
          </w:divBdr>
        </w:div>
        <w:div w:id="19209703">
          <w:marLeft w:val="1166"/>
          <w:marRight w:val="0"/>
          <w:marTop w:val="72"/>
          <w:marBottom w:val="0"/>
          <w:divBdr>
            <w:top w:val="none" w:sz="0" w:space="0" w:color="auto"/>
            <w:left w:val="none" w:sz="0" w:space="0" w:color="auto"/>
            <w:bottom w:val="none" w:sz="0" w:space="0" w:color="auto"/>
            <w:right w:val="none" w:sz="0" w:space="0" w:color="auto"/>
          </w:divBdr>
        </w:div>
        <w:div w:id="1345210540">
          <w:marLeft w:val="547"/>
          <w:marRight w:val="0"/>
          <w:marTop w:val="86"/>
          <w:marBottom w:val="0"/>
          <w:divBdr>
            <w:top w:val="none" w:sz="0" w:space="0" w:color="auto"/>
            <w:left w:val="none" w:sz="0" w:space="0" w:color="auto"/>
            <w:bottom w:val="none" w:sz="0" w:space="0" w:color="auto"/>
            <w:right w:val="none" w:sz="0" w:space="0" w:color="auto"/>
          </w:divBdr>
        </w:div>
        <w:div w:id="1829858678">
          <w:marLeft w:val="1166"/>
          <w:marRight w:val="0"/>
          <w:marTop w:val="72"/>
          <w:marBottom w:val="0"/>
          <w:divBdr>
            <w:top w:val="none" w:sz="0" w:space="0" w:color="auto"/>
            <w:left w:val="none" w:sz="0" w:space="0" w:color="auto"/>
            <w:bottom w:val="none" w:sz="0" w:space="0" w:color="auto"/>
            <w:right w:val="none" w:sz="0" w:space="0" w:color="auto"/>
          </w:divBdr>
        </w:div>
      </w:divsChild>
    </w:div>
    <w:div w:id="2061203506">
      <w:bodyDiv w:val="1"/>
      <w:marLeft w:val="0"/>
      <w:marRight w:val="0"/>
      <w:marTop w:val="0"/>
      <w:marBottom w:val="0"/>
      <w:divBdr>
        <w:top w:val="none" w:sz="0" w:space="0" w:color="auto"/>
        <w:left w:val="none" w:sz="0" w:space="0" w:color="auto"/>
        <w:bottom w:val="none" w:sz="0" w:space="0" w:color="auto"/>
        <w:right w:val="none" w:sz="0" w:space="0" w:color="auto"/>
      </w:divBdr>
    </w:div>
    <w:div w:id="21348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CF4E-6DF2-478B-893A-0F57E4DE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13335</Words>
  <Characters>75358</Characters>
  <Application>Microsoft Office Word</Application>
  <DocSecurity>0</DocSecurity>
  <Lines>627</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2021-10-25T03:31:00Z</dcterms:created>
  <dcterms:modified xsi:type="dcterms:W3CDTF">2021-10-25T03:31:00Z</dcterms:modified>
</cp:coreProperties>
</file>